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F9465">
      <w:pPr>
        <w:pStyle w:val="45"/>
        <w:jc w:val="right"/>
        <w:rPr>
          <w:b/>
          <w:bCs/>
          <w:highlight w:val="none"/>
        </w:rPr>
      </w:pPr>
    </w:p>
    <w:p w14:paraId="3ADD1C5D">
      <w:pPr>
        <w:spacing w:line="240" w:lineRule="atLeast"/>
        <w:ind w:left="1080" w:leftChars="257" w:hanging="540"/>
        <w:jc w:val="center"/>
        <w:rPr>
          <w:rFonts w:ascii="宋体" w:hAnsi="宋体" w:cs="宋体"/>
          <w:b/>
          <w:sz w:val="52"/>
          <w:szCs w:val="52"/>
          <w:highlight w:val="none"/>
        </w:rPr>
      </w:pPr>
    </w:p>
    <w:p w14:paraId="196FF454">
      <w:pPr>
        <w:spacing w:line="240" w:lineRule="atLeast"/>
        <w:ind w:left="1080" w:leftChars="257" w:hanging="540"/>
        <w:jc w:val="center"/>
        <w:rPr>
          <w:rFonts w:ascii="宋体" w:hAnsi="宋体" w:cs="宋体"/>
          <w:b/>
          <w:sz w:val="52"/>
          <w:szCs w:val="52"/>
          <w:highlight w:val="none"/>
        </w:rPr>
      </w:pPr>
    </w:p>
    <w:p w14:paraId="22A30EE1">
      <w:pPr>
        <w:spacing w:line="240" w:lineRule="atLeast"/>
        <w:ind w:left="1080" w:leftChars="257" w:hanging="540"/>
        <w:jc w:val="center"/>
        <w:rPr>
          <w:rFonts w:ascii="宋体" w:hAnsi="宋体" w:cs="宋体"/>
          <w:b/>
          <w:sz w:val="52"/>
          <w:szCs w:val="52"/>
          <w:highlight w:val="none"/>
        </w:rPr>
      </w:pPr>
    </w:p>
    <w:p w14:paraId="5DB6E533">
      <w:pPr>
        <w:spacing w:line="240" w:lineRule="atLeast"/>
        <w:ind w:left="1080" w:leftChars="257" w:hanging="540"/>
        <w:jc w:val="center"/>
        <w:rPr>
          <w:rFonts w:ascii="宋体" w:hAnsi="宋体" w:cs="宋体"/>
          <w:b/>
          <w:bCs/>
          <w:sz w:val="70"/>
          <w:szCs w:val="52"/>
          <w:highlight w:val="none"/>
        </w:rPr>
      </w:pPr>
      <w:r>
        <w:rPr>
          <w:rFonts w:hint="eastAsia" w:ascii="宋体" w:hAnsi="宋体" w:cs="宋体"/>
          <w:b/>
          <w:bCs/>
          <w:sz w:val="70"/>
          <w:szCs w:val="52"/>
          <w:highlight w:val="none"/>
        </w:rPr>
        <w:t>政府采购竞争性磋商文件</w:t>
      </w:r>
    </w:p>
    <w:p w14:paraId="5514D5F5">
      <w:pPr>
        <w:spacing w:line="240" w:lineRule="atLeast"/>
        <w:ind w:left="1080" w:leftChars="257" w:hanging="540"/>
        <w:jc w:val="center"/>
        <w:rPr>
          <w:rFonts w:ascii="宋体" w:hAnsi="宋体" w:cs="宋体"/>
          <w:bCs/>
          <w:sz w:val="32"/>
          <w:szCs w:val="32"/>
          <w:highlight w:val="none"/>
        </w:rPr>
      </w:pPr>
    </w:p>
    <w:p w14:paraId="7773A985">
      <w:pPr>
        <w:spacing w:line="240" w:lineRule="atLeast"/>
        <w:ind w:left="1080" w:leftChars="257" w:hanging="540"/>
        <w:jc w:val="center"/>
        <w:rPr>
          <w:rFonts w:ascii="宋体" w:hAnsi="宋体" w:cs="宋体"/>
          <w:b/>
          <w:sz w:val="32"/>
          <w:szCs w:val="32"/>
          <w:highlight w:val="none"/>
        </w:rPr>
      </w:pPr>
    </w:p>
    <w:p w14:paraId="2E8CC8D9">
      <w:pPr>
        <w:spacing w:line="240" w:lineRule="atLeast"/>
        <w:ind w:left="1080" w:leftChars="257" w:hanging="540"/>
        <w:rPr>
          <w:rFonts w:ascii="宋体" w:hAnsi="宋体" w:cs="宋体"/>
          <w:b/>
          <w:sz w:val="28"/>
          <w:highlight w:val="none"/>
        </w:rPr>
      </w:pPr>
    </w:p>
    <w:p w14:paraId="15AE8CA9">
      <w:pPr>
        <w:spacing w:line="240" w:lineRule="atLeast"/>
        <w:ind w:left="1080" w:leftChars="257" w:hanging="540"/>
        <w:jc w:val="center"/>
        <w:rPr>
          <w:rFonts w:ascii="宋体" w:hAnsi="宋体" w:cs="宋体"/>
          <w:b/>
          <w:sz w:val="36"/>
          <w:szCs w:val="36"/>
          <w:highlight w:val="none"/>
        </w:rPr>
      </w:pPr>
      <w:r>
        <w:rPr>
          <w:rFonts w:hint="eastAsia" w:ascii="宋体" w:hAnsi="宋体" w:cs="宋体"/>
          <w:b/>
          <w:sz w:val="36"/>
          <w:szCs w:val="36"/>
          <w:highlight w:val="none"/>
        </w:rPr>
        <w:t>第一册</w:t>
      </w:r>
    </w:p>
    <w:p w14:paraId="102C3E6B">
      <w:pPr>
        <w:spacing w:line="240" w:lineRule="atLeast"/>
        <w:ind w:left="1080" w:leftChars="257" w:hanging="540"/>
        <w:jc w:val="center"/>
        <w:rPr>
          <w:rFonts w:ascii="宋体" w:hAnsi="宋体" w:cs="宋体"/>
          <w:b/>
          <w:sz w:val="52"/>
          <w:highlight w:val="none"/>
        </w:rPr>
      </w:pPr>
    </w:p>
    <w:p w14:paraId="114019A0">
      <w:pPr>
        <w:spacing w:line="360" w:lineRule="auto"/>
        <w:ind w:firstLine="301" w:firstLineChars="100"/>
        <w:jc w:val="left"/>
        <w:rPr>
          <w:rFonts w:hint="eastAsia" w:ascii="宋体" w:hAnsi="宋体" w:eastAsia="宋体" w:cs="宋体"/>
          <w:b/>
          <w:sz w:val="30"/>
          <w:szCs w:val="30"/>
          <w:highlight w:val="none"/>
          <w:lang w:eastAsia="zh-CN"/>
        </w:rPr>
      </w:pPr>
      <w:r>
        <w:rPr>
          <w:rFonts w:hint="eastAsia" w:ascii="宋体" w:hAnsi="宋体" w:cs="宋体"/>
          <w:b/>
          <w:sz w:val="30"/>
          <w:szCs w:val="30"/>
          <w:highlight w:val="none"/>
        </w:rPr>
        <w:t>项目编号：</w:t>
      </w:r>
      <w:r>
        <w:rPr>
          <w:rFonts w:hint="eastAsia" w:ascii="宋体" w:hAnsi="宋体" w:cs="宋体"/>
          <w:b/>
          <w:sz w:val="30"/>
          <w:szCs w:val="30"/>
          <w:highlight w:val="none"/>
          <w:lang w:eastAsia="zh-CN"/>
        </w:rPr>
        <w:t>SDGP370000000202502006696</w:t>
      </w:r>
    </w:p>
    <w:p w14:paraId="75731021">
      <w:pPr>
        <w:spacing w:line="360" w:lineRule="auto"/>
        <w:ind w:firstLine="289" w:firstLineChars="100"/>
        <w:jc w:val="left"/>
        <w:rPr>
          <w:rFonts w:hint="eastAsia" w:ascii="宋体" w:hAnsi="宋体" w:eastAsia="宋体" w:cs="宋体"/>
          <w:b/>
          <w:spacing w:val="-17"/>
          <w:sz w:val="30"/>
          <w:szCs w:val="30"/>
          <w:highlight w:val="none"/>
          <w:lang w:eastAsia="zh-CN"/>
        </w:rPr>
      </w:pPr>
      <w:r>
        <w:rPr>
          <w:rFonts w:hint="eastAsia" w:ascii="宋体" w:hAnsi="宋体" w:cs="宋体"/>
          <w:b/>
          <w:spacing w:val="-6"/>
          <w:sz w:val="30"/>
          <w:szCs w:val="30"/>
          <w:highlight w:val="none"/>
        </w:rPr>
        <w:t>项目名称</w:t>
      </w:r>
      <w:r>
        <w:rPr>
          <w:rFonts w:hint="eastAsia" w:ascii="宋体" w:hAnsi="宋体" w:cs="宋体"/>
          <w:b/>
          <w:sz w:val="30"/>
          <w:szCs w:val="30"/>
          <w:highlight w:val="none"/>
        </w:rPr>
        <w:t>：</w:t>
      </w:r>
      <w:r>
        <w:rPr>
          <w:rFonts w:hint="eastAsia" w:ascii="宋体" w:hAnsi="宋体" w:cs="宋体"/>
          <w:b/>
          <w:spacing w:val="-17"/>
          <w:sz w:val="30"/>
          <w:szCs w:val="30"/>
          <w:highlight w:val="none"/>
          <w:lang w:eastAsia="zh-CN"/>
        </w:rPr>
        <w:t>临沂大学2025年学校事业发展情况审计服务项目</w:t>
      </w:r>
    </w:p>
    <w:p w14:paraId="0BCA74E3">
      <w:pPr>
        <w:tabs>
          <w:tab w:val="left" w:pos="6156"/>
        </w:tabs>
        <w:spacing w:line="240" w:lineRule="atLeast"/>
        <w:ind w:left="1080" w:leftChars="257" w:hanging="540"/>
        <w:jc w:val="left"/>
        <w:rPr>
          <w:rFonts w:ascii="宋体" w:hAnsi="宋体" w:cs="宋体"/>
          <w:b/>
          <w:sz w:val="52"/>
          <w:highlight w:val="none"/>
        </w:rPr>
      </w:pPr>
      <w:r>
        <w:rPr>
          <w:rFonts w:hint="eastAsia" w:ascii="宋体" w:hAnsi="宋体" w:cs="宋体"/>
          <w:b/>
          <w:sz w:val="52"/>
          <w:highlight w:val="none"/>
        </w:rPr>
        <w:tab/>
      </w:r>
    </w:p>
    <w:p w14:paraId="52A19E24">
      <w:pPr>
        <w:spacing w:line="240" w:lineRule="atLeast"/>
        <w:ind w:left="1080" w:leftChars="257" w:hanging="540"/>
        <w:jc w:val="center"/>
        <w:rPr>
          <w:rFonts w:ascii="宋体" w:hAnsi="宋体" w:cs="宋体"/>
          <w:b/>
          <w:sz w:val="52"/>
          <w:highlight w:val="none"/>
        </w:rPr>
      </w:pPr>
    </w:p>
    <w:p w14:paraId="63D68256">
      <w:pPr>
        <w:spacing w:line="240" w:lineRule="atLeast"/>
        <w:ind w:left="1080" w:leftChars="257" w:hanging="540"/>
        <w:jc w:val="center"/>
        <w:rPr>
          <w:rFonts w:ascii="宋体" w:hAnsi="宋体" w:cs="宋体"/>
          <w:b/>
          <w:sz w:val="52"/>
          <w:highlight w:val="none"/>
        </w:rPr>
      </w:pPr>
    </w:p>
    <w:p w14:paraId="340C57B6">
      <w:pPr>
        <w:spacing w:line="240" w:lineRule="atLeast"/>
        <w:ind w:left="1080" w:leftChars="257" w:hanging="540"/>
        <w:jc w:val="center"/>
        <w:rPr>
          <w:rFonts w:ascii="宋体" w:hAnsi="宋体" w:cs="宋体"/>
          <w:b/>
          <w:sz w:val="52"/>
          <w:highlight w:val="none"/>
        </w:rPr>
      </w:pPr>
    </w:p>
    <w:p w14:paraId="12E048FD">
      <w:pPr>
        <w:spacing w:line="240" w:lineRule="atLeast"/>
        <w:ind w:left="1080" w:leftChars="257" w:hanging="540"/>
        <w:jc w:val="center"/>
        <w:rPr>
          <w:rFonts w:ascii="宋体" w:hAnsi="宋体" w:cs="宋体"/>
          <w:b/>
          <w:sz w:val="52"/>
          <w:highlight w:val="none"/>
        </w:rPr>
      </w:pPr>
    </w:p>
    <w:p w14:paraId="0D289908">
      <w:pPr>
        <w:spacing w:line="360" w:lineRule="auto"/>
        <w:ind w:firstLine="602" w:firstLineChars="200"/>
        <w:rPr>
          <w:rFonts w:ascii="宋体" w:hAnsi="宋体" w:cs="宋体"/>
          <w:b/>
          <w:sz w:val="30"/>
          <w:szCs w:val="30"/>
          <w:highlight w:val="none"/>
        </w:rPr>
      </w:pPr>
      <w:r>
        <w:rPr>
          <w:rFonts w:hint="eastAsia" w:ascii="宋体" w:hAnsi="宋体" w:cs="宋体"/>
          <w:b/>
          <w:sz w:val="30"/>
          <w:szCs w:val="30"/>
          <w:highlight w:val="none"/>
        </w:rPr>
        <w:t>采   购   人：临沂大学</w:t>
      </w:r>
    </w:p>
    <w:p w14:paraId="035B3006">
      <w:pPr>
        <w:spacing w:line="360" w:lineRule="auto"/>
        <w:ind w:left="645" w:leftChars="307"/>
        <w:rPr>
          <w:rFonts w:ascii="宋体" w:hAnsi="宋体" w:cs="宋体"/>
          <w:b/>
          <w:sz w:val="30"/>
          <w:szCs w:val="30"/>
          <w:highlight w:val="none"/>
        </w:rPr>
      </w:pPr>
      <w:r>
        <w:rPr>
          <w:rFonts w:hint="eastAsia" w:ascii="宋体" w:hAnsi="宋体" w:cs="宋体"/>
          <w:b/>
          <w:sz w:val="30"/>
          <w:szCs w:val="30"/>
          <w:highlight w:val="none"/>
        </w:rPr>
        <w:t>采购代理机构：临沂市沂蒙国际招标有限公司</w:t>
      </w:r>
    </w:p>
    <w:p w14:paraId="7DF503E0">
      <w:pPr>
        <w:spacing w:line="240" w:lineRule="atLeast"/>
        <w:ind w:left="1080" w:leftChars="257" w:hanging="540"/>
        <w:rPr>
          <w:rFonts w:ascii="宋体" w:hAnsi="宋体" w:cs="宋体"/>
          <w:b/>
          <w:szCs w:val="21"/>
          <w:highlight w:val="none"/>
        </w:rPr>
      </w:pPr>
    </w:p>
    <w:p w14:paraId="06DC6F81">
      <w:pPr>
        <w:spacing w:line="240" w:lineRule="atLeast"/>
        <w:ind w:left="1080" w:leftChars="257" w:hanging="540"/>
        <w:rPr>
          <w:rFonts w:ascii="宋体" w:hAnsi="宋体" w:cs="宋体"/>
          <w:b/>
          <w:szCs w:val="21"/>
          <w:highlight w:val="none"/>
        </w:rPr>
      </w:pPr>
    </w:p>
    <w:p w14:paraId="4DFFEC09">
      <w:pPr>
        <w:spacing w:line="240" w:lineRule="atLeast"/>
        <w:ind w:left="1077" w:leftChars="513" w:firstLine="298" w:firstLineChars="99"/>
        <w:rPr>
          <w:rFonts w:ascii="宋体" w:hAnsi="宋体" w:cs="宋体"/>
          <w:b/>
          <w:szCs w:val="21"/>
          <w:highlight w:val="none"/>
        </w:rPr>
      </w:pPr>
      <w:r>
        <w:rPr>
          <w:rFonts w:hint="eastAsia" w:ascii="宋体" w:hAnsi="宋体" w:cs="宋体"/>
          <w:b/>
          <w:bCs/>
          <w:sz w:val="30"/>
          <w:szCs w:val="30"/>
          <w:highlight w:val="none"/>
        </w:rPr>
        <w:t>发 出 日 期：二〇二五年</w:t>
      </w:r>
      <w:r>
        <w:rPr>
          <w:rFonts w:hint="eastAsia" w:ascii="宋体" w:hAnsi="宋体" w:cs="宋体"/>
          <w:b/>
          <w:bCs/>
          <w:sz w:val="30"/>
          <w:szCs w:val="30"/>
          <w:highlight w:val="none"/>
          <w:lang w:val="en-US" w:eastAsia="zh-CN"/>
        </w:rPr>
        <w:t>八</w:t>
      </w:r>
      <w:r>
        <w:rPr>
          <w:rFonts w:hint="eastAsia" w:ascii="宋体" w:hAnsi="宋体" w:cs="宋体"/>
          <w:b/>
          <w:bCs/>
          <w:sz w:val="30"/>
          <w:szCs w:val="30"/>
          <w:highlight w:val="none"/>
        </w:rPr>
        <w:t>月</w:t>
      </w:r>
      <w:r>
        <w:rPr>
          <w:rFonts w:hint="eastAsia" w:ascii="宋体" w:hAnsi="宋体" w:cs="宋体"/>
          <w:b/>
          <w:bCs/>
          <w:sz w:val="30"/>
          <w:szCs w:val="30"/>
          <w:highlight w:val="none"/>
          <w:lang w:val="en-US" w:eastAsia="zh-CN"/>
        </w:rPr>
        <w:t>二十一</w:t>
      </w:r>
      <w:r>
        <w:rPr>
          <w:rFonts w:hint="eastAsia" w:ascii="宋体" w:hAnsi="宋体" w:cs="宋体"/>
          <w:b/>
          <w:bCs/>
          <w:sz w:val="30"/>
          <w:szCs w:val="30"/>
          <w:highlight w:val="none"/>
        </w:rPr>
        <w:t>日</w:t>
      </w:r>
    </w:p>
    <w:p w14:paraId="6DFD20A0">
      <w:pPr>
        <w:pStyle w:val="45"/>
        <w:ind w:left="0" w:firstLine="0"/>
        <w:jc w:val="center"/>
        <w:rPr>
          <w:rFonts w:ascii="宋体" w:hAnsi="宋体" w:cs="宋体"/>
          <w:b/>
          <w:bCs/>
          <w:sz w:val="40"/>
          <w:szCs w:val="40"/>
          <w:highlight w:val="none"/>
        </w:rPr>
      </w:pPr>
      <w:r>
        <w:rPr>
          <w:rFonts w:hint="eastAsia" w:ascii="宋体" w:hAnsi="宋体" w:cs="宋体"/>
          <w:b/>
          <w:sz w:val="52"/>
          <w:highlight w:val="none"/>
        </w:rPr>
        <w:br w:type="page"/>
      </w:r>
      <w:r>
        <w:rPr>
          <w:rFonts w:hint="eastAsia" w:ascii="宋体" w:hAnsi="宋体" w:cs="宋体"/>
          <w:b/>
          <w:sz w:val="32"/>
          <w:highlight w:val="none"/>
        </w:rPr>
        <w:t>临沂大学特别公告</w:t>
      </w:r>
    </w:p>
    <w:p w14:paraId="08EC9BBE">
      <w:pPr>
        <w:pStyle w:val="45"/>
        <w:tabs>
          <w:tab w:val="left" w:pos="840"/>
        </w:tabs>
        <w:spacing w:line="480" w:lineRule="exact"/>
        <w:ind w:left="0" w:firstLine="0"/>
        <w:rPr>
          <w:rFonts w:ascii="宋体" w:hAnsi="宋体" w:cs="宋体"/>
          <w:sz w:val="28"/>
          <w:szCs w:val="28"/>
          <w:highlight w:val="none"/>
        </w:rPr>
      </w:pPr>
    </w:p>
    <w:p w14:paraId="5D26E6E3">
      <w:pPr>
        <w:pStyle w:val="45"/>
        <w:tabs>
          <w:tab w:val="left" w:pos="840"/>
        </w:tabs>
        <w:spacing w:line="480" w:lineRule="exact"/>
        <w:ind w:left="0" w:firstLine="0"/>
        <w:rPr>
          <w:rFonts w:ascii="宋体" w:hAnsi="宋体" w:cs="宋体"/>
          <w:sz w:val="28"/>
          <w:szCs w:val="28"/>
          <w:highlight w:val="none"/>
        </w:rPr>
      </w:pPr>
      <w:r>
        <w:rPr>
          <w:rFonts w:ascii="宋体" w:hAnsi="宋体" w:cs="宋体"/>
          <w:sz w:val="28"/>
          <w:szCs w:val="28"/>
          <w:highlight w:val="none"/>
        </w:rPr>
        <w:t xml:space="preserve">各供应商： </w:t>
      </w:r>
    </w:p>
    <w:p w14:paraId="66DF56E4">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热忱欢迎大家投标竞标，响应</w:t>
      </w:r>
      <w:r>
        <w:rPr>
          <w:rFonts w:hint="eastAsia" w:ascii="宋体" w:hAnsi="宋体" w:cs="宋体"/>
          <w:sz w:val="28"/>
          <w:szCs w:val="28"/>
          <w:highlight w:val="none"/>
        </w:rPr>
        <w:t>学校</w:t>
      </w:r>
      <w:r>
        <w:rPr>
          <w:rFonts w:ascii="宋体" w:hAnsi="宋体" w:cs="宋体"/>
          <w:sz w:val="28"/>
          <w:szCs w:val="28"/>
          <w:highlight w:val="none"/>
        </w:rPr>
        <w:t>招标项目！</w:t>
      </w:r>
      <w:r>
        <w:rPr>
          <w:rFonts w:hint="eastAsia" w:ascii="宋体" w:hAnsi="宋体" w:cs="宋体"/>
          <w:sz w:val="28"/>
          <w:szCs w:val="28"/>
          <w:highlight w:val="none"/>
        </w:rPr>
        <w:t>学校</w:t>
      </w:r>
      <w:r>
        <w:rPr>
          <w:rFonts w:ascii="宋体" w:hAnsi="宋体" w:cs="宋体"/>
          <w:sz w:val="28"/>
          <w:szCs w:val="28"/>
          <w:highlight w:val="none"/>
        </w:rPr>
        <w:t xml:space="preserve">承诺该项目在公正公开的原则下公平竞争，客观评审。 </w:t>
      </w:r>
    </w:p>
    <w:p w14:paraId="53F974F9">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本采购文件已经多位专家审核修订，若仍存在涉及指向性、排他性参数指标，请及时与代理机构或</w:t>
      </w:r>
      <w:r>
        <w:rPr>
          <w:rFonts w:hint="eastAsia" w:ascii="宋体" w:hAnsi="宋体" w:cs="宋体"/>
          <w:sz w:val="28"/>
          <w:szCs w:val="28"/>
          <w:highlight w:val="none"/>
        </w:rPr>
        <w:t>学校</w:t>
      </w:r>
      <w:r>
        <w:rPr>
          <w:rFonts w:ascii="宋体" w:hAnsi="宋体" w:cs="宋体"/>
          <w:sz w:val="28"/>
          <w:szCs w:val="28"/>
          <w:highlight w:val="none"/>
        </w:rPr>
        <w:t>采购部门反映。</w:t>
      </w:r>
    </w:p>
    <w:p w14:paraId="478E5682">
      <w:pPr>
        <w:pStyle w:val="45"/>
        <w:tabs>
          <w:tab w:val="left" w:pos="840"/>
        </w:tabs>
        <w:wordWrap w:val="0"/>
        <w:spacing w:line="480" w:lineRule="exact"/>
        <w:ind w:left="0" w:firstLine="490" w:firstLineChars="175"/>
        <w:rPr>
          <w:rFonts w:ascii="宋体" w:hAnsi="宋体" w:cs="宋体"/>
          <w:sz w:val="28"/>
          <w:szCs w:val="28"/>
          <w:highlight w:val="none"/>
        </w:rPr>
      </w:pPr>
      <w:r>
        <w:rPr>
          <w:rFonts w:hint="eastAsia" w:ascii="宋体" w:hAnsi="宋体" w:cs="宋体"/>
          <w:sz w:val="28"/>
          <w:szCs w:val="28"/>
          <w:highlight w:val="none"/>
        </w:rPr>
        <w:t>学校</w:t>
      </w:r>
      <w:r>
        <w:rPr>
          <w:rFonts w:ascii="宋体" w:hAnsi="宋体" w:cs="宋体"/>
          <w:sz w:val="28"/>
          <w:szCs w:val="28"/>
          <w:highlight w:val="none"/>
        </w:rPr>
        <w:t>所有项目严格执行“回避”制度，对可能影响评标结果的潜在因素及人员关系（含代理机构、评标专家、工作人员、其他类人员等），请及时与</w:t>
      </w:r>
      <w:r>
        <w:rPr>
          <w:rFonts w:hint="eastAsia" w:ascii="宋体" w:hAnsi="宋体" w:cs="宋体"/>
          <w:sz w:val="28"/>
          <w:szCs w:val="28"/>
          <w:highlight w:val="none"/>
        </w:rPr>
        <w:t>学校</w:t>
      </w:r>
      <w:r>
        <w:rPr>
          <w:rFonts w:ascii="宋体" w:hAnsi="宋体" w:cs="宋体"/>
          <w:sz w:val="28"/>
          <w:szCs w:val="28"/>
          <w:highlight w:val="none"/>
        </w:rPr>
        <w:t xml:space="preserve">采购科反映（临沂大学采购科 </w:t>
      </w:r>
      <w:r>
        <w:rPr>
          <w:rFonts w:hint="eastAsia" w:ascii="宋体" w:hAnsi="宋体" w:cs="宋体"/>
          <w:sz w:val="28"/>
          <w:szCs w:val="28"/>
          <w:highlight w:val="none"/>
        </w:rPr>
        <w:t>蔺老师 0539-7258756</w:t>
      </w:r>
      <w:r>
        <w:rPr>
          <w:rFonts w:ascii="宋体" w:hAnsi="宋体" w:cs="宋体"/>
          <w:sz w:val="28"/>
          <w:szCs w:val="28"/>
          <w:highlight w:val="none"/>
        </w:rPr>
        <w:t xml:space="preserve">）。 </w:t>
      </w:r>
    </w:p>
    <w:p w14:paraId="17C70374">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若报名过程中存在差别性待遇或排他性暗示，请做好取证。及时与</w:t>
      </w:r>
      <w:r>
        <w:rPr>
          <w:rFonts w:hint="eastAsia" w:ascii="宋体" w:hAnsi="宋体" w:cs="宋体"/>
          <w:sz w:val="28"/>
          <w:szCs w:val="28"/>
          <w:highlight w:val="none"/>
        </w:rPr>
        <w:t>学校</w:t>
      </w:r>
      <w:r>
        <w:rPr>
          <w:rFonts w:ascii="宋体" w:hAnsi="宋体" w:cs="宋体"/>
          <w:sz w:val="28"/>
          <w:szCs w:val="28"/>
          <w:highlight w:val="none"/>
        </w:rPr>
        <w:t xml:space="preserve">纪委联系（0539-7258030）进行举报查处。 </w:t>
      </w:r>
    </w:p>
    <w:p w14:paraId="637E91C7">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 xml:space="preserve">临沂大学采购部门联系方式： </w:t>
      </w:r>
    </w:p>
    <w:p w14:paraId="62982AAC">
      <w:pPr>
        <w:pStyle w:val="45"/>
        <w:tabs>
          <w:tab w:val="left" w:pos="840"/>
        </w:tabs>
        <w:spacing w:line="480" w:lineRule="exact"/>
        <w:ind w:left="0" w:firstLine="490" w:firstLineChars="175"/>
        <w:rPr>
          <w:rFonts w:ascii="宋体" w:hAnsi="宋体" w:cs="宋体"/>
          <w:sz w:val="28"/>
          <w:szCs w:val="28"/>
          <w:highlight w:val="none"/>
        </w:rPr>
      </w:pPr>
      <w:r>
        <w:rPr>
          <w:rFonts w:ascii="宋体" w:hAnsi="宋体" w:cs="宋体"/>
          <w:sz w:val="28"/>
          <w:szCs w:val="28"/>
          <w:highlight w:val="none"/>
        </w:rPr>
        <w:t>电话：0539-725875</w:t>
      </w:r>
      <w:r>
        <w:rPr>
          <w:rFonts w:hint="eastAsia" w:ascii="宋体" w:hAnsi="宋体" w:cs="宋体"/>
          <w:sz w:val="28"/>
          <w:szCs w:val="28"/>
          <w:highlight w:val="none"/>
        </w:rPr>
        <w:t>6</w:t>
      </w:r>
      <w:r>
        <w:rPr>
          <w:rFonts w:ascii="宋体" w:hAnsi="宋体" w:cs="宋体"/>
          <w:sz w:val="28"/>
          <w:szCs w:val="28"/>
          <w:highlight w:val="none"/>
        </w:rPr>
        <w:t xml:space="preserve"> 邮箱：lyuzbb@126.com </w:t>
      </w:r>
    </w:p>
    <w:p w14:paraId="64053290">
      <w:pPr>
        <w:pStyle w:val="45"/>
        <w:tabs>
          <w:tab w:val="left" w:pos="840"/>
        </w:tabs>
        <w:spacing w:line="480" w:lineRule="exact"/>
        <w:ind w:left="0" w:firstLine="490" w:firstLineChars="175"/>
        <w:rPr>
          <w:rFonts w:ascii="宋体" w:hAnsi="宋体" w:cs="宋体"/>
          <w:sz w:val="28"/>
          <w:szCs w:val="28"/>
          <w:highlight w:val="none"/>
        </w:rPr>
      </w:pPr>
    </w:p>
    <w:p w14:paraId="0E7BC8AF">
      <w:pPr>
        <w:pStyle w:val="45"/>
        <w:tabs>
          <w:tab w:val="left" w:pos="840"/>
        </w:tabs>
        <w:spacing w:line="480" w:lineRule="exact"/>
        <w:ind w:left="0" w:firstLine="490" w:firstLineChars="175"/>
        <w:rPr>
          <w:sz w:val="28"/>
          <w:szCs w:val="28"/>
          <w:highlight w:val="none"/>
        </w:rPr>
      </w:pPr>
      <w:r>
        <w:rPr>
          <w:rFonts w:ascii="宋体" w:hAnsi="宋体" w:cs="宋体"/>
          <w:sz w:val="28"/>
          <w:szCs w:val="28"/>
          <w:highlight w:val="none"/>
        </w:rPr>
        <w:t>打造风清气正的招投标环境，让我们一起努力…</w:t>
      </w:r>
    </w:p>
    <w:p w14:paraId="71C8CBE1">
      <w:pPr>
        <w:rPr>
          <w:rFonts w:ascii="宋体" w:hAnsi="宋体" w:cs="宋体"/>
          <w:b/>
          <w:sz w:val="32"/>
          <w:highlight w:val="none"/>
        </w:rPr>
      </w:pPr>
      <w:r>
        <w:rPr>
          <w:rFonts w:hint="eastAsia" w:ascii="宋体" w:hAnsi="宋体" w:cs="宋体"/>
          <w:b/>
          <w:sz w:val="32"/>
          <w:highlight w:val="none"/>
        </w:rPr>
        <w:br w:type="page"/>
      </w:r>
    </w:p>
    <w:p w14:paraId="791F1458">
      <w:pPr>
        <w:pStyle w:val="45"/>
        <w:ind w:left="0" w:firstLine="0"/>
        <w:rPr>
          <w:rFonts w:ascii="宋体" w:hAnsi="宋体" w:cs="宋体"/>
          <w:b/>
          <w:bCs/>
          <w:sz w:val="24"/>
          <w:highlight w:val="none"/>
        </w:rPr>
      </w:pPr>
      <w:r>
        <w:rPr>
          <w:rFonts w:hint="eastAsia" w:ascii="宋体" w:hAnsi="宋体" w:cs="宋体"/>
          <w:b/>
          <w:bCs/>
          <w:sz w:val="24"/>
          <w:highlight w:val="none"/>
        </w:rPr>
        <w:t>附表：</w:t>
      </w:r>
    </w:p>
    <w:p w14:paraId="1813EC26">
      <w:pPr>
        <w:pStyle w:val="45"/>
        <w:ind w:firstLine="0"/>
        <w:rPr>
          <w:rFonts w:ascii="宋体" w:hAnsi="宋体" w:cs="宋体"/>
          <w:b/>
          <w:bCs/>
          <w:sz w:val="24"/>
          <w:highlight w:val="none"/>
        </w:rPr>
      </w:pPr>
      <w:r>
        <w:rPr>
          <w:rFonts w:hint="eastAsia" w:ascii="宋体" w:hAnsi="宋体" w:cs="宋体"/>
          <w:b/>
          <w:bCs/>
          <w:sz w:val="24"/>
          <w:highlight w:val="none"/>
        </w:rPr>
        <w:t>致各报名供应商，如发现采购文件存在不合理问题，请填写该表。</w:t>
      </w:r>
    </w:p>
    <w:p w14:paraId="12EC8E39">
      <w:pPr>
        <w:pStyle w:val="45"/>
        <w:ind w:firstLine="0"/>
        <w:jc w:val="center"/>
        <w:rPr>
          <w:rFonts w:ascii="宋体" w:hAnsi="宋体" w:cs="宋体"/>
          <w:b/>
          <w:bCs/>
          <w:sz w:val="32"/>
          <w:szCs w:val="32"/>
          <w:highlight w:val="none"/>
        </w:rPr>
      </w:pPr>
    </w:p>
    <w:p w14:paraId="712F832E">
      <w:pPr>
        <w:pStyle w:val="45"/>
        <w:ind w:firstLine="0"/>
        <w:jc w:val="center"/>
        <w:rPr>
          <w:rFonts w:ascii="宋体" w:hAnsi="宋体" w:cs="宋体"/>
          <w:b/>
          <w:bCs/>
          <w:sz w:val="32"/>
          <w:szCs w:val="32"/>
          <w:highlight w:val="none"/>
        </w:rPr>
      </w:pPr>
      <w:r>
        <w:rPr>
          <w:rFonts w:hint="eastAsia" w:ascii="宋体" w:hAnsi="宋体" w:cs="宋体"/>
          <w:b/>
          <w:bCs/>
          <w:sz w:val="32"/>
          <w:szCs w:val="32"/>
          <w:highlight w:val="none"/>
        </w:rPr>
        <w:t>本项目采购文件存在不合理性问题反馈单</w:t>
      </w:r>
    </w:p>
    <w:p w14:paraId="7261420D">
      <w:pPr>
        <w:pStyle w:val="45"/>
        <w:ind w:firstLine="0"/>
        <w:jc w:val="center"/>
        <w:rPr>
          <w:rFonts w:ascii="宋体" w:hAnsi="宋体" w:cs="宋体"/>
          <w:b/>
          <w:bCs/>
          <w:sz w:val="24"/>
          <w:highlight w:val="none"/>
        </w:rPr>
      </w:pPr>
      <w:r>
        <w:rPr>
          <w:rFonts w:hint="eastAsia" w:ascii="宋体" w:hAnsi="宋体" w:cs="宋体"/>
          <w:b/>
          <w:bCs/>
          <w:sz w:val="24"/>
          <w:highlight w:val="none"/>
        </w:rPr>
        <w:t>（已报名供应商使用）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2D287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30F98DFE">
            <w:pPr>
              <w:pStyle w:val="45"/>
              <w:ind w:left="0" w:firstLine="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2031" w:type="dxa"/>
            <w:vAlign w:val="center"/>
          </w:tcPr>
          <w:p w14:paraId="32B2A306">
            <w:pPr>
              <w:pStyle w:val="45"/>
              <w:ind w:left="0" w:firstLine="0"/>
              <w:jc w:val="center"/>
              <w:rPr>
                <w:rFonts w:ascii="仿宋" w:hAnsi="仿宋" w:eastAsia="仿宋" w:cs="仿宋"/>
                <w:b/>
                <w:bCs/>
                <w:sz w:val="24"/>
                <w:highlight w:val="none"/>
              </w:rPr>
            </w:pPr>
            <w:r>
              <w:rPr>
                <w:rFonts w:hint="eastAsia" w:ascii="仿宋" w:hAnsi="仿宋" w:eastAsia="仿宋" w:cs="仿宋"/>
                <w:b/>
                <w:bCs/>
                <w:sz w:val="24"/>
                <w:highlight w:val="none"/>
              </w:rPr>
              <w:t>服务名称</w:t>
            </w:r>
          </w:p>
        </w:tc>
        <w:tc>
          <w:tcPr>
            <w:tcW w:w="3448" w:type="dxa"/>
            <w:vAlign w:val="center"/>
          </w:tcPr>
          <w:p w14:paraId="0EA21491">
            <w:pPr>
              <w:pStyle w:val="45"/>
              <w:ind w:left="0" w:firstLine="0"/>
              <w:rPr>
                <w:rFonts w:ascii="仿宋" w:hAnsi="仿宋" w:eastAsia="仿宋" w:cs="仿宋"/>
                <w:b/>
                <w:bCs/>
                <w:sz w:val="24"/>
                <w:highlight w:val="none"/>
              </w:rPr>
            </w:pPr>
            <w:r>
              <w:rPr>
                <w:rFonts w:hint="eastAsia" w:ascii="仿宋" w:hAnsi="仿宋" w:eastAsia="仿宋" w:cs="仿宋"/>
                <w:b/>
                <w:bCs/>
                <w:sz w:val="24"/>
                <w:highlight w:val="none"/>
              </w:rPr>
              <w:t>相关参数</w:t>
            </w:r>
          </w:p>
        </w:tc>
        <w:tc>
          <w:tcPr>
            <w:tcW w:w="2992" w:type="dxa"/>
            <w:vAlign w:val="center"/>
          </w:tcPr>
          <w:p w14:paraId="40A7B8AB">
            <w:pPr>
              <w:pStyle w:val="45"/>
              <w:ind w:left="0" w:firstLine="0"/>
              <w:rPr>
                <w:rFonts w:ascii="仿宋" w:hAnsi="仿宋" w:eastAsia="仿宋" w:cs="仿宋"/>
                <w:b/>
                <w:bCs/>
                <w:sz w:val="24"/>
                <w:highlight w:val="none"/>
              </w:rPr>
            </w:pPr>
            <w:r>
              <w:rPr>
                <w:rFonts w:hint="eastAsia" w:ascii="仿宋" w:hAnsi="仿宋" w:eastAsia="仿宋" w:cs="仿宋"/>
                <w:b/>
                <w:bCs/>
                <w:sz w:val="24"/>
                <w:highlight w:val="none"/>
              </w:rPr>
              <w:t>存在问题说明</w:t>
            </w:r>
          </w:p>
        </w:tc>
      </w:tr>
      <w:tr w14:paraId="06D4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2783D1CE">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1</w:t>
            </w:r>
          </w:p>
        </w:tc>
        <w:tc>
          <w:tcPr>
            <w:tcW w:w="2031" w:type="dxa"/>
            <w:vAlign w:val="center"/>
          </w:tcPr>
          <w:p w14:paraId="202D3EF6">
            <w:pPr>
              <w:pStyle w:val="45"/>
              <w:ind w:left="0" w:firstLine="0"/>
              <w:rPr>
                <w:rFonts w:ascii="仿宋" w:hAnsi="仿宋" w:eastAsia="仿宋" w:cs="仿宋"/>
                <w:b/>
                <w:bCs/>
                <w:sz w:val="32"/>
                <w:szCs w:val="32"/>
                <w:highlight w:val="none"/>
              </w:rPr>
            </w:pPr>
          </w:p>
          <w:p w14:paraId="0EFB9716">
            <w:pPr>
              <w:pStyle w:val="45"/>
              <w:ind w:left="0" w:firstLine="0"/>
              <w:rPr>
                <w:rFonts w:ascii="仿宋" w:hAnsi="仿宋" w:eastAsia="仿宋" w:cs="仿宋"/>
                <w:b/>
                <w:bCs/>
                <w:sz w:val="32"/>
                <w:szCs w:val="32"/>
                <w:highlight w:val="none"/>
              </w:rPr>
            </w:pPr>
          </w:p>
          <w:p w14:paraId="1C653A25">
            <w:pPr>
              <w:pStyle w:val="45"/>
              <w:ind w:left="0" w:firstLine="0"/>
              <w:rPr>
                <w:rFonts w:ascii="仿宋" w:hAnsi="仿宋" w:eastAsia="仿宋" w:cs="仿宋"/>
                <w:b/>
                <w:bCs/>
                <w:sz w:val="32"/>
                <w:szCs w:val="32"/>
                <w:highlight w:val="none"/>
              </w:rPr>
            </w:pPr>
          </w:p>
        </w:tc>
        <w:tc>
          <w:tcPr>
            <w:tcW w:w="3448" w:type="dxa"/>
            <w:vAlign w:val="center"/>
          </w:tcPr>
          <w:p w14:paraId="7134DF09">
            <w:pPr>
              <w:pStyle w:val="45"/>
              <w:ind w:left="0" w:firstLine="0"/>
              <w:rPr>
                <w:rFonts w:ascii="仿宋" w:hAnsi="仿宋" w:eastAsia="仿宋" w:cs="仿宋"/>
                <w:b/>
                <w:bCs/>
                <w:sz w:val="32"/>
                <w:szCs w:val="32"/>
                <w:highlight w:val="none"/>
              </w:rPr>
            </w:pPr>
          </w:p>
        </w:tc>
        <w:tc>
          <w:tcPr>
            <w:tcW w:w="2992" w:type="dxa"/>
            <w:vAlign w:val="center"/>
          </w:tcPr>
          <w:p w14:paraId="5984EEA5">
            <w:pPr>
              <w:pStyle w:val="45"/>
              <w:ind w:left="0" w:firstLine="0"/>
              <w:rPr>
                <w:rFonts w:ascii="仿宋" w:hAnsi="仿宋" w:eastAsia="仿宋" w:cs="仿宋"/>
                <w:b/>
                <w:bCs/>
                <w:sz w:val="32"/>
                <w:szCs w:val="32"/>
                <w:highlight w:val="none"/>
              </w:rPr>
            </w:pPr>
          </w:p>
        </w:tc>
      </w:tr>
      <w:tr w14:paraId="1179A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45A3C5E">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2</w:t>
            </w:r>
          </w:p>
        </w:tc>
        <w:tc>
          <w:tcPr>
            <w:tcW w:w="2031" w:type="dxa"/>
            <w:vAlign w:val="center"/>
          </w:tcPr>
          <w:p w14:paraId="6F91A215">
            <w:pPr>
              <w:pStyle w:val="45"/>
              <w:ind w:left="0" w:firstLine="0"/>
              <w:rPr>
                <w:rFonts w:ascii="仿宋" w:hAnsi="仿宋" w:eastAsia="仿宋" w:cs="仿宋"/>
                <w:b/>
                <w:bCs/>
                <w:sz w:val="32"/>
                <w:szCs w:val="32"/>
                <w:highlight w:val="none"/>
              </w:rPr>
            </w:pPr>
          </w:p>
          <w:p w14:paraId="28AC35AF">
            <w:pPr>
              <w:pStyle w:val="45"/>
              <w:ind w:left="0" w:firstLine="0"/>
              <w:rPr>
                <w:rFonts w:ascii="仿宋" w:hAnsi="仿宋" w:eastAsia="仿宋" w:cs="仿宋"/>
                <w:b/>
                <w:bCs/>
                <w:sz w:val="32"/>
                <w:szCs w:val="32"/>
                <w:highlight w:val="none"/>
              </w:rPr>
            </w:pPr>
          </w:p>
          <w:p w14:paraId="1EFC9BC0">
            <w:pPr>
              <w:pStyle w:val="45"/>
              <w:ind w:left="0" w:firstLine="0"/>
              <w:rPr>
                <w:rFonts w:ascii="仿宋" w:hAnsi="仿宋" w:eastAsia="仿宋" w:cs="仿宋"/>
                <w:b/>
                <w:bCs/>
                <w:sz w:val="32"/>
                <w:szCs w:val="32"/>
                <w:highlight w:val="none"/>
              </w:rPr>
            </w:pPr>
          </w:p>
        </w:tc>
        <w:tc>
          <w:tcPr>
            <w:tcW w:w="3448" w:type="dxa"/>
            <w:vAlign w:val="center"/>
          </w:tcPr>
          <w:p w14:paraId="10F9740B">
            <w:pPr>
              <w:pStyle w:val="45"/>
              <w:ind w:left="0" w:firstLine="0"/>
              <w:rPr>
                <w:rFonts w:ascii="仿宋" w:hAnsi="仿宋" w:eastAsia="仿宋" w:cs="仿宋"/>
                <w:b/>
                <w:bCs/>
                <w:sz w:val="32"/>
                <w:szCs w:val="32"/>
                <w:highlight w:val="none"/>
              </w:rPr>
            </w:pPr>
          </w:p>
        </w:tc>
        <w:tc>
          <w:tcPr>
            <w:tcW w:w="2992" w:type="dxa"/>
            <w:vAlign w:val="center"/>
          </w:tcPr>
          <w:p w14:paraId="3BE74767">
            <w:pPr>
              <w:pStyle w:val="45"/>
              <w:ind w:left="0" w:firstLine="0"/>
              <w:rPr>
                <w:rFonts w:ascii="仿宋" w:hAnsi="仿宋" w:eastAsia="仿宋" w:cs="仿宋"/>
                <w:b/>
                <w:bCs/>
                <w:sz w:val="32"/>
                <w:szCs w:val="32"/>
                <w:highlight w:val="none"/>
              </w:rPr>
            </w:pPr>
          </w:p>
        </w:tc>
      </w:tr>
      <w:tr w14:paraId="3039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15D2876">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3</w:t>
            </w:r>
          </w:p>
        </w:tc>
        <w:tc>
          <w:tcPr>
            <w:tcW w:w="2031" w:type="dxa"/>
            <w:vAlign w:val="center"/>
          </w:tcPr>
          <w:p w14:paraId="1BF1F850">
            <w:pPr>
              <w:pStyle w:val="45"/>
              <w:ind w:left="0" w:firstLine="0"/>
              <w:rPr>
                <w:rFonts w:ascii="仿宋" w:hAnsi="仿宋" w:eastAsia="仿宋" w:cs="仿宋"/>
                <w:b/>
                <w:bCs/>
                <w:sz w:val="32"/>
                <w:szCs w:val="32"/>
                <w:highlight w:val="none"/>
              </w:rPr>
            </w:pPr>
          </w:p>
          <w:p w14:paraId="13559DA4">
            <w:pPr>
              <w:pStyle w:val="45"/>
              <w:ind w:left="0" w:firstLine="0"/>
              <w:rPr>
                <w:rFonts w:ascii="仿宋" w:hAnsi="仿宋" w:eastAsia="仿宋" w:cs="仿宋"/>
                <w:b/>
                <w:bCs/>
                <w:sz w:val="32"/>
                <w:szCs w:val="32"/>
                <w:highlight w:val="none"/>
              </w:rPr>
            </w:pPr>
          </w:p>
          <w:p w14:paraId="746C5482">
            <w:pPr>
              <w:pStyle w:val="45"/>
              <w:ind w:left="0" w:firstLine="0"/>
              <w:rPr>
                <w:rFonts w:ascii="仿宋" w:hAnsi="仿宋" w:eastAsia="仿宋" w:cs="仿宋"/>
                <w:b/>
                <w:bCs/>
                <w:sz w:val="32"/>
                <w:szCs w:val="32"/>
                <w:highlight w:val="none"/>
              </w:rPr>
            </w:pPr>
          </w:p>
        </w:tc>
        <w:tc>
          <w:tcPr>
            <w:tcW w:w="3448" w:type="dxa"/>
            <w:vAlign w:val="center"/>
          </w:tcPr>
          <w:p w14:paraId="1D30B842">
            <w:pPr>
              <w:pStyle w:val="45"/>
              <w:ind w:left="0" w:firstLine="0"/>
              <w:rPr>
                <w:rFonts w:ascii="仿宋" w:hAnsi="仿宋" w:eastAsia="仿宋" w:cs="仿宋"/>
                <w:b/>
                <w:bCs/>
                <w:sz w:val="32"/>
                <w:szCs w:val="32"/>
                <w:highlight w:val="none"/>
              </w:rPr>
            </w:pPr>
          </w:p>
        </w:tc>
        <w:tc>
          <w:tcPr>
            <w:tcW w:w="2992" w:type="dxa"/>
            <w:vAlign w:val="center"/>
          </w:tcPr>
          <w:p w14:paraId="486A72A5">
            <w:pPr>
              <w:pStyle w:val="45"/>
              <w:ind w:left="0" w:firstLine="0"/>
              <w:rPr>
                <w:rFonts w:ascii="仿宋" w:hAnsi="仿宋" w:eastAsia="仿宋" w:cs="仿宋"/>
                <w:b/>
                <w:bCs/>
                <w:sz w:val="32"/>
                <w:szCs w:val="32"/>
                <w:highlight w:val="none"/>
              </w:rPr>
            </w:pPr>
          </w:p>
        </w:tc>
      </w:tr>
      <w:tr w14:paraId="77954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3E2D6DBC">
            <w:pPr>
              <w:pStyle w:val="45"/>
              <w:ind w:left="0" w:firstLine="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其他问题</w:t>
            </w:r>
          </w:p>
        </w:tc>
        <w:tc>
          <w:tcPr>
            <w:tcW w:w="8471" w:type="dxa"/>
            <w:gridSpan w:val="3"/>
            <w:vAlign w:val="center"/>
          </w:tcPr>
          <w:p w14:paraId="48C816B5">
            <w:pPr>
              <w:pStyle w:val="45"/>
              <w:ind w:left="0" w:firstLine="0"/>
              <w:jc w:val="center"/>
              <w:rPr>
                <w:rFonts w:ascii="仿宋" w:hAnsi="仿宋" w:eastAsia="仿宋" w:cs="仿宋"/>
                <w:b/>
                <w:bCs/>
                <w:sz w:val="32"/>
                <w:szCs w:val="32"/>
                <w:highlight w:val="none"/>
              </w:rPr>
            </w:pPr>
          </w:p>
          <w:p w14:paraId="60DBAD0D">
            <w:pPr>
              <w:pStyle w:val="45"/>
              <w:ind w:left="0" w:firstLine="0"/>
              <w:jc w:val="center"/>
              <w:rPr>
                <w:rFonts w:ascii="仿宋" w:hAnsi="仿宋" w:eastAsia="仿宋" w:cs="仿宋"/>
                <w:b/>
                <w:bCs/>
                <w:sz w:val="32"/>
                <w:szCs w:val="32"/>
                <w:highlight w:val="none"/>
              </w:rPr>
            </w:pPr>
          </w:p>
          <w:p w14:paraId="483A1429">
            <w:pPr>
              <w:pStyle w:val="45"/>
              <w:ind w:left="0" w:firstLine="0"/>
              <w:jc w:val="center"/>
              <w:rPr>
                <w:rFonts w:ascii="仿宋" w:hAnsi="仿宋" w:eastAsia="仿宋" w:cs="仿宋"/>
                <w:b/>
                <w:bCs/>
                <w:sz w:val="32"/>
                <w:szCs w:val="32"/>
                <w:highlight w:val="none"/>
              </w:rPr>
            </w:pPr>
          </w:p>
          <w:p w14:paraId="27BCBF5D">
            <w:pPr>
              <w:pStyle w:val="45"/>
              <w:ind w:left="0" w:firstLine="0"/>
              <w:jc w:val="center"/>
              <w:rPr>
                <w:rFonts w:ascii="仿宋" w:hAnsi="仿宋" w:eastAsia="仿宋" w:cs="仿宋"/>
                <w:b/>
                <w:bCs/>
                <w:sz w:val="32"/>
                <w:szCs w:val="32"/>
                <w:highlight w:val="none"/>
              </w:rPr>
            </w:pPr>
          </w:p>
          <w:p w14:paraId="5D440439">
            <w:pPr>
              <w:pStyle w:val="45"/>
              <w:ind w:left="0" w:firstLine="0"/>
              <w:jc w:val="center"/>
              <w:rPr>
                <w:rFonts w:ascii="仿宋" w:hAnsi="仿宋" w:eastAsia="仿宋" w:cs="仿宋"/>
                <w:b/>
                <w:bCs/>
                <w:sz w:val="32"/>
                <w:szCs w:val="32"/>
                <w:highlight w:val="none"/>
              </w:rPr>
            </w:pPr>
          </w:p>
          <w:p w14:paraId="09302FA1">
            <w:pPr>
              <w:pStyle w:val="45"/>
              <w:ind w:left="0" w:firstLine="0"/>
              <w:jc w:val="center"/>
              <w:rPr>
                <w:rFonts w:ascii="仿宋" w:hAnsi="仿宋" w:eastAsia="仿宋" w:cs="仿宋"/>
                <w:b/>
                <w:bCs/>
                <w:sz w:val="32"/>
                <w:szCs w:val="32"/>
                <w:highlight w:val="none"/>
              </w:rPr>
            </w:pPr>
          </w:p>
          <w:p w14:paraId="789FD3C3">
            <w:pPr>
              <w:pStyle w:val="45"/>
              <w:ind w:left="0" w:firstLine="0"/>
              <w:jc w:val="center"/>
              <w:rPr>
                <w:rFonts w:ascii="仿宋" w:hAnsi="仿宋" w:eastAsia="仿宋" w:cs="仿宋"/>
                <w:b/>
                <w:bCs/>
                <w:sz w:val="32"/>
                <w:szCs w:val="32"/>
                <w:highlight w:val="none"/>
              </w:rPr>
            </w:pPr>
          </w:p>
          <w:p w14:paraId="502317E6">
            <w:pPr>
              <w:pStyle w:val="45"/>
              <w:ind w:left="0" w:firstLine="0"/>
              <w:jc w:val="center"/>
              <w:rPr>
                <w:rFonts w:ascii="仿宋" w:hAnsi="仿宋" w:eastAsia="仿宋" w:cs="仿宋"/>
                <w:b/>
                <w:bCs/>
                <w:sz w:val="32"/>
                <w:szCs w:val="32"/>
                <w:highlight w:val="none"/>
              </w:rPr>
            </w:pPr>
          </w:p>
          <w:p w14:paraId="34D024A5">
            <w:pPr>
              <w:pStyle w:val="45"/>
              <w:ind w:left="0" w:firstLine="0"/>
              <w:jc w:val="center"/>
              <w:rPr>
                <w:rFonts w:ascii="仿宋" w:hAnsi="仿宋" w:eastAsia="仿宋" w:cs="仿宋"/>
                <w:b/>
                <w:bCs/>
                <w:sz w:val="32"/>
                <w:szCs w:val="32"/>
                <w:highlight w:val="none"/>
              </w:rPr>
            </w:pPr>
          </w:p>
        </w:tc>
      </w:tr>
    </w:tbl>
    <w:p w14:paraId="2E58BC6F">
      <w:pPr>
        <w:pStyle w:val="45"/>
        <w:widowControl/>
        <w:adjustRightInd w:val="0"/>
        <w:snapToGrid w:val="0"/>
        <w:spacing w:line="520" w:lineRule="exact"/>
        <w:ind w:left="0" w:firstLine="482" w:firstLineChars="200"/>
        <w:rPr>
          <w:rFonts w:ascii="仿宋" w:hAnsi="仿宋" w:eastAsia="仿宋" w:cs="仿宋"/>
          <w:b/>
          <w:bCs/>
          <w:sz w:val="24"/>
          <w:highlight w:val="none"/>
        </w:rPr>
      </w:pPr>
      <w:r>
        <w:rPr>
          <w:rFonts w:hint="eastAsia" w:ascii="仿宋" w:hAnsi="仿宋" w:eastAsia="仿宋" w:cs="仿宋"/>
          <w:b/>
          <w:bCs/>
          <w:sz w:val="24"/>
          <w:highlight w:val="none"/>
        </w:rPr>
        <w:t>说明：</w:t>
      </w:r>
      <w:r>
        <w:rPr>
          <w:highlight w:val="none"/>
        </w:rPr>
        <w:fldChar w:fldCharType="begin"/>
      </w:r>
      <w:r>
        <w:rPr>
          <w:highlight w:val="none"/>
        </w:rPr>
        <w:instrText xml:space="preserve"> HYPERLINK "mailto:本表填写并盖章后，请发至邮箱lyuzbb@126.com。" </w:instrText>
      </w:r>
      <w:r>
        <w:rPr>
          <w:highlight w:val="none"/>
        </w:rPr>
        <w:fldChar w:fldCharType="separate"/>
      </w:r>
      <w:r>
        <w:rPr>
          <w:rStyle w:val="34"/>
          <w:rFonts w:hint="eastAsia" w:ascii="仿宋" w:hAnsi="仿宋" w:eastAsia="仿宋" w:cs="仿宋"/>
          <w:b/>
          <w:bCs/>
          <w:color w:val="auto"/>
          <w:sz w:val="24"/>
          <w:highlight w:val="none"/>
        </w:rPr>
        <w:t>本表填写并盖章后，请发至邮箱lyuzbb@126.com。</w:t>
      </w:r>
      <w:r>
        <w:rPr>
          <w:rStyle w:val="34"/>
          <w:rFonts w:hint="eastAsia" w:ascii="仿宋" w:hAnsi="仿宋" w:eastAsia="仿宋" w:cs="仿宋"/>
          <w:b/>
          <w:bCs/>
          <w:color w:val="auto"/>
          <w:sz w:val="24"/>
          <w:highlight w:val="none"/>
        </w:rPr>
        <w:fldChar w:fldCharType="end"/>
      </w:r>
      <w:r>
        <w:rPr>
          <w:rFonts w:hint="eastAsia" w:ascii="仿宋" w:hAnsi="仿宋" w:eastAsia="仿宋" w:cs="仿宋"/>
          <w:b/>
          <w:bCs/>
          <w:sz w:val="24"/>
          <w:highlight w:val="none"/>
        </w:rPr>
        <w:t xml:space="preserve"> 并致电临沂大学采购科 蔺老师 0539-7258756。</w:t>
      </w:r>
    </w:p>
    <w:p w14:paraId="7F80E5F3">
      <w:pPr>
        <w:pStyle w:val="45"/>
        <w:widowControl/>
        <w:adjustRightInd w:val="0"/>
        <w:snapToGrid w:val="0"/>
        <w:spacing w:line="520" w:lineRule="exact"/>
        <w:ind w:left="0" w:firstLine="482" w:firstLineChars="200"/>
        <w:rPr>
          <w:rFonts w:ascii="仿宋" w:hAnsi="仿宋" w:eastAsia="仿宋" w:cs="仿宋"/>
          <w:b/>
          <w:bCs/>
          <w:sz w:val="24"/>
          <w:highlight w:val="none"/>
        </w:rPr>
      </w:pPr>
      <w:r>
        <w:rPr>
          <w:rFonts w:hint="eastAsia" w:ascii="仿宋" w:hAnsi="仿宋" w:eastAsia="仿宋" w:cs="仿宋"/>
          <w:b/>
          <w:bCs/>
          <w:sz w:val="24"/>
          <w:highlight w:val="none"/>
        </w:rPr>
        <w:t>非常感谢您的反馈问题！</w:t>
      </w:r>
    </w:p>
    <w:p w14:paraId="00C27E6B">
      <w:pPr>
        <w:pStyle w:val="45"/>
        <w:widowControl/>
        <w:adjustRightInd w:val="0"/>
        <w:snapToGrid w:val="0"/>
        <w:spacing w:line="520" w:lineRule="exact"/>
        <w:ind w:firstLine="482" w:firstLineChars="200"/>
        <w:rPr>
          <w:rFonts w:ascii="宋体" w:hAnsi="宋体" w:cs="宋体"/>
          <w:b/>
          <w:bCs/>
          <w:sz w:val="24"/>
          <w:highlight w:val="none"/>
        </w:rPr>
      </w:pPr>
      <w:r>
        <w:rPr>
          <w:rFonts w:hint="eastAsia" w:ascii="宋体" w:hAnsi="宋体" w:cs="宋体"/>
          <w:b/>
          <w:bCs/>
          <w:sz w:val="24"/>
          <w:highlight w:val="none"/>
        </w:rPr>
        <w:t xml:space="preserve">                    单位名称（盖章）：</w:t>
      </w:r>
    </w:p>
    <w:p w14:paraId="5B4C65B7">
      <w:pPr>
        <w:pStyle w:val="45"/>
        <w:widowControl/>
        <w:adjustRightInd w:val="0"/>
        <w:snapToGrid w:val="0"/>
        <w:spacing w:line="520" w:lineRule="exact"/>
        <w:ind w:firstLine="482" w:firstLineChars="200"/>
        <w:rPr>
          <w:rFonts w:ascii="宋体" w:hAnsi="宋体" w:cs="宋体"/>
          <w:b/>
          <w:bCs/>
          <w:sz w:val="24"/>
          <w:highlight w:val="none"/>
        </w:rPr>
      </w:pPr>
      <w:r>
        <w:rPr>
          <w:rFonts w:hint="eastAsia" w:ascii="宋体" w:hAnsi="宋体" w:cs="宋体"/>
          <w:b/>
          <w:bCs/>
          <w:sz w:val="24"/>
          <w:highlight w:val="none"/>
        </w:rPr>
        <w:t xml:space="preserve">                    联系人：        电话：</w:t>
      </w:r>
    </w:p>
    <w:p w14:paraId="15C0EF4A">
      <w:pPr>
        <w:rPr>
          <w:rFonts w:ascii="宋体" w:hAnsi="宋体" w:cs="宋体"/>
          <w:b/>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cols w:space="720" w:num="1"/>
          <w:docGrid w:linePitch="312" w:charSpace="0"/>
        </w:sectPr>
      </w:pPr>
      <w:r>
        <w:rPr>
          <w:rFonts w:hint="eastAsia" w:ascii="宋体" w:hAnsi="宋体" w:cs="宋体"/>
          <w:b/>
          <w:bCs/>
          <w:sz w:val="24"/>
          <w:highlight w:val="none"/>
        </w:rPr>
        <w:t xml:space="preserve">                                   年   月   日          </w:t>
      </w:r>
    </w:p>
    <w:p w14:paraId="42DE8812">
      <w:pPr>
        <w:jc w:val="center"/>
        <w:rPr>
          <w:rFonts w:ascii="宋体" w:hAnsi="宋体" w:cs="宋体"/>
          <w:b/>
          <w:sz w:val="32"/>
          <w:highlight w:val="none"/>
        </w:rPr>
      </w:pPr>
    </w:p>
    <w:p w14:paraId="0A12976F">
      <w:pPr>
        <w:jc w:val="center"/>
        <w:rPr>
          <w:rFonts w:ascii="宋体" w:hAnsi="宋体" w:cs="宋体"/>
          <w:b/>
          <w:sz w:val="32"/>
          <w:highlight w:val="none"/>
        </w:rPr>
      </w:pPr>
      <w:r>
        <w:rPr>
          <w:rFonts w:hint="eastAsia" w:ascii="宋体" w:hAnsi="宋体" w:cs="宋体"/>
          <w:b/>
          <w:sz w:val="32"/>
          <w:highlight w:val="none"/>
        </w:rPr>
        <w:t>目  录</w:t>
      </w:r>
    </w:p>
    <w:p w14:paraId="0905DF05">
      <w:pPr>
        <w:pStyle w:val="19"/>
        <w:tabs>
          <w:tab w:val="right" w:leader="dot" w:pos="8312"/>
        </w:tabs>
        <w:spacing w:line="360" w:lineRule="auto"/>
        <w:rPr>
          <w:rFonts w:ascii="宋体" w:hAnsi="宋体" w:cs="宋体"/>
          <w:kern w:val="0"/>
          <w:sz w:val="24"/>
          <w:highlight w:val="none"/>
        </w:rPr>
      </w:pPr>
      <w:bookmarkStart w:id="0" w:name="_Toc17230"/>
      <w:bookmarkStart w:id="1" w:name="_Toc216582804"/>
      <w:bookmarkStart w:id="2" w:name="_Toc22782"/>
    </w:p>
    <w:p w14:paraId="156B91DA">
      <w:pPr>
        <w:pStyle w:val="19"/>
        <w:tabs>
          <w:tab w:val="right" w:leader="dot" w:pos="8312"/>
        </w:tabs>
        <w:spacing w:line="360" w:lineRule="auto"/>
        <w:rPr>
          <w:sz w:val="24"/>
          <w:highlight w:val="none"/>
        </w:rPr>
      </w:pPr>
      <w:r>
        <w:rPr>
          <w:rFonts w:hint="eastAsia" w:ascii="宋体" w:hAnsi="宋体" w:cs="宋体"/>
          <w:kern w:val="0"/>
          <w:sz w:val="24"/>
          <w:highlight w:val="none"/>
        </w:rPr>
        <w:fldChar w:fldCharType="begin"/>
      </w:r>
      <w:r>
        <w:rPr>
          <w:rFonts w:hint="eastAsia" w:ascii="宋体" w:hAnsi="宋体" w:cs="宋体"/>
          <w:kern w:val="0"/>
          <w:sz w:val="24"/>
          <w:highlight w:val="none"/>
        </w:rPr>
        <w:instrText xml:space="preserve">TOC \o "1-2" \h \z \u</w:instrText>
      </w:r>
      <w:r>
        <w:rPr>
          <w:rFonts w:hint="eastAsia" w:ascii="宋体" w:hAnsi="宋体" w:cs="宋体"/>
          <w:kern w:val="0"/>
          <w:sz w:val="24"/>
          <w:highlight w:val="none"/>
        </w:rPr>
        <w:fldChar w:fldCharType="separate"/>
      </w:r>
      <w:r>
        <w:rPr>
          <w:highlight w:val="none"/>
        </w:rPr>
        <w:fldChar w:fldCharType="begin"/>
      </w:r>
      <w:r>
        <w:rPr>
          <w:highlight w:val="none"/>
        </w:rPr>
        <w:instrText xml:space="preserve"> HYPERLINK \l "_Toc29532" </w:instrText>
      </w:r>
      <w:r>
        <w:rPr>
          <w:highlight w:val="none"/>
        </w:rPr>
        <w:fldChar w:fldCharType="separate"/>
      </w:r>
      <w:r>
        <w:rPr>
          <w:rFonts w:hAnsi="宋体" w:cs="宋体"/>
          <w:sz w:val="24"/>
          <w:highlight w:val="none"/>
        </w:rPr>
        <w:t xml:space="preserve">第1章 </w:t>
      </w:r>
      <w:r>
        <w:rPr>
          <w:rFonts w:hint="eastAsia" w:hAnsi="宋体" w:cs="宋体"/>
          <w:sz w:val="24"/>
          <w:highlight w:val="none"/>
        </w:rPr>
        <w:t>供应商须知</w:t>
      </w:r>
      <w:r>
        <w:rPr>
          <w:sz w:val="24"/>
          <w:highlight w:val="none"/>
        </w:rPr>
        <w:tab/>
      </w:r>
      <w:r>
        <w:rPr>
          <w:sz w:val="24"/>
          <w:highlight w:val="none"/>
        </w:rPr>
        <w:fldChar w:fldCharType="begin"/>
      </w:r>
      <w:r>
        <w:rPr>
          <w:sz w:val="24"/>
          <w:highlight w:val="none"/>
        </w:rPr>
        <w:instrText xml:space="preserve"> PAGEREF _Toc29532 \h </w:instrText>
      </w:r>
      <w:r>
        <w:rPr>
          <w:sz w:val="24"/>
          <w:highlight w:val="none"/>
        </w:rPr>
        <w:fldChar w:fldCharType="separate"/>
      </w:r>
      <w:r>
        <w:rPr>
          <w:sz w:val="24"/>
          <w:highlight w:val="none"/>
        </w:rPr>
        <w:t>5</w:t>
      </w:r>
      <w:r>
        <w:rPr>
          <w:sz w:val="24"/>
          <w:highlight w:val="none"/>
        </w:rPr>
        <w:fldChar w:fldCharType="end"/>
      </w:r>
      <w:r>
        <w:rPr>
          <w:sz w:val="24"/>
          <w:highlight w:val="none"/>
        </w:rPr>
        <w:fldChar w:fldCharType="end"/>
      </w:r>
    </w:p>
    <w:p w14:paraId="254D71DF">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"_Toc13427" </w:instrText>
      </w:r>
      <w:r>
        <w:rPr>
          <w:highlight w:val="none"/>
        </w:rPr>
        <w:fldChar w:fldCharType="separate"/>
      </w:r>
      <w:r>
        <w:rPr>
          <w:rFonts w:hint="eastAsia" w:ascii="宋体" w:hAnsi="宋体" w:cs="宋体"/>
          <w:sz w:val="24"/>
          <w:highlight w:val="none"/>
        </w:rPr>
        <w:t>一、总 则</w:t>
      </w:r>
      <w:r>
        <w:rPr>
          <w:sz w:val="24"/>
          <w:highlight w:val="none"/>
        </w:rPr>
        <w:tab/>
      </w:r>
      <w:r>
        <w:rPr>
          <w:sz w:val="24"/>
          <w:highlight w:val="none"/>
        </w:rPr>
        <w:fldChar w:fldCharType="begin"/>
      </w:r>
      <w:r>
        <w:rPr>
          <w:sz w:val="24"/>
          <w:highlight w:val="none"/>
        </w:rPr>
        <w:instrText xml:space="preserve"> PAGEREF _Toc13427 \h </w:instrText>
      </w:r>
      <w:r>
        <w:rPr>
          <w:sz w:val="24"/>
          <w:highlight w:val="none"/>
        </w:rPr>
        <w:fldChar w:fldCharType="separate"/>
      </w:r>
      <w:r>
        <w:rPr>
          <w:sz w:val="24"/>
          <w:highlight w:val="none"/>
        </w:rPr>
        <w:t>5</w:t>
      </w:r>
      <w:r>
        <w:rPr>
          <w:sz w:val="24"/>
          <w:highlight w:val="none"/>
        </w:rPr>
        <w:fldChar w:fldCharType="end"/>
      </w:r>
      <w:r>
        <w:rPr>
          <w:sz w:val="24"/>
          <w:highlight w:val="none"/>
        </w:rPr>
        <w:fldChar w:fldCharType="end"/>
      </w:r>
    </w:p>
    <w:p w14:paraId="005C1F16">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"_Toc32134" </w:instrText>
      </w:r>
      <w:r>
        <w:rPr>
          <w:highlight w:val="none"/>
        </w:rPr>
        <w:fldChar w:fldCharType="separate"/>
      </w:r>
      <w:r>
        <w:rPr>
          <w:rFonts w:hint="eastAsia" w:ascii="宋体" w:hAnsi="宋体" w:cs="宋体"/>
          <w:sz w:val="24"/>
          <w:highlight w:val="none"/>
        </w:rPr>
        <w:t>二、竞争性磋商文件</w:t>
      </w:r>
      <w:r>
        <w:rPr>
          <w:sz w:val="24"/>
          <w:highlight w:val="none"/>
        </w:rPr>
        <w:tab/>
      </w:r>
      <w:r>
        <w:rPr>
          <w:sz w:val="24"/>
          <w:highlight w:val="none"/>
        </w:rPr>
        <w:fldChar w:fldCharType="begin"/>
      </w:r>
      <w:r>
        <w:rPr>
          <w:sz w:val="24"/>
          <w:highlight w:val="none"/>
        </w:rPr>
        <w:instrText xml:space="preserve"> PAGEREF _Toc32134 \h </w:instrText>
      </w:r>
      <w:r>
        <w:rPr>
          <w:sz w:val="24"/>
          <w:highlight w:val="none"/>
        </w:rPr>
        <w:fldChar w:fldCharType="separate"/>
      </w:r>
      <w:r>
        <w:rPr>
          <w:sz w:val="24"/>
          <w:highlight w:val="none"/>
        </w:rPr>
        <w:t>7</w:t>
      </w:r>
      <w:r>
        <w:rPr>
          <w:sz w:val="24"/>
          <w:highlight w:val="none"/>
        </w:rPr>
        <w:fldChar w:fldCharType="end"/>
      </w:r>
      <w:r>
        <w:rPr>
          <w:sz w:val="24"/>
          <w:highlight w:val="none"/>
        </w:rPr>
        <w:fldChar w:fldCharType="end"/>
      </w:r>
    </w:p>
    <w:p w14:paraId="1F0CED23">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"_Toc2484" </w:instrText>
      </w:r>
      <w:r>
        <w:rPr>
          <w:highlight w:val="none"/>
        </w:rPr>
        <w:fldChar w:fldCharType="separate"/>
      </w:r>
      <w:r>
        <w:rPr>
          <w:rFonts w:hint="eastAsia" w:ascii="宋体" w:hAnsi="宋体" w:cs="宋体"/>
          <w:sz w:val="24"/>
          <w:highlight w:val="none"/>
        </w:rPr>
        <w:t>三、响应文件的编制</w:t>
      </w:r>
      <w:r>
        <w:rPr>
          <w:sz w:val="24"/>
          <w:highlight w:val="none"/>
        </w:rPr>
        <w:tab/>
      </w:r>
      <w:r>
        <w:rPr>
          <w:sz w:val="24"/>
          <w:highlight w:val="none"/>
        </w:rPr>
        <w:fldChar w:fldCharType="begin"/>
      </w:r>
      <w:r>
        <w:rPr>
          <w:sz w:val="24"/>
          <w:highlight w:val="none"/>
        </w:rPr>
        <w:instrText xml:space="preserve"> PAGEREF _Toc2484 \h </w:instrText>
      </w:r>
      <w:r>
        <w:rPr>
          <w:sz w:val="24"/>
          <w:highlight w:val="none"/>
        </w:rPr>
        <w:fldChar w:fldCharType="separate"/>
      </w:r>
      <w:r>
        <w:rPr>
          <w:sz w:val="24"/>
          <w:highlight w:val="none"/>
        </w:rPr>
        <w:t>9</w:t>
      </w:r>
      <w:r>
        <w:rPr>
          <w:sz w:val="24"/>
          <w:highlight w:val="none"/>
        </w:rPr>
        <w:fldChar w:fldCharType="end"/>
      </w:r>
      <w:r>
        <w:rPr>
          <w:sz w:val="24"/>
          <w:highlight w:val="none"/>
        </w:rPr>
        <w:fldChar w:fldCharType="end"/>
      </w:r>
    </w:p>
    <w:p w14:paraId="3A137F8D">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"_Toc18853" </w:instrText>
      </w:r>
      <w:r>
        <w:rPr>
          <w:highlight w:val="none"/>
        </w:rPr>
        <w:fldChar w:fldCharType="separate"/>
      </w:r>
      <w:r>
        <w:rPr>
          <w:rFonts w:hint="eastAsia" w:ascii="宋体" w:hAnsi="宋体" w:cs="宋体"/>
          <w:sz w:val="24"/>
          <w:highlight w:val="none"/>
        </w:rPr>
        <w:t>四、响应文件的递交</w:t>
      </w:r>
      <w:r>
        <w:rPr>
          <w:sz w:val="24"/>
          <w:highlight w:val="none"/>
        </w:rPr>
        <w:tab/>
      </w:r>
      <w:r>
        <w:rPr>
          <w:sz w:val="24"/>
          <w:highlight w:val="none"/>
        </w:rPr>
        <w:fldChar w:fldCharType="begin"/>
      </w:r>
      <w:r>
        <w:rPr>
          <w:sz w:val="24"/>
          <w:highlight w:val="none"/>
        </w:rPr>
        <w:instrText xml:space="preserve"> PAGEREF _Toc18853 \h </w:instrText>
      </w:r>
      <w:r>
        <w:rPr>
          <w:sz w:val="24"/>
          <w:highlight w:val="none"/>
        </w:rPr>
        <w:fldChar w:fldCharType="separate"/>
      </w:r>
      <w:r>
        <w:rPr>
          <w:sz w:val="24"/>
          <w:highlight w:val="none"/>
        </w:rPr>
        <w:t>12</w:t>
      </w:r>
      <w:r>
        <w:rPr>
          <w:sz w:val="24"/>
          <w:highlight w:val="none"/>
        </w:rPr>
        <w:fldChar w:fldCharType="end"/>
      </w:r>
      <w:r>
        <w:rPr>
          <w:sz w:val="24"/>
          <w:highlight w:val="none"/>
        </w:rPr>
        <w:fldChar w:fldCharType="end"/>
      </w:r>
    </w:p>
    <w:p w14:paraId="787DC96C">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"_Toc19536" </w:instrText>
      </w:r>
      <w:r>
        <w:rPr>
          <w:highlight w:val="none"/>
        </w:rPr>
        <w:fldChar w:fldCharType="separate"/>
      </w:r>
      <w:r>
        <w:rPr>
          <w:rFonts w:hint="eastAsia" w:ascii="宋体" w:hAnsi="宋体" w:cs="宋体"/>
          <w:sz w:val="24"/>
          <w:highlight w:val="none"/>
        </w:rPr>
        <w:t>五、提交响应文件截止及磋商</w:t>
      </w:r>
      <w:r>
        <w:rPr>
          <w:sz w:val="24"/>
          <w:highlight w:val="none"/>
        </w:rPr>
        <w:tab/>
      </w:r>
      <w:r>
        <w:rPr>
          <w:sz w:val="24"/>
          <w:highlight w:val="none"/>
        </w:rPr>
        <w:fldChar w:fldCharType="begin"/>
      </w:r>
      <w:r>
        <w:rPr>
          <w:sz w:val="24"/>
          <w:highlight w:val="none"/>
        </w:rPr>
        <w:instrText xml:space="preserve"> PAGEREF _Toc19536 \h </w:instrText>
      </w:r>
      <w:r>
        <w:rPr>
          <w:sz w:val="24"/>
          <w:highlight w:val="none"/>
        </w:rPr>
        <w:fldChar w:fldCharType="separate"/>
      </w:r>
      <w:r>
        <w:rPr>
          <w:sz w:val="24"/>
          <w:highlight w:val="none"/>
        </w:rPr>
        <w:t>13</w:t>
      </w:r>
      <w:r>
        <w:rPr>
          <w:sz w:val="24"/>
          <w:highlight w:val="none"/>
        </w:rPr>
        <w:fldChar w:fldCharType="end"/>
      </w:r>
      <w:r>
        <w:rPr>
          <w:sz w:val="24"/>
          <w:highlight w:val="none"/>
        </w:rPr>
        <w:fldChar w:fldCharType="end"/>
      </w:r>
    </w:p>
    <w:p w14:paraId="0428BDF1">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"_Toc27908" </w:instrText>
      </w:r>
      <w:r>
        <w:rPr>
          <w:highlight w:val="none"/>
        </w:rPr>
        <w:fldChar w:fldCharType="separate"/>
      </w:r>
      <w:r>
        <w:rPr>
          <w:rFonts w:hint="eastAsia" w:ascii="宋体" w:hAnsi="宋体" w:cs="宋体"/>
          <w:sz w:val="24"/>
          <w:highlight w:val="none"/>
        </w:rPr>
        <w:t>六、确定成交</w:t>
      </w:r>
      <w:r>
        <w:rPr>
          <w:sz w:val="24"/>
          <w:highlight w:val="none"/>
        </w:rPr>
        <w:tab/>
      </w:r>
      <w:r>
        <w:rPr>
          <w:sz w:val="24"/>
          <w:highlight w:val="none"/>
        </w:rPr>
        <w:fldChar w:fldCharType="begin"/>
      </w:r>
      <w:r>
        <w:rPr>
          <w:sz w:val="24"/>
          <w:highlight w:val="none"/>
        </w:rPr>
        <w:instrText xml:space="preserve"> PAGEREF _Toc27908 \h </w:instrText>
      </w:r>
      <w:r>
        <w:rPr>
          <w:sz w:val="24"/>
          <w:highlight w:val="none"/>
        </w:rPr>
        <w:fldChar w:fldCharType="separate"/>
      </w:r>
      <w:r>
        <w:rPr>
          <w:sz w:val="24"/>
          <w:highlight w:val="none"/>
        </w:rPr>
        <w:t>17</w:t>
      </w:r>
      <w:r>
        <w:rPr>
          <w:sz w:val="24"/>
          <w:highlight w:val="none"/>
        </w:rPr>
        <w:fldChar w:fldCharType="end"/>
      </w:r>
      <w:r>
        <w:rPr>
          <w:sz w:val="24"/>
          <w:highlight w:val="none"/>
        </w:rPr>
        <w:fldChar w:fldCharType="end"/>
      </w:r>
    </w:p>
    <w:p w14:paraId="0F65A170">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"_Toc57" </w:instrText>
      </w:r>
      <w:r>
        <w:rPr>
          <w:highlight w:val="none"/>
        </w:rPr>
        <w:fldChar w:fldCharType="separate"/>
      </w:r>
      <w:r>
        <w:rPr>
          <w:rFonts w:hint="eastAsia" w:hAnsi="宋体" w:cs="宋体"/>
          <w:sz w:val="24"/>
          <w:highlight w:val="none"/>
        </w:rPr>
        <w:t>第2章 采购邀请</w:t>
      </w:r>
      <w:r>
        <w:rPr>
          <w:sz w:val="24"/>
          <w:highlight w:val="none"/>
        </w:rPr>
        <w:tab/>
      </w:r>
      <w:r>
        <w:rPr>
          <w:sz w:val="24"/>
          <w:highlight w:val="none"/>
        </w:rPr>
        <w:fldChar w:fldCharType="begin"/>
      </w:r>
      <w:r>
        <w:rPr>
          <w:sz w:val="24"/>
          <w:highlight w:val="none"/>
        </w:rPr>
        <w:instrText xml:space="preserve"> PAGEREF _Toc57 \h </w:instrText>
      </w:r>
      <w:r>
        <w:rPr>
          <w:sz w:val="24"/>
          <w:highlight w:val="none"/>
        </w:rPr>
        <w:fldChar w:fldCharType="separate"/>
      </w:r>
      <w:r>
        <w:rPr>
          <w:sz w:val="24"/>
          <w:highlight w:val="none"/>
        </w:rPr>
        <w:t>23</w:t>
      </w:r>
      <w:r>
        <w:rPr>
          <w:sz w:val="24"/>
          <w:highlight w:val="none"/>
        </w:rPr>
        <w:fldChar w:fldCharType="end"/>
      </w:r>
      <w:r>
        <w:rPr>
          <w:sz w:val="24"/>
          <w:highlight w:val="none"/>
        </w:rPr>
        <w:fldChar w:fldCharType="end"/>
      </w:r>
    </w:p>
    <w:p w14:paraId="42963230">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"_Toc22616" </w:instrText>
      </w:r>
      <w:r>
        <w:rPr>
          <w:highlight w:val="none"/>
        </w:rPr>
        <w:fldChar w:fldCharType="separate"/>
      </w:r>
      <w:r>
        <w:rPr>
          <w:rFonts w:hint="eastAsia" w:hAnsi="宋体" w:cs="宋体"/>
          <w:sz w:val="24"/>
          <w:highlight w:val="none"/>
        </w:rPr>
        <w:t>第3章 供应商须知资料表</w:t>
      </w:r>
      <w:r>
        <w:rPr>
          <w:sz w:val="24"/>
          <w:highlight w:val="none"/>
        </w:rPr>
        <w:tab/>
      </w:r>
      <w:r>
        <w:rPr>
          <w:sz w:val="24"/>
          <w:highlight w:val="none"/>
        </w:rPr>
        <w:fldChar w:fldCharType="begin"/>
      </w:r>
      <w:r>
        <w:rPr>
          <w:sz w:val="24"/>
          <w:highlight w:val="none"/>
        </w:rPr>
        <w:instrText xml:space="preserve"> PAGEREF _Toc22616 \h </w:instrText>
      </w:r>
      <w:r>
        <w:rPr>
          <w:sz w:val="24"/>
          <w:highlight w:val="none"/>
        </w:rPr>
        <w:fldChar w:fldCharType="separate"/>
      </w:r>
      <w:r>
        <w:rPr>
          <w:sz w:val="24"/>
          <w:highlight w:val="none"/>
        </w:rPr>
        <w:t>26</w:t>
      </w:r>
      <w:r>
        <w:rPr>
          <w:sz w:val="24"/>
          <w:highlight w:val="none"/>
        </w:rPr>
        <w:fldChar w:fldCharType="end"/>
      </w:r>
      <w:r>
        <w:rPr>
          <w:sz w:val="24"/>
          <w:highlight w:val="none"/>
        </w:rPr>
        <w:fldChar w:fldCharType="end"/>
      </w:r>
    </w:p>
    <w:p w14:paraId="4331C505">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"_Toc1457" </w:instrText>
      </w:r>
      <w:r>
        <w:rPr>
          <w:highlight w:val="none"/>
        </w:rPr>
        <w:fldChar w:fldCharType="separate"/>
      </w:r>
      <w:r>
        <w:rPr>
          <w:sz w:val="24"/>
          <w:highlight w:val="none"/>
        </w:rPr>
        <w:t xml:space="preserve">第4章 </w:t>
      </w:r>
      <w:r>
        <w:rPr>
          <w:rFonts w:hint="eastAsia"/>
          <w:sz w:val="24"/>
          <w:highlight w:val="none"/>
        </w:rPr>
        <w:t>服务需求</w:t>
      </w:r>
      <w:r>
        <w:rPr>
          <w:sz w:val="24"/>
          <w:highlight w:val="none"/>
        </w:rPr>
        <w:tab/>
      </w:r>
      <w:r>
        <w:rPr>
          <w:sz w:val="24"/>
          <w:highlight w:val="none"/>
        </w:rPr>
        <w:fldChar w:fldCharType="begin"/>
      </w:r>
      <w:r>
        <w:rPr>
          <w:sz w:val="24"/>
          <w:highlight w:val="none"/>
        </w:rPr>
        <w:instrText xml:space="preserve"> PAGEREF _Toc1457 \h </w:instrText>
      </w:r>
      <w:r>
        <w:rPr>
          <w:sz w:val="24"/>
          <w:highlight w:val="none"/>
        </w:rPr>
        <w:fldChar w:fldCharType="separate"/>
      </w:r>
      <w:r>
        <w:rPr>
          <w:sz w:val="24"/>
          <w:highlight w:val="none"/>
        </w:rPr>
        <w:t>29</w:t>
      </w:r>
      <w:r>
        <w:rPr>
          <w:sz w:val="24"/>
          <w:highlight w:val="none"/>
        </w:rPr>
        <w:fldChar w:fldCharType="end"/>
      </w:r>
      <w:r>
        <w:rPr>
          <w:sz w:val="24"/>
          <w:highlight w:val="none"/>
        </w:rPr>
        <w:fldChar w:fldCharType="end"/>
      </w:r>
    </w:p>
    <w:p w14:paraId="78D11DD0">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"_Toc23476" </w:instrText>
      </w:r>
      <w:r>
        <w:rPr>
          <w:highlight w:val="none"/>
        </w:rPr>
        <w:fldChar w:fldCharType="separate"/>
      </w:r>
      <w:r>
        <w:rPr>
          <w:rFonts w:hint="eastAsia" w:hAnsi="宋体" w:cs="宋体"/>
          <w:sz w:val="24"/>
          <w:highlight w:val="none"/>
        </w:rPr>
        <w:t>第5章 评审方法和标准</w:t>
      </w:r>
      <w:r>
        <w:rPr>
          <w:sz w:val="24"/>
          <w:highlight w:val="none"/>
        </w:rPr>
        <w:tab/>
      </w:r>
      <w:r>
        <w:rPr>
          <w:sz w:val="24"/>
          <w:highlight w:val="none"/>
        </w:rPr>
        <w:fldChar w:fldCharType="begin"/>
      </w:r>
      <w:r>
        <w:rPr>
          <w:sz w:val="24"/>
          <w:highlight w:val="none"/>
        </w:rPr>
        <w:instrText xml:space="preserve"> PAGEREF _Toc23476 \h </w:instrText>
      </w:r>
      <w:r>
        <w:rPr>
          <w:sz w:val="24"/>
          <w:highlight w:val="none"/>
        </w:rPr>
        <w:fldChar w:fldCharType="separate"/>
      </w:r>
      <w:r>
        <w:rPr>
          <w:sz w:val="24"/>
          <w:highlight w:val="none"/>
        </w:rPr>
        <w:t>29</w:t>
      </w:r>
      <w:r>
        <w:rPr>
          <w:sz w:val="24"/>
          <w:highlight w:val="none"/>
        </w:rPr>
        <w:fldChar w:fldCharType="end"/>
      </w:r>
      <w:r>
        <w:rPr>
          <w:sz w:val="24"/>
          <w:highlight w:val="none"/>
        </w:rPr>
        <w:fldChar w:fldCharType="end"/>
      </w:r>
    </w:p>
    <w:p w14:paraId="5735F0F3">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"_Toc499" </w:instrText>
      </w:r>
      <w:r>
        <w:rPr>
          <w:highlight w:val="none"/>
        </w:rPr>
        <w:fldChar w:fldCharType="separate"/>
      </w:r>
      <w:r>
        <w:rPr>
          <w:rFonts w:hint="eastAsia"/>
          <w:sz w:val="24"/>
          <w:highlight w:val="none"/>
          <w:lang w:val="en-US" w:eastAsia="zh-CN"/>
        </w:rPr>
        <w:t>一、</w:t>
      </w:r>
      <w:r>
        <w:rPr>
          <w:rFonts w:hint="eastAsia"/>
          <w:sz w:val="24"/>
          <w:highlight w:val="none"/>
        </w:rPr>
        <w:t>初步评审</w:t>
      </w:r>
      <w:r>
        <w:rPr>
          <w:sz w:val="24"/>
          <w:highlight w:val="none"/>
        </w:rPr>
        <w:tab/>
      </w:r>
      <w:r>
        <w:rPr>
          <w:sz w:val="24"/>
          <w:highlight w:val="none"/>
        </w:rPr>
        <w:fldChar w:fldCharType="begin"/>
      </w:r>
      <w:r>
        <w:rPr>
          <w:sz w:val="24"/>
          <w:highlight w:val="none"/>
        </w:rPr>
        <w:instrText xml:space="preserve"> PAGEREF _Toc499 \h </w:instrText>
      </w:r>
      <w:r>
        <w:rPr>
          <w:sz w:val="24"/>
          <w:highlight w:val="none"/>
        </w:rPr>
        <w:fldChar w:fldCharType="separate"/>
      </w:r>
      <w:r>
        <w:rPr>
          <w:sz w:val="24"/>
          <w:highlight w:val="none"/>
        </w:rPr>
        <w:t>32</w:t>
      </w:r>
      <w:r>
        <w:rPr>
          <w:sz w:val="24"/>
          <w:highlight w:val="none"/>
        </w:rPr>
        <w:fldChar w:fldCharType="end"/>
      </w:r>
      <w:r>
        <w:rPr>
          <w:sz w:val="24"/>
          <w:highlight w:val="none"/>
        </w:rPr>
        <w:fldChar w:fldCharType="end"/>
      </w:r>
    </w:p>
    <w:p w14:paraId="4578049F">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"_Toc3860" </w:instrText>
      </w:r>
      <w:r>
        <w:rPr>
          <w:highlight w:val="none"/>
        </w:rPr>
        <w:fldChar w:fldCharType="separate"/>
      </w:r>
      <w:r>
        <w:rPr>
          <w:rFonts w:hint="eastAsia" w:ascii="宋体" w:hAnsi="宋体" w:cs="宋体"/>
          <w:sz w:val="24"/>
          <w:highlight w:val="none"/>
          <w:lang w:val="en-US" w:eastAsia="zh-CN"/>
        </w:rPr>
        <w:t>二、</w:t>
      </w:r>
      <w:r>
        <w:rPr>
          <w:rFonts w:hint="eastAsia" w:ascii="宋体" w:hAnsi="宋体" w:cs="宋体"/>
          <w:sz w:val="24"/>
          <w:highlight w:val="none"/>
        </w:rPr>
        <w:t>评分细则</w:t>
      </w:r>
      <w:r>
        <w:rPr>
          <w:sz w:val="24"/>
          <w:highlight w:val="none"/>
        </w:rPr>
        <w:tab/>
      </w:r>
      <w:r>
        <w:rPr>
          <w:sz w:val="24"/>
          <w:highlight w:val="none"/>
        </w:rPr>
        <w:fldChar w:fldCharType="begin"/>
      </w:r>
      <w:r>
        <w:rPr>
          <w:sz w:val="24"/>
          <w:highlight w:val="none"/>
        </w:rPr>
        <w:instrText xml:space="preserve"> PAGEREF _Toc3860 \h </w:instrText>
      </w:r>
      <w:r>
        <w:rPr>
          <w:sz w:val="24"/>
          <w:highlight w:val="none"/>
        </w:rPr>
        <w:fldChar w:fldCharType="separate"/>
      </w:r>
      <w:r>
        <w:rPr>
          <w:sz w:val="24"/>
          <w:highlight w:val="none"/>
        </w:rPr>
        <w:t>33</w:t>
      </w:r>
      <w:r>
        <w:rPr>
          <w:sz w:val="24"/>
          <w:highlight w:val="none"/>
        </w:rPr>
        <w:fldChar w:fldCharType="end"/>
      </w:r>
      <w:r>
        <w:rPr>
          <w:sz w:val="24"/>
          <w:highlight w:val="none"/>
        </w:rPr>
        <w:fldChar w:fldCharType="end"/>
      </w:r>
    </w:p>
    <w:p w14:paraId="3AD9B8D8">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"_Toc15882" </w:instrText>
      </w:r>
      <w:r>
        <w:rPr>
          <w:highlight w:val="none"/>
        </w:rPr>
        <w:fldChar w:fldCharType="separate"/>
      </w:r>
      <w:r>
        <w:rPr>
          <w:rFonts w:hint="eastAsia" w:hAnsi="宋体" w:cs="宋体"/>
          <w:sz w:val="24"/>
          <w:highlight w:val="none"/>
        </w:rPr>
        <w:t>第6章 响应文件格式</w:t>
      </w:r>
      <w:r>
        <w:rPr>
          <w:sz w:val="24"/>
          <w:highlight w:val="none"/>
        </w:rPr>
        <w:tab/>
      </w:r>
      <w:r>
        <w:rPr>
          <w:sz w:val="24"/>
          <w:highlight w:val="none"/>
        </w:rPr>
        <w:fldChar w:fldCharType="begin"/>
      </w:r>
      <w:r>
        <w:rPr>
          <w:sz w:val="24"/>
          <w:highlight w:val="none"/>
        </w:rPr>
        <w:instrText xml:space="preserve"> PAGEREF _Toc15882 \h </w:instrText>
      </w:r>
      <w:r>
        <w:rPr>
          <w:sz w:val="24"/>
          <w:highlight w:val="none"/>
        </w:rPr>
        <w:fldChar w:fldCharType="separate"/>
      </w:r>
      <w:r>
        <w:rPr>
          <w:sz w:val="24"/>
          <w:highlight w:val="none"/>
        </w:rPr>
        <w:t>35</w:t>
      </w:r>
      <w:r>
        <w:rPr>
          <w:sz w:val="24"/>
          <w:highlight w:val="none"/>
        </w:rPr>
        <w:fldChar w:fldCharType="end"/>
      </w:r>
      <w:r>
        <w:rPr>
          <w:sz w:val="24"/>
          <w:highlight w:val="none"/>
        </w:rPr>
        <w:fldChar w:fldCharType="end"/>
      </w:r>
    </w:p>
    <w:p w14:paraId="6C3736F1">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"_Toc27723" </w:instrText>
      </w:r>
      <w:r>
        <w:rPr>
          <w:highlight w:val="none"/>
        </w:rPr>
        <w:fldChar w:fldCharType="separate"/>
      </w:r>
      <w:r>
        <w:rPr>
          <w:rFonts w:hint="eastAsia" w:ascii="宋体" w:hAnsi="宋体" w:cs="宋体"/>
          <w:sz w:val="24"/>
          <w:highlight w:val="none"/>
        </w:rPr>
        <w:t>一、封面格式</w:t>
      </w:r>
      <w:r>
        <w:rPr>
          <w:sz w:val="24"/>
          <w:highlight w:val="none"/>
        </w:rPr>
        <w:tab/>
      </w:r>
      <w:r>
        <w:rPr>
          <w:sz w:val="24"/>
          <w:highlight w:val="none"/>
        </w:rPr>
        <w:fldChar w:fldCharType="begin"/>
      </w:r>
      <w:r>
        <w:rPr>
          <w:sz w:val="24"/>
          <w:highlight w:val="none"/>
        </w:rPr>
        <w:instrText xml:space="preserve"> PAGEREF _Toc27723 \h </w:instrText>
      </w:r>
      <w:r>
        <w:rPr>
          <w:sz w:val="24"/>
          <w:highlight w:val="none"/>
        </w:rPr>
        <w:fldChar w:fldCharType="separate"/>
      </w:r>
      <w:r>
        <w:rPr>
          <w:sz w:val="24"/>
          <w:highlight w:val="none"/>
        </w:rPr>
        <w:t>37</w:t>
      </w:r>
      <w:r>
        <w:rPr>
          <w:sz w:val="24"/>
          <w:highlight w:val="none"/>
        </w:rPr>
        <w:fldChar w:fldCharType="end"/>
      </w:r>
      <w:r>
        <w:rPr>
          <w:sz w:val="24"/>
          <w:highlight w:val="none"/>
        </w:rPr>
        <w:fldChar w:fldCharType="end"/>
      </w:r>
    </w:p>
    <w:p w14:paraId="09325799">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"_Toc13711" </w:instrText>
      </w:r>
      <w:r>
        <w:rPr>
          <w:highlight w:val="none"/>
        </w:rPr>
        <w:fldChar w:fldCharType="separate"/>
      </w:r>
      <w:r>
        <w:rPr>
          <w:rFonts w:hint="eastAsia" w:ascii="宋体" w:hAnsi="宋体" w:cs="宋体"/>
          <w:sz w:val="24"/>
          <w:highlight w:val="none"/>
        </w:rPr>
        <w:t>二、评审因素索引表</w:t>
      </w:r>
      <w:r>
        <w:rPr>
          <w:sz w:val="24"/>
          <w:highlight w:val="none"/>
        </w:rPr>
        <w:tab/>
      </w:r>
      <w:r>
        <w:rPr>
          <w:sz w:val="24"/>
          <w:highlight w:val="none"/>
        </w:rPr>
        <w:fldChar w:fldCharType="begin"/>
      </w:r>
      <w:r>
        <w:rPr>
          <w:sz w:val="24"/>
          <w:highlight w:val="none"/>
        </w:rPr>
        <w:instrText xml:space="preserve"> PAGEREF _Toc13711 \h </w:instrText>
      </w:r>
      <w:r>
        <w:rPr>
          <w:sz w:val="24"/>
          <w:highlight w:val="none"/>
        </w:rPr>
        <w:fldChar w:fldCharType="separate"/>
      </w:r>
      <w:r>
        <w:rPr>
          <w:sz w:val="24"/>
          <w:highlight w:val="none"/>
        </w:rPr>
        <w:t>38</w:t>
      </w:r>
      <w:r>
        <w:rPr>
          <w:sz w:val="24"/>
          <w:highlight w:val="none"/>
        </w:rPr>
        <w:fldChar w:fldCharType="end"/>
      </w:r>
      <w:r>
        <w:rPr>
          <w:sz w:val="24"/>
          <w:highlight w:val="none"/>
        </w:rPr>
        <w:fldChar w:fldCharType="end"/>
      </w:r>
    </w:p>
    <w:p w14:paraId="59FAEFED">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"_Toc7206" </w:instrText>
      </w:r>
      <w:r>
        <w:rPr>
          <w:highlight w:val="none"/>
        </w:rPr>
        <w:fldChar w:fldCharType="separate"/>
      </w:r>
      <w:r>
        <w:rPr>
          <w:rFonts w:hint="eastAsia" w:ascii="宋体" w:hAnsi="宋体" w:cs="宋体"/>
          <w:sz w:val="24"/>
          <w:highlight w:val="none"/>
          <w:lang w:val="en-US" w:eastAsia="zh-CN"/>
        </w:rPr>
        <w:t>三</w:t>
      </w:r>
      <w:r>
        <w:rPr>
          <w:rFonts w:hint="eastAsia" w:ascii="宋体" w:hAnsi="宋体" w:cs="宋体"/>
          <w:sz w:val="24"/>
          <w:highlight w:val="none"/>
        </w:rPr>
        <w:t>、报价一览表</w:t>
      </w:r>
      <w:r>
        <w:rPr>
          <w:sz w:val="24"/>
          <w:highlight w:val="none"/>
        </w:rPr>
        <w:tab/>
      </w:r>
      <w:r>
        <w:rPr>
          <w:sz w:val="24"/>
          <w:highlight w:val="none"/>
        </w:rPr>
        <w:fldChar w:fldCharType="begin"/>
      </w:r>
      <w:r>
        <w:rPr>
          <w:sz w:val="24"/>
          <w:highlight w:val="none"/>
        </w:rPr>
        <w:instrText xml:space="preserve"> PAGEREF _Toc7206 \h </w:instrText>
      </w:r>
      <w:r>
        <w:rPr>
          <w:sz w:val="24"/>
          <w:highlight w:val="none"/>
        </w:rPr>
        <w:fldChar w:fldCharType="separate"/>
      </w:r>
      <w:r>
        <w:rPr>
          <w:sz w:val="24"/>
          <w:highlight w:val="none"/>
        </w:rPr>
        <w:t>42</w:t>
      </w:r>
      <w:r>
        <w:rPr>
          <w:sz w:val="24"/>
          <w:highlight w:val="none"/>
        </w:rPr>
        <w:fldChar w:fldCharType="end"/>
      </w:r>
      <w:r>
        <w:rPr>
          <w:sz w:val="24"/>
          <w:highlight w:val="none"/>
        </w:rPr>
        <w:fldChar w:fldCharType="end"/>
      </w:r>
    </w:p>
    <w:p w14:paraId="53BB2E64">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"_Toc23154" </w:instrText>
      </w:r>
      <w:r>
        <w:rPr>
          <w:highlight w:val="none"/>
        </w:rPr>
        <w:fldChar w:fldCharType="separate"/>
      </w:r>
      <w:r>
        <w:rPr>
          <w:rFonts w:hint="eastAsia" w:ascii="宋体" w:hAnsi="宋体" w:cs="宋体"/>
          <w:sz w:val="24"/>
          <w:highlight w:val="none"/>
        </w:rPr>
        <w:t>四、资格证明文件</w:t>
      </w:r>
      <w:r>
        <w:rPr>
          <w:sz w:val="24"/>
          <w:highlight w:val="none"/>
        </w:rPr>
        <w:tab/>
      </w:r>
      <w:r>
        <w:rPr>
          <w:sz w:val="24"/>
          <w:highlight w:val="none"/>
        </w:rPr>
        <w:fldChar w:fldCharType="begin"/>
      </w:r>
      <w:r>
        <w:rPr>
          <w:sz w:val="24"/>
          <w:highlight w:val="none"/>
        </w:rPr>
        <w:instrText xml:space="preserve"> PAGEREF _Toc23154 \h </w:instrText>
      </w:r>
      <w:r>
        <w:rPr>
          <w:sz w:val="24"/>
          <w:highlight w:val="none"/>
        </w:rPr>
        <w:fldChar w:fldCharType="separate"/>
      </w:r>
      <w:r>
        <w:rPr>
          <w:sz w:val="24"/>
          <w:highlight w:val="none"/>
        </w:rPr>
        <w:t>43</w:t>
      </w:r>
      <w:r>
        <w:rPr>
          <w:sz w:val="24"/>
          <w:highlight w:val="none"/>
        </w:rPr>
        <w:fldChar w:fldCharType="end"/>
      </w:r>
      <w:r>
        <w:rPr>
          <w:sz w:val="24"/>
          <w:highlight w:val="none"/>
        </w:rPr>
        <w:fldChar w:fldCharType="end"/>
      </w:r>
    </w:p>
    <w:p w14:paraId="63F170F9">
      <w:pPr>
        <w:pStyle w:val="22"/>
        <w:tabs>
          <w:tab w:val="right" w:leader="dot" w:pos="8312"/>
        </w:tabs>
        <w:spacing w:line="360" w:lineRule="auto"/>
        <w:rPr>
          <w:sz w:val="24"/>
          <w:highlight w:val="none"/>
        </w:rPr>
      </w:pPr>
      <w:r>
        <w:rPr>
          <w:highlight w:val="none"/>
        </w:rPr>
        <w:fldChar w:fldCharType="begin"/>
      </w:r>
      <w:r>
        <w:rPr>
          <w:highlight w:val="none"/>
        </w:rPr>
        <w:instrText xml:space="preserve"> HYPERLINK \l "_Toc6115" </w:instrText>
      </w:r>
      <w:r>
        <w:rPr>
          <w:highlight w:val="none"/>
        </w:rPr>
        <w:fldChar w:fldCharType="separate"/>
      </w:r>
      <w:r>
        <w:rPr>
          <w:rFonts w:hint="eastAsia" w:ascii="宋体" w:hAnsi="宋体" w:cs="宋体"/>
          <w:sz w:val="24"/>
          <w:highlight w:val="none"/>
        </w:rPr>
        <w:t>五、商务及技术文件</w:t>
      </w:r>
      <w:r>
        <w:rPr>
          <w:sz w:val="24"/>
          <w:highlight w:val="none"/>
        </w:rPr>
        <w:tab/>
      </w:r>
      <w:r>
        <w:rPr>
          <w:sz w:val="24"/>
          <w:highlight w:val="none"/>
        </w:rPr>
        <w:fldChar w:fldCharType="begin"/>
      </w:r>
      <w:r>
        <w:rPr>
          <w:sz w:val="24"/>
          <w:highlight w:val="none"/>
        </w:rPr>
        <w:instrText xml:space="preserve"> PAGEREF _Toc6115 \h </w:instrText>
      </w:r>
      <w:r>
        <w:rPr>
          <w:sz w:val="24"/>
          <w:highlight w:val="none"/>
        </w:rPr>
        <w:fldChar w:fldCharType="separate"/>
      </w:r>
      <w:r>
        <w:rPr>
          <w:sz w:val="24"/>
          <w:highlight w:val="none"/>
        </w:rPr>
        <w:t>48</w:t>
      </w:r>
      <w:r>
        <w:rPr>
          <w:sz w:val="24"/>
          <w:highlight w:val="none"/>
        </w:rPr>
        <w:fldChar w:fldCharType="end"/>
      </w:r>
      <w:r>
        <w:rPr>
          <w:sz w:val="24"/>
          <w:highlight w:val="none"/>
        </w:rPr>
        <w:fldChar w:fldCharType="end"/>
      </w:r>
    </w:p>
    <w:p w14:paraId="145E2FE3">
      <w:pPr>
        <w:pStyle w:val="19"/>
        <w:tabs>
          <w:tab w:val="right" w:leader="dot" w:pos="8312"/>
        </w:tabs>
        <w:spacing w:line="360" w:lineRule="auto"/>
        <w:rPr>
          <w:sz w:val="24"/>
          <w:highlight w:val="none"/>
        </w:rPr>
      </w:pPr>
      <w:r>
        <w:rPr>
          <w:highlight w:val="none"/>
        </w:rPr>
        <w:fldChar w:fldCharType="begin"/>
      </w:r>
      <w:r>
        <w:rPr>
          <w:highlight w:val="none"/>
        </w:rPr>
        <w:instrText xml:space="preserve"> HYPERLINK \l "_Toc3391" </w:instrText>
      </w:r>
      <w:r>
        <w:rPr>
          <w:highlight w:val="none"/>
        </w:rPr>
        <w:fldChar w:fldCharType="separate"/>
      </w:r>
      <w:r>
        <w:rPr>
          <w:rFonts w:hint="eastAsia"/>
          <w:sz w:val="24"/>
          <w:highlight w:val="none"/>
        </w:rPr>
        <w:t>第7章  政府采购合同格式</w:t>
      </w:r>
      <w:r>
        <w:rPr>
          <w:sz w:val="24"/>
          <w:highlight w:val="none"/>
        </w:rPr>
        <w:tab/>
      </w:r>
      <w:r>
        <w:rPr>
          <w:sz w:val="24"/>
          <w:highlight w:val="none"/>
        </w:rPr>
        <w:fldChar w:fldCharType="begin"/>
      </w:r>
      <w:r>
        <w:rPr>
          <w:sz w:val="24"/>
          <w:highlight w:val="none"/>
        </w:rPr>
        <w:instrText xml:space="preserve"> PAGEREF _Toc3391 \h </w:instrText>
      </w:r>
      <w:r>
        <w:rPr>
          <w:sz w:val="24"/>
          <w:highlight w:val="none"/>
        </w:rPr>
        <w:fldChar w:fldCharType="separate"/>
      </w:r>
      <w:r>
        <w:rPr>
          <w:sz w:val="24"/>
          <w:highlight w:val="none"/>
        </w:rPr>
        <w:t>52</w:t>
      </w:r>
      <w:r>
        <w:rPr>
          <w:sz w:val="24"/>
          <w:highlight w:val="none"/>
        </w:rPr>
        <w:fldChar w:fldCharType="end"/>
      </w:r>
      <w:r>
        <w:rPr>
          <w:sz w:val="24"/>
          <w:highlight w:val="none"/>
        </w:rPr>
        <w:fldChar w:fldCharType="end"/>
      </w:r>
    </w:p>
    <w:p w14:paraId="11A888A8">
      <w:pPr>
        <w:pStyle w:val="19"/>
        <w:tabs>
          <w:tab w:val="right" w:leader="dot" w:pos="8312"/>
        </w:tabs>
        <w:spacing w:line="360" w:lineRule="auto"/>
        <w:rPr>
          <w:rFonts w:ascii="宋体" w:hAnsi="宋体" w:cs="宋体"/>
          <w:kern w:val="0"/>
          <w:sz w:val="24"/>
          <w:highlight w:val="none"/>
        </w:rPr>
      </w:pPr>
      <w:r>
        <w:rPr>
          <w:rFonts w:hint="eastAsia" w:ascii="宋体" w:hAnsi="宋体" w:cs="宋体"/>
          <w:kern w:val="0"/>
          <w:sz w:val="24"/>
          <w:highlight w:val="none"/>
        </w:rPr>
        <w:fldChar w:fldCharType="end"/>
      </w:r>
    </w:p>
    <w:p w14:paraId="6302D6B8">
      <w:pPr>
        <w:widowControl/>
        <w:jc w:val="left"/>
        <w:rPr>
          <w:rFonts w:ascii="宋体" w:hAnsi="宋体" w:cs="宋体"/>
          <w:kern w:val="44"/>
          <w:szCs w:val="20"/>
          <w:highlight w:val="none"/>
        </w:rPr>
      </w:pPr>
      <w:r>
        <w:rPr>
          <w:rFonts w:ascii="宋体" w:hAnsi="宋体" w:cs="宋体"/>
          <w:kern w:val="44"/>
          <w:szCs w:val="20"/>
          <w:highlight w:val="none"/>
        </w:rPr>
        <w:br w:type="page"/>
      </w:r>
    </w:p>
    <w:p w14:paraId="7A44B0DD">
      <w:pPr>
        <w:pStyle w:val="3"/>
        <w:numPr>
          <w:ilvl w:val="0"/>
          <w:numId w:val="1"/>
        </w:numPr>
        <w:tabs>
          <w:tab w:val="clear" w:pos="2850"/>
        </w:tabs>
        <w:spacing w:before="0" w:after="0" w:line="240" w:lineRule="atLeast"/>
        <w:ind w:left="1985" w:hanging="1007"/>
        <w:rPr>
          <w:rFonts w:hAnsi="宋体" w:cs="宋体"/>
          <w:highlight w:val="none"/>
        </w:rPr>
      </w:pPr>
      <w:bookmarkStart w:id="3" w:name="_Toc515647756"/>
      <w:bookmarkStart w:id="4" w:name="_Toc68259613"/>
      <w:bookmarkStart w:id="5" w:name="_Toc29532"/>
      <w:r>
        <w:rPr>
          <w:rFonts w:hint="eastAsia" w:hAnsi="宋体" w:cs="宋体"/>
          <w:highlight w:val="none"/>
        </w:rPr>
        <w:t>供应商须知</w:t>
      </w:r>
      <w:bookmarkEnd w:id="0"/>
      <w:bookmarkEnd w:id="1"/>
      <w:bookmarkEnd w:id="2"/>
      <w:bookmarkEnd w:id="3"/>
      <w:bookmarkEnd w:id="4"/>
      <w:bookmarkEnd w:id="5"/>
    </w:p>
    <w:p w14:paraId="35FCB451">
      <w:pPr>
        <w:rPr>
          <w:rFonts w:ascii="宋体" w:hAnsi="宋体" w:cs="宋体"/>
          <w:highlight w:val="none"/>
        </w:rPr>
      </w:pPr>
    </w:p>
    <w:p w14:paraId="116513B0">
      <w:pPr>
        <w:pStyle w:val="4"/>
        <w:spacing w:before="0" w:line="240" w:lineRule="atLeast"/>
        <w:ind w:left="565" w:leftChars="12" w:hanging="540"/>
        <w:rPr>
          <w:rFonts w:ascii="宋体" w:hAnsi="宋体" w:cs="宋体"/>
          <w:highlight w:val="none"/>
        </w:rPr>
      </w:pPr>
      <w:bookmarkStart w:id="6" w:name="_Toc216582805"/>
      <w:bookmarkStart w:id="7" w:name="_Toc515647757"/>
      <w:bookmarkStart w:id="8" w:name="_Toc520356143"/>
      <w:bookmarkStart w:id="9" w:name="_Toc21015"/>
      <w:bookmarkStart w:id="10" w:name="_Toc68259614"/>
      <w:bookmarkStart w:id="11" w:name="_Toc13427"/>
      <w:bookmarkStart w:id="12" w:name="_Toc21215"/>
      <w:r>
        <w:rPr>
          <w:rFonts w:hint="eastAsia" w:ascii="宋体" w:hAnsi="宋体" w:cs="宋体"/>
          <w:highlight w:val="none"/>
        </w:rPr>
        <w:t xml:space="preserve">一   </w:t>
      </w:r>
      <w:bookmarkEnd w:id="6"/>
      <w:bookmarkEnd w:id="7"/>
      <w:bookmarkEnd w:id="8"/>
      <w:r>
        <w:rPr>
          <w:rFonts w:hint="eastAsia" w:ascii="宋体" w:hAnsi="宋体" w:cs="宋体"/>
          <w:highlight w:val="none"/>
        </w:rPr>
        <w:t>总 则</w:t>
      </w:r>
      <w:bookmarkEnd w:id="9"/>
      <w:bookmarkEnd w:id="10"/>
      <w:bookmarkEnd w:id="11"/>
      <w:bookmarkEnd w:id="12"/>
    </w:p>
    <w:p w14:paraId="70E15418">
      <w:pPr>
        <w:spacing w:line="480" w:lineRule="exact"/>
        <w:rPr>
          <w:rFonts w:ascii="宋体" w:hAnsi="宋体" w:cs="宋体"/>
          <w:b/>
          <w:kern w:val="0"/>
          <w:sz w:val="24"/>
          <w:szCs w:val="20"/>
          <w:highlight w:val="none"/>
        </w:rPr>
      </w:pPr>
      <w:r>
        <w:rPr>
          <w:rFonts w:hint="eastAsia" w:ascii="宋体" w:hAnsi="宋体" w:cs="宋体"/>
          <w:b/>
          <w:kern w:val="0"/>
          <w:sz w:val="24"/>
          <w:szCs w:val="20"/>
          <w:highlight w:val="none"/>
        </w:rPr>
        <w:t>倡导及建议：</w:t>
      </w:r>
    </w:p>
    <w:p w14:paraId="09BD7AD8">
      <w:pPr>
        <w:pStyle w:val="5"/>
        <w:snapToGrid w:val="0"/>
        <w:spacing w:before="0" w:after="0" w:line="480" w:lineRule="exact"/>
        <w:rPr>
          <w:rFonts w:cs="宋体"/>
          <w:b w:val="0"/>
          <w:kern w:val="2"/>
          <w:szCs w:val="24"/>
          <w:highlight w:val="none"/>
          <w:u w:val="none"/>
        </w:rPr>
      </w:pPr>
      <w:r>
        <w:rPr>
          <w:highlight w:val="none"/>
          <w:u w:val="none"/>
        </w:rPr>
        <w:t xml:space="preserve">  </w:t>
      </w:r>
      <w:r>
        <w:rPr>
          <w:rFonts w:cs="宋体"/>
          <w:b w:val="0"/>
          <w:kern w:val="2"/>
          <w:szCs w:val="24"/>
          <w:highlight w:val="none"/>
          <w:u w:val="none"/>
        </w:rPr>
        <w:t xml:space="preserve">   </w:t>
      </w:r>
      <w:r>
        <w:rPr>
          <w:rFonts w:hint="eastAsia" w:cs="宋体"/>
          <w:b w:val="0"/>
          <w:kern w:val="2"/>
          <w:szCs w:val="24"/>
          <w:highlight w:val="none"/>
          <w:u w:val="none"/>
        </w:rPr>
        <w:t>响应文件</w:t>
      </w:r>
      <w:r>
        <w:rPr>
          <w:rFonts w:cs="宋体"/>
          <w:b w:val="0"/>
          <w:kern w:val="2"/>
          <w:szCs w:val="24"/>
          <w:highlight w:val="none"/>
          <w:u w:val="none"/>
        </w:rPr>
        <w:t>的厚重，不是评定是否中标的因素</w:t>
      </w:r>
      <w:r>
        <w:rPr>
          <w:rFonts w:hint="eastAsia" w:cs="宋体"/>
          <w:b w:val="0"/>
          <w:kern w:val="2"/>
          <w:szCs w:val="24"/>
          <w:highlight w:val="none"/>
          <w:u w:val="none"/>
        </w:rPr>
        <w:t>，更</w:t>
      </w:r>
      <w:r>
        <w:rPr>
          <w:rFonts w:cs="宋体"/>
          <w:b w:val="0"/>
          <w:kern w:val="2"/>
          <w:szCs w:val="24"/>
          <w:highlight w:val="none"/>
          <w:u w:val="none"/>
        </w:rPr>
        <w:t>不便于评审专家翻阅及</w:t>
      </w:r>
      <w:r>
        <w:rPr>
          <w:rFonts w:hint="eastAsia" w:cs="宋体"/>
          <w:b w:val="0"/>
          <w:kern w:val="2"/>
          <w:szCs w:val="24"/>
          <w:highlight w:val="none"/>
          <w:u w:val="none"/>
        </w:rPr>
        <w:t>评审</w:t>
      </w:r>
      <w:r>
        <w:rPr>
          <w:rFonts w:cs="宋体"/>
          <w:b w:val="0"/>
          <w:kern w:val="2"/>
          <w:szCs w:val="24"/>
          <w:highlight w:val="none"/>
          <w:u w:val="none"/>
        </w:rPr>
        <w:t>。</w:t>
      </w:r>
    </w:p>
    <w:p w14:paraId="2547DFA5">
      <w:pPr>
        <w:pStyle w:val="5"/>
        <w:snapToGrid w:val="0"/>
        <w:spacing w:before="0" w:after="0" w:line="480" w:lineRule="exact"/>
        <w:ind w:firstLine="480" w:firstLineChars="200"/>
        <w:rPr>
          <w:rFonts w:cs="宋体"/>
          <w:b w:val="0"/>
          <w:kern w:val="2"/>
          <w:szCs w:val="24"/>
          <w:highlight w:val="none"/>
          <w:u w:val="none"/>
        </w:rPr>
      </w:pPr>
      <w:r>
        <w:rPr>
          <w:rFonts w:cs="宋体"/>
          <w:b w:val="0"/>
          <w:kern w:val="2"/>
          <w:szCs w:val="24"/>
          <w:highlight w:val="none"/>
          <w:u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 w:val="0"/>
          <w:kern w:val="2"/>
          <w:szCs w:val="24"/>
          <w:highlight w:val="none"/>
          <w:u w:val="none"/>
        </w:rPr>
        <w:t>响应文件</w:t>
      </w:r>
      <w:r>
        <w:rPr>
          <w:rFonts w:cs="宋体"/>
          <w:b w:val="0"/>
          <w:kern w:val="2"/>
          <w:szCs w:val="24"/>
          <w:highlight w:val="none"/>
          <w:u w:val="none"/>
        </w:rPr>
        <w:t>时，</w:t>
      </w:r>
      <w:r>
        <w:rPr>
          <w:rFonts w:hint="eastAsia" w:cs="宋体"/>
          <w:b w:val="0"/>
          <w:kern w:val="2"/>
          <w:szCs w:val="24"/>
          <w:highlight w:val="none"/>
          <w:u w:val="none"/>
        </w:rPr>
        <w:t>临沂大学</w:t>
      </w:r>
      <w:r>
        <w:rPr>
          <w:rFonts w:cs="宋体"/>
          <w:b w:val="0"/>
          <w:kern w:val="2"/>
          <w:szCs w:val="24"/>
          <w:highlight w:val="none"/>
          <w:u w:val="none"/>
        </w:rPr>
        <w:t>倡导及建议如下:</w:t>
      </w:r>
    </w:p>
    <w:p w14:paraId="73006E56">
      <w:pPr>
        <w:pStyle w:val="5"/>
        <w:snapToGrid w:val="0"/>
        <w:spacing w:before="0" w:after="0" w:line="480" w:lineRule="exact"/>
        <w:ind w:firstLine="482" w:firstLineChars="200"/>
        <w:rPr>
          <w:bCs/>
          <w:highlight w:val="none"/>
          <w:u w:val="none"/>
        </w:rPr>
      </w:pPr>
      <w:r>
        <w:rPr>
          <w:rFonts w:cs="宋体"/>
          <w:bCs/>
          <w:kern w:val="2"/>
          <w:szCs w:val="24"/>
          <w:highlight w:val="none"/>
          <w:u w:val="none"/>
        </w:rPr>
        <w:t>“除必要的商务文书或要求的证书复印件外，</w:t>
      </w:r>
      <w:r>
        <w:rPr>
          <w:rFonts w:hint="eastAsia" w:cs="宋体"/>
          <w:bCs/>
          <w:kern w:val="2"/>
          <w:szCs w:val="24"/>
          <w:highlight w:val="none"/>
          <w:u w:val="none"/>
        </w:rPr>
        <w:t>响应文件</w:t>
      </w:r>
      <w:r>
        <w:rPr>
          <w:rFonts w:cs="宋体"/>
          <w:bCs/>
          <w:kern w:val="2"/>
          <w:szCs w:val="24"/>
          <w:highlight w:val="none"/>
          <w:u w:val="none"/>
        </w:rPr>
        <w:t>的正本和副本均须A4纸双面打印”</w:t>
      </w:r>
      <w:r>
        <w:rPr>
          <w:rFonts w:hint="eastAsia" w:cs="宋体"/>
          <w:bCs/>
          <w:kern w:val="2"/>
          <w:szCs w:val="24"/>
          <w:highlight w:val="none"/>
          <w:u w:val="none"/>
        </w:rPr>
        <w:t>，感谢支持！！</w:t>
      </w:r>
    </w:p>
    <w:p w14:paraId="74188CA2">
      <w:pPr>
        <w:pStyle w:val="5"/>
        <w:spacing w:line="480" w:lineRule="exact"/>
        <w:rPr>
          <w:highlight w:val="none"/>
          <w:u w:val="none"/>
        </w:rPr>
      </w:pPr>
      <w:bookmarkStart w:id="13" w:name="_Toc520356144"/>
      <w:bookmarkStart w:id="14" w:name="_Toc32623"/>
      <w:bookmarkStart w:id="15" w:name="_Toc515647758"/>
      <w:bookmarkStart w:id="16" w:name="_Toc32189"/>
      <w:r>
        <w:rPr>
          <w:rFonts w:hint="eastAsia"/>
          <w:highlight w:val="none"/>
          <w:u w:val="none"/>
        </w:rPr>
        <w:t>1.采购人、采购代理机构及</w:t>
      </w:r>
      <w:bookmarkEnd w:id="13"/>
      <w:r>
        <w:rPr>
          <w:rFonts w:hint="eastAsia"/>
          <w:highlight w:val="none"/>
          <w:u w:val="none"/>
        </w:rPr>
        <w:t>供应商</w:t>
      </w:r>
      <w:bookmarkEnd w:id="14"/>
      <w:bookmarkEnd w:id="15"/>
      <w:bookmarkEnd w:id="16"/>
    </w:p>
    <w:p w14:paraId="68B084E4">
      <w:pPr>
        <w:numPr>
          <w:ilvl w:val="1"/>
          <w:numId w:val="2"/>
        </w:numPr>
        <w:tabs>
          <w:tab w:val="left" w:pos="0"/>
          <w:tab w:val="clear" w:pos="900"/>
        </w:tabs>
        <w:spacing w:line="480" w:lineRule="exact"/>
        <w:ind w:left="0" w:firstLine="424" w:firstLineChars="177"/>
        <w:rPr>
          <w:rFonts w:ascii="宋体" w:hAnsi="宋体" w:cs="宋体"/>
          <w:sz w:val="24"/>
          <w:highlight w:val="none"/>
        </w:rPr>
      </w:pPr>
      <w:r>
        <w:rPr>
          <w:rFonts w:hint="eastAsia" w:ascii="宋体" w:hAnsi="宋体" w:cs="宋体"/>
          <w:sz w:val="24"/>
          <w:highlight w:val="none"/>
        </w:rPr>
        <w:t xml:space="preserve"> 采购人：是指依法开展政府采购活动的国家机关、事业单位、团体组织。本项目的采购人见供应商须知资料表。</w:t>
      </w:r>
    </w:p>
    <w:p w14:paraId="61D7DF95">
      <w:pPr>
        <w:numPr>
          <w:ilvl w:val="1"/>
          <w:numId w:val="2"/>
        </w:numPr>
        <w:tabs>
          <w:tab w:val="left" w:pos="0"/>
          <w:tab w:val="clear" w:pos="900"/>
        </w:tabs>
        <w:spacing w:line="480" w:lineRule="exact"/>
        <w:ind w:left="0" w:firstLine="424" w:firstLineChars="177"/>
        <w:rPr>
          <w:rFonts w:ascii="宋体" w:hAnsi="宋体" w:cs="宋体"/>
          <w:sz w:val="24"/>
          <w:highlight w:val="none"/>
        </w:rPr>
      </w:pPr>
      <w:r>
        <w:rPr>
          <w:rFonts w:hint="eastAsia" w:ascii="宋体" w:hAnsi="宋体" w:cs="宋体"/>
          <w:sz w:val="24"/>
          <w:highlight w:val="none"/>
        </w:rPr>
        <w:t xml:space="preserve"> 采购代理机构：是指集中采购机构或从事采购代理业务的社会中介机构，本项目的采购代理机构见供应商须知资料表。</w:t>
      </w:r>
    </w:p>
    <w:p w14:paraId="62921FA4">
      <w:pPr>
        <w:numPr>
          <w:ilvl w:val="1"/>
          <w:numId w:val="2"/>
        </w:numPr>
        <w:tabs>
          <w:tab w:val="left" w:pos="0"/>
          <w:tab w:val="clear" w:pos="900"/>
        </w:tabs>
        <w:spacing w:line="480" w:lineRule="exact"/>
        <w:ind w:left="0" w:firstLine="424" w:firstLineChars="177"/>
        <w:rPr>
          <w:rFonts w:ascii="宋体" w:hAnsi="宋体" w:cs="宋体"/>
          <w:sz w:val="24"/>
          <w:highlight w:val="none"/>
        </w:rPr>
      </w:pPr>
      <w:bookmarkStart w:id="17" w:name="_Toc515647759"/>
      <w:bookmarkStart w:id="18" w:name="_Toc5286"/>
      <w:bookmarkStart w:id="19" w:name="_Toc12139"/>
      <w:r>
        <w:rPr>
          <w:rFonts w:hint="eastAsia" w:ascii="宋体" w:hAnsi="宋体" w:cs="宋体"/>
          <w:sz w:val="24"/>
          <w:highlight w:val="none"/>
        </w:rPr>
        <w:t xml:space="preserve"> 供应商：是指响应磋商、参加报价竞争的法人、其他组织或者自然人。潜在供应商：以竞争性磋商文件规定的方式获取本项目竞争性磋商文件的法人、其他组织或者自然人。</w:t>
      </w:r>
    </w:p>
    <w:p w14:paraId="38AF35CC">
      <w:pPr>
        <w:spacing w:line="480" w:lineRule="exact"/>
        <w:ind w:firstLine="600" w:firstLineChars="250"/>
        <w:rPr>
          <w:rFonts w:ascii="宋体" w:hAnsi="宋体" w:cs="宋体"/>
          <w:sz w:val="24"/>
          <w:highlight w:val="none"/>
        </w:rPr>
      </w:pPr>
      <w:r>
        <w:rPr>
          <w:rFonts w:hint="eastAsia" w:ascii="宋体" w:hAnsi="宋体" w:cs="宋体"/>
          <w:sz w:val="24"/>
          <w:highlight w:val="none"/>
        </w:rPr>
        <w:t>本项目的供应商须满足以下条件：</w:t>
      </w:r>
    </w:p>
    <w:p w14:paraId="3365F091">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1.3.1 在中华人民共和国境内注册，能够独立承担民事责任的本国供应商。</w:t>
      </w:r>
    </w:p>
    <w:p w14:paraId="36934511">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1.3.2 具备《中华人民共和国政府采购法》第二十二条关于供应商条件的规定，遵守本项目采购人本级和上级财政部门政府采购的有关规定。</w:t>
      </w:r>
    </w:p>
    <w:p w14:paraId="73950EFE">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1.3.3 以竞争性磋商文件规定的方式获得了本项目的竞争性磋商文件。</w:t>
      </w:r>
    </w:p>
    <w:p w14:paraId="6F1FA160">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1.3.4 符合供应商须知资料表中规定的其他资格要求。</w:t>
      </w:r>
    </w:p>
    <w:p w14:paraId="6998FAAF">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1.3.5 若供应商须知资料表中写明专门面向中小企业采购的，如供应商为非中小企业，其响应文件将被认定为响应文件无效。</w:t>
      </w:r>
    </w:p>
    <w:p w14:paraId="260378E0">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 如供应商须知资料表中允许联合体进行响应，对联合体规定如下：</w:t>
      </w:r>
    </w:p>
    <w:p w14:paraId="0FA3743B">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1.4.1 两个以上供应商可以组成一个联合体，以一个供应商的身份响应。</w:t>
      </w:r>
    </w:p>
    <w:p w14:paraId="07954AF6">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1.4.2 联合体各方均应符合1.3.2规定。</w:t>
      </w:r>
    </w:p>
    <w:p w14:paraId="46D665CA">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1.4.3 采购人根据采购项目对供应商的特殊要求，联合体中至少应当有一方符合相关规定。</w:t>
      </w:r>
    </w:p>
    <w:p w14:paraId="4609A82F">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1.4.4 联合体各方应签订共同响应协议，明确约定联合体各方承担的工作和相应的责任，并将共同响应协议连同响应文件一并提交，否则其响应文件将被认定为无效。</w:t>
      </w:r>
    </w:p>
    <w:p w14:paraId="6BADB78F">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658A5B2A">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1.4.6 以联合体形式参加政府采购活动的，联合体各方不得再单独参加或者与其他供应商另外组成联合体参加本项目，否则其响应文件将被认定为无效。</w:t>
      </w:r>
    </w:p>
    <w:p w14:paraId="251A21DB">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1.4.7 对联合体响应的其他资格要求见供应商须知资料表。</w:t>
      </w:r>
    </w:p>
    <w:p w14:paraId="183C68F2">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1.5 单位负责人为同一人或者存在直接控股、管理关系的不同供应商，不得参加同一合同项下的政府采购活动，否则其相关响应文件均将被认定为响应文件无效。</w:t>
      </w:r>
    </w:p>
    <w:p w14:paraId="28DAC461">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1.6 各供应商须对本项目指定一个项目负责人，对本项目所有事宜全程负责。未经采购人同意中途不得更换项目负责人。</w:t>
      </w:r>
    </w:p>
    <w:p w14:paraId="619841C3">
      <w:pPr>
        <w:spacing w:line="480" w:lineRule="exact"/>
        <w:ind w:firstLine="426" w:firstLineChars="177"/>
        <w:rPr>
          <w:rFonts w:ascii="宋体" w:hAnsi="宋体" w:cs="宋体"/>
          <w:b/>
          <w:bCs/>
          <w:sz w:val="24"/>
          <w:highlight w:val="none"/>
        </w:rPr>
      </w:pPr>
      <w:r>
        <w:rPr>
          <w:rFonts w:hint="eastAsia" w:ascii="宋体" w:hAnsi="宋体" w:cs="宋体"/>
          <w:b/>
          <w:bCs/>
          <w:sz w:val="24"/>
          <w:highlight w:val="none"/>
          <w:lang w:bidi="ar"/>
        </w:rPr>
        <w:t>1.7 关于委托代理人及项目实施负责人的说明：</w:t>
      </w:r>
    </w:p>
    <w:p w14:paraId="0C0679C8">
      <w:pPr>
        <w:spacing w:line="480" w:lineRule="exact"/>
        <w:ind w:firstLine="426" w:firstLineChars="177"/>
        <w:rPr>
          <w:rFonts w:ascii="宋体" w:hAnsi="宋体" w:cs="宋体"/>
          <w:b/>
          <w:bCs/>
          <w:sz w:val="24"/>
          <w:highlight w:val="none"/>
          <w:lang w:bidi="ar"/>
        </w:rPr>
      </w:pPr>
      <w:r>
        <w:rPr>
          <w:rFonts w:hint="eastAsia" w:ascii="宋体" w:hAnsi="宋体" w:cs="宋体"/>
          <w:b/>
          <w:bCs/>
          <w:sz w:val="24"/>
          <w:highlight w:val="none"/>
          <w:lang w:bidi="ar"/>
        </w:rPr>
        <w:t>为杜绝围标串标现象，营造良好的营商环境，投标委托代理人须为投标单位正式员工，并出具该员工投标前6个月内任意3个月的社保证明。若为新公司成立不足3个月，可提供成立以来的社保即可。</w:t>
      </w:r>
    </w:p>
    <w:p w14:paraId="0F7262EB">
      <w:pPr>
        <w:spacing w:line="480" w:lineRule="exact"/>
        <w:ind w:firstLine="426" w:firstLineChars="177"/>
        <w:rPr>
          <w:rFonts w:ascii="宋体" w:hAnsi="宋体" w:cs="宋体"/>
          <w:b/>
          <w:bCs/>
          <w:sz w:val="24"/>
          <w:highlight w:val="none"/>
          <w:lang w:bidi="ar"/>
        </w:rPr>
      </w:pPr>
      <w:r>
        <w:rPr>
          <w:rFonts w:hint="eastAsia" w:ascii="宋体" w:hAnsi="宋体" w:cs="宋体"/>
          <w:b/>
          <w:bCs/>
          <w:sz w:val="24"/>
          <w:highlight w:val="none"/>
          <w:lang w:bidi="ar"/>
        </w:rPr>
        <w:t>若该项目有项目实施负责人或经理，也要求为单位正式员工，并出具该员工投标前6个月内任意3个月的社保证明。</w:t>
      </w:r>
    </w:p>
    <w:p w14:paraId="057E18C7">
      <w:pPr>
        <w:pStyle w:val="5"/>
        <w:rPr>
          <w:highlight w:val="none"/>
          <w:u w:val="none"/>
        </w:rPr>
      </w:pPr>
      <w:r>
        <w:rPr>
          <w:rFonts w:hint="eastAsia"/>
          <w:highlight w:val="none"/>
          <w:u w:val="none"/>
        </w:rPr>
        <w:t>2.资金来源</w:t>
      </w:r>
      <w:bookmarkEnd w:id="17"/>
      <w:bookmarkEnd w:id="18"/>
      <w:bookmarkEnd w:id="19"/>
    </w:p>
    <w:p w14:paraId="6EFCE37E">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2.1</w:t>
      </w:r>
      <w:r>
        <w:rPr>
          <w:rFonts w:hint="eastAsia" w:ascii="宋体" w:hAnsi="宋体" w:cs="宋体"/>
          <w:sz w:val="24"/>
          <w:highlight w:val="none"/>
        </w:rPr>
        <w:tab/>
      </w:r>
      <w:r>
        <w:rPr>
          <w:rFonts w:hint="eastAsia" w:ascii="宋体" w:hAnsi="宋体" w:cs="宋体"/>
          <w:sz w:val="24"/>
          <w:highlight w:val="none"/>
        </w:rPr>
        <w:t xml:space="preserve"> 本项目的采购人已获得足以支付本次磋商后所签订的合同项下的资金（包括财政性资金和本项目采购中无法与财政性资金分割的非财政性资金，预采购项目除外。）。</w:t>
      </w:r>
    </w:p>
    <w:p w14:paraId="25330846">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2.2  项目预算金额和分项或分包最高限价见供应商须知资料表。</w:t>
      </w:r>
    </w:p>
    <w:p w14:paraId="028A6749">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2.3  供应商报价超过竞争性磋商文件规定的预算金额或者分项、分包最高限价的，其响应文件将被认定为无效。</w:t>
      </w:r>
    </w:p>
    <w:p w14:paraId="4DF3EEF3">
      <w:pPr>
        <w:pStyle w:val="5"/>
        <w:rPr>
          <w:highlight w:val="none"/>
          <w:u w:val="none"/>
        </w:rPr>
      </w:pPr>
      <w:bookmarkStart w:id="20" w:name="_Toc515647760"/>
      <w:bookmarkStart w:id="21" w:name="_Toc15936"/>
      <w:bookmarkStart w:id="22" w:name="_Toc20526"/>
      <w:bookmarkStart w:id="23" w:name="_Toc520356145"/>
      <w:r>
        <w:rPr>
          <w:rFonts w:hint="eastAsia"/>
          <w:highlight w:val="none"/>
          <w:u w:val="none"/>
        </w:rPr>
        <w:t>3.响应费用</w:t>
      </w:r>
      <w:bookmarkEnd w:id="20"/>
      <w:bookmarkEnd w:id="21"/>
      <w:bookmarkEnd w:id="22"/>
      <w:bookmarkEnd w:id="23"/>
    </w:p>
    <w:p w14:paraId="0419DAFC">
      <w:pPr>
        <w:tabs>
          <w:tab w:val="left" w:pos="0"/>
        </w:tabs>
        <w:spacing w:line="480" w:lineRule="exact"/>
        <w:ind w:firstLine="424" w:firstLineChars="177"/>
        <w:rPr>
          <w:rFonts w:ascii="宋体" w:hAnsi="宋体" w:cs="宋体"/>
          <w:sz w:val="24"/>
          <w:highlight w:val="none"/>
        </w:rPr>
      </w:pPr>
      <w:r>
        <w:rPr>
          <w:rFonts w:hint="eastAsia" w:ascii="宋体" w:hAnsi="宋体" w:cs="宋体"/>
          <w:sz w:val="24"/>
          <w:highlight w:val="none"/>
        </w:rPr>
        <w:t>不论响应的结果如何，供应商应承担所有与准备和参加响应有关的费用。</w:t>
      </w:r>
    </w:p>
    <w:p w14:paraId="1F34FFE6">
      <w:pPr>
        <w:pStyle w:val="5"/>
        <w:rPr>
          <w:highlight w:val="none"/>
          <w:u w:val="none"/>
        </w:rPr>
      </w:pPr>
      <w:bookmarkStart w:id="24" w:name="_Toc4463"/>
      <w:bookmarkStart w:id="25" w:name="_Toc6116"/>
      <w:bookmarkStart w:id="26" w:name="_Toc515647761"/>
      <w:r>
        <w:rPr>
          <w:rFonts w:hint="eastAsia"/>
          <w:highlight w:val="none"/>
          <w:u w:val="none"/>
        </w:rPr>
        <w:t>4.适用法律</w:t>
      </w:r>
      <w:bookmarkEnd w:id="24"/>
      <w:bookmarkEnd w:id="25"/>
      <w:bookmarkEnd w:id="26"/>
    </w:p>
    <w:p w14:paraId="677DAB2F">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本项目采购人、采购代理机构、供应商、磋商小组的相关行为均受《中华人民共和国政府采购法》《中华人民共和国政府采购法实施条例》及本项目本级和上级财政部门政府采购有关规定的约束和保护。</w:t>
      </w:r>
    </w:p>
    <w:p w14:paraId="4DC389D2">
      <w:pPr>
        <w:spacing w:line="480" w:lineRule="exact"/>
        <w:rPr>
          <w:rFonts w:ascii="宋体" w:hAnsi="宋体" w:cs="宋体"/>
          <w:sz w:val="24"/>
          <w:highlight w:val="none"/>
        </w:rPr>
      </w:pPr>
    </w:p>
    <w:p w14:paraId="2F6A3F80">
      <w:pPr>
        <w:pStyle w:val="4"/>
        <w:spacing w:before="0" w:line="480" w:lineRule="exact"/>
        <w:ind w:left="565" w:leftChars="12" w:hanging="540"/>
        <w:rPr>
          <w:rFonts w:ascii="宋体" w:hAnsi="宋体" w:cs="宋体"/>
          <w:highlight w:val="none"/>
        </w:rPr>
      </w:pPr>
      <w:bookmarkStart w:id="27" w:name="_Toc21566"/>
      <w:bookmarkStart w:id="28" w:name="_Toc68259615"/>
      <w:bookmarkStart w:id="29" w:name="_Toc4365"/>
      <w:bookmarkStart w:id="30" w:name="_Toc216582806"/>
      <w:bookmarkStart w:id="31" w:name="_Toc520356146"/>
      <w:bookmarkStart w:id="32" w:name="_Toc515647762"/>
      <w:bookmarkStart w:id="33" w:name="_Toc32134"/>
      <w:r>
        <w:rPr>
          <w:rFonts w:hint="eastAsia" w:ascii="宋体" w:hAnsi="宋体" w:cs="宋体"/>
          <w:highlight w:val="none"/>
        </w:rPr>
        <w:t>二   竞争性磋商文件</w:t>
      </w:r>
      <w:bookmarkEnd w:id="27"/>
      <w:bookmarkEnd w:id="28"/>
      <w:bookmarkEnd w:id="29"/>
      <w:bookmarkEnd w:id="30"/>
      <w:bookmarkEnd w:id="31"/>
      <w:bookmarkEnd w:id="32"/>
      <w:bookmarkEnd w:id="33"/>
    </w:p>
    <w:p w14:paraId="0BEF10D2">
      <w:pPr>
        <w:pStyle w:val="2"/>
        <w:spacing w:line="480" w:lineRule="exact"/>
        <w:rPr>
          <w:rFonts w:hAnsi="宋体" w:cs="宋体"/>
          <w:highlight w:val="none"/>
        </w:rPr>
      </w:pPr>
    </w:p>
    <w:p w14:paraId="70F62F66">
      <w:pPr>
        <w:pStyle w:val="5"/>
        <w:rPr>
          <w:highlight w:val="none"/>
          <w:u w:val="none"/>
        </w:rPr>
      </w:pPr>
      <w:bookmarkStart w:id="34" w:name="_Toc25743"/>
      <w:bookmarkStart w:id="35" w:name="_Toc14084"/>
      <w:bookmarkStart w:id="36" w:name="_Toc520356147"/>
      <w:bookmarkStart w:id="37" w:name="_Toc515647763"/>
      <w:r>
        <w:rPr>
          <w:rFonts w:hint="eastAsia"/>
          <w:highlight w:val="none"/>
          <w:u w:val="none"/>
        </w:rPr>
        <w:t>5.竞争性磋商文件构成</w:t>
      </w:r>
      <w:bookmarkEnd w:id="34"/>
      <w:bookmarkEnd w:id="35"/>
      <w:bookmarkEnd w:id="36"/>
      <w:bookmarkEnd w:id="37"/>
    </w:p>
    <w:p w14:paraId="2D4FF83D">
      <w:pPr>
        <w:spacing w:line="480" w:lineRule="exact"/>
        <w:ind w:left="900" w:hanging="900" w:hangingChars="375"/>
        <w:rPr>
          <w:rFonts w:ascii="宋体" w:hAnsi="宋体" w:cs="宋体"/>
          <w:sz w:val="24"/>
          <w:highlight w:val="none"/>
        </w:rPr>
      </w:pPr>
      <w:r>
        <w:rPr>
          <w:rFonts w:hint="eastAsia" w:ascii="宋体" w:hAnsi="宋体" w:cs="宋体"/>
          <w:sz w:val="24"/>
          <w:highlight w:val="none"/>
        </w:rPr>
        <w:t>5.1  竞争性磋商文件分为2册共7章，内容如下：</w:t>
      </w:r>
    </w:p>
    <w:p w14:paraId="6AD6D732">
      <w:pPr>
        <w:spacing w:line="480" w:lineRule="exact"/>
        <w:ind w:left="1079" w:leftChars="428" w:hanging="180" w:hangingChars="75"/>
        <w:rPr>
          <w:rFonts w:ascii="宋体" w:hAnsi="宋体" w:cs="宋体"/>
          <w:sz w:val="24"/>
          <w:highlight w:val="none"/>
        </w:rPr>
      </w:pPr>
      <w:r>
        <w:rPr>
          <w:rFonts w:hint="eastAsia" w:ascii="宋体" w:hAnsi="宋体" w:cs="宋体"/>
          <w:sz w:val="24"/>
          <w:highlight w:val="none"/>
        </w:rPr>
        <w:t>第一册</w:t>
      </w:r>
    </w:p>
    <w:p w14:paraId="28047798">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 xml:space="preserve"> 供应商须知</w:t>
      </w:r>
    </w:p>
    <w:p w14:paraId="29C406D7">
      <w:pPr>
        <w:spacing w:line="480" w:lineRule="exact"/>
        <w:ind w:left="1081" w:leftChars="429" w:hanging="180"/>
        <w:rPr>
          <w:rFonts w:ascii="宋体" w:hAnsi="宋体" w:cs="宋体"/>
          <w:sz w:val="24"/>
          <w:highlight w:val="none"/>
        </w:rPr>
      </w:pPr>
      <w:r>
        <w:rPr>
          <w:rFonts w:hint="eastAsia" w:ascii="宋体" w:hAnsi="宋体" w:cs="宋体"/>
          <w:sz w:val="24"/>
          <w:highlight w:val="none"/>
        </w:rPr>
        <w:t>第二册</w:t>
      </w:r>
    </w:p>
    <w:p w14:paraId="1213A7D7">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采购邀请</w:t>
      </w:r>
    </w:p>
    <w:p w14:paraId="4247DB0B">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供应商须知资料表</w:t>
      </w:r>
    </w:p>
    <w:p w14:paraId="22CD01E0">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服务需求</w:t>
      </w:r>
    </w:p>
    <w:p w14:paraId="77A7E6DD">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评审方法和标准</w:t>
      </w:r>
      <w:r>
        <w:rPr>
          <w:rFonts w:hint="eastAsia" w:ascii="宋体" w:hAnsi="宋体" w:cs="宋体"/>
          <w:sz w:val="24"/>
          <w:highlight w:val="none"/>
        </w:rPr>
        <w:tab/>
      </w:r>
    </w:p>
    <w:p w14:paraId="0F2F47AF">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响应文件格式</w:t>
      </w:r>
    </w:p>
    <w:p w14:paraId="04EC1C81">
      <w:pPr>
        <w:numPr>
          <w:ilvl w:val="0"/>
          <w:numId w:val="3"/>
        </w:numPr>
        <w:spacing w:line="480" w:lineRule="exact"/>
        <w:ind w:left="1081" w:leftChars="429" w:hanging="180"/>
        <w:rPr>
          <w:rFonts w:ascii="宋体" w:hAnsi="宋体" w:cs="宋体"/>
          <w:sz w:val="24"/>
          <w:highlight w:val="none"/>
        </w:rPr>
      </w:pPr>
      <w:r>
        <w:rPr>
          <w:rFonts w:hint="eastAsia" w:ascii="宋体" w:hAnsi="宋体" w:cs="宋体"/>
          <w:sz w:val="24"/>
          <w:highlight w:val="none"/>
        </w:rPr>
        <w:t>政府采购合同格式</w:t>
      </w:r>
    </w:p>
    <w:p w14:paraId="5A3561C8">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5.2  竞争性磋商文件中有不一致的，有澄清的部分以最终的澄清更正内容为准；未澄清的，以供应商须知资料表为准；供应商须知资料表不涉及的内容，以编排在后的描述为准。</w:t>
      </w:r>
    </w:p>
    <w:p w14:paraId="4853B15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11101A4E">
      <w:pPr>
        <w:tabs>
          <w:tab w:val="left" w:pos="0"/>
        </w:tabs>
        <w:spacing w:line="480" w:lineRule="exact"/>
        <w:ind w:firstLine="544" w:firstLineChars="227"/>
        <w:rPr>
          <w:rFonts w:ascii="宋体" w:hAnsi="宋体" w:cs="宋体"/>
          <w:sz w:val="24"/>
          <w:highlight w:val="none"/>
        </w:rPr>
      </w:pPr>
      <w:bookmarkStart w:id="38" w:name="_Toc515904805"/>
      <w:bookmarkStart w:id="39" w:name="_Toc520356148"/>
      <w:bookmarkStart w:id="40" w:name="_Toc9232"/>
      <w:bookmarkStart w:id="41" w:name="_Toc26044"/>
      <w:r>
        <w:rPr>
          <w:rFonts w:hint="eastAsia" w:ascii="宋体" w:hAnsi="宋体" w:cs="宋体"/>
          <w:sz w:val="24"/>
          <w:highlight w:val="none"/>
        </w:rPr>
        <w:t>5.4  响应文件以中文编印，且以中文为准。</w:t>
      </w:r>
    </w:p>
    <w:p w14:paraId="4D7ACFC0">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5.5  响应文件第二册第三部分“供应商须知资料表”规定组织踏勘现场的，采购人按规定的时间、地点组织供应商踏勘项目现场，踏勘现场所发生的费用由供应商承担。</w:t>
      </w:r>
    </w:p>
    <w:p w14:paraId="0F38BCA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5.6  采购人向供应商提供的有关现场的资料和数据，是采购人现有的能使供应商利用的资料，采购人对供应商由此而做出的推论、理解和结论概不负责。</w:t>
      </w:r>
    </w:p>
    <w:p w14:paraId="2107210E">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5.7  供应商经过采购人的允许，可进入项目现场踏勘，对服务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14:paraId="4253DE3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5.8 不论响应过程和响应文件结果如何，供应商的响应文件（含电子版）均不退还。</w:t>
      </w:r>
    </w:p>
    <w:p w14:paraId="76CFE4C4">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5.9  除响应文件中另有规定外，响应文件所使用的时间单位“天”“日”均指日历天，且所有时刻均为北京时间。</w:t>
      </w:r>
    </w:p>
    <w:p w14:paraId="56A5BFB6">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5.10 参与响应响应文件活动的各方应对响应文件和响应文件中的商业和技术等秘密保密，违者应对由此造成的后果承担法律责任。</w:t>
      </w:r>
    </w:p>
    <w:p w14:paraId="6C042A1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5.11 供应商应自行承担其准备和参加响应文件活动发生的所有费用。不论响应文件结果如何，采购人及采购代理机构在任何情况下无义务也无责任承担这些费用。</w:t>
      </w:r>
    </w:p>
    <w:p w14:paraId="096C41AB">
      <w:pPr>
        <w:pStyle w:val="5"/>
        <w:rPr>
          <w:highlight w:val="none"/>
          <w:u w:val="none"/>
        </w:rPr>
      </w:pPr>
      <w:r>
        <w:rPr>
          <w:rFonts w:hint="eastAsia"/>
          <w:highlight w:val="none"/>
          <w:u w:val="none"/>
        </w:rPr>
        <w:t>6.竞争性磋商文件的澄清</w:t>
      </w:r>
      <w:bookmarkEnd w:id="38"/>
      <w:bookmarkEnd w:id="39"/>
      <w:r>
        <w:rPr>
          <w:rFonts w:hint="eastAsia"/>
          <w:highlight w:val="none"/>
          <w:u w:val="none"/>
        </w:rPr>
        <w:t>与修改</w:t>
      </w:r>
      <w:bookmarkEnd w:id="40"/>
      <w:bookmarkEnd w:id="41"/>
    </w:p>
    <w:p w14:paraId="191F4613">
      <w:pPr>
        <w:tabs>
          <w:tab w:val="left" w:pos="0"/>
        </w:tabs>
        <w:spacing w:line="480" w:lineRule="exact"/>
        <w:ind w:firstLine="544" w:firstLineChars="227"/>
        <w:rPr>
          <w:rFonts w:ascii="宋体" w:hAnsi="宋体" w:cs="宋体"/>
          <w:sz w:val="24"/>
          <w:highlight w:val="none"/>
        </w:rPr>
      </w:pPr>
      <w:bookmarkStart w:id="42" w:name="_Toc520356149"/>
      <w:bookmarkStart w:id="43" w:name="_Ref467378678"/>
      <w:bookmarkStart w:id="44" w:name="_Toc515904806"/>
      <w:bookmarkStart w:id="45" w:name="_Toc25635"/>
      <w:bookmarkStart w:id="46" w:name="_Toc14569"/>
      <w:r>
        <w:rPr>
          <w:rFonts w:hint="eastAsia" w:ascii="宋体" w:hAnsi="宋体" w:cs="宋体"/>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657FC93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14:paraId="74DDA24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因潜在供应商原因或通讯线路故障导致逾期送达或无法送达，采购代理机构不因此承担任何责任，有关的磋商采购活动可以继续有效进行。</w:t>
      </w:r>
    </w:p>
    <w:p w14:paraId="6F65D88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6.3 供应商认为响应文件存在歧视性条款或不合理要求等需要澄清的，应在规定时间内一次性全部提出。如在规定时间内，供应商对响应文件中的各项条款未提出异议，即认为同意和接受响应文件。</w:t>
      </w:r>
    </w:p>
    <w:p w14:paraId="66C31137">
      <w:pPr>
        <w:pStyle w:val="5"/>
        <w:rPr>
          <w:highlight w:val="none"/>
          <w:u w:val="none"/>
        </w:rPr>
      </w:pPr>
      <w:r>
        <w:rPr>
          <w:rFonts w:hint="eastAsia"/>
          <w:highlight w:val="none"/>
          <w:u w:val="none"/>
        </w:rPr>
        <w:t>7</w:t>
      </w:r>
      <w:bookmarkEnd w:id="42"/>
      <w:bookmarkEnd w:id="43"/>
      <w:bookmarkEnd w:id="44"/>
      <w:r>
        <w:rPr>
          <w:rFonts w:hint="eastAsia"/>
          <w:highlight w:val="none"/>
          <w:u w:val="none"/>
        </w:rPr>
        <w:t>.提交响应文件截止时间的顺延</w:t>
      </w:r>
      <w:bookmarkEnd w:id="45"/>
      <w:bookmarkEnd w:id="46"/>
    </w:p>
    <w:p w14:paraId="1EE34D7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为使供应商准备响应时有足够的时间对竞争性磋商文件的澄清或者修改部分进行研究，采购人将依法决定是否顺延提交响应文件截止时间。</w:t>
      </w:r>
    </w:p>
    <w:p w14:paraId="61764208">
      <w:pPr>
        <w:rPr>
          <w:highlight w:val="none"/>
        </w:rPr>
      </w:pPr>
    </w:p>
    <w:p w14:paraId="19D7ABA2">
      <w:pPr>
        <w:pStyle w:val="4"/>
        <w:tabs>
          <w:tab w:val="left" w:pos="900"/>
        </w:tabs>
        <w:spacing w:before="0" w:line="480" w:lineRule="exact"/>
        <w:ind w:left="565" w:leftChars="12" w:hanging="540"/>
        <w:rPr>
          <w:rFonts w:ascii="宋体" w:hAnsi="宋体" w:cs="宋体"/>
          <w:highlight w:val="none"/>
        </w:rPr>
      </w:pPr>
      <w:bookmarkStart w:id="47" w:name="_Toc516367020"/>
      <w:bookmarkStart w:id="48" w:name="_Toc515647766"/>
      <w:bookmarkStart w:id="49" w:name="_Toc520356150"/>
      <w:bookmarkStart w:id="50" w:name="_Toc2484"/>
      <w:bookmarkStart w:id="51" w:name="_Toc7636"/>
      <w:bookmarkStart w:id="52" w:name="_Toc68259616"/>
      <w:bookmarkStart w:id="53" w:name="_Toc30808"/>
      <w:bookmarkStart w:id="54" w:name="_Toc216582807"/>
      <w:r>
        <w:rPr>
          <w:rFonts w:hint="eastAsia" w:ascii="宋体" w:hAnsi="宋体" w:cs="宋体"/>
          <w:highlight w:val="none"/>
        </w:rPr>
        <w:t>三   响应文件</w:t>
      </w:r>
      <w:bookmarkEnd w:id="47"/>
      <w:r>
        <w:rPr>
          <w:rFonts w:hint="eastAsia" w:ascii="宋体" w:hAnsi="宋体" w:cs="宋体"/>
          <w:highlight w:val="none"/>
        </w:rPr>
        <w:t>的编制</w:t>
      </w:r>
      <w:bookmarkEnd w:id="48"/>
      <w:bookmarkEnd w:id="49"/>
      <w:bookmarkEnd w:id="50"/>
      <w:bookmarkEnd w:id="51"/>
      <w:bookmarkEnd w:id="52"/>
      <w:bookmarkEnd w:id="53"/>
      <w:bookmarkEnd w:id="54"/>
    </w:p>
    <w:p w14:paraId="7041D53B">
      <w:pPr>
        <w:pStyle w:val="5"/>
        <w:rPr>
          <w:highlight w:val="none"/>
          <w:u w:val="none"/>
        </w:rPr>
      </w:pPr>
      <w:bookmarkStart w:id="55" w:name="_Toc51176589"/>
      <w:r>
        <w:rPr>
          <w:rFonts w:hint="eastAsia"/>
          <w:highlight w:val="none"/>
          <w:u w:val="none"/>
        </w:rPr>
        <w:t>8. 编制要求</w:t>
      </w:r>
      <w:bookmarkEnd w:id="55"/>
    </w:p>
    <w:p w14:paraId="6D92064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2127543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8.2 供应商对多个分包进行响应文件的，应以分包为单位编制响应文件，每一包响应文件均需满足本响应文件对响应文件的签署、盖章要求。</w:t>
      </w:r>
    </w:p>
    <w:p w14:paraId="67407D9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8.3 封面设置</w:t>
      </w:r>
    </w:p>
    <w:p w14:paraId="27B5688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响应文件材料封面设置包括：“响应文件”、项目名称、项目编号、所投包号、供应商名称。</w:t>
      </w:r>
    </w:p>
    <w:p w14:paraId="52278688">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8.4 供应商应按响应文件的要求及格式编写其响应文件；不得缺少或留空任何响应文件要求填写的表格或资料。</w:t>
      </w:r>
    </w:p>
    <w:p w14:paraId="26DE066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8.5 供应商应编制响应文件目录、内容，标注连续页码。</w:t>
      </w:r>
    </w:p>
    <w:p w14:paraId="20AB98E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8.6 关于兼投不兼中要求详见：供应商须知资料表。</w:t>
      </w:r>
    </w:p>
    <w:p w14:paraId="0231B8A1">
      <w:pPr>
        <w:tabs>
          <w:tab w:val="left" w:pos="0"/>
        </w:tabs>
        <w:spacing w:line="480" w:lineRule="exact"/>
        <w:ind w:firstLine="547" w:firstLineChars="227"/>
        <w:rPr>
          <w:rFonts w:ascii="宋体" w:hAnsi="宋体" w:cs="宋体"/>
          <w:b/>
          <w:bCs/>
          <w:sz w:val="24"/>
          <w:highlight w:val="none"/>
        </w:rPr>
      </w:pPr>
      <w:r>
        <w:rPr>
          <w:rFonts w:hint="eastAsia" w:ascii="宋体" w:hAnsi="宋体" w:cs="宋体"/>
          <w:b/>
          <w:bCs/>
          <w:sz w:val="24"/>
          <w:highlight w:val="none"/>
        </w:rPr>
        <w:t>8.7</w:t>
      </w: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的正本和副本均须A4纸双面打印”</w:t>
      </w:r>
      <w:r>
        <w:rPr>
          <w:rFonts w:hint="eastAsia" w:ascii="宋体" w:hAnsi="宋体" w:cs="宋体"/>
          <w:b/>
          <w:bCs/>
          <w:sz w:val="24"/>
          <w:highlight w:val="none"/>
        </w:rPr>
        <w:t>感谢支持！！</w:t>
      </w:r>
    </w:p>
    <w:p w14:paraId="55C6EDE1">
      <w:pPr>
        <w:pStyle w:val="5"/>
        <w:rPr>
          <w:highlight w:val="none"/>
          <w:u w:val="none"/>
        </w:rPr>
      </w:pPr>
      <w:bookmarkStart w:id="56" w:name="_Toc7786"/>
      <w:bookmarkStart w:id="57" w:name="_Toc515647767"/>
      <w:bookmarkStart w:id="58" w:name="_Toc516367021"/>
      <w:bookmarkStart w:id="59" w:name="_Toc520356151"/>
      <w:bookmarkStart w:id="60" w:name="_Toc3553"/>
      <w:r>
        <w:rPr>
          <w:rFonts w:hint="eastAsia"/>
          <w:highlight w:val="none"/>
          <w:u w:val="none"/>
        </w:rPr>
        <w:t>9.响应范围及响应文件中标准和计量单位的使用</w:t>
      </w:r>
      <w:bookmarkEnd w:id="56"/>
      <w:bookmarkEnd w:id="57"/>
      <w:bookmarkEnd w:id="58"/>
      <w:bookmarkEnd w:id="59"/>
      <w:bookmarkEnd w:id="60"/>
    </w:p>
    <w:p w14:paraId="0313E08A">
      <w:pPr>
        <w:tabs>
          <w:tab w:val="left" w:pos="0"/>
        </w:tabs>
        <w:spacing w:line="480" w:lineRule="exact"/>
        <w:ind w:firstLine="544" w:firstLineChars="227"/>
        <w:rPr>
          <w:rFonts w:ascii="宋体" w:hAnsi="宋体" w:cs="宋体"/>
          <w:sz w:val="24"/>
          <w:highlight w:val="none"/>
        </w:rPr>
      </w:pPr>
      <w:bookmarkStart w:id="61" w:name="_Ref467306195"/>
      <w:bookmarkStart w:id="62" w:name="_Ref467306676"/>
      <w:bookmarkStart w:id="63" w:name="_Toc516367022"/>
      <w:bookmarkStart w:id="64" w:name="_Toc520356152"/>
      <w:bookmarkStart w:id="65" w:name="_Toc515647768"/>
      <w:bookmarkStart w:id="66" w:name="_Toc28307"/>
      <w:bookmarkStart w:id="67" w:name="_Toc10364"/>
      <w:r>
        <w:rPr>
          <w:rFonts w:hint="eastAsia" w:ascii="宋体" w:hAnsi="宋体" w:cs="宋体"/>
          <w:sz w:val="24"/>
          <w:highlight w:val="none"/>
        </w:rPr>
        <w:t>9.1 供应商可对竞争性磋商文件其中一个或几个分包进行响应。除非在供应商须知资料表中另有规定。</w:t>
      </w:r>
    </w:p>
    <w:p w14:paraId="34280C8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9.2 供应商应当对竞争性磋商文件中“服务需求”所列的所有内容进行响应，如仅响应某一包中的部分内容，其响应文件将被认定为无效。</w:t>
      </w:r>
    </w:p>
    <w:p w14:paraId="39D8831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9.3 无论竞争性磋商文件第4章服务需求中是否要求，供应商所报服务均应符合国家强制性标准。</w:t>
      </w:r>
    </w:p>
    <w:p w14:paraId="5AFA9344">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9.4 除竞争性磋商文件中有特殊要求外，响应文件中所使用的计量单位，应采用中华人民共和国法定计量单位。</w:t>
      </w:r>
    </w:p>
    <w:p w14:paraId="7D80672E">
      <w:pPr>
        <w:pStyle w:val="5"/>
        <w:rPr>
          <w:highlight w:val="none"/>
          <w:u w:val="none"/>
        </w:rPr>
      </w:pPr>
      <w:r>
        <w:rPr>
          <w:rFonts w:hint="eastAsia"/>
          <w:highlight w:val="none"/>
          <w:u w:val="none"/>
        </w:rPr>
        <w:t>10.响应文件</w:t>
      </w:r>
      <w:bookmarkEnd w:id="61"/>
      <w:bookmarkEnd w:id="62"/>
      <w:bookmarkEnd w:id="63"/>
      <w:r>
        <w:rPr>
          <w:rFonts w:hint="eastAsia"/>
          <w:highlight w:val="none"/>
          <w:u w:val="none"/>
        </w:rPr>
        <w:t>构成</w:t>
      </w:r>
      <w:bookmarkEnd w:id="64"/>
      <w:bookmarkEnd w:id="65"/>
      <w:bookmarkEnd w:id="66"/>
      <w:bookmarkEnd w:id="67"/>
    </w:p>
    <w:p w14:paraId="5C4F9501">
      <w:pPr>
        <w:tabs>
          <w:tab w:val="left" w:pos="0"/>
        </w:tabs>
        <w:spacing w:line="480" w:lineRule="exact"/>
        <w:ind w:firstLine="544" w:firstLineChars="227"/>
        <w:rPr>
          <w:rFonts w:ascii="宋体" w:hAnsi="宋体" w:cs="宋体"/>
          <w:sz w:val="24"/>
          <w:highlight w:val="none"/>
        </w:rPr>
      </w:pPr>
      <w:bookmarkStart w:id="68" w:name="_Ref467052588"/>
      <w:r>
        <w:rPr>
          <w:rFonts w:hint="eastAsia" w:ascii="宋体" w:hAnsi="宋体" w:cs="宋体"/>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769529C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10.2 上述文件应按照竞争性磋商文件规定签署和盖公章或经公章授权的其他单位章（以下统称公章）。采用公章授权方式的，应当在响应文件第一部分附公章授权书（格式自定）。</w:t>
      </w:r>
    </w:p>
    <w:p w14:paraId="17D0379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10.3 供应商应提交证明文件，证明其提供内容符合响应文件规定。该证明文件是响应文件的一部分。</w:t>
      </w:r>
    </w:p>
    <w:p w14:paraId="7A7E135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10.4 上款所述的证明文件，可以是文字资料、图纸和数据等。</w:t>
      </w:r>
    </w:p>
    <w:p w14:paraId="4641873F">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10.5 本项目采用纸质版响应文件。</w:t>
      </w:r>
    </w:p>
    <w:p w14:paraId="6D94C7C3">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 供应商提交的响应文件应包含以下各个部分，具体组成内容见第6章响应文件格式。</w:t>
      </w:r>
    </w:p>
    <w:p w14:paraId="45640448">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10.6.1 商务部分</w:t>
      </w:r>
    </w:p>
    <w:p w14:paraId="3DB63F23">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 资信部分</w:t>
      </w:r>
    </w:p>
    <w:p w14:paraId="694F1F23">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10.6.2.1 供应商须对提交的资格证明真实性、有效性、完整性负责，并保证无不诚信记录。</w:t>
      </w:r>
    </w:p>
    <w:p w14:paraId="7B017C58">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10.6.2.2 资格证明的字迹、印章必须完整、清晰，否则其响应文件将会被拒绝。</w:t>
      </w:r>
    </w:p>
    <w:p w14:paraId="1CB88346">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10.6.3 技术部分</w:t>
      </w:r>
    </w:p>
    <w:p w14:paraId="15FCD482">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10.6.3.1 针对本项目的服务方案及相关承诺</w:t>
      </w:r>
    </w:p>
    <w:p w14:paraId="1960345D">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 xml:space="preserve">10.6.3.2 用于评分的其它材料 </w:t>
      </w:r>
    </w:p>
    <w:bookmarkEnd w:id="68"/>
    <w:p w14:paraId="4C0ADA32">
      <w:pPr>
        <w:pStyle w:val="5"/>
        <w:rPr>
          <w:highlight w:val="none"/>
          <w:u w:val="none"/>
        </w:rPr>
      </w:pPr>
      <w:bookmarkStart w:id="69" w:name="_Toc23231"/>
      <w:bookmarkStart w:id="70" w:name="_Toc2248"/>
      <w:bookmarkStart w:id="71" w:name="_Toc520356155"/>
      <w:bookmarkStart w:id="72" w:name="_Toc515647770"/>
      <w:r>
        <w:rPr>
          <w:rFonts w:hint="eastAsia"/>
          <w:highlight w:val="none"/>
          <w:u w:val="none"/>
        </w:rPr>
        <w:t>11.</w:t>
      </w:r>
      <w:bookmarkEnd w:id="69"/>
      <w:bookmarkEnd w:id="70"/>
      <w:bookmarkEnd w:id="71"/>
      <w:bookmarkEnd w:id="72"/>
      <w:r>
        <w:rPr>
          <w:rFonts w:hint="eastAsia"/>
          <w:highlight w:val="none"/>
          <w:u w:val="none"/>
        </w:rPr>
        <w:t>报价</w:t>
      </w:r>
    </w:p>
    <w:p w14:paraId="4A224FF1">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11.1 供应商的报价应当包括满足本次磋商全部采购需求所应提供的服务，以及伴随的货物或工程。报价要求详见供应商须知资料表。供应商的报价应遵守《中华人民共和国价格法》。</w:t>
      </w:r>
    </w:p>
    <w:p w14:paraId="2987AD0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11.2 供应商应在分项报价表上标明响应服务单价和总价，并由法定代表人（非法人组织的负责人）或其委托代理人签署。</w:t>
      </w:r>
    </w:p>
    <w:p w14:paraId="7428708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11.3 分项报价表上的价格应包括：服务人员、税金、管理和竞争性磋商文件要求提供的所有伴随费用。</w:t>
      </w:r>
    </w:p>
    <w:p w14:paraId="061CDA22">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11.4</w:t>
      </w:r>
      <w:r>
        <w:rPr>
          <w:rFonts w:hint="eastAsia" w:ascii="宋体" w:hAnsi="宋体" w:cs="宋体"/>
          <w:sz w:val="24"/>
          <w:highlight w:val="none"/>
        </w:rPr>
        <w:tab/>
      </w:r>
      <w:r>
        <w:rPr>
          <w:rFonts w:hint="eastAsia" w:ascii="宋体" w:hAnsi="宋体" w:cs="宋体"/>
          <w:sz w:val="24"/>
          <w:highlight w:val="none"/>
        </w:rPr>
        <w:t>供应商所报的各分项单价在合同履行过程中是固定不变的，不得以任何理由予以变更。任何包含价格调整要求的响应文件，其响应文件将被认定为无效。</w:t>
      </w:r>
    </w:p>
    <w:p w14:paraId="30CEFF21">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11.5</w:t>
      </w:r>
      <w:r>
        <w:rPr>
          <w:rFonts w:hint="eastAsia" w:ascii="宋体" w:hAnsi="宋体" w:cs="宋体"/>
          <w:sz w:val="24"/>
          <w:highlight w:val="none"/>
        </w:rPr>
        <w:tab/>
      </w:r>
      <w:r>
        <w:rPr>
          <w:rFonts w:hint="eastAsia" w:ascii="宋体" w:hAnsi="宋体" w:cs="宋体"/>
          <w:sz w:val="24"/>
          <w:highlight w:val="none"/>
        </w:rPr>
        <w:t>采购人不接受具有附加条件的报价或多个方案的报价。</w:t>
      </w:r>
    </w:p>
    <w:p w14:paraId="07B1CF2B">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11.6 通过资格性审查和符合性审查的供应商有再次报价的机会，但每一次报价均应以书面形式确认。价格的评审以最后报价为准。</w:t>
      </w:r>
    </w:p>
    <w:p w14:paraId="77EF2839">
      <w:pPr>
        <w:pStyle w:val="5"/>
        <w:rPr>
          <w:highlight w:val="none"/>
          <w:u w:val="none"/>
        </w:rPr>
      </w:pPr>
      <w:bookmarkStart w:id="73" w:name="_Toc515647771"/>
      <w:bookmarkStart w:id="74" w:name="_Toc520356156"/>
      <w:bookmarkStart w:id="75" w:name="_Toc17788"/>
      <w:bookmarkStart w:id="76" w:name="_Toc11514"/>
      <w:bookmarkStart w:id="77" w:name="_Ref467306513"/>
      <w:r>
        <w:rPr>
          <w:rFonts w:hint="eastAsia"/>
          <w:highlight w:val="none"/>
          <w:u w:val="none"/>
        </w:rPr>
        <w:t>12.磋商保证金</w:t>
      </w:r>
      <w:bookmarkEnd w:id="73"/>
      <w:bookmarkEnd w:id="74"/>
      <w:bookmarkEnd w:id="75"/>
      <w:bookmarkEnd w:id="76"/>
      <w:bookmarkEnd w:id="77"/>
    </w:p>
    <w:p w14:paraId="594367EC">
      <w:pPr>
        <w:tabs>
          <w:tab w:val="left" w:pos="0"/>
        </w:tabs>
        <w:spacing w:line="480" w:lineRule="exact"/>
        <w:ind w:firstLine="544" w:firstLineChars="227"/>
        <w:rPr>
          <w:rFonts w:ascii="宋体" w:hAnsi="宋体" w:cs="宋体"/>
          <w:sz w:val="24"/>
          <w:highlight w:val="none"/>
        </w:rPr>
      </w:pPr>
      <w:bookmarkStart w:id="78" w:name="_Ref467306302"/>
      <w:bookmarkStart w:id="79" w:name="_Toc32569"/>
      <w:bookmarkStart w:id="80" w:name="_Toc23590"/>
      <w:bookmarkStart w:id="81" w:name="_Toc515647772"/>
      <w:bookmarkStart w:id="82" w:name="_Toc520356157"/>
      <w:r>
        <w:rPr>
          <w:rFonts w:hint="eastAsia" w:ascii="宋体" w:hAnsi="宋体" w:cs="宋体"/>
          <w:sz w:val="24"/>
          <w:highlight w:val="none"/>
        </w:rPr>
        <w:t>12.1</w:t>
      </w:r>
      <w:bookmarkEnd w:id="78"/>
      <w:r>
        <w:rPr>
          <w:rFonts w:hint="eastAsia" w:ascii="宋体" w:hAnsi="宋体" w:cs="宋体"/>
          <w:sz w:val="24"/>
          <w:highlight w:val="none"/>
        </w:rPr>
        <w:t xml:space="preserve"> </w:t>
      </w:r>
      <w:r>
        <w:rPr>
          <w:rFonts w:hint="eastAsia" w:ascii="宋体" w:hAnsi="宋体" w:cs="宋体"/>
          <w:b/>
          <w:sz w:val="24"/>
          <w:highlight w:val="none"/>
        </w:rPr>
        <w:t>根据鲁财采【2019】40号的规定，本项目不向诚信记录良好的供应商收取磋商保证金。</w:t>
      </w:r>
    </w:p>
    <w:p w14:paraId="3CCEEE43">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 xml:space="preserve">12.2 </w:t>
      </w:r>
      <w:r>
        <w:rPr>
          <w:rFonts w:ascii="宋体" w:hAnsi="宋体" w:cs="宋体"/>
          <w:sz w:val="24"/>
          <w:highlight w:val="none"/>
        </w:rPr>
        <w:t>供应商在磋商过程及成交后如有违反法律法规的情形，采购代理机构将如实上报政府采购监管部门。</w:t>
      </w:r>
    </w:p>
    <w:p w14:paraId="099BBBB0">
      <w:pPr>
        <w:pStyle w:val="5"/>
        <w:rPr>
          <w:highlight w:val="none"/>
          <w:u w:val="none"/>
        </w:rPr>
      </w:pPr>
      <w:r>
        <w:rPr>
          <w:rFonts w:hint="eastAsia"/>
          <w:highlight w:val="none"/>
          <w:u w:val="none"/>
        </w:rPr>
        <w:t>13.响应有效期</w:t>
      </w:r>
      <w:bookmarkEnd w:id="79"/>
      <w:bookmarkEnd w:id="80"/>
      <w:bookmarkEnd w:id="81"/>
      <w:bookmarkEnd w:id="82"/>
    </w:p>
    <w:p w14:paraId="328C3C5E">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13.1 响应应在供应商须知资料表中规定时间内保持有效。响应有效期不满足要求的响应，其响应文件将被认定为无效。</w:t>
      </w:r>
    </w:p>
    <w:p w14:paraId="70448F6A">
      <w:pPr>
        <w:tabs>
          <w:tab w:val="left" w:pos="0"/>
        </w:tabs>
        <w:spacing w:line="480" w:lineRule="exact"/>
        <w:ind w:firstLine="544" w:firstLineChars="227"/>
        <w:rPr>
          <w:rFonts w:ascii="宋体" w:hAnsi="宋体" w:cs="宋体"/>
          <w:sz w:val="24"/>
          <w:highlight w:val="none"/>
        </w:rPr>
      </w:pPr>
      <w:bookmarkStart w:id="83" w:name="_Toc520356158"/>
      <w:bookmarkStart w:id="84" w:name="_Toc515647773"/>
      <w:bookmarkStart w:id="85" w:name="_Toc17074"/>
      <w:bookmarkStart w:id="86" w:name="_Toc493"/>
      <w:r>
        <w:rPr>
          <w:rFonts w:hint="eastAsia" w:ascii="宋体" w:hAnsi="宋体" w:cs="宋体"/>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14:paraId="46EAE0B8">
      <w:pPr>
        <w:pStyle w:val="5"/>
        <w:rPr>
          <w:highlight w:val="none"/>
          <w:u w:val="none"/>
        </w:rPr>
      </w:pPr>
      <w:bookmarkStart w:id="87" w:name="_Toc19087083"/>
      <w:bookmarkStart w:id="88" w:name="_Toc518923077"/>
      <w:r>
        <w:rPr>
          <w:rFonts w:hint="eastAsia"/>
          <w:highlight w:val="none"/>
          <w:u w:val="none"/>
        </w:rPr>
        <w:t>14.响应文件的</w:t>
      </w:r>
      <w:bookmarkEnd w:id="87"/>
      <w:bookmarkEnd w:id="88"/>
      <w:r>
        <w:rPr>
          <w:rFonts w:hint="eastAsia"/>
          <w:highlight w:val="none"/>
          <w:u w:val="none"/>
        </w:rPr>
        <w:t>签署及规定</w:t>
      </w:r>
    </w:p>
    <w:p w14:paraId="0019EED4">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14:paraId="3B9E56B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744520BA">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14.3 供应商在响应文件及相关文件的签订、履行、通知等事项书面文件中的单位盖章、印章、公章等处均仅指与当事人名称全称相一致的标准公章，不得使用其他形式（如带有“专用章”“合同章”“财务章”“业务章”等字样）的印章；否则，磋商小组有权据此对其响应作无效报价处理。</w:t>
      </w:r>
    </w:p>
    <w:p w14:paraId="785835A5">
      <w:pPr>
        <w:spacing w:line="480" w:lineRule="exact"/>
        <w:rPr>
          <w:rFonts w:ascii="宋体" w:hAnsi="宋体" w:cs="宋体"/>
          <w:sz w:val="24"/>
          <w:highlight w:val="none"/>
          <w:lang w:val="en-GB"/>
        </w:rPr>
      </w:pPr>
    </w:p>
    <w:p w14:paraId="06D5514F">
      <w:pPr>
        <w:pStyle w:val="4"/>
        <w:spacing w:before="0" w:line="480" w:lineRule="exact"/>
        <w:ind w:left="565" w:leftChars="12" w:hanging="540"/>
        <w:rPr>
          <w:rFonts w:ascii="宋体" w:hAnsi="宋体" w:cs="宋体"/>
          <w:szCs w:val="28"/>
          <w:highlight w:val="none"/>
        </w:rPr>
      </w:pPr>
      <w:bookmarkStart w:id="89" w:name="_Toc18853"/>
      <w:bookmarkStart w:id="90" w:name="_Toc11179"/>
      <w:bookmarkStart w:id="91" w:name="_Toc515647774"/>
      <w:bookmarkStart w:id="92" w:name="_Toc68259617"/>
      <w:bookmarkStart w:id="93" w:name="_Toc16865"/>
      <w:bookmarkStart w:id="94" w:name="_Toc520356159"/>
      <w:bookmarkStart w:id="95" w:name="_Toc216582808"/>
      <w:r>
        <w:rPr>
          <w:rFonts w:hint="eastAsia" w:ascii="宋体" w:hAnsi="宋体" w:cs="宋体"/>
          <w:szCs w:val="28"/>
          <w:highlight w:val="none"/>
        </w:rPr>
        <w:t>四   响应文件的递交</w:t>
      </w:r>
      <w:bookmarkEnd w:id="89"/>
      <w:bookmarkEnd w:id="90"/>
      <w:bookmarkEnd w:id="91"/>
      <w:bookmarkEnd w:id="92"/>
      <w:bookmarkEnd w:id="93"/>
      <w:bookmarkEnd w:id="94"/>
      <w:bookmarkEnd w:id="95"/>
    </w:p>
    <w:p w14:paraId="787B41BF">
      <w:pPr>
        <w:pStyle w:val="5"/>
        <w:rPr>
          <w:highlight w:val="none"/>
          <w:u w:val="none"/>
        </w:rPr>
      </w:pPr>
      <w:bookmarkStart w:id="96" w:name="_Toc21645"/>
      <w:bookmarkStart w:id="97" w:name="_Toc515647775"/>
      <w:bookmarkStart w:id="98" w:name="_Toc32337"/>
      <w:bookmarkStart w:id="99" w:name="_Toc520356160"/>
      <w:r>
        <w:rPr>
          <w:rFonts w:hint="eastAsia"/>
          <w:highlight w:val="none"/>
          <w:u w:val="none"/>
        </w:rPr>
        <w:t>15.响应文件的密封和标记</w:t>
      </w:r>
      <w:bookmarkEnd w:id="96"/>
      <w:bookmarkEnd w:id="97"/>
      <w:bookmarkEnd w:id="98"/>
      <w:bookmarkEnd w:id="99"/>
    </w:p>
    <w:p w14:paraId="3BD300E5">
      <w:pPr>
        <w:spacing w:line="480" w:lineRule="exact"/>
        <w:ind w:left="1" w:firstLine="283" w:firstLineChars="118"/>
        <w:rPr>
          <w:rFonts w:ascii="宋体" w:hAnsi="宋体" w:cs="宋体"/>
          <w:sz w:val="24"/>
          <w:highlight w:val="none"/>
        </w:rPr>
      </w:pPr>
      <w:bookmarkStart w:id="100" w:name="_Toc9840"/>
      <w:bookmarkStart w:id="101" w:name="_Toc515647776"/>
      <w:bookmarkStart w:id="102" w:name="_Toc12751"/>
      <w:bookmarkStart w:id="103" w:name="_Toc46238229"/>
      <w:bookmarkStart w:id="104" w:name="_Toc520356161"/>
      <w:r>
        <w:rPr>
          <w:rFonts w:hint="eastAsia" w:ascii="宋体" w:hAnsi="宋体" w:cs="宋体"/>
          <w:sz w:val="24"/>
          <w:highlight w:val="none"/>
        </w:rPr>
        <w:t xml:space="preserve">15.1供应商应将响应文件以正本、副本、报价一览表（一式三份）、电子版为单位分别密封，并在密封件上标明密封件内容、项目编号、项目名称、供应商名称、包号等。 </w:t>
      </w:r>
    </w:p>
    <w:p w14:paraId="44A8CBE7">
      <w:pPr>
        <w:spacing w:line="480" w:lineRule="exact"/>
        <w:ind w:firstLine="480"/>
        <w:rPr>
          <w:rFonts w:ascii="宋体" w:hAnsi="宋体" w:cs="宋体"/>
          <w:sz w:val="24"/>
          <w:highlight w:val="none"/>
        </w:rPr>
      </w:pPr>
      <w:r>
        <w:rPr>
          <w:rFonts w:hint="eastAsia" w:ascii="宋体" w:hAnsi="宋体" w:cs="宋体"/>
          <w:sz w:val="24"/>
          <w:highlight w:val="none"/>
        </w:rPr>
        <w:t>15.2供应商将每部分响应文件装入信袋内加以密封后，并在封签处加盖公章或授权代表签字，如无公章或授权代表签字，响应文件将会被拒收。</w:t>
      </w:r>
    </w:p>
    <w:p w14:paraId="7F37412B">
      <w:pPr>
        <w:spacing w:line="480" w:lineRule="exact"/>
        <w:ind w:firstLine="480"/>
        <w:rPr>
          <w:rFonts w:ascii="宋体" w:hAnsi="宋体" w:cs="宋体"/>
          <w:sz w:val="24"/>
          <w:highlight w:val="none"/>
        </w:rPr>
      </w:pPr>
      <w:r>
        <w:rPr>
          <w:rFonts w:hint="eastAsia" w:ascii="宋体" w:hAnsi="宋体" w:cs="宋体"/>
          <w:sz w:val="24"/>
          <w:highlight w:val="none"/>
        </w:rPr>
        <w:t>15.3 因供应商对其响应文件密封不当或签署不当而造成响应文件被拒收，由供应商自行负责。</w:t>
      </w:r>
    </w:p>
    <w:p w14:paraId="2BA30484">
      <w:pPr>
        <w:spacing w:line="480" w:lineRule="exact"/>
        <w:ind w:firstLine="480"/>
        <w:rPr>
          <w:rFonts w:ascii="宋体" w:hAnsi="宋体" w:cs="宋体"/>
          <w:sz w:val="24"/>
          <w:highlight w:val="none"/>
        </w:rPr>
      </w:pPr>
      <w:r>
        <w:rPr>
          <w:rFonts w:hint="eastAsia" w:ascii="宋体" w:hAnsi="宋体" w:cs="宋体"/>
          <w:sz w:val="24"/>
          <w:highlight w:val="none"/>
        </w:rPr>
        <w:t>15.4 本项目不接收电子邮件方式递交。</w:t>
      </w:r>
    </w:p>
    <w:p w14:paraId="6542342E">
      <w:pPr>
        <w:pStyle w:val="5"/>
        <w:spacing w:before="0" w:after="0" w:line="480" w:lineRule="exact"/>
        <w:rPr>
          <w:rFonts w:cs="宋体"/>
          <w:highlight w:val="none"/>
          <w:u w:val="none"/>
        </w:rPr>
      </w:pPr>
      <w:r>
        <w:rPr>
          <w:rFonts w:hint="eastAsia" w:cs="宋体"/>
          <w:highlight w:val="none"/>
          <w:u w:val="none"/>
        </w:rPr>
        <w:t>16.响应文件截止</w:t>
      </w:r>
      <w:bookmarkEnd w:id="100"/>
      <w:bookmarkEnd w:id="101"/>
      <w:bookmarkEnd w:id="102"/>
      <w:bookmarkEnd w:id="103"/>
      <w:bookmarkEnd w:id="104"/>
    </w:p>
    <w:p w14:paraId="552D2600">
      <w:pPr>
        <w:spacing w:line="480" w:lineRule="exact"/>
        <w:ind w:firstLine="480"/>
        <w:rPr>
          <w:rFonts w:ascii="宋体" w:hAnsi="宋体" w:cs="宋体"/>
          <w:sz w:val="24"/>
          <w:highlight w:val="none"/>
        </w:rPr>
      </w:pPr>
      <w:bookmarkStart w:id="105" w:name="_Toc518923081"/>
      <w:bookmarkStart w:id="106" w:name="_Toc520356162"/>
      <w:bookmarkStart w:id="107" w:name="_Toc46235089"/>
      <w:r>
        <w:rPr>
          <w:rFonts w:hint="eastAsia" w:ascii="宋体" w:hAnsi="宋体" w:cs="宋体"/>
          <w:sz w:val="24"/>
          <w:highlight w:val="none"/>
        </w:rPr>
        <w:t>16.1 供应商递交响应文件的时间和地点：见供应商须知资料表。</w:t>
      </w:r>
    </w:p>
    <w:p w14:paraId="13BE4A19">
      <w:pPr>
        <w:spacing w:line="480" w:lineRule="exact"/>
        <w:ind w:firstLine="480"/>
        <w:rPr>
          <w:rFonts w:ascii="宋体" w:hAnsi="宋体" w:cs="宋体"/>
          <w:sz w:val="24"/>
          <w:highlight w:val="none"/>
        </w:rPr>
      </w:pPr>
      <w:r>
        <w:rPr>
          <w:rFonts w:hint="eastAsia" w:ascii="宋体" w:hAnsi="宋体" w:cs="宋体"/>
          <w:sz w:val="24"/>
          <w:highlight w:val="none"/>
        </w:rPr>
        <w:t>16.2 采购人和采购代理机构将拒绝接收在提交响应文件截止时间后递交的响应文件。</w:t>
      </w:r>
    </w:p>
    <w:p w14:paraId="2021F2F8">
      <w:pPr>
        <w:spacing w:line="480" w:lineRule="exact"/>
        <w:ind w:firstLine="480"/>
        <w:rPr>
          <w:rFonts w:ascii="宋体" w:hAnsi="宋体" w:cs="宋体"/>
          <w:sz w:val="24"/>
          <w:highlight w:val="none"/>
        </w:rPr>
      </w:pPr>
      <w:r>
        <w:rPr>
          <w:rFonts w:hint="eastAsia" w:ascii="宋体" w:hAnsi="宋体" w:cs="宋体"/>
          <w:sz w:val="24"/>
          <w:highlight w:val="none"/>
        </w:rPr>
        <w:t>16.3  供应商所递交的响应文件不予退还。</w:t>
      </w:r>
    </w:p>
    <w:p w14:paraId="73688DBB">
      <w:pPr>
        <w:pStyle w:val="5"/>
        <w:spacing w:before="0" w:after="0" w:line="480" w:lineRule="exact"/>
        <w:rPr>
          <w:rFonts w:cs="宋体"/>
          <w:highlight w:val="none"/>
          <w:u w:val="none"/>
        </w:rPr>
      </w:pPr>
      <w:r>
        <w:rPr>
          <w:rFonts w:hint="eastAsia" w:cs="宋体"/>
          <w:highlight w:val="none"/>
          <w:u w:val="none"/>
        </w:rPr>
        <w:t>17.响应文件的接收、修改与撤回</w:t>
      </w:r>
      <w:bookmarkEnd w:id="105"/>
      <w:bookmarkEnd w:id="106"/>
      <w:bookmarkEnd w:id="107"/>
    </w:p>
    <w:p w14:paraId="652FC6DC">
      <w:pPr>
        <w:spacing w:line="480" w:lineRule="exact"/>
        <w:ind w:firstLine="480"/>
        <w:rPr>
          <w:rFonts w:ascii="宋体" w:hAnsi="宋体" w:cs="宋体"/>
          <w:bCs/>
          <w:sz w:val="24"/>
          <w:highlight w:val="none"/>
        </w:rPr>
      </w:pPr>
      <w:r>
        <w:rPr>
          <w:rFonts w:hint="eastAsia" w:ascii="宋体" w:hAnsi="宋体" w:cs="宋体"/>
          <w:bCs/>
          <w:sz w:val="24"/>
          <w:highlight w:val="none"/>
        </w:rPr>
        <w:t>17.1 供应商在磋商文件要求提交响应文件的截止时间前，可以修改或者撤回已提交的响应文件，并书面形式通知代理机构。</w:t>
      </w:r>
    </w:p>
    <w:p w14:paraId="099E887C">
      <w:pPr>
        <w:spacing w:line="480" w:lineRule="exact"/>
        <w:ind w:firstLine="480"/>
        <w:rPr>
          <w:rFonts w:ascii="宋体" w:hAnsi="宋体" w:cs="宋体"/>
          <w:bCs/>
          <w:sz w:val="24"/>
          <w:highlight w:val="none"/>
        </w:rPr>
      </w:pPr>
      <w:r>
        <w:rPr>
          <w:rFonts w:hint="eastAsia" w:ascii="宋体" w:hAnsi="宋体" w:cs="宋体"/>
          <w:bCs/>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14:paraId="3DBE78A0">
      <w:pPr>
        <w:spacing w:line="480" w:lineRule="exact"/>
        <w:ind w:firstLine="480"/>
        <w:rPr>
          <w:rFonts w:ascii="宋体" w:hAnsi="宋体" w:cs="宋体"/>
          <w:bCs/>
          <w:sz w:val="24"/>
          <w:highlight w:val="none"/>
        </w:rPr>
      </w:pPr>
      <w:r>
        <w:rPr>
          <w:rFonts w:hint="eastAsia" w:ascii="宋体" w:hAnsi="宋体" w:cs="宋体"/>
          <w:bCs/>
          <w:sz w:val="24"/>
          <w:highlight w:val="none"/>
        </w:rPr>
        <w:t>17.3 磋商有效期内不得撤回，否则其磋商保证金不予退还（若有）。</w:t>
      </w:r>
    </w:p>
    <w:p w14:paraId="3A9A0D0A">
      <w:pPr>
        <w:spacing w:line="480" w:lineRule="exact"/>
        <w:rPr>
          <w:rFonts w:ascii="宋体" w:hAnsi="宋体" w:cs="宋体"/>
          <w:sz w:val="24"/>
          <w:highlight w:val="none"/>
        </w:rPr>
      </w:pPr>
    </w:p>
    <w:p w14:paraId="7FC80EAF">
      <w:pPr>
        <w:pStyle w:val="4"/>
        <w:spacing w:before="0" w:line="480" w:lineRule="exact"/>
        <w:ind w:left="565" w:leftChars="12" w:hanging="540"/>
        <w:rPr>
          <w:rFonts w:ascii="宋体" w:hAnsi="宋体" w:cs="宋体"/>
          <w:szCs w:val="28"/>
          <w:highlight w:val="none"/>
        </w:rPr>
      </w:pPr>
      <w:bookmarkStart w:id="108" w:name="_Toc12436"/>
      <w:bookmarkStart w:id="109" w:name="_Toc28398"/>
      <w:bookmarkStart w:id="110" w:name="_Toc216582809"/>
      <w:bookmarkStart w:id="111" w:name="_Toc515647778"/>
      <w:bookmarkStart w:id="112" w:name="_Toc520356163"/>
      <w:bookmarkStart w:id="113" w:name="_Toc19536"/>
      <w:bookmarkStart w:id="114" w:name="_Toc68259618"/>
      <w:r>
        <w:rPr>
          <w:rFonts w:hint="eastAsia" w:ascii="宋体" w:hAnsi="宋体" w:cs="宋体"/>
          <w:szCs w:val="28"/>
          <w:highlight w:val="none"/>
        </w:rPr>
        <w:t>五   提交响应文件截止及磋商</w:t>
      </w:r>
      <w:bookmarkEnd w:id="108"/>
      <w:bookmarkEnd w:id="109"/>
      <w:bookmarkEnd w:id="110"/>
      <w:bookmarkEnd w:id="111"/>
      <w:bookmarkEnd w:id="112"/>
      <w:bookmarkEnd w:id="113"/>
      <w:bookmarkEnd w:id="114"/>
    </w:p>
    <w:p w14:paraId="520E34E4">
      <w:pPr>
        <w:pStyle w:val="5"/>
        <w:rPr>
          <w:highlight w:val="none"/>
          <w:u w:val="none"/>
        </w:rPr>
      </w:pPr>
      <w:r>
        <w:rPr>
          <w:rFonts w:hint="eastAsia"/>
          <w:highlight w:val="none"/>
          <w:u w:val="none"/>
        </w:rPr>
        <w:t>18.提交响应文件截止</w:t>
      </w:r>
    </w:p>
    <w:p w14:paraId="3424C90D">
      <w:pPr>
        <w:spacing w:line="480" w:lineRule="exact"/>
        <w:ind w:firstLine="480"/>
        <w:rPr>
          <w:rFonts w:ascii="宋体" w:hAnsi="宋体" w:cs="宋体"/>
          <w:b/>
          <w:sz w:val="24"/>
          <w:highlight w:val="none"/>
        </w:rPr>
      </w:pPr>
      <w:bookmarkStart w:id="115" w:name="_Toc520356165"/>
      <w:bookmarkStart w:id="116" w:name="_Toc515647780"/>
      <w:bookmarkStart w:id="117" w:name="_Toc21372"/>
      <w:bookmarkStart w:id="118" w:name="_Toc19296"/>
      <w:r>
        <w:rPr>
          <w:rFonts w:hint="eastAsia" w:ascii="宋体" w:hAnsi="宋体" w:cs="宋体"/>
          <w:b/>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73B135CD">
      <w:pPr>
        <w:spacing w:line="480" w:lineRule="exact"/>
        <w:ind w:firstLine="480"/>
        <w:rPr>
          <w:rFonts w:ascii="宋体" w:hAnsi="宋体" w:cs="宋体"/>
          <w:b/>
          <w:sz w:val="24"/>
          <w:highlight w:val="none"/>
        </w:rPr>
      </w:pPr>
      <w:r>
        <w:rPr>
          <w:rFonts w:hint="eastAsia" w:ascii="宋体" w:hAnsi="宋体" w:cs="宋体"/>
          <w:b/>
          <w:sz w:val="24"/>
          <w:highlight w:val="none"/>
        </w:rPr>
        <w:t>18.2  磋商截止时间后，不允许对响应文件做实质性修改，同时采购人和采购代理机构对所接收响应文件概不退回。</w:t>
      </w:r>
    </w:p>
    <w:p w14:paraId="11C674DC">
      <w:pPr>
        <w:pStyle w:val="5"/>
        <w:rPr>
          <w:highlight w:val="none"/>
          <w:u w:val="none"/>
        </w:rPr>
      </w:pPr>
      <w:bookmarkStart w:id="119" w:name="_Toc411637993"/>
      <w:r>
        <w:rPr>
          <w:rFonts w:hint="eastAsia"/>
          <w:highlight w:val="none"/>
          <w:u w:val="none"/>
        </w:rPr>
        <w:t>19. 磋商小组</w:t>
      </w:r>
      <w:bookmarkEnd w:id="119"/>
    </w:p>
    <w:p w14:paraId="405741C2">
      <w:pPr>
        <w:spacing w:line="480" w:lineRule="exact"/>
        <w:ind w:firstLine="480"/>
        <w:rPr>
          <w:rFonts w:ascii="宋体" w:hAnsi="宋体" w:cs="宋体"/>
          <w:sz w:val="24"/>
          <w:highlight w:val="none"/>
        </w:rPr>
      </w:pPr>
      <w:r>
        <w:rPr>
          <w:rFonts w:hint="eastAsia" w:ascii="宋体" w:hAnsi="宋体" w:cs="宋体"/>
          <w:sz w:val="24"/>
          <w:highlight w:val="none"/>
        </w:rPr>
        <w:t>19.1 采购代理机构将按照《中华人民共和国政府采购法》及有关规定组建磋商小组。磋商小组由采购人代表及有关经济、技术等方面的专家</w:t>
      </w:r>
      <w:r>
        <w:rPr>
          <w:rFonts w:hint="eastAsia" w:ascii="宋体" w:hAnsi="宋体" w:cs="宋体"/>
          <w:b/>
          <w:bCs/>
          <w:sz w:val="24"/>
          <w:highlight w:val="none"/>
        </w:rPr>
        <w:t>3</w:t>
      </w:r>
      <w:r>
        <w:rPr>
          <w:rFonts w:hint="eastAsia" w:ascii="宋体" w:hAnsi="宋体" w:cs="宋体"/>
          <w:sz w:val="24"/>
          <w:highlight w:val="none"/>
        </w:rPr>
        <w:t>人组成。</w:t>
      </w:r>
    </w:p>
    <w:p w14:paraId="44CE86B7">
      <w:pPr>
        <w:spacing w:line="480" w:lineRule="exact"/>
        <w:ind w:firstLine="480"/>
        <w:rPr>
          <w:rFonts w:ascii="宋体" w:hAnsi="宋体" w:cs="宋体"/>
          <w:sz w:val="24"/>
          <w:highlight w:val="none"/>
        </w:rPr>
      </w:pPr>
      <w:r>
        <w:rPr>
          <w:rFonts w:hint="eastAsia" w:ascii="宋体" w:hAnsi="宋体" w:cs="宋体"/>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24AD0FF1">
      <w:pPr>
        <w:spacing w:line="480" w:lineRule="exact"/>
        <w:ind w:firstLine="480"/>
        <w:rPr>
          <w:rFonts w:ascii="宋体" w:hAnsi="宋体" w:cs="宋体"/>
          <w:sz w:val="24"/>
          <w:highlight w:val="none"/>
        </w:rPr>
      </w:pPr>
      <w:r>
        <w:rPr>
          <w:rFonts w:hint="eastAsia" w:ascii="宋体" w:hAnsi="宋体" w:cs="宋体"/>
          <w:sz w:val="24"/>
          <w:highlight w:val="none"/>
        </w:rPr>
        <w:t>19.3 磋商小组的职责：</w:t>
      </w:r>
    </w:p>
    <w:p w14:paraId="5B5F6E7E">
      <w:pPr>
        <w:spacing w:line="480" w:lineRule="exact"/>
        <w:ind w:firstLine="480"/>
        <w:rPr>
          <w:rFonts w:ascii="宋体" w:hAnsi="宋体" w:cs="宋体"/>
          <w:sz w:val="24"/>
          <w:highlight w:val="none"/>
        </w:rPr>
      </w:pPr>
      <w:r>
        <w:rPr>
          <w:rFonts w:hint="eastAsia" w:ascii="宋体" w:hAnsi="宋体" w:cs="宋体"/>
          <w:sz w:val="24"/>
          <w:highlight w:val="none"/>
        </w:rPr>
        <w:t>（1）审查响应文件是否符合磋商文件要求；</w:t>
      </w:r>
    </w:p>
    <w:p w14:paraId="372FFDD1">
      <w:pPr>
        <w:spacing w:line="480" w:lineRule="exact"/>
        <w:ind w:firstLine="480"/>
        <w:rPr>
          <w:rFonts w:ascii="宋体" w:hAnsi="宋体" w:cs="宋体"/>
          <w:sz w:val="24"/>
          <w:highlight w:val="none"/>
        </w:rPr>
      </w:pPr>
      <w:r>
        <w:rPr>
          <w:rFonts w:hint="eastAsia" w:ascii="宋体" w:hAnsi="宋体" w:cs="宋体"/>
          <w:sz w:val="24"/>
          <w:highlight w:val="none"/>
        </w:rPr>
        <w:t>（2）要求供应商对响应文件有关事项做出解释或者澄清；</w:t>
      </w:r>
    </w:p>
    <w:p w14:paraId="030EBC16">
      <w:pPr>
        <w:spacing w:line="480" w:lineRule="exact"/>
        <w:ind w:firstLine="480"/>
        <w:rPr>
          <w:rFonts w:ascii="宋体" w:hAnsi="宋体" w:cs="宋体"/>
          <w:sz w:val="24"/>
          <w:highlight w:val="none"/>
        </w:rPr>
      </w:pPr>
      <w:r>
        <w:rPr>
          <w:rFonts w:hint="eastAsia" w:ascii="宋体" w:hAnsi="宋体" w:cs="宋体"/>
          <w:sz w:val="24"/>
          <w:highlight w:val="none"/>
        </w:rPr>
        <w:t>（3）按照磋商文件规定的评分标准进行评比和打分；</w:t>
      </w:r>
    </w:p>
    <w:p w14:paraId="700095DC">
      <w:pPr>
        <w:spacing w:line="480" w:lineRule="exact"/>
        <w:ind w:firstLine="480"/>
        <w:rPr>
          <w:rFonts w:ascii="宋体" w:hAnsi="宋体" w:cs="宋体"/>
          <w:sz w:val="24"/>
          <w:highlight w:val="none"/>
        </w:rPr>
      </w:pPr>
      <w:r>
        <w:rPr>
          <w:rFonts w:hint="eastAsia" w:ascii="宋体" w:hAnsi="宋体" w:cs="宋体"/>
          <w:sz w:val="24"/>
          <w:highlight w:val="none"/>
        </w:rPr>
        <w:t>（4）推荐成交候选供应商名单，或者受采购人委托按照事先确定的办法直接确定成交供应商；</w:t>
      </w:r>
    </w:p>
    <w:p w14:paraId="4CE195A7">
      <w:pPr>
        <w:spacing w:line="480" w:lineRule="exact"/>
        <w:ind w:firstLine="480"/>
        <w:rPr>
          <w:rFonts w:ascii="宋体" w:hAnsi="宋体" w:cs="宋体"/>
          <w:sz w:val="24"/>
          <w:highlight w:val="none"/>
        </w:rPr>
      </w:pPr>
      <w:r>
        <w:rPr>
          <w:rFonts w:hint="eastAsia" w:ascii="宋体" w:hAnsi="宋体" w:cs="宋体"/>
          <w:sz w:val="24"/>
          <w:highlight w:val="none"/>
        </w:rPr>
        <w:t>（5）向采购单位或者有关部门报告非法干预评审工作的行为。</w:t>
      </w:r>
    </w:p>
    <w:p w14:paraId="3263DCFB">
      <w:pPr>
        <w:spacing w:line="480" w:lineRule="exact"/>
        <w:ind w:firstLine="480"/>
        <w:rPr>
          <w:rFonts w:ascii="宋体" w:hAnsi="宋体" w:cs="宋体"/>
          <w:sz w:val="24"/>
          <w:highlight w:val="none"/>
        </w:rPr>
      </w:pPr>
      <w:r>
        <w:rPr>
          <w:rFonts w:hint="eastAsia" w:ascii="宋体" w:hAnsi="宋体" w:cs="宋体"/>
          <w:sz w:val="24"/>
          <w:highlight w:val="none"/>
        </w:rPr>
        <w:t>19.4 磋商小组的义务：</w:t>
      </w:r>
    </w:p>
    <w:p w14:paraId="5653DCBC">
      <w:pPr>
        <w:spacing w:line="480" w:lineRule="exact"/>
        <w:ind w:firstLine="480"/>
        <w:rPr>
          <w:rFonts w:ascii="宋体" w:hAnsi="宋体" w:cs="宋体"/>
          <w:sz w:val="24"/>
          <w:highlight w:val="none"/>
        </w:rPr>
      </w:pPr>
      <w:r>
        <w:rPr>
          <w:rFonts w:hint="eastAsia" w:ascii="宋体" w:hAnsi="宋体" w:cs="宋体"/>
          <w:sz w:val="24"/>
          <w:highlight w:val="none"/>
        </w:rPr>
        <w:t>（1）遵纪守法，客观、公正、廉洁地履行职责；</w:t>
      </w:r>
    </w:p>
    <w:p w14:paraId="4A40F764">
      <w:pPr>
        <w:spacing w:line="480" w:lineRule="exact"/>
        <w:ind w:firstLine="480"/>
        <w:rPr>
          <w:rFonts w:ascii="宋体" w:hAnsi="宋体" w:cs="宋体"/>
          <w:sz w:val="24"/>
          <w:highlight w:val="none"/>
        </w:rPr>
      </w:pPr>
      <w:r>
        <w:rPr>
          <w:rFonts w:hint="eastAsia" w:ascii="宋体" w:hAnsi="宋体" w:cs="宋体"/>
          <w:sz w:val="24"/>
          <w:highlight w:val="none"/>
        </w:rPr>
        <w:t>（2）根据采购文件的规定独立进行评审，对个人的评审意见承担法律责任；</w:t>
      </w:r>
    </w:p>
    <w:p w14:paraId="76CA93A1">
      <w:pPr>
        <w:spacing w:line="480" w:lineRule="exact"/>
        <w:ind w:firstLine="480"/>
        <w:rPr>
          <w:rFonts w:ascii="宋体" w:hAnsi="宋体" w:cs="宋体"/>
          <w:sz w:val="24"/>
          <w:highlight w:val="none"/>
        </w:rPr>
      </w:pPr>
      <w:r>
        <w:rPr>
          <w:rFonts w:hint="eastAsia" w:ascii="宋体" w:hAnsi="宋体" w:cs="宋体"/>
          <w:sz w:val="24"/>
          <w:highlight w:val="none"/>
        </w:rPr>
        <w:t>（3）参与评审报告的起草；</w:t>
      </w:r>
    </w:p>
    <w:p w14:paraId="71D24EAF">
      <w:pPr>
        <w:spacing w:line="480" w:lineRule="exact"/>
        <w:ind w:firstLine="480"/>
        <w:rPr>
          <w:rFonts w:ascii="宋体" w:hAnsi="宋体" w:cs="宋体"/>
          <w:sz w:val="24"/>
          <w:highlight w:val="none"/>
        </w:rPr>
      </w:pPr>
      <w:r>
        <w:rPr>
          <w:rFonts w:hint="eastAsia" w:ascii="宋体" w:hAnsi="宋体" w:cs="宋体"/>
          <w:sz w:val="24"/>
          <w:highlight w:val="none"/>
        </w:rPr>
        <w:t>（4）配合采购人、采购代理机构答复供应商提出的质疑；</w:t>
      </w:r>
    </w:p>
    <w:p w14:paraId="0A6CCE2B">
      <w:pPr>
        <w:spacing w:line="480" w:lineRule="exact"/>
        <w:ind w:firstLine="480"/>
        <w:rPr>
          <w:rFonts w:ascii="宋体" w:hAnsi="宋体" w:cs="宋体"/>
          <w:sz w:val="24"/>
          <w:highlight w:val="none"/>
        </w:rPr>
      </w:pPr>
      <w:r>
        <w:rPr>
          <w:rFonts w:hint="eastAsia" w:ascii="宋体" w:hAnsi="宋体" w:cs="宋体"/>
          <w:sz w:val="24"/>
          <w:highlight w:val="none"/>
        </w:rPr>
        <w:t>（5）配合财政部门的投诉处理和监督检查工作。</w:t>
      </w:r>
    </w:p>
    <w:p w14:paraId="53EE187B">
      <w:pPr>
        <w:pStyle w:val="5"/>
        <w:rPr>
          <w:highlight w:val="none"/>
          <w:u w:val="none"/>
        </w:rPr>
      </w:pPr>
      <w:r>
        <w:rPr>
          <w:rFonts w:hint="eastAsia"/>
          <w:highlight w:val="none"/>
          <w:u w:val="none"/>
        </w:rPr>
        <w:t>20.</w:t>
      </w:r>
      <w:bookmarkEnd w:id="115"/>
      <w:r>
        <w:rPr>
          <w:rFonts w:hint="eastAsia"/>
          <w:highlight w:val="none"/>
          <w:u w:val="none"/>
        </w:rPr>
        <w:t>资格审查</w:t>
      </w:r>
      <w:bookmarkEnd w:id="116"/>
      <w:bookmarkEnd w:id="117"/>
      <w:bookmarkEnd w:id="118"/>
    </w:p>
    <w:p w14:paraId="348B7D06">
      <w:pPr>
        <w:spacing w:line="480" w:lineRule="exact"/>
        <w:ind w:firstLine="480"/>
        <w:rPr>
          <w:rFonts w:ascii="宋体" w:hAnsi="宋体" w:cs="宋体"/>
          <w:sz w:val="24"/>
          <w:highlight w:val="none"/>
        </w:rPr>
      </w:pPr>
      <w:bookmarkStart w:id="120" w:name="_Toc520356166"/>
      <w:bookmarkStart w:id="121" w:name="_Toc28479"/>
      <w:bookmarkStart w:id="122" w:name="_Toc19949"/>
      <w:bookmarkStart w:id="123" w:name="_Toc515647781"/>
      <w:r>
        <w:rPr>
          <w:rFonts w:hint="eastAsia" w:ascii="宋体" w:hAnsi="宋体" w:cs="宋体"/>
          <w:sz w:val="24"/>
          <w:highlight w:val="none"/>
        </w:rPr>
        <w:t>20.1 磋商小组依据法律法规和竞争性磋商文件中规定的内容，对供应商的资格进行审查。未通过资格审查的供应商不进入磋商；通过资格审查的供应商不足3家的，不得磋商。</w:t>
      </w:r>
    </w:p>
    <w:p w14:paraId="4B2572D3">
      <w:pPr>
        <w:spacing w:line="480" w:lineRule="exact"/>
        <w:ind w:firstLine="480"/>
        <w:rPr>
          <w:rFonts w:ascii="宋体" w:hAnsi="宋体" w:cs="宋体"/>
          <w:sz w:val="24"/>
          <w:highlight w:val="none"/>
        </w:rPr>
      </w:pPr>
      <w:r>
        <w:rPr>
          <w:rFonts w:hint="eastAsia" w:ascii="宋体" w:hAnsi="宋体" w:cs="宋体"/>
          <w:sz w:val="24"/>
          <w:highlight w:val="none"/>
        </w:rPr>
        <w:t>20.2  采购人或采购代理机构将按供应商须知资料表查询供应商的信用记录。</w:t>
      </w:r>
    </w:p>
    <w:p w14:paraId="32CDAD43">
      <w:pPr>
        <w:spacing w:line="480" w:lineRule="exact"/>
        <w:ind w:firstLine="480"/>
        <w:rPr>
          <w:rFonts w:ascii="宋体" w:hAnsi="宋体" w:cs="宋体"/>
          <w:sz w:val="24"/>
          <w:highlight w:val="none"/>
        </w:rPr>
      </w:pPr>
      <w:r>
        <w:rPr>
          <w:rFonts w:hint="eastAsia" w:ascii="宋体" w:hAnsi="宋体" w:cs="宋体"/>
          <w:sz w:val="24"/>
          <w:highlight w:val="none"/>
        </w:rPr>
        <w:t>20.2.1 供应商在中国政府采购网（</w:t>
      </w:r>
      <w:r>
        <w:rPr>
          <w:highlight w:val="none"/>
        </w:rPr>
        <w:fldChar w:fldCharType="begin"/>
      </w:r>
      <w:r>
        <w:rPr>
          <w:highlight w:val="none"/>
        </w:rPr>
        <w:instrText xml:space="preserve"> HYPERLINK "http://www.ccgp.gov.cn" </w:instrText>
      </w:r>
      <w:r>
        <w:rPr>
          <w:highlight w:val="none"/>
        </w:rPr>
        <w:fldChar w:fldCharType="separate"/>
      </w:r>
      <w:r>
        <w:rPr>
          <w:rFonts w:hint="eastAsia"/>
          <w:highlight w:val="none"/>
        </w:rPr>
        <w:t>www.ccgp.gov.cn</w:t>
      </w:r>
      <w:r>
        <w:rPr>
          <w:rFonts w:hint="eastAsia"/>
          <w:highlight w:val="none"/>
        </w:rPr>
        <w:fldChar w:fldCharType="end"/>
      </w:r>
      <w:r>
        <w:rPr>
          <w:rFonts w:hint="eastAsia" w:ascii="宋体" w:hAnsi="宋体" w:cs="宋体"/>
          <w:sz w:val="24"/>
          <w:highlight w:val="none"/>
        </w:rPr>
        <w:t>）被列入政府采购严重违法失信行为记录名单，或在“信用中国”网站（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highlight w:val="none"/>
        </w:rPr>
        <w:t>www.creditchina.gov.cn</w:t>
      </w:r>
      <w:r>
        <w:rPr>
          <w:rFonts w:hint="eastAsia"/>
          <w:highlight w:val="none"/>
        </w:rPr>
        <w:fldChar w:fldCharType="end"/>
      </w:r>
      <w:r>
        <w:rPr>
          <w:rFonts w:hint="eastAsia" w:ascii="宋体" w:hAnsi="宋体" w:cs="宋体"/>
          <w:sz w:val="24"/>
          <w:highlight w:val="none"/>
        </w:rPr>
        <w:t>）或“信用山东”网站（</w:t>
      </w:r>
      <w:r>
        <w:rPr>
          <w:highlight w:val="none"/>
        </w:rPr>
        <w:fldChar w:fldCharType="begin"/>
      </w:r>
      <w:r>
        <w:rPr>
          <w:highlight w:val="none"/>
        </w:rPr>
        <w:instrText xml:space="preserve"> HYPERLINK "http://www.creditsd.gov.cn" </w:instrText>
      </w:r>
      <w:r>
        <w:rPr>
          <w:highlight w:val="none"/>
        </w:rPr>
        <w:fldChar w:fldCharType="separate"/>
      </w:r>
      <w:r>
        <w:rPr>
          <w:rFonts w:hint="eastAsia"/>
          <w:highlight w:val="none"/>
        </w:rPr>
        <w:t>www.creditsd.gov.cn</w:t>
      </w:r>
      <w:r>
        <w:rPr>
          <w:rFonts w:hint="eastAsia"/>
          <w:highlight w:val="none"/>
        </w:rPr>
        <w:fldChar w:fldCharType="end"/>
      </w:r>
      <w:r>
        <w:rPr>
          <w:rFonts w:hint="eastAsia" w:ascii="宋体" w:hAnsi="宋体" w:cs="宋体"/>
          <w:sz w:val="24"/>
          <w:highlight w:val="none"/>
        </w:rPr>
        <w:t>）被列入失信被执行人、重大税收违法失信主体名单，以及存在《中华人民共和国政府采购法实施条例》第十九条规定的行政处罚记录。</w:t>
      </w:r>
    </w:p>
    <w:p w14:paraId="0F497A45">
      <w:pPr>
        <w:spacing w:line="480" w:lineRule="exact"/>
        <w:ind w:firstLine="480"/>
        <w:rPr>
          <w:rFonts w:ascii="宋体" w:hAnsi="宋体" w:cs="宋体"/>
          <w:sz w:val="24"/>
          <w:highlight w:val="none"/>
        </w:rPr>
      </w:pPr>
      <w:r>
        <w:rPr>
          <w:rFonts w:hint="eastAsia" w:ascii="宋体" w:hAnsi="宋体" w:cs="宋体"/>
          <w:sz w:val="24"/>
          <w:highlight w:val="none"/>
        </w:rPr>
        <w:t>以联合体形式进行响应的，联合体任何成员存在以上不良信用记录的，联合体其响应文件将被认定为无效</w:t>
      </w:r>
    </w:p>
    <w:p w14:paraId="09072A81">
      <w:pPr>
        <w:spacing w:line="480" w:lineRule="exact"/>
        <w:ind w:firstLine="480"/>
        <w:rPr>
          <w:rFonts w:ascii="宋体" w:hAnsi="宋体" w:cs="宋体"/>
          <w:sz w:val="24"/>
          <w:highlight w:val="none"/>
        </w:rPr>
      </w:pPr>
      <w:r>
        <w:rPr>
          <w:rFonts w:hint="eastAsia" w:ascii="宋体" w:hAnsi="宋体" w:cs="宋体"/>
          <w:sz w:val="24"/>
          <w:highlight w:val="none"/>
        </w:rPr>
        <w:t>20.2.2 采购人或采购代理机构将信用记录查询网页打印并存档备查。供应商信用记录以采购人或采购代理机构查询结果为准。供应商自行提供的与网站信息不一致的其他证明材料亦不作为资格审查的依据。</w:t>
      </w:r>
    </w:p>
    <w:p w14:paraId="6378DA66">
      <w:pPr>
        <w:spacing w:line="480" w:lineRule="exact"/>
        <w:ind w:firstLine="480"/>
        <w:rPr>
          <w:rFonts w:ascii="宋体" w:hAnsi="宋体" w:cs="宋体"/>
          <w:sz w:val="24"/>
          <w:highlight w:val="none"/>
        </w:rPr>
      </w:pPr>
      <w:r>
        <w:rPr>
          <w:rFonts w:hint="eastAsia" w:ascii="宋体" w:hAnsi="宋体" w:cs="宋体"/>
          <w:sz w:val="24"/>
          <w:highlight w:val="none"/>
        </w:rPr>
        <w:t>在本竞争性磋商文件规定的查询时间之后，网站信息发生的任何变更均不再作为磋商依据。</w:t>
      </w:r>
    </w:p>
    <w:p w14:paraId="5F314D75">
      <w:pPr>
        <w:pStyle w:val="5"/>
        <w:rPr>
          <w:highlight w:val="none"/>
          <w:u w:val="none"/>
        </w:rPr>
      </w:pPr>
      <w:r>
        <w:rPr>
          <w:rFonts w:hint="eastAsia"/>
          <w:highlight w:val="none"/>
          <w:u w:val="none"/>
        </w:rPr>
        <w:t>21.响应文件</w:t>
      </w:r>
      <w:bookmarkEnd w:id="120"/>
      <w:r>
        <w:rPr>
          <w:rFonts w:hint="eastAsia"/>
          <w:highlight w:val="none"/>
          <w:u w:val="none"/>
        </w:rPr>
        <w:t>符合性审查与澄清</w:t>
      </w:r>
      <w:bookmarkEnd w:id="121"/>
      <w:bookmarkEnd w:id="122"/>
      <w:bookmarkEnd w:id="123"/>
    </w:p>
    <w:p w14:paraId="6F5EE4FB">
      <w:pPr>
        <w:spacing w:line="480" w:lineRule="exact"/>
        <w:ind w:firstLine="480"/>
        <w:rPr>
          <w:rFonts w:ascii="宋体" w:hAnsi="宋体" w:cs="宋体"/>
          <w:sz w:val="24"/>
          <w:highlight w:val="none"/>
        </w:rPr>
      </w:pPr>
      <w:r>
        <w:rPr>
          <w:rFonts w:hint="eastAsia" w:ascii="宋体" w:hAnsi="宋体" w:cs="宋体"/>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4" w:name="_Hlt522424701"/>
      <w:bookmarkEnd w:id="124"/>
      <w:bookmarkStart w:id="125" w:name="_Toc520356167"/>
    </w:p>
    <w:p w14:paraId="618A043C">
      <w:pPr>
        <w:spacing w:line="480" w:lineRule="exact"/>
        <w:ind w:firstLine="480"/>
        <w:rPr>
          <w:rFonts w:ascii="宋体" w:hAnsi="宋体" w:cs="宋体"/>
          <w:sz w:val="24"/>
          <w:highlight w:val="none"/>
        </w:rPr>
      </w:pPr>
      <w:r>
        <w:rPr>
          <w:rFonts w:hint="eastAsia" w:ascii="宋体" w:hAnsi="宋体" w:cs="宋体"/>
          <w:sz w:val="24"/>
          <w:highlight w:val="none"/>
        </w:rPr>
        <w:t>21.2  经磋商小组集体审核通过，对于不符合条件的供应商要说明其不符合要求的原因，由其法定代表人或授权代表签字确认，供应商代表拒不签字的，并不影响磋商小组所做出的结论。</w:t>
      </w:r>
    </w:p>
    <w:p w14:paraId="094505C3">
      <w:pPr>
        <w:spacing w:line="480" w:lineRule="exact"/>
        <w:ind w:firstLine="480"/>
        <w:rPr>
          <w:rFonts w:ascii="宋体" w:hAnsi="宋体" w:cs="宋体"/>
          <w:sz w:val="24"/>
          <w:highlight w:val="none"/>
        </w:rPr>
      </w:pPr>
      <w:r>
        <w:rPr>
          <w:rFonts w:hint="eastAsia" w:ascii="宋体" w:hAnsi="宋体" w:cs="宋体"/>
          <w:sz w:val="24"/>
          <w:highlight w:val="none"/>
        </w:rPr>
        <w:t>21.3</w:t>
      </w:r>
      <w:r>
        <w:rPr>
          <w:rFonts w:hint="eastAsia" w:ascii="宋体" w:hAnsi="宋体" w:cs="宋体"/>
          <w:sz w:val="24"/>
          <w:highlight w:val="none"/>
        </w:rPr>
        <w:tab/>
      </w:r>
      <w:r>
        <w:rPr>
          <w:rFonts w:hint="eastAsia" w:ascii="宋体" w:hAnsi="宋体" w:cs="宋体"/>
          <w:sz w:val="24"/>
          <w:highlight w:val="none"/>
        </w:rPr>
        <w:t>响应文件的澄清</w:t>
      </w:r>
    </w:p>
    <w:p w14:paraId="5F1FD2FC">
      <w:pPr>
        <w:spacing w:line="480" w:lineRule="exact"/>
        <w:ind w:firstLine="480"/>
        <w:rPr>
          <w:rFonts w:ascii="宋体" w:hAnsi="宋体" w:cs="宋体"/>
          <w:sz w:val="24"/>
          <w:highlight w:val="none"/>
        </w:rPr>
      </w:pPr>
      <w:r>
        <w:rPr>
          <w:rFonts w:hint="eastAsia" w:ascii="宋体" w:hAnsi="宋体" w:cs="宋体"/>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5CD15C0B">
      <w:pPr>
        <w:spacing w:line="480" w:lineRule="exact"/>
        <w:ind w:firstLine="480"/>
        <w:rPr>
          <w:rFonts w:ascii="宋体" w:hAnsi="宋体" w:cs="宋体"/>
          <w:sz w:val="24"/>
          <w:highlight w:val="none"/>
        </w:rPr>
      </w:pPr>
      <w:r>
        <w:rPr>
          <w:rFonts w:hint="eastAsia" w:ascii="宋体" w:hAnsi="宋体" w:cs="宋体"/>
          <w:sz w:val="24"/>
          <w:highlight w:val="none"/>
        </w:rPr>
        <w:t>21.3.2 供应商的澄清、说明或补正将作为响应文件的一部分。</w:t>
      </w:r>
    </w:p>
    <w:p w14:paraId="3D13F595">
      <w:pPr>
        <w:spacing w:line="480" w:lineRule="exact"/>
        <w:ind w:firstLine="480"/>
        <w:rPr>
          <w:rFonts w:ascii="宋体" w:hAnsi="宋体" w:cs="宋体"/>
          <w:sz w:val="24"/>
          <w:highlight w:val="none"/>
        </w:rPr>
      </w:pPr>
      <w:r>
        <w:rPr>
          <w:rFonts w:hint="eastAsia" w:ascii="宋体" w:hAnsi="宋体" w:cs="宋体"/>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6A7F531A">
      <w:pPr>
        <w:spacing w:line="480" w:lineRule="exact"/>
        <w:ind w:firstLine="480"/>
        <w:rPr>
          <w:rFonts w:ascii="宋体" w:hAnsi="宋体" w:cs="宋体"/>
          <w:sz w:val="24"/>
          <w:highlight w:val="none"/>
        </w:rPr>
      </w:pPr>
      <w:r>
        <w:rPr>
          <w:rFonts w:hint="eastAsia" w:ascii="宋体" w:hAnsi="宋体" w:cs="宋体"/>
          <w:sz w:val="24"/>
          <w:highlight w:val="none"/>
        </w:rPr>
        <w:t>21.4  已提交响应文件的供应商，在提交最后报价之前，可以根据磋商情况退出磋商。</w:t>
      </w:r>
    </w:p>
    <w:p w14:paraId="269AEE98">
      <w:pPr>
        <w:spacing w:line="480" w:lineRule="exact"/>
        <w:ind w:firstLine="480"/>
        <w:rPr>
          <w:rFonts w:ascii="宋体" w:hAnsi="宋体" w:cs="宋体"/>
          <w:sz w:val="24"/>
          <w:highlight w:val="none"/>
        </w:rPr>
      </w:pPr>
      <w:r>
        <w:rPr>
          <w:rFonts w:hint="eastAsia" w:ascii="宋体" w:hAnsi="宋体" w:cs="宋体"/>
          <w:sz w:val="24"/>
          <w:highlight w:val="none"/>
        </w:rPr>
        <w:t>21.5 磋商小组可以接受响应文件中不构成实质性偏离的不正规或不一致。</w:t>
      </w:r>
    </w:p>
    <w:p w14:paraId="4889E7B5">
      <w:pPr>
        <w:pStyle w:val="5"/>
        <w:rPr>
          <w:highlight w:val="none"/>
          <w:u w:val="none"/>
        </w:rPr>
      </w:pPr>
      <w:bookmarkStart w:id="126" w:name="_Toc515647783"/>
      <w:bookmarkStart w:id="127" w:name="_Toc4950"/>
      <w:bookmarkStart w:id="128" w:name="_Toc6092"/>
      <w:r>
        <w:rPr>
          <w:rFonts w:hint="eastAsia"/>
          <w:highlight w:val="none"/>
          <w:u w:val="none"/>
        </w:rPr>
        <w:t>22.</w:t>
      </w:r>
      <w:bookmarkEnd w:id="126"/>
      <w:r>
        <w:rPr>
          <w:rFonts w:hint="eastAsia"/>
          <w:highlight w:val="none"/>
          <w:u w:val="none"/>
        </w:rPr>
        <w:t>无效</w:t>
      </w:r>
      <w:bookmarkEnd w:id="127"/>
      <w:bookmarkEnd w:id="128"/>
      <w:r>
        <w:rPr>
          <w:rFonts w:hint="eastAsia"/>
          <w:highlight w:val="none"/>
          <w:u w:val="none"/>
        </w:rPr>
        <w:t>响应</w:t>
      </w:r>
    </w:p>
    <w:p w14:paraId="6AD38279">
      <w:pPr>
        <w:spacing w:line="480" w:lineRule="exact"/>
        <w:ind w:firstLine="480"/>
        <w:rPr>
          <w:rFonts w:ascii="宋体" w:hAnsi="宋体" w:cs="宋体"/>
          <w:sz w:val="24"/>
          <w:highlight w:val="none"/>
        </w:rPr>
      </w:pPr>
      <w:r>
        <w:rPr>
          <w:rFonts w:hint="eastAsia" w:ascii="宋体" w:hAnsi="宋体" w:cs="宋体"/>
          <w:sz w:val="24"/>
          <w:highlight w:val="none"/>
        </w:rPr>
        <w:t>22.1在比较与评价之前，根据本须知的规定，磋商小组要审查每份响应文件是否实质上响应了竞争性磋商文件的要求，未实质性响应磋商文件的响应文件按无效响应处理。</w:t>
      </w:r>
    </w:p>
    <w:p w14:paraId="3E4E440A">
      <w:pPr>
        <w:spacing w:line="480" w:lineRule="exact"/>
        <w:ind w:firstLine="480"/>
        <w:rPr>
          <w:rFonts w:ascii="宋体" w:hAnsi="宋体" w:cs="宋体"/>
          <w:sz w:val="24"/>
          <w:highlight w:val="none"/>
        </w:rPr>
      </w:pPr>
      <w:r>
        <w:rPr>
          <w:rFonts w:hint="eastAsia" w:ascii="宋体" w:hAnsi="宋体" w:cs="宋体"/>
          <w:sz w:val="24"/>
          <w:highlight w:val="none"/>
        </w:rPr>
        <w:t>22.2</w:t>
      </w:r>
      <w:r>
        <w:rPr>
          <w:rFonts w:hint="eastAsia" w:ascii="宋体" w:hAnsi="宋体" w:cs="宋体"/>
          <w:sz w:val="24"/>
          <w:highlight w:val="none"/>
        </w:rPr>
        <w:tab/>
      </w:r>
      <w:r>
        <w:rPr>
          <w:rFonts w:hint="eastAsia" w:ascii="宋体" w:hAnsi="宋体" w:cs="宋体"/>
          <w:sz w:val="24"/>
          <w:highlight w:val="none"/>
        </w:rPr>
        <w:t>如发现下列情况之一的，其响应将被认定为无效响应：</w:t>
      </w:r>
    </w:p>
    <w:p w14:paraId="3A7D6733">
      <w:pPr>
        <w:spacing w:line="480" w:lineRule="exact"/>
        <w:ind w:firstLine="480"/>
        <w:rPr>
          <w:rFonts w:ascii="宋体" w:hAnsi="宋体" w:cs="宋体"/>
          <w:sz w:val="24"/>
          <w:highlight w:val="none"/>
        </w:rPr>
      </w:pPr>
      <w:r>
        <w:rPr>
          <w:rFonts w:hint="eastAsia" w:ascii="宋体" w:hAnsi="宋体" w:cs="宋体"/>
          <w:sz w:val="24"/>
          <w:highlight w:val="none"/>
        </w:rPr>
        <w:t>（1）未按照竞争性磋商文件规定要求签署、盖章的；</w:t>
      </w:r>
    </w:p>
    <w:p w14:paraId="5ED784B0">
      <w:pPr>
        <w:spacing w:line="480" w:lineRule="exact"/>
        <w:ind w:firstLine="480"/>
        <w:rPr>
          <w:rFonts w:ascii="宋体" w:hAnsi="宋体" w:cs="宋体"/>
          <w:sz w:val="24"/>
          <w:highlight w:val="none"/>
        </w:rPr>
      </w:pPr>
      <w:r>
        <w:rPr>
          <w:rFonts w:hint="eastAsia" w:ascii="宋体" w:hAnsi="宋体" w:cs="宋体"/>
          <w:sz w:val="24"/>
          <w:highlight w:val="none"/>
        </w:rPr>
        <w:t>（2）未满足竞争性磋商文件商务和技术条款的实质性要求的；</w:t>
      </w:r>
    </w:p>
    <w:p w14:paraId="3ACCCD99">
      <w:pPr>
        <w:spacing w:line="480" w:lineRule="exact"/>
        <w:ind w:firstLine="480"/>
        <w:rPr>
          <w:rFonts w:ascii="宋体" w:hAnsi="宋体" w:cs="宋体"/>
          <w:sz w:val="24"/>
          <w:highlight w:val="none"/>
        </w:rPr>
      </w:pPr>
      <w:r>
        <w:rPr>
          <w:rFonts w:hint="eastAsia" w:ascii="宋体" w:hAnsi="宋体" w:cs="宋体"/>
          <w:sz w:val="24"/>
          <w:highlight w:val="none"/>
        </w:rPr>
        <w:t>（3）违反竞争性磋商文件规定不符合政府采购政策资格要求的；</w:t>
      </w:r>
    </w:p>
    <w:p w14:paraId="4B65517E">
      <w:pPr>
        <w:spacing w:line="480" w:lineRule="exact"/>
        <w:ind w:firstLine="480"/>
        <w:rPr>
          <w:rFonts w:ascii="宋体" w:hAnsi="宋体" w:cs="宋体"/>
          <w:sz w:val="24"/>
          <w:highlight w:val="none"/>
        </w:rPr>
      </w:pPr>
      <w:r>
        <w:rPr>
          <w:rFonts w:hint="eastAsia" w:ascii="宋体" w:hAnsi="宋体" w:cs="宋体"/>
          <w:sz w:val="24"/>
          <w:highlight w:val="none"/>
        </w:rPr>
        <w:t>（4）报价超过项目预算或最高限价的；</w:t>
      </w:r>
    </w:p>
    <w:p w14:paraId="15A4A983">
      <w:pPr>
        <w:spacing w:line="480" w:lineRule="exact"/>
        <w:ind w:firstLine="480"/>
        <w:rPr>
          <w:rFonts w:ascii="宋体" w:hAnsi="宋体" w:cs="宋体"/>
          <w:sz w:val="24"/>
          <w:highlight w:val="none"/>
        </w:rPr>
      </w:pPr>
      <w:r>
        <w:rPr>
          <w:rFonts w:hint="eastAsia" w:ascii="宋体" w:hAnsi="宋体" w:cs="宋体"/>
          <w:sz w:val="24"/>
          <w:highlight w:val="none"/>
        </w:rPr>
        <w:t>（5）响应有效期不足的；</w:t>
      </w:r>
    </w:p>
    <w:p w14:paraId="365B6E2F">
      <w:pPr>
        <w:spacing w:line="480" w:lineRule="exact"/>
        <w:ind w:firstLine="480"/>
        <w:rPr>
          <w:rFonts w:ascii="宋体" w:hAnsi="宋体" w:cs="宋体"/>
          <w:sz w:val="24"/>
          <w:highlight w:val="none"/>
        </w:rPr>
      </w:pPr>
      <w:r>
        <w:rPr>
          <w:rFonts w:hint="eastAsia" w:ascii="宋体" w:hAnsi="宋体" w:cs="宋体"/>
          <w:sz w:val="24"/>
          <w:highlight w:val="none"/>
        </w:rPr>
        <w:t>（6）联合体响应文件未附联合体响应协议书的；</w:t>
      </w:r>
    </w:p>
    <w:p w14:paraId="210564C6">
      <w:pPr>
        <w:spacing w:line="480" w:lineRule="exact"/>
        <w:ind w:firstLine="480"/>
        <w:rPr>
          <w:rFonts w:ascii="宋体" w:hAnsi="宋体" w:cs="宋体"/>
          <w:sz w:val="24"/>
          <w:highlight w:val="none"/>
        </w:rPr>
      </w:pPr>
      <w:r>
        <w:rPr>
          <w:rFonts w:hint="eastAsia" w:ascii="宋体" w:hAnsi="宋体" w:cs="宋体"/>
          <w:sz w:val="24"/>
          <w:highlight w:val="none"/>
        </w:rPr>
        <w:t>（7）不符合竞争性磋商文件中有关分包规定的；</w:t>
      </w:r>
    </w:p>
    <w:p w14:paraId="36C8311B">
      <w:pPr>
        <w:spacing w:line="480" w:lineRule="exact"/>
        <w:ind w:firstLine="480"/>
        <w:rPr>
          <w:rFonts w:ascii="宋体" w:hAnsi="宋体" w:cs="宋体"/>
          <w:sz w:val="24"/>
          <w:highlight w:val="none"/>
        </w:rPr>
      </w:pPr>
      <w:r>
        <w:rPr>
          <w:rFonts w:hint="eastAsia" w:ascii="宋体" w:hAnsi="宋体" w:cs="宋体"/>
          <w:sz w:val="24"/>
          <w:highlight w:val="none"/>
        </w:rPr>
        <w:t>（8）属于串通响应，或者依法被视为串通响应；</w:t>
      </w:r>
    </w:p>
    <w:p w14:paraId="5B45509A">
      <w:pPr>
        <w:spacing w:line="480" w:lineRule="exact"/>
        <w:ind w:firstLine="480"/>
        <w:rPr>
          <w:rFonts w:ascii="宋体" w:hAnsi="宋体" w:cs="宋体"/>
          <w:sz w:val="24"/>
          <w:highlight w:val="none"/>
        </w:rPr>
      </w:pPr>
      <w:r>
        <w:rPr>
          <w:rFonts w:hint="eastAsia" w:ascii="宋体" w:hAnsi="宋体" w:cs="宋体"/>
          <w:sz w:val="24"/>
          <w:highlight w:val="none"/>
        </w:rPr>
        <w:t>（9）响应文件含有采购人不能接受的附加条件的；</w:t>
      </w:r>
    </w:p>
    <w:p w14:paraId="7BDF6391">
      <w:pPr>
        <w:spacing w:line="480" w:lineRule="exact"/>
        <w:ind w:firstLine="480"/>
        <w:rPr>
          <w:rFonts w:ascii="宋体" w:hAnsi="宋体" w:cs="宋体"/>
          <w:sz w:val="24"/>
          <w:highlight w:val="none"/>
        </w:rPr>
      </w:pPr>
      <w:r>
        <w:rPr>
          <w:rFonts w:hint="eastAsia" w:ascii="宋体" w:hAnsi="宋体" w:cs="宋体"/>
          <w:sz w:val="24"/>
          <w:highlight w:val="none"/>
        </w:rPr>
        <w:t>（10）属于竞争性磋商文件规定的其他无效响应情形的；</w:t>
      </w:r>
    </w:p>
    <w:p w14:paraId="05AFC266">
      <w:pPr>
        <w:spacing w:line="480" w:lineRule="exact"/>
        <w:ind w:firstLine="480"/>
        <w:rPr>
          <w:rFonts w:ascii="宋体" w:hAnsi="宋体" w:cs="宋体"/>
          <w:sz w:val="24"/>
          <w:highlight w:val="none"/>
        </w:rPr>
      </w:pPr>
      <w:r>
        <w:rPr>
          <w:rFonts w:hint="eastAsia" w:ascii="宋体" w:hAnsi="宋体" w:cs="宋体"/>
          <w:sz w:val="24"/>
          <w:highlight w:val="none"/>
        </w:rPr>
        <w:t>（11）不符合法规和竞争性磋商文件中规定的其他实质性要求的。</w:t>
      </w:r>
    </w:p>
    <w:p w14:paraId="4B87EE56">
      <w:pPr>
        <w:pStyle w:val="5"/>
        <w:rPr>
          <w:highlight w:val="none"/>
          <w:u w:val="none"/>
        </w:rPr>
      </w:pPr>
      <w:r>
        <w:rPr>
          <w:rFonts w:hint="eastAsia"/>
          <w:highlight w:val="none"/>
          <w:u w:val="none"/>
        </w:rPr>
        <w:t>23.磋商</w:t>
      </w:r>
    </w:p>
    <w:p w14:paraId="62069E1C">
      <w:pPr>
        <w:spacing w:line="480" w:lineRule="exact"/>
        <w:ind w:firstLine="480"/>
        <w:rPr>
          <w:rFonts w:ascii="宋体" w:hAnsi="宋体" w:cs="宋体"/>
          <w:sz w:val="24"/>
          <w:highlight w:val="none"/>
        </w:rPr>
      </w:pPr>
      <w:r>
        <w:rPr>
          <w:rFonts w:hint="eastAsia" w:ascii="宋体" w:hAnsi="宋体" w:cs="宋体"/>
          <w:sz w:val="24"/>
          <w:highlight w:val="none"/>
        </w:rPr>
        <w:t>23.1 磋商小组所有成员集中与供应商分别单独进行磋商。</w:t>
      </w:r>
    </w:p>
    <w:p w14:paraId="337C2D7F">
      <w:pPr>
        <w:spacing w:line="480" w:lineRule="exact"/>
        <w:ind w:firstLine="480"/>
        <w:rPr>
          <w:rFonts w:ascii="宋体" w:hAnsi="宋体" w:cs="宋体"/>
          <w:sz w:val="24"/>
          <w:highlight w:val="none"/>
        </w:rPr>
      </w:pPr>
      <w:r>
        <w:rPr>
          <w:rFonts w:hint="eastAsia" w:ascii="宋体" w:hAnsi="宋体" w:cs="宋体"/>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14:paraId="07DFB367">
      <w:pPr>
        <w:spacing w:line="480" w:lineRule="exact"/>
        <w:ind w:firstLine="480"/>
        <w:rPr>
          <w:rFonts w:ascii="宋体" w:hAnsi="宋体" w:cs="宋体"/>
          <w:sz w:val="24"/>
          <w:highlight w:val="none"/>
        </w:rPr>
      </w:pPr>
      <w:r>
        <w:rPr>
          <w:rFonts w:hint="eastAsia" w:ascii="宋体" w:hAnsi="宋体" w:cs="宋体"/>
          <w:sz w:val="24"/>
          <w:highlight w:val="none"/>
        </w:rPr>
        <w:t>23.3  对磋商文件作出的实质性变动是磋商文件的有效组成部分，磋商小组应当及时以书面形式同时通知所有参加磋商的供应商。</w:t>
      </w:r>
    </w:p>
    <w:p w14:paraId="2D54A31C">
      <w:pPr>
        <w:spacing w:line="480" w:lineRule="exact"/>
        <w:ind w:firstLine="480"/>
        <w:rPr>
          <w:rFonts w:ascii="宋体" w:hAnsi="宋体" w:cs="宋体"/>
          <w:sz w:val="24"/>
          <w:highlight w:val="none"/>
        </w:rPr>
      </w:pPr>
      <w:r>
        <w:rPr>
          <w:rFonts w:hint="eastAsia" w:ascii="宋体" w:hAnsi="宋体" w:cs="宋体"/>
          <w:sz w:val="24"/>
          <w:highlight w:val="none"/>
        </w:rPr>
        <w:t>23.4  供应商应当按照磋商文件的变动情况和磋商小组的要求重新提交响应文件，并由其法定代表人/负责人或委托代理人签字。供应商为自然人的，应当由本人签字并附身份证明。</w:t>
      </w:r>
    </w:p>
    <w:p w14:paraId="0322970D">
      <w:pPr>
        <w:spacing w:line="480" w:lineRule="exact"/>
        <w:ind w:firstLine="480"/>
        <w:rPr>
          <w:rFonts w:ascii="宋体" w:hAnsi="宋体" w:cs="宋体"/>
          <w:sz w:val="24"/>
          <w:highlight w:val="none"/>
        </w:rPr>
      </w:pPr>
      <w:r>
        <w:rPr>
          <w:rFonts w:hint="eastAsia" w:ascii="宋体" w:hAnsi="宋体" w:cs="宋体"/>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cs="宋体"/>
          <w:b/>
          <w:bCs/>
          <w:sz w:val="24"/>
          <w:highlight w:val="none"/>
        </w:rPr>
        <w:t>分项报价按总价下浮比例同比例下调。</w:t>
      </w:r>
    </w:p>
    <w:p w14:paraId="40308D9F">
      <w:pPr>
        <w:spacing w:line="480" w:lineRule="exact"/>
        <w:ind w:firstLine="480"/>
        <w:rPr>
          <w:rFonts w:ascii="宋体" w:hAnsi="宋体" w:cs="宋体"/>
          <w:sz w:val="24"/>
          <w:highlight w:val="none"/>
        </w:rPr>
      </w:pPr>
      <w:r>
        <w:rPr>
          <w:rFonts w:hint="eastAsia" w:ascii="宋体" w:hAnsi="宋体" w:cs="宋体"/>
          <w:sz w:val="24"/>
          <w:highlight w:val="none"/>
        </w:rPr>
        <w:t>23.6  最后报价是供应商响应文件的有效组成部分，供应商法定代表人/负责人或委托代理人对最后报价书面签字确认。</w:t>
      </w:r>
    </w:p>
    <w:p w14:paraId="1E67C6F6">
      <w:pPr>
        <w:spacing w:line="480" w:lineRule="exact"/>
        <w:ind w:firstLine="480"/>
        <w:rPr>
          <w:rFonts w:ascii="宋体" w:hAnsi="宋体" w:cs="宋体"/>
          <w:sz w:val="24"/>
          <w:highlight w:val="none"/>
        </w:rPr>
      </w:pPr>
      <w:r>
        <w:rPr>
          <w:rFonts w:hint="eastAsia" w:ascii="宋体" w:hAnsi="宋体" w:cs="宋体"/>
          <w:sz w:val="24"/>
          <w:highlight w:val="none"/>
        </w:rPr>
        <w:t>23.7已提交响应文件的供应商，在提交最后报价之前，可以根据磋商情况退出磋商。该退出申请由供应商法定代表人/负责人或委托代理人书面签字确认。</w:t>
      </w:r>
    </w:p>
    <w:p w14:paraId="65FE6A87">
      <w:pPr>
        <w:pStyle w:val="5"/>
        <w:rPr>
          <w:highlight w:val="none"/>
          <w:u w:val="none"/>
        </w:rPr>
      </w:pPr>
      <w:bookmarkStart w:id="129" w:name="_Toc22941"/>
      <w:bookmarkStart w:id="130" w:name="_Toc13652"/>
      <w:bookmarkStart w:id="131" w:name="_Toc515647784"/>
      <w:r>
        <w:rPr>
          <w:rFonts w:hint="eastAsia"/>
          <w:highlight w:val="none"/>
          <w:u w:val="none"/>
        </w:rPr>
        <w:t>24.</w:t>
      </w:r>
      <w:bookmarkEnd w:id="125"/>
      <w:bookmarkEnd w:id="129"/>
      <w:bookmarkEnd w:id="130"/>
      <w:bookmarkEnd w:id="131"/>
      <w:r>
        <w:rPr>
          <w:rFonts w:hint="eastAsia"/>
          <w:highlight w:val="none"/>
          <w:u w:val="none"/>
        </w:rPr>
        <w:t>比较和评价</w:t>
      </w:r>
    </w:p>
    <w:p w14:paraId="7ABE57E2">
      <w:pPr>
        <w:spacing w:line="480" w:lineRule="exact"/>
        <w:ind w:firstLine="480"/>
        <w:rPr>
          <w:rFonts w:ascii="宋体" w:hAnsi="宋体" w:cs="宋体"/>
          <w:sz w:val="24"/>
          <w:highlight w:val="none"/>
        </w:rPr>
      </w:pPr>
      <w:r>
        <w:rPr>
          <w:rFonts w:hint="eastAsia" w:ascii="宋体" w:hAnsi="宋体" w:cs="宋体"/>
          <w:sz w:val="24"/>
          <w:highlight w:val="none"/>
        </w:rPr>
        <w:t>24.1 经磋商确定最终采购需求和提交最后报价的供应商后，磋商小组将根据竞争性磋商文件确定的评审方法和标准，对其技术部分和商务部分作进一步的比较和评价。</w:t>
      </w:r>
    </w:p>
    <w:p w14:paraId="4AD24376">
      <w:pPr>
        <w:spacing w:line="480" w:lineRule="exact"/>
        <w:ind w:firstLine="480"/>
        <w:rPr>
          <w:rFonts w:ascii="宋体" w:hAnsi="宋体" w:cs="宋体"/>
          <w:sz w:val="24"/>
          <w:highlight w:val="none"/>
        </w:rPr>
      </w:pPr>
      <w:r>
        <w:rPr>
          <w:rFonts w:hint="eastAsia" w:ascii="宋体" w:hAnsi="宋体" w:cs="宋体"/>
          <w:sz w:val="24"/>
          <w:highlight w:val="none"/>
        </w:rPr>
        <w:t>24.2 磋商严格按照竞争性磋商文件的要求和条件进行。详细评审标准见竞争性磋商文件第5章。</w:t>
      </w:r>
    </w:p>
    <w:p w14:paraId="6101BBE0">
      <w:pPr>
        <w:spacing w:line="480" w:lineRule="exact"/>
        <w:ind w:firstLine="480"/>
        <w:rPr>
          <w:rFonts w:ascii="宋体" w:hAnsi="宋体" w:cs="宋体"/>
          <w:sz w:val="24"/>
          <w:highlight w:val="none"/>
        </w:rPr>
      </w:pPr>
      <w:r>
        <w:rPr>
          <w:rFonts w:hint="eastAsia" w:ascii="宋体" w:hAnsi="宋体" w:cs="宋体"/>
          <w:sz w:val="24"/>
          <w:highlight w:val="none"/>
        </w:rPr>
        <w:t>综合评分法，是指响应文件满足竞争性磋商文件全部要求，且按照评审因素的量化指标评审得分最高的供应商为成交候选供应商的评审方法。</w:t>
      </w:r>
    </w:p>
    <w:p w14:paraId="4FF5D5B5">
      <w:pPr>
        <w:pStyle w:val="5"/>
        <w:rPr>
          <w:highlight w:val="none"/>
          <w:u w:val="none"/>
        </w:rPr>
      </w:pPr>
      <w:bookmarkStart w:id="132" w:name="_Toc520356168"/>
      <w:bookmarkStart w:id="133" w:name="_Toc515647785"/>
      <w:bookmarkStart w:id="134" w:name="_Toc9378"/>
      <w:bookmarkStart w:id="135" w:name="_Toc20227"/>
      <w:r>
        <w:rPr>
          <w:rFonts w:hint="eastAsia"/>
          <w:highlight w:val="none"/>
          <w:u w:val="none"/>
        </w:rPr>
        <w:t>2</w:t>
      </w:r>
      <w:bookmarkEnd w:id="132"/>
      <w:r>
        <w:rPr>
          <w:rFonts w:hint="eastAsia"/>
          <w:highlight w:val="none"/>
          <w:u w:val="none"/>
        </w:rPr>
        <w:t>5.</w:t>
      </w:r>
      <w:bookmarkEnd w:id="133"/>
      <w:bookmarkEnd w:id="134"/>
      <w:bookmarkEnd w:id="135"/>
      <w:r>
        <w:rPr>
          <w:rFonts w:hint="eastAsia"/>
          <w:highlight w:val="none"/>
          <w:u w:val="none"/>
        </w:rPr>
        <w:t xml:space="preserve"> 采购项目终止</w:t>
      </w:r>
    </w:p>
    <w:p w14:paraId="10099401">
      <w:pPr>
        <w:spacing w:line="480" w:lineRule="exact"/>
        <w:ind w:firstLine="480"/>
        <w:rPr>
          <w:rFonts w:ascii="宋体" w:hAnsi="宋体" w:cs="宋体"/>
          <w:sz w:val="24"/>
          <w:highlight w:val="none"/>
        </w:rPr>
      </w:pPr>
      <w:r>
        <w:rPr>
          <w:rFonts w:hint="eastAsia" w:ascii="宋体" w:hAnsi="宋体" w:cs="宋体"/>
          <w:sz w:val="24"/>
          <w:highlight w:val="none"/>
        </w:rPr>
        <w:t>出现下列情形之一的，采购人应当终止竞争性磋商采购活动，发布项目终止公告并说明原因，重新开展采购活动：</w:t>
      </w:r>
    </w:p>
    <w:p w14:paraId="01BC3FB6">
      <w:pPr>
        <w:spacing w:line="480" w:lineRule="exact"/>
        <w:ind w:firstLine="480"/>
        <w:rPr>
          <w:rFonts w:ascii="宋体" w:hAnsi="宋体" w:cs="宋体"/>
          <w:sz w:val="24"/>
          <w:highlight w:val="none"/>
        </w:rPr>
      </w:pPr>
      <w:r>
        <w:rPr>
          <w:rFonts w:hint="eastAsia" w:ascii="宋体" w:hAnsi="宋体" w:cs="宋体"/>
          <w:sz w:val="24"/>
          <w:highlight w:val="none"/>
        </w:rPr>
        <w:t>（1）因情况变化，不再符合规定的竞争性磋商采购方式适用情形的；</w:t>
      </w:r>
    </w:p>
    <w:p w14:paraId="0DA14542">
      <w:pPr>
        <w:spacing w:line="480" w:lineRule="exact"/>
        <w:ind w:firstLine="480"/>
        <w:rPr>
          <w:rFonts w:ascii="宋体" w:hAnsi="宋体" w:cs="宋体"/>
          <w:sz w:val="24"/>
          <w:highlight w:val="none"/>
        </w:rPr>
      </w:pPr>
      <w:r>
        <w:rPr>
          <w:rFonts w:hint="eastAsia" w:ascii="宋体" w:hAnsi="宋体" w:cs="宋体"/>
          <w:sz w:val="24"/>
          <w:highlight w:val="none"/>
        </w:rPr>
        <w:t>（2）出现影响采购公正的违法、违规行为的；</w:t>
      </w:r>
    </w:p>
    <w:p w14:paraId="53B1C1B8">
      <w:pPr>
        <w:spacing w:line="480" w:lineRule="exact"/>
        <w:ind w:firstLine="480"/>
        <w:rPr>
          <w:rFonts w:ascii="宋体" w:hAnsi="宋体" w:cs="宋体"/>
          <w:sz w:val="24"/>
          <w:highlight w:val="none"/>
        </w:rPr>
      </w:pPr>
      <w:r>
        <w:rPr>
          <w:rFonts w:hint="eastAsia" w:ascii="宋体" w:hAnsi="宋体" w:cs="宋体"/>
          <w:sz w:val="24"/>
          <w:highlight w:val="none"/>
        </w:rPr>
        <w:t>（3）除《政府采购竞争性磋商采购方式管理暂行办法》第三条第四项规定的情形外，在采购过程中符合要求的供应商或者报价未超过采购预算的供应商不足3家的。</w:t>
      </w:r>
    </w:p>
    <w:p w14:paraId="46C3D7C0">
      <w:pPr>
        <w:pStyle w:val="5"/>
        <w:rPr>
          <w:highlight w:val="none"/>
          <w:u w:val="none"/>
        </w:rPr>
      </w:pPr>
      <w:bookmarkStart w:id="136" w:name="_Toc24972"/>
      <w:bookmarkStart w:id="137" w:name="_Toc31289"/>
      <w:bookmarkStart w:id="138" w:name="_Toc515647786"/>
      <w:bookmarkStart w:id="139" w:name="_Toc520356169"/>
      <w:r>
        <w:rPr>
          <w:rFonts w:hint="eastAsia"/>
          <w:highlight w:val="none"/>
          <w:u w:val="none"/>
        </w:rPr>
        <w:t>26.保密</w:t>
      </w:r>
      <w:bookmarkEnd w:id="136"/>
      <w:bookmarkEnd w:id="137"/>
      <w:bookmarkEnd w:id="138"/>
      <w:r>
        <w:rPr>
          <w:rFonts w:hint="eastAsia"/>
          <w:highlight w:val="none"/>
          <w:u w:val="none"/>
        </w:rPr>
        <w:t>要求</w:t>
      </w:r>
    </w:p>
    <w:p w14:paraId="2953BE65">
      <w:pPr>
        <w:spacing w:line="480" w:lineRule="exact"/>
        <w:ind w:firstLine="480"/>
        <w:rPr>
          <w:rFonts w:ascii="宋体" w:hAnsi="宋体" w:cs="宋体"/>
          <w:sz w:val="24"/>
          <w:highlight w:val="none"/>
        </w:rPr>
      </w:pPr>
      <w:r>
        <w:rPr>
          <w:rFonts w:hint="eastAsia" w:ascii="宋体" w:hAnsi="宋体" w:cs="宋体"/>
          <w:sz w:val="24"/>
          <w:highlight w:val="none"/>
        </w:rPr>
        <w:t>26.1 磋商将在严格保密的情况下进行。</w:t>
      </w:r>
    </w:p>
    <w:p w14:paraId="47A1CE3D">
      <w:pPr>
        <w:spacing w:line="480" w:lineRule="exact"/>
        <w:ind w:firstLine="480"/>
        <w:rPr>
          <w:rFonts w:ascii="宋体" w:hAnsi="宋体" w:cs="宋体"/>
          <w:sz w:val="24"/>
          <w:highlight w:val="none"/>
        </w:rPr>
      </w:pPr>
      <w:r>
        <w:rPr>
          <w:rFonts w:hint="eastAsia" w:ascii="宋体" w:hAnsi="宋体" w:cs="宋体"/>
          <w:sz w:val="24"/>
          <w:highlight w:val="none"/>
        </w:rPr>
        <w:t>26.2 政府采购评审专家应当遵守磋商工作纪律，不得记录、复制或者带走任何评标资料，不得泄露磋商文件、磋商情况和磋商中获悉的商业秘密。</w:t>
      </w:r>
    </w:p>
    <w:p w14:paraId="1596400A">
      <w:pPr>
        <w:pStyle w:val="4"/>
        <w:spacing w:before="0" w:line="480" w:lineRule="exact"/>
        <w:ind w:left="565" w:leftChars="12" w:hanging="540"/>
        <w:rPr>
          <w:rFonts w:ascii="宋体" w:hAnsi="宋体" w:cs="宋体"/>
          <w:szCs w:val="28"/>
          <w:highlight w:val="none"/>
        </w:rPr>
      </w:pPr>
      <w:bookmarkStart w:id="140" w:name="_Toc216582810"/>
      <w:bookmarkStart w:id="141" w:name="_Toc12143"/>
      <w:bookmarkStart w:id="142" w:name="_Toc23904"/>
      <w:bookmarkStart w:id="143" w:name="_Toc27908"/>
      <w:bookmarkStart w:id="144" w:name="_Toc515647787"/>
      <w:bookmarkStart w:id="145" w:name="_Toc68259619"/>
      <w:r>
        <w:rPr>
          <w:rFonts w:hint="eastAsia" w:ascii="宋体" w:hAnsi="宋体" w:cs="宋体"/>
          <w:szCs w:val="28"/>
          <w:highlight w:val="none"/>
        </w:rPr>
        <w:t xml:space="preserve">六   </w:t>
      </w:r>
      <w:bookmarkEnd w:id="139"/>
      <w:r>
        <w:rPr>
          <w:rFonts w:hint="eastAsia" w:ascii="宋体" w:hAnsi="宋体" w:cs="宋体"/>
          <w:szCs w:val="28"/>
          <w:highlight w:val="none"/>
        </w:rPr>
        <w:t>确定成交</w:t>
      </w:r>
      <w:bookmarkEnd w:id="140"/>
      <w:bookmarkEnd w:id="141"/>
      <w:bookmarkEnd w:id="142"/>
      <w:bookmarkEnd w:id="143"/>
      <w:bookmarkEnd w:id="144"/>
      <w:bookmarkEnd w:id="145"/>
    </w:p>
    <w:p w14:paraId="106D2ACD">
      <w:pPr>
        <w:pStyle w:val="5"/>
        <w:rPr>
          <w:highlight w:val="none"/>
          <w:u w:val="none"/>
        </w:rPr>
      </w:pPr>
      <w:bookmarkStart w:id="146" w:name="_Ref467307010"/>
      <w:bookmarkStart w:id="147" w:name="_Toc23617"/>
      <w:bookmarkStart w:id="148" w:name="_Toc515647788"/>
      <w:bookmarkStart w:id="149" w:name="_Toc23762"/>
      <w:bookmarkStart w:id="150" w:name="_Toc520356170"/>
      <w:r>
        <w:rPr>
          <w:rFonts w:hint="eastAsia"/>
          <w:highlight w:val="none"/>
          <w:u w:val="none"/>
        </w:rPr>
        <w:t>27. 成交候选供应商的确定原则及标准</w:t>
      </w:r>
      <w:bookmarkEnd w:id="146"/>
      <w:bookmarkEnd w:id="147"/>
      <w:bookmarkEnd w:id="148"/>
      <w:bookmarkEnd w:id="149"/>
      <w:bookmarkEnd w:id="150"/>
    </w:p>
    <w:p w14:paraId="428A09DF">
      <w:pPr>
        <w:spacing w:line="480" w:lineRule="exact"/>
        <w:ind w:firstLine="480"/>
        <w:rPr>
          <w:rFonts w:ascii="宋体" w:hAnsi="宋体" w:cs="宋体"/>
          <w:sz w:val="24"/>
          <w:highlight w:val="none"/>
        </w:rPr>
      </w:pPr>
      <w:r>
        <w:rPr>
          <w:rFonts w:hint="eastAsia" w:ascii="宋体" w:hAnsi="宋体" w:cs="宋体"/>
          <w:sz w:val="24"/>
          <w:highlight w:val="none"/>
        </w:rPr>
        <w:t>除29条规定外，对实质上响应磋商（谈判）文件的供应商按下列方法进行排序，确定成交候选供应商。</w:t>
      </w:r>
    </w:p>
    <w:p w14:paraId="0FA4C6BD">
      <w:pPr>
        <w:spacing w:line="480" w:lineRule="exact"/>
        <w:ind w:firstLine="480"/>
        <w:rPr>
          <w:rFonts w:ascii="宋体" w:hAnsi="宋体" w:cs="宋体"/>
          <w:sz w:val="24"/>
          <w:highlight w:val="none"/>
        </w:rPr>
      </w:pPr>
      <w:r>
        <w:rPr>
          <w:rFonts w:hint="eastAsia" w:ascii="宋体" w:hAnsi="宋体" w:cs="宋体"/>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36BE531C">
      <w:pPr>
        <w:pStyle w:val="5"/>
        <w:rPr>
          <w:highlight w:val="none"/>
          <w:u w:val="none"/>
        </w:rPr>
      </w:pPr>
      <w:bookmarkStart w:id="151" w:name="_Toc9653"/>
      <w:bookmarkStart w:id="152" w:name="_Toc515647789"/>
      <w:bookmarkStart w:id="153" w:name="_Toc23951"/>
      <w:r>
        <w:rPr>
          <w:rFonts w:hint="eastAsia"/>
          <w:highlight w:val="none"/>
          <w:u w:val="none"/>
        </w:rPr>
        <w:t>28.确定成交候选供应商和成交供应商</w:t>
      </w:r>
      <w:bookmarkEnd w:id="151"/>
      <w:bookmarkEnd w:id="152"/>
      <w:bookmarkEnd w:id="153"/>
    </w:p>
    <w:p w14:paraId="4E4905FD">
      <w:pPr>
        <w:spacing w:line="480" w:lineRule="exact"/>
        <w:rPr>
          <w:rFonts w:ascii="宋体" w:hAnsi="宋体" w:cs="宋体"/>
          <w:sz w:val="24"/>
          <w:highlight w:val="none"/>
        </w:rPr>
      </w:pPr>
      <w:r>
        <w:rPr>
          <w:rFonts w:hint="eastAsia" w:ascii="宋体" w:hAnsi="宋体" w:cs="宋体"/>
          <w:sz w:val="24"/>
          <w:highlight w:val="none"/>
        </w:rPr>
        <w:tab/>
      </w:r>
      <w:r>
        <w:rPr>
          <w:rFonts w:hint="eastAsia" w:ascii="宋体" w:hAnsi="宋体" w:cs="宋体"/>
          <w:sz w:val="24"/>
          <w:highlight w:val="none"/>
        </w:rPr>
        <w:t>磋商小组将根据评标标准，按供应商须知资料表中规定数量推荐中标候选人或根据采购人的委托直接确定成交供应商。</w:t>
      </w:r>
      <w:bookmarkStart w:id="154" w:name="_Toc51176613"/>
    </w:p>
    <w:p w14:paraId="0AE99E39">
      <w:pPr>
        <w:pStyle w:val="5"/>
        <w:rPr>
          <w:highlight w:val="none"/>
          <w:u w:val="none"/>
        </w:rPr>
      </w:pPr>
      <w:r>
        <w:rPr>
          <w:rFonts w:hint="eastAsia"/>
          <w:highlight w:val="none"/>
          <w:u w:val="none"/>
        </w:rPr>
        <w:t>29.采购任务取消</w:t>
      </w:r>
      <w:bookmarkEnd w:id="154"/>
    </w:p>
    <w:p w14:paraId="769C63A0">
      <w:pPr>
        <w:spacing w:line="480" w:lineRule="exact"/>
        <w:ind w:firstLine="480" w:firstLineChars="200"/>
        <w:jc w:val="left"/>
        <w:rPr>
          <w:rFonts w:ascii="宋体" w:hAnsi="宋体" w:cs="宋体"/>
          <w:sz w:val="24"/>
          <w:highlight w:val="none"/>
        </w:rPr>
      </w:pPr>
      <w:r>
        <w:rPr>
          <w:rFonts w:hint="eastAsia" w:ascii="宋体" w:hAnsi="宋体" w:cs="宋体"/>
          <w:sz w:val="24"/>
          <w:highlight w:val="none"/>
        </w:rPr>
        <w:t>因重大变故采购任务取消时，采购人有权拒绝任何供应商成交，对受影响的供应商不承担任何责任。</w:t>
      </w:r>
    </w:p>
    <w:p w14:paraId="60D3366A">
      <w:pPr>
        <w:pStyle w:val="5"/>
        <w:rPr>
          <w:highlight w:val="none"/>
          <w:u w:val="none"/>
        </w:rPr>
      </w:pPr>
      <w:bookmarkStart w:id="155" w:name="_Toc520356174"/>
      <w:bookmarkStart w:id="156" w:name="_Toc518923095"/>
      <w:bookmarkStart w:id="157" w:name="_Toc19087101"/>
      <w:r>
        <w:rPr>
          <w:rFonts w:hint="eastAsia"/>
          <w:highlight w:val="none"/>
          <w:u w:val="none"/>
        </w:rPr>
        <w:t>30.发出成交</w:t>
      </w:r>
      <w:bookmarkEnd w:id="155"/>
      <w:r>
        <w:rPr>
          <w:rFonts w:hint="eastAsia"/>
          <w:highlight w:val="none"/>
          <w:u w:val="none"/>
        </w:rPr>
        <w:t>通知书</w:t>
      </w:r>
      <w:bookmarkEnd w:id="156"/>
      <w:bookmarkEnd w:id="157"/>
    </w:p>
    <w:p w14:paraId="2A0ACFAA">
      <w:pPr>
        <w:spacing w:line="480" w:lineRule="exact"/>
        <w:rPr>
          <w:rFonts w:ascii="宋体" w:hAnsi="宋体" w:cs="宋体"/>
          <w:sz w:val="24"/>
          <w:highlight w:val="none"/>
        </w:rPr>
      </w:pPr>
      <w:r>
        <w:rPr>
          <w:rFonts w:hint="eastAsia" w:ascii="宋体" w:hAnsi="宋体" w:cs="宋体"/>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14:paraId="0CFE4793">
      <w:pPr>
        <w:pStyle w:val="5"/>
        <w:rPr>
          <w:highlight w:val="none"/>
          <w:u w:val="none"/>
        </w:rPr>
      </w:pPr>
      <w:bookmarkStart w:id="158" w:name="_Toc19087104"/>
      <w:bookmarkStart w:id="159" w:name="_Ref467306978"/>
      <w:bookmarkStart w:id="160" w:name="_Ref467307204"/>
      <w:bookmarkStart w:id="161" w:name="_Ref467306377"/>
      <w:bookmarkStart w:id="162" w:name="_Toc520356175"/>
      <w:bookmarkStart w:id="163" w:name="_Ref467307062"/>
      <w:bookmarkStart w:id="164" w:name="_Toc518923096"/>
      <w:r>
        <w:rPr>
          <w:rFonts w:hint="eastAsia"/>
          <w:highlight w:val="none"/>
          <w:u w:val="none"/>
        </w:rPr>
        <w:t>31.签订合同</w:t>
      </w:r>
      <w:bookmarkEnd w:id="158"/>
      <w:bookmarkEnd w:id="159"/>
      <w:bookmarkEnd w:id="160"/>
      <w:bookmarkEnd w:id="161"/>
      <w:bookmarkEnd w:id="162"/>
      <w:bookmarkEnd w:id="163"/>
      <w:bookmarkEnd w:id="164"/>
    </w:p>
    <w:p w14:paraId="440F953A">
      <w:pPr>
        <w:spacing w:line="480" w:lineRule="exact"/>
        <w:ind w:firstLine="424" w:firstLineChars="177"/>
        <w:rPr>
          <w:rFonts w:ascii="宋体" w:hAnsi="宋体" w:cs="宋体"/>
          <w:sz w:val="24"/>
          <w:highlight w:val="none"/>
        </w:rPr>
      </w:pPr>
      <w:r>
        <w:rPr>
          <w:rFonts w:hint="eastAsia" w:ascii="宋体" w:hAnsi="宋体" w:cs="宋体"/>
          <w:sz w:val="24"/>
          <w:highlight w:val="none"/>
        </w:rPr>
        <w:t>31.1 成交供应商应当自发出成交通知书之日起10日内，与采购人签订合同。</w:t>
      </w:r>
    </w:p>
    <w:p w14:paraId="23971413">
      <w:pPr>
        <w:spacing w:line="480" w:lineRule="exact"/>
        <w:ind w:firstLine="424" w:firstLineChars="177"/>
        <w:rPr>
          <w:rFonts w:ascii="宋体" w:hAnsi="宋体" w:cs="宋体"/>
          <w:sz w:val="24"/>
          <w:highlight w:val="none"/>
        </w:rPr>
      </w:pPr>
      <w:bookmarkStart w:id="165" w:name="_Ref467307090"/>
      <w:bookmarkStart w:id="166" w:name="_Ref467306425"/>
      <w:bookmarkStart w:id="167" w:name="_Toc520356176"/>
      <w:r>
        <w:rPr>
          <w:rFonts w:hint="eastAsia" w:ascii="宋体" w:hAnsi="宋体" w:cs="宋体"/>
          <w:sz w:val="24"/>
          <w:highlight w:val="none"/>
        </w:rPr>
        <w:t>31.2 竞争性磋商文件、成交供应商的响应文件及其澄清文件等，均为签订合同的依据。</w:t>
      </w:r>
    </w:p>
    <w:p w14:paraId="442A69E2">
      <w:pPr>
        <w:spacing w:line="480" w:lineRule="exact"/>
        <w:ind w:firstLine="424" w:firstLineChars="177"/>
        <w:rPr>
          <w:rFonts w:ascii="宋体" w:hAnsi="宋体" w:cs="宋体"/>
          <w:sz w:val="24"/>
          <w:highlight w:val="none"/>
        </w:rPr>
      </w:pPr>
      <w:r>
        <w:rPr>
          <w:rFonts w:hint="eastAsia" w:ascii="宋体" w:hAnsi="宋体" w:cs="宋体"/>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3FFE9FC4">
      <w:pPr>
        <w:spacing w:line="480" w:lineRule="exact"/>
        <w:ind w:firstLine="424" w:firstLineChars="177"/>
        <w:rPr>
          <w:rFonts w:ascii="宋体" w:hAnsi="宋体" w:cs="宋体"/>
          <w:sz w:val="24"/>
          <w:highlight w:val="none"/>
        </w:rPr>
      </w:pPr>
      <w:r>
        <w:rPr>
          <w:rFonts w:hint="eastAsia" w:ascii="宋体" w:hAnsi="宋体" w:cs="宋体"/>
          <w:sz w:val="24"/>
          <w:highlight w:val="none"/>
        </w:rPr>
        <w:t>31.4 当出现法规规定的成交无效或成交结果无效情形时，采购人依规可与排名下一位的成交候选供应商另行签订合同，或依法重新开展采购活动。</w:t>
      </w:r>
    </w:p>
    <w:p w14:paraId="4FCDAF18">
      <w:pPr>
        <w:pStyle w:val="5"/>
        <w:rPr>
          <w:highlight w:val="none"/>
          <w:u w:val="none"/>
        </w:rPr>
      </w:pPr>
      <w:bookmarkStart w:id="168" w:name="_Toc19087105"/>
      <w:bookmarkStart w:id="169" w:name="_Toc518923097"/>
      <w:r>
        <w:rPr>
          <w:rFonts w:hint="eastAsia"/>
          <w:highlight w:val="none"/>
          <w:u w:val="none"/>
        </w:rPr>
        <w:t>32.履约保证金</w:t>
      </w:r>
      <w:bookmarkEnd w:id="165"/>
      <w:bookmarkEnd w:id="166"/>
      <w:bookmarkEnd w:id="167"/>
      <w:bookmarkEnd w:id="168"/>
      <w:bookmarkEnd w:id="169"/>
    </w:p>
    <w:p w14:paraId="1611C1E9">
      <w:pPr>
        <w:spacing w:line="480" w:lineRule="exact"/>
        <w:ind w:firstLine="424" w:firstLineChars="177"/>
        <w:rPr>
          <w:rFonts w:ascii="宋体" w:hAnsi="宋体" w:cs="宋体"/>
          <w:sz w:val="24"/>
          <w:highlight w:val="none"/>
        </w:rPr>
      </w:pPr>
      <w:r>
        <w:rPr>
          <w:rFonts w:hint="eastAsia" w:ascii="宋体" w:hAnsi="宋体" w:cs="宋体"/>
          <w:sz w:val="24"/>
          <w:highlight w:val="none"/>
        </w:rPr>
        <w:t>32.1 如果需要履约保证金，成交供应商应按照供应商须知资料表规定向采购人缴纳履约保证金。</w:t>
      </w:r>
    </w:p>
    <w:p w14:paraId="76269046">
      <w:pPr>
        <w:spacing w:line="480" w:lineRule="exact"/>
        <w:ind w:firstLine="424" w:firstLineChars="177"/>
        <w:rPr>
          <w:rFonts w:ascii="宋体" w:hAnsi="宋体" w:cs="宋体"/>
          <w:sz w:val="24"/>
          <w:highlight w:val="none"/>
        </w:rPr>
      </w:pPr>
      <w:r>
        <w:rPr>
          <w:rFonts w:hint="eastAsia" w:ascii="宋体" w:hAnsi="宋体" w:cs="宋体"/>
          <w:sz w:val="24"/>
          <w:highlight w:val="none"/>
        </w:rPr>
        <w:t>32.2 政府采购利用担保试点范围内的项目，除32.1规定的情形外，成交供应商也可以按照财政部门的规定，向采购人提供合格的履约担保函。</w:t>
      </w:r>
    </w:p>
    <w:p w14:paraId="09829CCA">
      <w:pPr>
        <w:spacing w:line="480" w:lineRule="exact"/>
        <w:ind w:firstLine="424" w:firstLineChars="177"/>
        <w:rPr>
          <w:rFonts w:ascii="宋体" w:hAnsi="宋体" w:cs="宋体"/>
          <w:sz w:val="24"/>
          <w:highlight w:val="none"/>
        </w:rPr>
      </w:pPr>
      <w:r>
        <w:rPr>
          <w:rFonts w:hint="eastAsia" w:ascii="宋体" w:hAnsi="宋体" w:cs="宋体"/>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14:paraId="32E38BD1">
      <w:pPr>
        <w:pStyle w:val="5"/>
        <w:rPr>
          <w:highlight w:val="none"/>
          <w:u w:val="none"/>
        </w:rPr>
      </w:pPr>
      <w:bookmarkStart w:id="170" w:name="_Toc51176617"/>
      <w:bookmarkStart w:id="171" w:name="_Toc31411"/>
      <w:bookmarkStart w:id="172" w:name="_Toc518923099"/>
      <w:r>
        <w:rPr>
          <w:rFonts w:hint="eastAsia"/>
          <w:highlight w:val="none"/>
          <w:u w:val="none"/>
        </w:rPr>
        <w:t>33.政府采购信用担保</w:t>
      </w:r>
      <w:bookmarkEnd w:id="170"/>
      <w:bookmarkEnd w:id="171"/>
      <w:bookmarkEnd w:id="172"/>
    </w:p>
    <w:p w14:paraId="23E93BDF">
      <w:pPr>
        <w:spacing w:line="480" w:lineRule="exact"/>
        <w:ind w:firstLine="424" w:firstLineChars="177"/>
        <w:rPr>
          <w:rFonts w:ascii="宋体" w:hAnsi="宋体" w:cs="宋体"/>
          <w:sz w:val="24"/>
          <w:highlight w:val="none"/>
        </w:rPr>
      </w:pPr>
      <w:r>
        <w:rPr>
          <w:rFonts w:hint="eastAsia" w:ascii="宋体" w:hAnsi="宋体" w:cs="宋体"/>
          <w:sz w:val="24"/>
          <w:highlight w:val="none"/>
        </w:rPr>
        <w:t>33.1 本项目是否属于信用担保试点范围见供应商须知资料表。</w:t>
      </w:r>
    </w:p>
    <w:p w14:paraId="724EBF50">
      <w:pPr>
        <w:spacing w:line="480" w:lineRule="exact"/>
        <w:ind w:firstLine="424" w:firstLineChars="177"/>
        <w:rPr>
          <w:rFonts w:ascii="宋体" w:hAnsi="宋体" w:cs="宋体"/>
          <w:sz w:val="24"/>
          <w:highlight w:val="none"/>
        </w:rPr>
      </w:pPr>
      <w:r>
        <w:rPr>
          <w:rFonts w:hint="eastAsia" w:ascii="宋体" w:hAnsi="宋体" w:cs="宋体"/>
          <w:sz w:val="24"/>
          <w:highlight w:val="none"/>
        </w:rPr>
        <w:t>33.2 如属于政府采购信用担保试点范围内，中小型企业供应商可以自由按照财政部门的规定，采用磋商担保、履约担保和融资担保。</w:t>
      </w:r>
    </w:p>
    <w:p w14:paraId="5F115C46">
      <w:pPr>
        <w:spacing w:line="480" w:lineRule="exact"/>
        <w:ind w:firstLine="424" w:firstLineChars="177"/>
        <w:rPr>
          <w:rFonts w:ascii="宋体" w:hAnsi="宋体" w:cs="宋体"/>
          <w:sz w:val="24"/>
          <w:highlight w:val="none"/>
        </w:rPr>
      </w:pPr>
      <w:r>
        <w:rPr>
          <w:rFonts w:hint="eastAsia" w:ascii="宋体" w:hAnsi="宋体" w:cs="宋体"/>
          <w:sz w:val="24"/>
          <w:highlight w:val="none"/>
        </w:rPr>
        <w:t>33.2.1 供应商递交的磋商担保函和履约担保函应符合本磋商（谈判）文件的规定。</w:t>
      </w:r>
    </w:p>
    <w:p w14:paraId="433F0F61">
      <w:pPr>
        <w:spacing w:line="480" w:lineRule="exact"/>
        <w:ind w:firstLine="424" w:firstLineChars="177"/>
        <w:rPr>
          <w:rFonts w:ascii="宋体" w:hAnsi="宋体" w:cs="宋体"/>
          <w:sz w:val="24"/>
          <w:highlight w:val="none"/>
        </w:rPr>
      </w:pPr>
      <w:r>
        <w:rPr>
          <w:rFonts w:hint="eastAsia" w:ascii="宋体" w:hAnsi="宋体" w:cs="宋体"/>
          <w:sz w:val="24"/>
          <w:highlight w:val="none"/>
        </w:rPr>
        <w:t>33.2.2 成交供应商可以采取融资担保的形式为政府采购项目履约进行融资。</w:t>
      </w:r>
    </w:p>
    <w:p w14:paraId="452CE03B">
      <w:pPr>
        <w:pStyle w:val="5"/>
        <w:spacing w:before="0" w:after="0" w:line="480" w:lineRule="exact"/>
        <w:rPr>
          <w:highlight w:val="none"/>
          <w:u w:val="none"/>
        </w:rPr>
      </w:pPr>
      <w:bookmarkStart w:id="173" w:name="_Toc20350"/>
      <w:bookmarkStart w:id="174" w:name="_Toc4136"/>
      <w:r>
        <w:rPr>
          <w:rFonts w:hint="eastAsia"/>
          <w:highlight w:val="none"/>
          <w:u w:val="none"/>
        </w:rPr>
        <w:t>34.</w:t>
      </w:r>
      <w:bookmarkEnd w:id="173"/>
      <w:r>
        <w:rPr>
          <w:rFonts w:hint="eastAsia"/>
          <w:highlight w:val="none"/>
          <w:u w:val="none"/>
        </w:rPr>
        <w:t>政府采购合同融资</w:t>
      </w:r>
      <w:bookmarkEnd w:id="174"/>
    </w:p>
    <w:p w14:paraId="2B3FB2AC">
      <w:pPr>
        <w:spacing w:line="480" w:lineRule="exact"/>
        <w:ind w:firstLine="424" w:firstLineChars="177"/>
        <w:rPr>
          <w:rFonts w:ascii="宋体" w:hAnsi="宋体"/>
          <w:sz w:val="24"/>
          <w:highlight w:val="none"/>
        </w:rPr>
      </w:pPr>
      <w:r>
        <w:rPr>
          <w:rFonts w:hint="eastAsia" w:ascii="宋体" w:hAnsi="宋体"/>
          <w:sz w:val="24"/>
          <w:highlight w:val="none"/>
        </w:rPr>
        <w:t>34.1 本</w:t>
      </w:r>
      <w:r>
        <w:rPr>
          <w:rFonts w:ascii="宋体" w:hAnsi="宋体"/>
          <w:sz w:val="24"/>
          <w:highlight w:val="none"/>
        </w:rPr>
        <w:t>项目是否属于</w:t>
      </w:r>
      <w:r>
        <w:rPr>
          <w:rFonts w:hint="eastAsia" w:ascii="宋体" w:hAnsi="宋体"/>
          <w:sz w:val="24"/>
          <w:highlight w:val="none"/>
        </w:rPr>
        <w:t>政府采购合同融资</w:t>
      </w:r>
      <w:r>
        <w:rPr>
          <w:rFonts w:ascii="宋体" w:hAnsi="宋体"/>
          <w:sz w:val="24"/>
          <w:highlight w:val="none"/>
        </w:rPr>
        <w:t>范围</w:t>
      </w:r>
      <w:r>
        <w:rPr>
          <w:rFonts w:hint="eastAsia" w:ascii="宋体" w:hAnsi="宋体"/>
          <w:sz w:val="24"/>
          <w:highlight w:val="none"/>
        </w:rPr>
        <w:t>见供应商须知资料表。</w:t>
      </w:r>
    </w:p>
    <w:p w14:paraId="5DC8FEBB">
      <w:pPr>
        <w:spacing w:line="480" w:lineRule="exact"/>
        <w:ind w:firstLine="424" w:firstLineChars="177"/>
        <w:rPr>
          <w:rFonts w:ascii="宋体" w:hAnsi="宋体"/>
          <w:sz w:val="24"/>
          <w:highlight w:val="none"/>
        </w:rPr>
      </w:pPr>
      <w:r>
        <w:rPr>
          <w:rFonts w:hint="eastAsia" w:ascii="宋体" w:hAnsi="宋体"/>
          <w:sz w:val="24"/>
          <w:highlight w:val="none"/>
        </w:rPr>
        <w:t>34.2 融资流程</w:t>
      </w:r>
    </w:p>
    <w:p w14:paraId="270A28F1">
      <w:pPr>
        <w:spacing w:line="480" w:lineRule="exact"/>
        <w:ind w:firstLine="424" w:firstLineChars="177"/>
        <w:rPr>
          <w:rFonts w:ascii="宋体" w:hAnsi="宋体"/>
          <w:sz w:val="24"/>
          <w:highlight w:val="none"/>
        </w:rPr>
      </w:pPr>
      <w:r>
        <w:rPr>
          <w:rFonts w:hint="eastAsia" w:ascii="宋体" w:hAnsi="宋体"/>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14:paraId="705411C6">
      <w:pPr>
        <w:spacing w:line="480" w:lineRule="exact"/>
        <w:ind w:firstLine="424" w:firstLineChars="177"/>
        <w:rPr>
          <w:rFonts w:ascii="宋体" w:hAnsi="宋体"/>
          <w:sz w:val="24"/>
          <w:highlight w:val="none"/>
        </w:rPr>
      </w:pPr>
      <w:r>
        <w:rPr>
          <w:rFonts w:hint="eastAsia" w:ascii="宋体" w:hAnsi="宋体"/>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14:paraId="7B781264">
      <w:pPr>
        <w:spacing w:line="480" w:lineRule="exact"/>
        <w:ind w:firstLine="424" w:firstLineChars="177"/>
        <w:rPr>
          <w:rFonts w:ascii="宋体" w:hAnsi="宋体"/>
          <w:sz w:val="24"/>
          <w:highlight w:val="none"/>
        </w:rPr>
      </w:pPr>
      <w:r>
        <w:rPr>
          <w:rFonts w:hint="eastAsia" w:ascii="宋体" w:hAnsi="宋体"/>
          <w:sz w:val="24"/>
          <w:highlight w:val="none"/>
        </w:rPr>
        <w:t>（三）完成授信审批。金融机构提高贷前风险筛查效率，确保在供应商合同签订前，完成对目标客户贷款的授信审批。届时，中标人将依据政府采购合同获取合同融资服务。</w:t>
      </w:r>
    </w:p>
    <w:p w14:paraId="6C4BC174">
      <w:pPr>
        <w:spacing w:line="480" w:lineRule="exact"/>
        <w:ind w:firstLine="424" w:firstLineChars="177"/>
        <w:rPr>
          <w:rFonts w:ascii="宋体" w:hAnsi="宋体"/>
          <w:sz w:val="24"/>
          <w:highlight w:val="none"/>
        </w:rPr>
      </w:pPr>
      <w:r>
        <w:rPr>
          <w:rFonts w:hint="eastAsia" w:ascii="宋体" w:hAnsi="宋体"/>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7AC6EFFE">
      <w:pPr>
        <w:spacing w:line="480" w:lineRule="exact"/>
        <w:ind w:firstLine="424" w:firstLineChars="177"/>
        <w:rPr>
          <w:rFonts w:ascii="宋体" w:hAnsi="宋体"/>
          <w:sz w:val="24"/>
          <w:highlight w:val="none"/>
        </w:rPr>
      </w:pPr>
      <w:r>
        <w:rPr>
          <w:rFonts w:hint="eastAsia" w:ascii="宋体" w:hAnsi="宋体"/>
          <w:sz w:val="24"/>
          <w:highlight w:val="none"/>
        </w:rPr>
        <w:t>（五）资金即时到账。金融机构提前办理完善供应商融资所需各项审批手续，待供应商与采购人签订政府采购合同后，随即向供应商账号发放贷款，确保供应商资金需求及时到位。</w:t>
      </w:r>
    </w:p>
    <w:p w14:paraId="4F7C0BCA">
      <w:pPr>
        <w:spacing w:line="480" w:lineRule="exact"/>
        <w:ind w:firstLine="424" w:firstLineChars="177"/>
        <w:rPr>
          <w:rFonts w:ascii="宋体" w:hAnsi="宋体"/>
          <w:sz w:val="24"/>
          <w:highlight w:val="none"/>
        </w:rPr>
      </w:pPr>
      <w:r>
        <w:rPr>
          <w:rFonts w:hint="eastAsia" w:ascii="宋体" w:hAnsi="宋体"/>
          <w:sz w:val="24"/>
          <w:highlight w:val="none"/>
        </w:rPr>
        <w:t>34.3配合政府采购合同融资工作。采购人做好供应商通过政府采购合同融资的配合工作，协助供应商根据融资需要及时变更合同账号，对已进行融资抵押的政府合同锁定账号。</w:t>
      </w:r>
    </w:p>
    <w:p w14:paraId="1F6DE237">
      <w:pPr>
        <w:pStyle w:val="5"/>
        <w:spacing w:before="0" w:after="0" w:line="480" w:lineRule="exact"/>
        <w:rPr>
          <w:rFonts w:cs="宋体"/>
          <w:highlight w:val="none"/>
          <w:u w:val="none"/>
        </w:rPr>
      </w:pPr>
      <w:bookmarkStart w:id="175" w:name="_Toc518923098"/>
      <w:bookmarkStart w:id="176" w:name="_Toc26769"/>
      <w:bookmarkStart w:id="177" w:name="_Toc19016170"/>
      <w:bookmarkStart w:id="178" w:name="_Toc19087106"/>
      <w:bookmarkStart w:id="179" w:name="_Toc518923100"/>
      <w:r>
        <w:rPr>
          <w:rFonts w:hint="eastAsia" w:cs="宋体"/>
          <w:highlight w:val="none"/>
          <w:u w:val="none"/>
        </w:rPr>
        <w:t>35.</w:t>
      </w:r>
      <w:bookmarkEnd w:id="175"/>
      <w:r>
        <w:rPr>
          <w:rFonts w:hint="eastAsia" w:cs="宋体"/>
          <w:highlight w:val="none"/>
          <w:u w:val="none"/>
        </w:rPr>
        <w:t>预付款</w:t>
      </w:r>
      <w:bookmarkEnd w:id="176"/>
      <w:bookmarkEnd w:id="177"/>
      <w:bookmarkEnd w:id="178"/>
    </w:p>
    <w:p w14:paraId="779DCBBF">
      <w:pPr>
        <w:spacing w:line="480" w:lineRule="exact"/>
        <w:ind w:firstLine="420" w:firstLineChars="175"/>
        <w:rPr>
          <w:rFonts w:ascii="宋体" w:hAnsi="宋体" w:cs="宋体"/>
          <w:sz w:val="24"/>
          <w:highlight w:val="none"/>
        </w:rPr>
      </w:pPr>
      <w:r>
        <w:rPr>
          <w:rFonts w:hint="eastAsia" w:ascii="宋体" w:hAnsi="宋体" w:cs="宋体"/>
          <w:sz w:val="24"/>
          <w:highlight w:val="none"/>
        </w:rPr>
        <w:t>35.1预付款是在指政府采购合同签订后、履行前，采购人向成交供应商预先支付部分合同款项，预付款比例按照供应商须知资料表规定执行。</w:t>
      </w:r>
    </w:p>
    <w:p w14:paraId="6969F779">
      <w:pPr>
        <w:spacing w:line="480" w:lineRule="exact"/>
        <w:ind w:firstLine="420" w:firstLineChars="175"/>
        <w:rPr>
          <w:rFonts w:ascii="宋体" w:hAnsi="宋体" w:cs="宋体"/>
          <w:sz w:val="24"/>
          <w:highlight w:val="none"/>
        </w:rPr>
      </w:pPr>
      <w:r>
        <w:rPr>
          <w:rFonts w:hint="eastAsia" w:ascii="宋体" w:hAnsi="宋体" w:cs="宋体"/>
          <w:sz w:val="24"/>
          <w:highlight w:val="none"/>
        </w:rPr>
        <w:t>35.2本项目采购人不需要支付预付款的情形，见供应商须知资料表。</w:t>
      </w:r>
    </w:p>
    <w:p w14:paraId="4EAF92F1">
      <w:pPr>
        <w:pStyle w:val="5"/>
        <w:spacing w:before="0" w:after="0" w:line="480" w:lineRule="exact"/>
        <w:rPr>
          <w:rFonts w:cs="宋体"/>
          <w:highlight w:val="none"/>
          <w:u w:val="none"/>
        </w:rPr>
      </w:pPr>
      <w:bookmarkStart w:id="180" w:name="_Toc19087107"/>
      <w:bookmarkStart w:id="181" w:name="_Toc794"/>
      <w:r>
        <w:rPr>
          <w:rFonts w:hint="eastAsia" w:cs="宋体"/>
          <w:highlight w:val="none"/>
          <w:u w:val="none"/>
        </w:rPr>
        <w:t>36.廉洁自律规定</w:t>
      </w:r>
      <w:bookmarkEnd w:id="179"/>
      <w:bookmarkEnd w:id="180"/>
      <w:bookmarkEnd w:id="181"/>
    </w:p>
    <w:p w14:paraId="7F2AAF39">
      <w:pPr>
        <w:spacing w:line="480" w:lineRule="exact"/>
        <w:ind w:firstLine="420" w:firstLineChars="175"/>
        <w:rPr>
          <w:rFonts w:ascii="宋体" w:hAnsi="宋体" w:cs="宋体"/>
          <w:sz w:val="24"/>
          <w:highlight w:val="none"/>
        </w:rPr>
      </w:pPr>
      <w:r>
        <w:rPr>
          <w:rFonts w:hint="eastAsia" w:ascii="宋体" w:hAnsi="宋体" w:cs="宋体"/>
          <w:sz w:val="24"/>
          <w:highlight w:val="none"/>
        </w:rPr>
        <w:t>36.1 采购代理机构工作人员不得与采购人、供应商恶意串通操纵政府采购活动。</w:t>
      </w:r>
    </w:p>
    <w:p w14:paraId="3329B54F">
      <w:pPr>
        <w:spacing w:line="480" w:lineRule="exact"/>
        <w:ind w:firstLine="420" w:firstLineChars="175"/>
        <w:rPr>
          <w:rFonts w:ascii="宋体" w:hAnsi="宋体" w:cs="宋体"/>
          <w:sz w:val="24"/>
          <w:highlight w:val="none"/>
        </w:rPr>
      </w:pPr>
      <w:r>
        <w:rPr>
          <w:rFonts w:hint="eastAsia" w:ascii="宋体" w:hAnsi="宋体" w:cs="宋体"/>
          <w:sz w:val="24"/>
          <w:highlight w:val="none"/>
        </w:rPr>
        <w:t>36.2 采购代理机构工作人员不得接受采购人或者供应商组织的宴请、旅游、娱乐，不得收受礼品、现金、有价证券等，不得向采购人或者供应商报销应当由个人承担的费用。</w:t>
      </w:r>
    </w:p>
    <w:p w14:paraId="2B01D921">
      <w:pPr>
        <w:spacing w:line="480" w:lineRule="exact"/>
        <w:ind w:firstLine="420" w:firstLineChars="175"/>
        <w:rPr>
          <w:rFonts w:ascii="宋体" w:hAnsi="宋体" w:cs="宋体"/>
          <w:sz w:val="24"/>
          <w:highlight w:val="none"/>
        </w:rPr>
      </w:pPr>
      <w:r>
        <w:rPr>
          <w:rFonts w:hint="eastAsia" w:ascii="宋体" w:hAnsi="宋体" w:cs="宋体"/>
          <w:sz w:val="24"/>
          <w:highlight w:val="none"/>
        </w:rPr>
        <w:t>36.3 为强化采购代理机构内部监督机制，供应商可按供应商须知资料表中的监督电话和邮箱，反映采购代理机构的廉洁自律等问题。</w:t>
      </w:r>
    </w:p>
    <w:p w14:paraId="463B6BAA">
      <w:pPr>
        <w:pStyle w:val="5"/>
        <w:spacing w:before="0" w:after="0" w:line="480" w:lineRule="exact"/>
        <w:rPr>
          <w:rFonts w:cs="宋体"/>
          <w:highlight w:val="none"/>
          <w:u w:val="none"/>
        </w:rPr>
      </w:pPr>
      <w:bookmarkStart w:id="182" w:name="_Toc3817"/>
      <w:bookmarkStart w:id="183" w:name="_Toc19087108"/>
      <w:bookmarkStart w:id="184" w:name="_Toc518923101"/>
      <w:r>
        <w:rPr>
          <w:rFonts w:hint="eastAsia" w:cs="宋体"/>
          <w:highlight w:val="none"/>
          <w:u w:val="none"/>
        </w:rPr>
        <w:t>37.人员回避</w:t>
      </w:r>
      <w:bookmarkEnd w:id="182"/>
      <w:bookmarkEnd w:id="183"/>
      <w:bookmarkEnd w:id="184"/>
    </w:p>
    <w:p w14:paraId="7BA02F2A">
      <w:pPr>
        <w:spacing w:line="480" w:lineRule="exact"/>
        <w:ind w:firstLine="480" w:firstLineChars="200"/>
        <w:rPr>
          <w:rFonts w:ascii="宋体" w:hAnsi="宋体" w:cs="宋体"/>
          <w:sz w:val="24"/>
          <w:highlight w:val="none"/>
        </w:rPr>
      </w:pPr>
      <w:r>
        <w:rPr>
          <w:rFonts w:hint="eastAsia" w:ascii="宋体" w:hAnsi="宋体" w:cs="宋体"/>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27006AED">
      <w:pPr>
        <w:pStyle w:val="5"/>
        <w:spacing w:before="0" w:after="0" w:line="480" w:lineRule="exact"/>
        <w:rPr>
          <w:rFonts w:cs="宋体"/>
          <w:highlight w:val="none"/>
          <w:u w:val="none"/>
        </w:rPr>
      </w:pPr>
      <w:bookmarkStart w:id="185" w:name="_Toc19087109"/>
      <w:bookmarkStart w:id="186" w:name="_Toc518923102"/>
      <w:bookmarkStart w:id="187" w:name="_Toc17708"/>
      <w:r>
        <w:rPr>
          <w:rFonts w:hint="eastAsia" w:cs="宋体"/>
          <w:highlight w:val="none"/>
          <w:u w:val="none"/>
        </w:rPr>
        <w:t>38.质疑与接收</w:t>
      </w:r>
      <w:bookmarkEnd w:id="185"/>
      <w:bookmarkEnd w:id="186"/>
      <w:bookmarkEnd w:id="187"/>
    </w:p>
    <w:p w14:paraId="48FAA519">
      <w:pPr>
        <w:spacing w:line="480" w:lineRule="exact"/>
        <w:ind w:firstLine="420" w:firstLineChars="175"/>
        <w:rPr>
          <w:rFonts w:ascii="宋体" w:hAnsi="宋体" w:cs="宋体"/>
          <w:sz w:val="24"/>
          <w:highlight w:val="none"/>
        </w:rPr>
      </w:pPr>
      <w:r>
        <w:rPr>
          <w:rFonts w:hint="eastAsia" w:ascii="宋体" w:hAnsi="宋体" w:cs="宋体"/>
          <w:sz w:val="24"/>
          <w:highlight w:val="none"/>
        </w:rPr>
        <w:t>38.1供应商认为竞争性磋商文件、磋商过程和成交结果使自己的权益受到损害的，可以根据《中华人民共和国政府采购法》《中华人民共和国政府采购法实施条例》和《政府采购质疑和投诉办法》的有关规定，依法向采购人或其委托的采购代理机构提出质疑。</w:t>
      </w:r>
    </w:p>
    <w:p w14:paraId="1F4A8987">
      <w:pPr>
        <w:spacing w:line="480" w:lineRule="exact"/>
        <w:ind w:firstLine="420" w:firstLineChars="175"/>
        <w:rPr>
          <w:rFonts w:ascii="宋体" w:hAnsi="宋体" w:cs="宋体"/>
          <w:sz w:val="24"/>
          <w:highlight w:val="none"/>
        </w:rPr>
      </w:pPr>
      <w:r>
        <w:rPr>
          <w:rFonts w:hint="eastAsia" w:ascii="宋体" w:hAnsi="宋体" w:cs="宋体"/>
          <w:sz w:val="24"/>
          <w:highlight w:val="none"/>
        </w:rPr>
        <w:t>38.2  质疑供应商应按照财政部制定的《政府采购质疑函范本》格式（可从财政部官方网站下载）和《政府采购质疑和投诉办法》的要求，在法定质疑期内以书面形式提出质疑，针对同一采购程序环节的质疑应一次性提出。</w:t>
      </w:r>
    </w:p>
    <w:p w14:paraId="6F8D1F83">
      <w:pPr>
        <w:spacing w:line="480" w:lineRule="exact"/>
        <w:ind w:firstLine="420" w:firstLineChars="175"/>
        <w:rPr>
          <w:rFonts w:ascii="宋体" w:hAnsi="宋体" w:cs="宋体"/>
          <w:sz w:val="24"/>
          <w:highlight w:val="none"/>
        </w:rPr>
      </w:pPr>
      <w:r>
        <w:rPr>
          <w:rFonts w:hint="eastAsia" w:ascii="宋体" w:hAnsi="宋体" w:cs="宋体"/>
          <w:sz w:val="24"/>
          <w:highlight w:val="none"/>
        </w:rPr>
        <w:t>超出法定质疑期的、重复提出的、分次提出的或内容、形式不符合《政府采购质疑和投诉办法》的，质疑供应商将依法承担不利后果。</w:t>
      </w:r>
    </w:p>
    <w:p w14:paraId="40C09998">
      <w:pPr>
        <w:spacing w:line="480" w:lineRule="exact"/>
        <w:ind w:firstLine="420" w:firstLineChars="175"/>
        <w:rPr>
          <w:rFonts w:ascii="宋体" w:hAnsi="宋体" w:cs="宋体"/>
          <w:sz w:val="24"/>
          <w:highlight w:val="none"/>
        </w:rPr>
      </w:pPr>
      <w:r>
        <w:rPr>
          <w:rFonts w:hint="eastAsia" w:ascii="宋体" w:hAnsi="宋体" w:cs="宋体"/>
          <w:sz w:val="24"/>
          <w:highlight w:val="none"/>
        </w:rPr>
        <w:t>38.3 采购人或采购代理机构质疑函接收部门、联系电话和通讯地址, 见供应商须知资料表。</w:t>
      </w:r>
    </w:p>
    <w:p w14:paraId="0F255F6A">
      <w:pPr>
        <w:pStyle w:val="5"/>
        <w:spacing w:before="0" w:after="0" w:line="480" w:lineRule="exact"/>
        <w:rPr>
          <w:rFonts w:cs="宋体"/>
          <w:highlight w:val="none"/>
          <w:u w:val="none"/>
        </w:rPr>
      </w:pPr>
      <w:bookmarkStart w:id="188" w:name="_Toc4478"/>
      <w:bookmarkStart w:id="189" w:name="_Toc51176622"/>
      <w:r>
        <w:rPr>
          <w:rFonts w:hint="eastAsia" w:cs="宋体"/>
          <w:highlight w:val="none"/>
          <w:u w:val="none"/>
        </w:rPr>
        <w:t>39.项目其他相关费用</w:t>
      </w:r>
      <w:bookmarkEnd w:id="188"/>
      <w:bookmarkEnd w:id="189"/>
    </w:p>
    <w:p w14:paraId="45F1AF10">
      <w:pPr>
        <w:spacing w:line="480" w:lineRule="exact"/>
        <w:rPr>
          <w:rFonts w:ascii="宋体" w:hAnsi="宋体" w:cs="宋体"/>
          <w:sz w:val="24"/>
          <w:highlight w:val="none"/>
        </w:rPr>
      </w:pPr>
      <w:bookmarkStart w:id="190" w:name="_Toc411637995"/>
      <w:r>
        <w:rPr>
          <w:rFonts w:hint="eastAsia" w:ascii="宋体" w:hAnsi="宋体" w:cs="宋体"/>
          <w:sz w:val="24"/>
          <w:highlight w:val="none"/>
        </w:rPr>
        <w:t>39.1 成交服务费</w:t>
      </w:r>
      <w:bookmarkEnd w:id="190"/>
    </w:p>
    <w:p w14:paraId="4207FFCD">
      <w:pPr>
        <w:spacing w:line="480" w:lineRule="exact"/>
        <w:ind w:left="630" w:leftChars="300"/>
        <w:rPr>
          <w:rFonts w:ascii="宋体" w:hAnsi="宋体" w:cs="宋体"/>
          <w:sz w:val="24"/>
          <w:highlight w:val="none"/>
        </w:rPr>
      </w:pPr>
      <w:r>
        <w:rPr>
          <w:rFonts w:hint="eastAsia" w:ascii="宋体" w:hAnsi="宋体" w:cs="宋体"/>
          <w:sz w:val="24"/>
          <w:highlight w:val="none"/>
        </w:rPr>
        <w:t>成交服务费收取标准：见供应商须知资料表。</w:t>
      </w:r>
    </w:p>
    <w:p w14:paraId="1860572B">
      <w:pPr>
        <w:spacing w:line="480" w:lineRule="exact"/>
        <w:rPr>
          <w:rFonts w:ascii="宋体" w:hAnsi="宋体" w:cs="宋体"/>
          <w:sz w:val="24"/>
          <w:highlight w:val="none"/>
        </w:rPr>
      </w:pPr>
      <w:bookmarkStart w:id="191" w:name="_Toc411637996"/>
      <w:r>
        <w:rPr>
          <w:rFonts w:hint="eastAsia" w:ascii="宋体" w:hAnsi="宋体" w:cs="宋体"/>
          <w:sz w:val="24"/>
          <w:highlight w:val="none"/>
        </w:rPr>
        <w:t xml:space="preserve">39.2 </w:t>
      </w:r>
      <w:bookmarkEnd w:id="191"/>
      <w:r>
        <w:rPr>
          <w:rFonts w:hint="eastAsia" w:ascii="宋体" w:hAnsi="宋体" w:cs="宋体"/>
          <w:sz w:val="24"/>
          <w:highlight w:val="none"/>
        </w:rPr>
        <w:t xml:space="preserve"> 政府采购专家评审费</w:t>
      </w:r>
    </w:p>
    <w:p w14:paraId="273BD1AC">
      <w:pPr>
        <w:spacing w:line="480" w:lineRule="exact"/>
        <w:ind w:firstLine="600" w:firstLineChars="250"/>
        <w:rPr>
          <w:rFonts w:ascii="宋体" w:hAnsi="宋体" w:cs="宋体"/>
          <w:sz w:val="24"/>
          <w:highlight w:val="none"/>
        </w:rPr>
      </w:pPr>
      <w:r>
        <w:rPr>
          <w:rFonts w:hint="eastAsia" w:ascii="宋体" w:hAnsi="宋体" w:cs="宋体"/>
          <w:sz w:val="24"/>
          <w:highlight w:val="none"/>
        </w:rPr>
        <w:t>由采购人承担，按照山东省有关规定的标准执行。</w:t>
      </w:r>
    </w:p>
    <w:p w14:paraId="6CAADD2B">
      <w:pPr>
        <w:pStyle w:val="5"/>
        <w:spacing w:before="0" w:after="0" w:line="480" w:lineRule="exact"/>
        <w:rPr>
          <w:rFonts w:cs="宋体"/>
          <w:szCs w:val="28"/>
          <w:highlight w:val="none"/>
          <w:u w:val="none"/>
        </w:rPr>
      </w:pPr>
      <w:bookmarkStart w:id="192" w:name="_Toc51176623"/>
      <w:bookmarkStart w:id="193" w:name="_Toc10917"/>
      <w:r>
        <w:rPr>
          <w:rFonts w:hint="eastAsia" w:cs="宋体"/>
          <w:szCs w:val="28"/>
          <w:highlight w:val="none"/>
          <w:u w:val="none"/>
        </w:rPr>
        <w:t>40</w:t>
      </w:r>
      <w:r>
        <w:rPr>
          <w:rFonts w:hint="eastAsia" w:cs="宋体"/>
          <w:highlight w:val="none"/>
          <w:u w:val="none"/>
        </w:rPr>
        <w:t>.</w:t>
      </w:r>
      <w:r>
        <w:rPr>
          <w:rFonts w:hint="eastAsia" w:cs="宋体"/>
          <w:szCs w:val="28"/>
          <w:highlight w:val="none"/>
          <w:u w:val="none"/>
        </w:rPr>
        <w:t>磋商文件解释权</w:t>
      </w:r>
      <w:bookmarkEnd w:id="192"/>
      <w:bookmarkEnd w:id="193"/>
    </w:p>
    <w:p w14:paraId="6F6E2E26">
      <w:pPr>
        <w:spacing w:line="480" w:lineRule="exact"/>
        <w:ind w:firstLine="480" w:firstLineChars="200"/>
        <w:rPr>
          <w:rFonts w:ascii="宋体" w:hAnsi="宋体" w:cs="宋体"/>
          <w:sz w:val="24"/>
          <w:highlight w:val="none"/>
          <w:lang w:val="en-GB"/>
        </w:rPr>
      </w:pPr>
      <w:r>
        <w:rPr>
          <w:rFonts w:hint="eastAsia" w:ascii="宋体" w:hAnsi="宋体" w:cs="宋体"/>
          <w:sz w:val="24"/>
          <w:highlight w:val="none"/>
          <w:lang w:val="en-GB"/>
        </w:rPr>
        <w:t>见</w:t>
      </w:r>
      <w:r>
        <w:rPr>
          <w:rFonts w:hint="eastAsia" w:ascii="宋体" w:hAnsi="宋体" w:cs="宋体"/>
          <w:sz w:val="24"/>
          <w:highlight w:val="none"/>
        </w:rPr>
        <w:t>供应商</w:t>
      </w:r>
      <w:r>
        <w:rPr>
          <w:rFonts w:hint="eastAsia" w:ascii="宋体" w:hAnsi="宋体" w:cs="宋体"/>
          <w:sz w:val="24"/>
          <w:highlight w:val="none"/>
          <w:lang w:val="en-GB"/>
        </w:rPr>
        <w:t>须知资料表。</w:t>
      </w:r>
    </w:p>
    <w:p w14:paraId="46466B66">
      <w:pPr>
        <w:rPr>
          <w:rFonts w:ascii="宋体" w:hAnsi="宋体" w:cs="宋体"/>
          <w:b/>
          <w:sz w:val="52"/>
          <w:szCs w:val="52"/>
          <w:highlight w:val="none"/>
        </w:rPr>
      </w:pPr>
      <w:r>
        <w:rPr>
          <w:rFonts w:hint="eastAsia" w:ascii="宋体" w:hAnsi="宋体" w:cs="宋体"/>
          <w:b/>
          <w:sz w:val="52"/>
          <w:szCs w:val="52"/>
          <w:highlight w:val="none"/>
        </w:rPr>
        <w:br w:type="page"/>
      </w:r>
    </w:p>
    <w:p w14:paraId="7AA6DC6A">
      <w:pPr>
        <w:pStyle w:val="2"/>
        <w:rPr>
          <w:highlight w:val="none"/>
        </w:rPr>
      </w:pPr>
    </w:p>
    <w:p w14:paraId="5DC80B41">
      <w:pPr>
        <w:rPr>
          <w:highlight w:val="none"/>
        </w:rPr>
      </w:pPr>
    </w:p>
    <w:p w14:paraId="48325836">
      <w:pPr>
        <w:pStyle w:val="45"/>
        <w:rPr>
          <w:highlight w:val="none"/>
        </w:rPr>
      </w:pPr>
    </w:p>
    <w:p w14:paraId="5BEACE38">
      <w:pPr>
        <w:widowControl/>
        <w:spacing w:line="480" w:lineRule="exact"/>
        <w:jc w:val="left"/>
        <w:rPr>
          <w:rFonts w:ascii="宋体" w:hAnsi="宋体" w:cs="宋体"/>
          <w:b/>
          <w:sz w:val="52"/>
          <w:szCs w:val="52"/>
          <w:highlight w:val="none"/>
        </w:rPr>
      </w:pPr>
    </w:p>
    <w:p w14:paraId="7F0A3450">
      <w:pPr>
        <w:spacing w:line="240" w:lineRule="atLeast"/>
        <w:ind w:left="1080" w:leftChars="257" w:hanging="540"/>
        <w:jc w:val="center"/>
        <w:rPr>
          <w:rFonts w:ascii="宋体" w:hAnsi="宋体" w:cs="宋体"/>
          <w:b/>
          <w:sz w:val="52"/>
          <w:szCs w:val="52"/>
          <w:highlight w:val="none"/>
        </w:rPr>
      </w:pPr>
    </w:p>
    <w:p w14:paraId="10A12E4C">
      <w:pPr>
        <w:spacing w:line="240" w:lineRule="atLeast"/>
        <w:ind w:left="1080" w:leftChars="257" w:hanging="540"/>
        <w:jc w:val="center"/>
        <w:rPr>
          <w:rFonts w:ascii="宋体" w:hAnsi="宋体" w:cs="宋体"/>
          <w:b/>
          <w:bCs/>
          <w:sz w:val="70"/>
          <w:szCs w:val="52"/>
          <w:highlight w:val="none"/>
        </w:rPr>
      </w:pPr>
      <w:r>
        <w:rPr>
          <w:rFonts w:hint="eastAsia" w:ascii="宋体" w:hAnsi="宋体" w:cs="宋体"/>
          <w:b/>
          <w:bCs/>
          <w:sz w:val="70"/>
          <w:szCs w:val="52"/>
          <w:highlight w:val="none"/>
        </w:rPr>
        <w:t>政府采购竞争性磋商文件</w:t>
      </w:r>
    </w:p>
    <w:p w14:paraId="2517498D">
      <w:pPr>
        <w:spacing w:line="240" w:lineRule="atLeast"/>
        <w:ind w:left="1080" w:leftChars="257" w:hanging="540"/>
        <w:jc w:val="center"/>
        <w:rPr>
          <w:rFonts w:ascii="宋体" w:hAnsi="宋体" w:cs="宋体"/>
          <w:bCs/>
          <w:sz w:val="32"/>
          <w:szCs w:val="32"/>
          <w:highlight w:val="none"/>
        </w:rPr>
      </w:pPr>
    </w:p>
    <w:p w14:paraId="6C4EE146">
      <w:pPr>
        <w:spacing w:line="240" w:lineRule="atLeast"/>
        <w:ind w:left="1080" w:leftChars="257" w:hanging="540"/>
        <w:jc w:val="center"/>
        <w:rPr>
          <w:rFonts w:ascii="宋体" w:hAnsi="宋体" w:cs="宋体"/>
          <w:b/>
          <w:sz w:val="32"/>
          <w:szCs w:val="32"/>
          <w:highlight w:val="none"/>
        </w:rPr>
      </w:pPr>
    </w:p>
    <w:p w14:paraId="41287249">
      <w:pPr>
        <w:spacing w:line="240" w:lineRule="atLeast"/>
        <w:ind w:left="1080" w:leftChars="257" w:hanging="540"/>
        <w:rPr>
          <w:rFonts w:ascii="宋体" w:hAnsi="宋体" w:cs="宋体"/>
          <w:b/>
          <w:sz w:val="28"/>
          <w:highlight w:val="none"/>
        </w:rPr>
      </w:pPr>
    </w:p>
    <w:p w14:paraId="58E02374">
      <w:pPr>
        <w:spacing w:line="240" w:lineRule="atLeast"/>
        <w:ind w:left="1080" w:leftChars="257" w:hanging="540"/>
        <w:jc w:val="center"/>
        <w:rPr>
          <w:rFonts w:ascii="宋体" w:hAnsi="宋体" w:cs="宋体"/>
          <w:b/>
          <w:sz w:val="36"/>
          <w:szCs w:val="36"/>
          <w:highlight w:val="none"/>
        </w:rPr>
      </w:pPr>
      <w:r>
        <w:rPr>
          <w:rFonts w:hint="eastAsia" w:ascii="宋体" w:hAnsi="宋体" w:cs="宋体"/>
          <w:b/>
          <w:sz w:val="36"/>
          <w:szCs w:val="36"/>
          <w:highlight w:val="none"/>
        </w:rPr>
        <w:t>第二册</w:t>
      </w:r>
    </w:p>
    <w:p w14:paraId="6184EFAB">
      <w:pPr>
        <w:spacing w:line="240" w:lineRule="atLeast"/>
        <w:ind w:left="1080" w:leftChars="257" w:hanging="540"/>
        <w:jc w:val="center"/>
        <w:rPr>
          <w:rFonts w:ascii="宋体" w:hAnsi="宋体" w:cs="宋体"/>
          <w:b/>
          <w:sz w:val="52"/>
          <w:highlight w:val="none"/>
        </w:rPr>
      </w:pPr>
    </w:p>
    <w:p w14:paraId="43BC3F4F">
      <w:pPr>
        <w:spacing w:line="360" w:lineRule="auto"/>
        <w:ind w:left="646" w:leftChars="200" w:hanging="226" w:hangingChars="75"/>
        <w:jc w:val="left"/>
        <w:rPr>
          <w:rFonts w:hint="eastAsia" w:ascii="宋体" w:hAnsi="宋体" w:eastAsia="宋体" w:cs="宋体"/>
          <w:b/>
          <w:sz w:val="30"/>
          <w:szCs w:val="30"/>
          <w:highlight w:val="none"/>
          <w:lang w:eastAsia="zh-CN"/>
        </w:rPr>
      </w:pPr>
      <w:r>
        <w:rPr>
          <w:rFonts w:hint="eastAsia" w:ascii="宋体" w:hAnsi="宋体" w:cs="宋体"/>
          <w:b/>
          <w:sz w:val="30"/>
          <w:szCs w:val="30"/>
          <w:highlight w:val="none"/>
        </w:rPr>
        <w:t>项目编号：</w:t>
      </w:r>
      <w:r>
        <w:rPr>
          <w:rFonts w:hint="eastAsia" w:ascii="宋体" w:hAnsi="宋体" w:cs="宋体"/>
          <w:b/>
          <w:sz w:val="30"/>
          <w:szCs w:val="30"/>
          <w:highlight w:val="none"/>
          <w:lang w:eastAsia="zh-CN"/>
        </w:rPr>
        <w:t>SDGP370000000202502006696</w:t>
      </w:r>
    </w:p>
    <w:p w14:paraId="5345E753">
      <w:pPr>
        <w:spacing w:line="360" w:lineRule="auto"/>
        <w:ind w:left="1880" w:leftChars="200" w:hanging="1460" w:hangingChars="505"/>
        <w:jc w:val="left"/>
        <w:rPr>
          <w:rFonts w:hint="eastAsia" w:ascii="宋体" w:hAnsi="宋体" w:eastAsia="宋体" w:cs="宋体"/>
          <w:b/>
          <w:spacing w:val="-11"/>
          <w:sz w:val="30"/>
          <w:szCs w:val="30"/>
          <w:highlight w:val="none"/>
          <w:lang w:eastAsia="zh-CN"/>
        </w:rPr>
      </w:pPr>
      <w:r>
        <w:rPr>
          <w:rFonts w:hint="eastAsia" w:ascii="宋体" w:hAnsi="宋体" w:cs="宋体"/>
          <w:b/>
          <w:spacing w:val="-6"/>
          <w:sz w:val="30"/>
          <w:szCs w:val="30"/>
          <w:highlight w:val="none"/>
        </w:rPr>
        <w:t>项目名称：</w:t>
      </w:r>
      <w:r>
        <w:rPr>
          <w:rFonts w:hint="eastAsia" w:ascii="宋体" w:hAnsi="宋体" w:cs="宋体"/>
          <w:b/>
          <w:spacing w:val="-17"/>
          <w:sz w:val="30"/>
          <w:szCs w:val="30"/>
          <w:highlight w:val="none"/>
          <w:lang w:eastAsia="zh-CN"/>
        </w:rPr>
        <w:t>临沂大学2025年学校事业发展情况审计服务项目</w:t>
      </w:r>
    </w:p>
    <w:p w14:paraId="46C204CE">
      <w:pPr>
        <w:spacing w:line="240" w:lineRule="atLeast"/>
        <w:ind w:left="1080" w:leftChars="257" w:hanging="540"/>
        <w:jc w:val="center"/>
        <w:rPr>
          <w:rFonts w:ascii="宋体" w:hAnsi="宋体" w:cs="宋体"/>
          <w:b/>
          <w:sz w:val="52"/>
          <w:highlight w:val="none"/>
        </w:rPr>
      </w:pPr>
    </w:p>
    <w:p w14:paraId="5E1EAACE">
      <w:pPr>
        <w:spacing w:line="240" w:lineRule="atLeast"/>
        <w:ind w:left="1080" w:leftChars="257" w:hanging="540"/>
        <w:jc w:val="center"/>
        <w:rPr>
          <w:rFonts w:ascii="宋体" w:hAnsi="宋体" w:cs="宋体"/>
          <w:b/>
          <w:sz w:val="52"/>
          <w:highlight w:val="none"/>
        </w:rPr>
      </w:pPr>
    </w:p>
    <w:p w14:paraId="19C37A49">
      <w:pPr>
        <w:pStyle w:val="45"/>
        <w:rPr>
          <w:highlight w:val="none"/>
        </w:rPr>
      </w:pPr>
    </w:p>
    <w:p w14:paraId="62940192">
      <w:pPr>
        <w:pStyle w:val="45"/>
        <w:rPr>
          <w:highlight w:val="none"/>
        </w:rPr>
      </w:pPr>
    </w:p>
    <w:p w14:paraId="0D3B24E7">
      <w:pPr>
        <w:pStyle w:val="45"/>
        <w:rPr>
          <w:highlight w:val="none"/>
        </w:rPr>
      </w:pPr>
    </w:p>
    <w:p w14:paraId="3D0CBE2E">
      <w:pPr>
        <w:pStyle w:val="45"/>
        <w:rPr>
          <w:highlight w:val="none"/>
        </w:rPr>
      </w:pPr>
    </w:p>
    <w:p w14:paraId="62398D62">
      <w:pPr>
        <w:pStyle w:val="45"/>
        <w:rPr>
          <w:highlight w:val="none"/>
        </w:rPr>
      </w:pPr>
    </w:p>
    <w:p w14:paraId="5282F8FA">
      <w:pPr>
        <w:spacing w:line="240" w:lineRule="atLeast"/>
        <w:ind w:left="1080" w:leftChars="257" w:hanging="540"/>
        <w:jc w:val="center"/>
        <w:rPr>
          <w:rFonts w:ascii="宋体" w:hAnsi="宋体" w:cs="宋体"/>
          <w:b/>
          <w:sz w:val="52"/>
          <w:highlight w:val="none"/>
        </w:rPr>
      </w:pPr>
    </w:p>
    <w:p w14:paraId="7A25B7FA">
      <w:pPr>
        <w:spacing w:line="360" w:lineRule="auto"/>
        <w:ind w:left="645" w:leftChars="307" w:firstLine="346" w:firstLineChars="115"/>
        <w:jc w:val="left"/>
        <w:rPr>
          <w:rFonts w:ascii="宋体" w:hAnsi="宋体" w:cs="宋体"/>
          <w:b/>
          <w:sz w:val="30"/>
          <w:szCs w:val="30"/>
          <w:highlight w:val="none"/>
        </w:rPr>
      </w:pPr>
      <w:r>
        <w:rPr>
          <w:rFonts w:hint="eastAsia" w:ascii="宋体" w:hAnsi="宋体" w:cs="宋体"/>
          <w:b/>
          <w:sz w:val="30"/>
          <w:szCs w:val="30"/>
          <w:highlight w:val="none"/>
        </w:rPr>
        <w:t>采    购  人:临沂大学</w:t>
      </w:r>
    </w:p>
    <w:p w14:paraId="3115F9FC">
      <w:pPr>
        <w:spacing w:line="360" w:lineRule="auto"/>
        <w:ind w:left="645" w:leftChars="307" w:firstLine="346" w:firstLineChars="115"/>
        <w:jc w:val="left"/>
        <w:rPr>
          <w:rFonts w:ascii="宋体" w:hAnsi="宋体" w:cs="宋体"/>
          <w:b/>
          <w:sz w:val="30"/>
          <w:szCs w:val="30"/>
          <w:highlight w:val="none"/>
        </w:rPr>
      </w:pPr>
      <w:r>
        <w:rPr>
          <w:rFonts w:hint="eastAsia" w:ascii="宋体" w:hAnsi="宋体" w:cs="宋体"/>
          <w:b/>
          <w:sz w:val="30"/>
          <w:szCs w:val="30"/>
          <w:highlight w:val="none"/>
        </w:rPr>
        <w:t xml:space="preserve">采购代理机构：临沂市沂蒙国际招标有限公司 </w:t>
      </w:r>
    </w:p>
    <w:p w14:paraId="19D39575">
      <w:pPr>
        <w:spacing w:line="240" w:lineRule="atLeast"/>
        <w:ind w:left="1080" w:leftChars="257" w:hanging="540"/>
        <w:rPr>
          <w:rFonts w:ascii="宋体" w:hAnsi="宋体" w:cs="宋体"/>
          <w:b/>
          <w:szCs w:val="21"/>
          <w:highlight w:val="none"/>
        </w:rPr>
      </w:pPr>
    </w:p>
    <w:p w14:paraId="2756CB05">
      <w:pPr>
        <w:spacing w:line="240" w:lineRule="atLeast"/>
        <w:ind w:left="1080" w:leftChars="257" w:hanging="540"/>
        <w:rPr>
          <w:rFonts w:ascii="宋体" w:hAnsi="宋体" w:cs="宋体"/>
          <w:b/>
          <w:szCs w:val="21"/>
          <w:highlight w:val="none"/>
        </w:rPr>
      </w:pPr>
    </w:p>
    <w:p w14:paraId="74DE8754">
      <w:pPr>
        <w:spacing w:line="240" w:lineRule="atLeast"/>
        <w:ind w:left="1077" w:leftChars="513" w:firstLine="298" w:firstLineChars="99"/>
        <w:rPr>
          <w:rFonts w:ascii="宋体" w:hAnsi="宋体" w:cs="宋体"/>
          <w:b/>
          <w:szCs w:val="21"/>
          <w:highlight w:val="none"/>
        </w:rPr>
      </w:pPr>
      <w:r>
        <w:rPr>
          <w:rFonts w:hint="eastAsia" w:ascii="宋体" w:hAnsi="宋体" w:cs="宋体"/>
          <w:b/>
          <w:bCs/>
          <w:sz w:val="30"/>
          <w:szCs w:val="30"/>
          <w:highlight w:val="none"/>
        </w:rPr>
        <w:t>发 出 日 期：二〇二五年</w:t>
      </w:r>
      <w:r>
        <w:rPr>
          <w:rFonts w:hint="eastAsia" w:ascii="宋体" w:hAnsi="宋体" w:cs="宋体"/>
          <w:b/>
          <w:bCs/>
          <w:sz w:val="30"/>
          <w:szCs w:val="30"/>
          <w:highlight w:val="none"/>
          <w:lang w:val="en-US" w:eastAsia="zh-CN"/>
        </w:rPr>
        <w:t>八</w:t>
      </w:r>
      <w:r>
        <w:rPr>
          <w:rFonts w:hint="eastAsia" w:ascii="宋体" w:hAnsi="宋体" w:cs="宋体"/>
          <w:b/>
          <w:bCs/>
          <w:sz w:val="30"/>
          <w:szCs w:val="30"/>
          <w:highlight w:val="none"/>
        </w:rPr>
        <w:t>月</w:t>
      </w:r>
      <w:r>
        <w:rPr>
          <w:rFonts w:hint="eastAsia" w:ascii="宋体" w:hAnsi="宋体" w:cs="宋体"/>
          <w:b/>
          <w:bCs/>
          <w:sz w:val="30"/>
          <w:szCs w:val="30"/>
          <w:highlight w:val="none"/>
          <w:lang w:val="en-US" w:eastAsia="zh-CN"/>
        </w:rPr>
        <w:t>二十一</w:t>
      </w:r>
      <w:r>
        <w:rPr>
          <w:rFonts w:hint="eastAsia" w:ascii="宋体" w:hAnsi="宋体" w:cs="宋体"/>
          <w:b/>
          <w:bCs/>
          <w:sz w:val="30"/>
          <w:szCs w:val="30"/>
          <w:highlight w:val="none"/>
        </w:rPr>
        <w:t>日</w:t>
      </w:r>
    </w:p>
    <w:p w14:paraId="1F1E73FC">
      <w:pPr>
        <w:spacing w:line="480" w:lineRule="exact"/>
        <w:ind w:left="1079" w:leftChars="257" w:hanging="539"/>
        <w:jc w:val="center"/>
        <w:rPr>
          <w:rFonts w:ascii="宋体" w:hAnsi="宋体" w:cs="宋体"/>
          <w:b/>
          <w:sz w:val="52"/>
          <w:highlight w:val="none"/>
        </w:rPr>
      </w:pPr>
      <w:r>
        <w:rPr>
          <w:rFonts w:hint="eastAsia" w:ascii="宋体" w:hAnsi="宋体" w:cs="宋体"/>
          <w:b/>
          <w:sz w:val="52"/>
          <w:highlight w:val="none"/>
        </w:rPr>
        <w:br w:type="page"/>
      </w:r>
    </w:p>
    <w:p w14:paraId="35B00748">
      <w:pPr>
        <w:pStyle w:val="3"/>
        <w:tabs>
          <w:tab w:val="left" w:pos="0"/>
        </w:tabs>
        <w:spacing w:before="0" w:after="240" w:afterLines="100" w:line="480" w:lineRule="exact"/>
        <w:ind w:left="425"/>
        <w:rPr>
          <w:rFonts w:hAnsi="宋体" w:cs="宋体"/>
          <w:highlight w:val="none"/>
        </w:rPr>
      </w:pPr>
      <w:bookmarkStart w:id="194" w:name="_Toc68259622"/>
      <w:bookmarkStart w:id="195" w:name="_Toc57"/>
      <w:r>
        <w:rPr>
          <w:rFonts w:hint="eastAsia" w:hAnsi="宋体" w:cs="宋体"/>
          <w:highlight w:val="none"/>
        </w:rPr>
        <w:t xml:space="preserve">第2章  </w:t>
      </w:r>
      <w:bookmarkStart w:id="196" w:name="_Toc4766813"/>
      <w:r>
        <w:rPr>
          <w:rFonts w:hint="eastAsia" w:hAnsi="宋体" w:cs="宋体"/>
          <w:highlight w:val="none"/>
        </w:rPr>
        <w:t>采购邀请</w:t>
      </w:r>
      <w:bookmarkEnd w:id="194"/>
      <w:bookmarkEnd w:id="195"/>
      <w:bookmarkEnd w:id="196"/>
    </w:p>
    <w:p w14:paraId="35CA18F6">
      <w:pPr>
        <w:spacing w:line="480" w:lineRule="exact"/>
        <w:ind w:firstLine="600" w:firstLineChars="250"/>
        <w:rPr>
          <w:rFonts w:ascii="宋体" w:hAnsi="宋体" w:cs="宋体"/>
          <w:sz w:val="24"/>
          <w:highlight w:val="none"/>
        </w:rPr>
      </w:pPr>
      <w:r>
        <w:rPr>
          <w:rFonts w:hint="eastAsia" w:ascii="宋体" w:hAnsi="宋体" w:cs="宋体"/>
          <w:sz w:val="24"/>
          <w:highlight w:val="none"/>
        </w:rPr>
        <w:t>临沂市沂蒙国际招标有限公司受临沂大学委托，对下述内容进行国内竞争性磋商。现邀请合格的供应商前来响应。</w:t>
      </w:r>
    </w:p>
    <w:p w14:paraId="7DE0EB94">
      <w:pPr>
        <w:spacing w:line="500" w:lineRule="exact"/>
        <w:rPr>
          <w:rFonts w:ascii="宋体" w:hAnsi="宋体" w:cs="宋体"/>
          <w:sz w:val="24"/>
          <w:highlight w:val="none"/>
        </w:rPr>
      </w:pPr>
      <w:bookmarkStart w:id="197" w:name="cgrphone"/>
      <w:bookmarkEnd w:id="197"/>
      <w:bookmarkStart w:id="198" w:name="_Toc28359002"/>
      <w:bookmarkStart w:id="199" w:name="_Toc35393621"/>
      <w:bookmarkStart w:id="200" w:name="_Toc35393790"/>
      <w:bookmarkStart w:id="201" w:name="_Toc28359079"/>
      <w:bookmarkStart w:id="202" w:name="_Hlk24379207"/>
      <w:bookmarkStart w:id="203" w:name="_Toc68259623"/>
      <w:bookmarkStart w:id="204" w:name="_Toc512937850"/>
      <w:r>
        <w:rPr>
          <w:rFonts w:hint="eastAsia" w:ascii="宋体" w:hAnsi="宋体" w:cs="宋体"/>
          <w:sz w:val="24"/>
          <w:highlight w:val="none"/>
        </w:rPr>
        <w:t>一、项目基本情况</w:t>
      </w:r>
      <w:bookmarkEnd w:id="198"/>
      <w:bookmarkEnd w:id="199"/>
      <w:bookmarkEnd w:id="200"/>
      <w:bookmarkEnd w:id="201"/>
    </w:p>
    <w:p w14:paraId="7C587C80">
      <w:pPr>
        <w:spacing w:line="500" w:lineRule="exact"/>
        <w:ind w:firstLine="420" w:firstLineChars="175"/>
        <w:rPr>
          <w:rFonts w:ascii="宋体" w:hAnsi="宋体" w:cs="宋体"/>
          <w:sz w:val="24"/>
          <w:highlight w:val="none"/>
        </w:rPr>
      </w:pPr>
      <w:r>
        <w:rPr>
          <w:rFonts w:hint="eastAsia" w:ascii="宋体" w:hAnsi="宋体" w:cs="宋体"/>
          <w:sz w:val="24"/>
          <w:highlight w:val="none"/>
        </w:rPr>
        <w:t>项目编号：</w:t>
      </w:r>
      <w:r>
        <w:rPr>
          <w:rFonts w:hint="eastAsia" w:ascii="宋体" w:hAnsi="宋体" w:cs="宋体"/>
          <w:sz w:val="24"/>
          <w:highlight w:val="none"/>
          <w:lang w:eastAsia="zh-CN"/>
        </w:rPr>
        <w:t>SDGP370000000202502006696</w:t>
      </w:r>
      <w:r>
        <w:rPr>
          <w:rFonts w:hint="eastAsia" w:ascii="宋体" w:hAnsi="宋体" w:cs="宋体"/>
          <w:sz w:val="24"/>
          <w:highlight w:val="none"/>
        </w:rPr>
        <w:t>  </w:t>
      </w:r>
    </w:p>
    <w:p w14:paraId="08E7F0FC">
      <w:pPr>
        <w:spacing w:line="500" w:lineRule="exact"/>
        <w:ind w:firstLine="420" w:firstLineChars="175"/>
        <w:rPr>
          <w:rFonts w:hint="eastAsia" w:ascii="宋体" w:hAnsi="宋体" w:eastAsia="宋体" w:cs="宋体"/>
          <w:spacing w:val="-6"/>
          <w:sz w:val="24"/>
          <w:highlight w:val="none"/>
          <w:lang w:eastAsia="zh-CN"/>
        </w:rPr>
      </w:pPr>
      <w:r>
        <w:rPr>
          <w:rFonts w:hint="eastAsia" w:ascii="宋体" w:hAnsi="宋体" w:cs="宋体"/>
          <w:sz w:val="24"/>
          <w:highlight w:val="none"/>
        </w:rPr>
        <w:t>项目名称：</w:t>
      </w:r>
      <w:r>
        <w:rPr>
          <w:rFonts w:hint="eastAsia" w:ascii="宋体" w:hAnsi="宋体" w:cs="宋体"/>
          <w:spacing w:val="-6"/>
          <w:sz w:val="24"/>
          <w:highlight w:val="none"/>
          <w:lang w:eastAsia="zh-CN"/>
        </w:rPr>
        <w:t>临沂大学2025年学校事业发展情况审计服务项目</w:t>
      </w:r>
    </w:p>
    <w:bookmarkEnd w:id="202"/>
    <w:p w14:paraId="5AA0A4B4">
      <w:pPr>
        <w:spacing w:line="500" w:lineRule="exact"/>
        <w:ind w:firstLine="420" w:firstLineChars="175"/>
        <w:rPr>
          <w:rFonts w:ascii="宋体" w:hAnsi="宋体" w:cs="宋体"/>
          <w:sz w:val="24"/>
          <w:highlight w:val="none"/>
        </w:rPr>
      </w:pPr>
      <w:r>
        <w:rPr>
          <w:rFonts w:hint="eastAsia" w:ascii="宋体" w:hAnsi="宋体" w:cs="宋体"/>
          <w:sz w:val="24"/>
          <w:highlight w:val="none"/>
        </w:rPr>
        <w:t>预算金额：</w:t>
      </w:r>
      <w:r>
        <w:rPr>
          <w:rFonts w:hint="eastAsia" w:ascii="宋体" w:hAnsi="宋体" w:cs="宋体"/>
          <w:sz w:val="24"/>
          <w:highlight w:val="none"/>
          <w:lang w:val="en-US" w:eastAsia="zh-CN"/>
        </w:rPr>
        <w:t>22.8</w:t>
      </w:r>
      <w:r>
        <w:rPr>
          <w:rFonts w:hint="eastAsia" w:ascii="宋体" w:hAnsi="宋体" w:cs="宋体"/>
          <w:sz w:val="24"/>
          <w:highlight w:val="none"/>
        </w:rPr>
        <w:t>万元</w:t>
      </w:r>
    </w:p>
    <w:p w14:paraId="1FADA9F8">
      <w:pPr>
        <w:spacing w:line="500" w:lineRule="exact"/>
        <w:ind w:firstLine="420" w:firstLineChars="175"/>
        <w:rPr>
          <w:rFonts w:ascii="宋体" w:hAnsi="宋体" w:cs="宋体"/>
          <w:sz w:val="24"/>
          <w:highlight w:val="none"/>
        </w:rPr>
      </w:pPr>
      <w:r>
        <w:rPr>
          <w:rFonts w:hint="eastAsia" w:ascii="宋体" w:hAnsi="宋体" w:cs="宋体"/>
          <w:sz w:val="24"/>
          <w:highlight w:val="none"/>
        </w:rPr>
        <w:t>最高限价（如有）：</w:t>
      </w:r>
      <w:r>
        <w:rPr>
          <w:rFonts w:hint="eastAsia" w:ascii="宋体" w:hAnsi="宋体" w:cs="宋体"/>
          <w:sz w:val="24"/>
          <w:highlight w:val="none"/>
          <w:lang w:val="en-US" w:eastAsia="zh-CN"/>
        </w:rPr>
        <w:t>22.8</w:t>
      </w:r>
      <w:r>
        <w:rPr>
          <w:rFonts w:hint="eastAsia" w:ascii="宋体" w:hAnsi="宋体" w:cs="宋体"/>
          <w:sz w:val="24"/>
          <w:highlight w:val="none"/>
        </w:rPr>
        <w:t>万元</w:t>
      </w:r>
    </w:p>
    <w:p w14:paraId="5EDA5DBA">
      <w:pPr>
        <w:spacing w:line="500" w:lineRule="exact"/>
        <w:ind w:firstLine="420" w:firstLineChars="175"/>
        <w:rPr>
          <w:rFonts w:ascii="宋体" w:hAnsi="宋体" w:cs="宋体"/>
          <w:sz w:val="24"/>
          <w:highlight w:val="none"/>
        </w:rPr>
      </w:pPr>
      <w:r>
        <w:rPr>
          <w:rFonts w:hint="eastAsia" w:ascii="宋体" w:hAnsi="宋体" w:cs="宋体"/>
          <w:sz w:val="24"/>
          <w:highlight w:val="none"/>
        </w:rPr>
        <w:t>采购需求：</w:t>
      </w:r>
    </w:p>
    <w:tbl>
      <w:tblPr>
        <w:tblStyle w:val="28"/>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859"/>
        <w:gridCol w:w="900"/>
        <w:gridCol w:w="5477"/>
      </w:tblGrid>
      <w:tr w14:paraId="5357D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88" w:type="dxa"/>
            <w:vAlign w:val="center"/>
          </w:tcPr>
          <w:p w14:paraId="1F2D893E">
            <w:pPr>
              <w:spacing w:line="500" w:lineRule="exact"/>
              <w:ind w:left="-1"/>
              <w:jc w:val="center"/>
              <w:rPr>
                <w:rFonts w:ascii="宋体" w:hAnsi="宋体" w:cs="宋体"/>
                <w:sz w:val="24"/>
                <w:highlight w:val="none"/>
              </w:rPr>
            </w:pPr>
            <w:r>
              <w:rPr>
                <w:rFonts w:hint="eastAsia" w:ascii="宋体" w:hAnsi="宋体" w:cs="宋体"/>
                <w:sz w:val="24"/>
                <w:highlight w:val="none"/>
              </w:rPr>
              <w:t>标包</w:t>
            </w:r>
          </w:p>
        </w:tc>
        <w:tc>
          <w:tcPr>
            <w:tcW w:w="1859" w:type="dxa"/>
            <w:vAlign w:val="center"/>
          </w:tcPr>
          <w:p w14:paraId="27901069">
            <w:pPr>
              <w:spacing w:line="500" w:lineRule="exact"/>
              <w:ind w:left="-1"/>
              <w:jc w:val="center"/>
              <w:rPr>
                <w:rFonts w:ascii="宋体" w:hAnsi="宋体" w:cs="宋体"/>
                <w:sz w:val="24"/>
                <w:highlight w:val="none"/>
              </w:rPr>
            </w:pPr>
            <w:r>
              <w:rPr>
                <w:rFonts w:hint="eastAsia" w:ascii="宋体" w:hAnsi="宋体" w:cs="宋体"/>
                <w:sz w:val="24"/>
                <w:highlight w:val="none"/>
              </w:rPr>
              <w:t>服务名称</w:t>
            </w:r>
          </w:p>
        </w:tc>
        <w:tc>
          <w:tcPr>
            <w:tcW w:w="900" w:type="dxa"/>
            <w:vAlign w:val="center"/>
          </w:tcPr>
          <w:p w14:paraId="221E4219">
            <w:pPr>
              <w:spacing w:line="500" w:lineRule="exact"/>
              <w:ind w:left="-1"/>
              <w:jc w:val="center"/>
              <w:rPr>
                <w:rFonts w:ascii="宋体" w:hAnsi="宋体" w:cs="宋体"/>
                <w:sz w:val="24"/>
                <w:highlight w:val="none"/>
              </w:rPr>
            </w:pPr>
            <w:r>
              <w:rPr>
                <w:rFonts w:hint="eastAsia" w:ascii="宋体" w:hAnsi="宋体" w:cs="宋体"/>
                <w:sz w:val="24"/>
                <w:highlight w:val="none"/>
              </w:rPr>
              <w:t>数量</w:t>
            </w:r>
          </w:p>
        </w:tc>
        <w:tc>
          <w:tcPr>
            <w:tcW w:w="5477" w:type="dxa"/>
            <w:vAlign w:val="center"/>
          </w:tcPr>
          <w:p w14:paraId="6D5FAF13">
            <w:pPr>
              <w:spacing w:line="500" w:lineRule="exact"/>
              <w:ind w:left="-1"/>
              <w:jc w:val="center"/>
              <w:rPr>
                <w:rFonts w:ascii="宋体" w:hAnsi="宋体" w:cs="宋体"/>
                <w:sz w:val="24"/>
                <w:highlight w:val="none"/>
              </w:rPr>
            </w:pPr>
            <w:r>
              <w:rPr>
                <w:rFonts w:hint="eastAsia" w:ascii="宋体" w:hAnsi="宋体" w:cs="宋体"/>
                <w:sz w:val="24"/>
                <w:highlight w:val="none"/>
              </w:rPr>
              <w:t>服务要求</w:t>
            </w:r>
          </w:p>
        </w:tc>
      </w:tr>
      <w:tr w14:paraId="7FC5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888" w:type="dxa"/>
            <w:vAlign w:val="center"/>
          </w:tcPr>
          <w:p w14:paraId="0C471562">
            <w:pPr>
              <w:spacing w:line="500" w:lineRule="exact"/>
              <w:ind w:left="-1"/>
              <w:jc w:val="center"/>
              <w:rPr>
                <w:rFonts w:ascii="宋体" w:hAnsi="宋体" w:cs="宋体"/>
                <w:sz w:val="24"/>
                <w:highlight w:val="none"/>
              </w:rPr>
            </w:pPr>
            <w:r>
              <w:rPr>
                <w:rFonts w:hint="eastAsia" w:ascii="宋体" w:hAnsi="宋体" w:cs="宋体"/>
                <w:sz w:val="24"/>
                <w:highlight w:val="none"/>
              </w:rPr>
              <w:t>A</w:t>
            </w:r>
          </w:p>
        </w:tc>
        <w:tc>
          <w:tcPr>
            <w:tcW w:w="1859" w:type="dxa"/>
            <w:vAlign w:val="center"/>
          </w:tcPr>
          <w:p w14:paraId="32E74851">
            <w:pPr>
              <w:spacing w:line="500" w:lineRule="exact"/>
              <w:ind w:left="-1"/>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临沂大学2025年学校事业发展情况审计服务项目</w:t>
            </w:r>
          </w:p>
        </w:tc>
        <w:tc>
          <w:tcPr>
            <w:tcW w:w="900" w:type="dxa"/>
            <w:vAlign w:val="center"/>
          </w:tcPr>
          <w:p w14:paraId="20F69617">
            <w:pPr>
              <w:spacing w:line="500" w:lineRule="exact"/>
              <w:ind w:left="-1"/>
              <w:jc w:val="center"/>
              <w:rPr>
                <w:rFonts w:ascii="宋体" w:hAnsi="宋体" w:cs="宋体"/>
                <w:sz w:val="24"/>
                <w:highlight w:val="none"/>
              </w:rPr>
            </w:pPr>
            <w:r>
              <w:rPr>
                <w:rFonts w:hint="eastAsia" w:ascii="宋体" w:hAnsi="宋体" w:cs="宋体"/>
                <w:sz w:val="24"/>
                <w:highlight w:val="none"/>
              </w:rPr>
              <w:t>1</w:t>
            </w:r>
          </w:p>
        </w:tc>
        <w:tc>
          <w:tcPr>
            <w:tcW w:w="5477" w:type="dxa"/>
            <w:vAlign w:val="center"/>
          </w:tcPr>
          <w:p w14:paraId="7D7FA70F">
            <w:pPr>
              <w:spacing w:line="500" w:lineRule="exact"/>
              <w:ind w:firstLine="480" w:firstLineChars="200"/>
              <w:rPr>
                <w:rFonts w:ascii="宋体" w:hAnsi="宋体" w:cs="宋体"/>
                <w:sz w:val="24"/>
                <w:highlight w:val="none"/>
              </w:rPr>
            </w:pPr>
            <w:r>
              <w:rPr>
                <w:rFonts w:hint="eastAsia" w:ascii="宋体" w:hAnsi="宋体" w:cs="宋体"/>
                <w:sz w:val="24"/>
                <w:highlight w:val="none"/>
              </w:rPr>
              <w:t>根据相关法律法规和相关规定，结合省委巡视自查发现问题立行立改，结合对照审计发现问题自查自纠、专项审计、内控风险评估、内控评价发现问题整改等，拟对2020年以来学校事业发展情况开展审计。具体详见磋商文件</w:t>
            </w:r>
            <w:r>
              <w:rPr>
                <w:rFonts w:hint="eastAsia" w:ascii="宋体" w:hAnsi="宋体" w:cs="宋体"/>
                <w:sz w:val="24"/>
                <w:highlight w:val="none"/>
                <w:lang w:val="en-US" w:eastAsia="zh-CN"/>
              </w:rPr>
              <w:t>第4章</w:t>
            </w:r>
            <w:r>
              <w:rPr>
                <w:rFonts w:hint="eastAsia" w:ascii="宋体" w:hAnsi="宋体" w:cs="宋体"/>
                <w:sz w:val="24"/>
                <w:highlight w:val="none"/>
              </w:rPr>
              <w:t>。</w:t>
            </w:r>
          </w:p>
        </w:tc>
      </w:tr>
    </w:tbl>
    <w:p w14:paraId="08EE0263">
      <w:pPr>
        <w:spacing w:line="500" w:lineRule="exact"/>
        <w:rPr>
          <w:rFonts w:ascii="宋体" w:hAnsi="宋体" w:cs="宋体"/>
          <w:sz w:val="24"/>
          <w:highlight w:val="none"/>
        </w:rPr>
      </w:pPr>
      <w:r>
        <w:rPr>
          <w:rFonts w:hint="eastAsia" w:ascii="宋体" w:hAnsi="宋体" w:cs="宋体"/>
          <w:sz w:val="24"/>
          <w:highlight w:val="none"/>
        </w:rPr>
        <w:t>合同履行期限：详见磋商文件。</w:t>
      </w:r>
    </w:p>
    <w:p w14:paraId="5B7D987B">
      <w:pPr>
        <w:spacing w:line="500" w:lineRule="exact"/>
        <w:rPr>
          <w:rFonts w:ascii="宋体" w:hAnsi="宋体" w:cs="宋体"/>
          <w:sz w:val="24"/>
          <w:highlight w:val="none"/>
        </w:rPr>
      </w:pPr>
      <w:bookmarkStart w:id="205" w:name="_Toc35393622"/>
      <w:bookmarkStart w:id="206" w:name="_Toc35393791"/>
      <w:bookmarkStart w:id="207" w:name="_Toc28359080"/>
      <w:bookmarkStart w:id="208" w:name="_Toc28359003"/>
      <w:r>
        <w:rPr>
          <w:rFonts w:hint="eastAsia" w:ascii="宋体" w:hAnsi="宋体" w:cs="宋体"/>
          <w:sz w:val="24"/>
          <w:highlight w:val="none"/>
        </w:rPr>
        <w:t>二、申请人的资格要求：</w:t>
      </w:r>
      <w:bookmarkEnd w:id="205"/>
      <w:bookmarkEnd w:id="206"/>
      <w:bookmarkEnd w:id="207"/>
      <w:bookmarkEnd w:id="208"/>
    </w:p>
    <w:p w14:paraId="312CC86A">
      <w:pPr>
        <w:spacing w:line="500" w:lineRule="exact"/>
        <w:ind w:firstLine="420" w:firstLineChars="175"/>
        <w:rPr>
          <w:rFonts w:ascii="宋体" w:hAnsi="宋体" w:cs="宋体"/>
          <w:sz w:val="24"/>
          <w:highlight w:val="none"/>
        </w:rPr>
      </w:pPr>
      <w:r>
        <w:rPr>
          <w:rFonts w:hint="eastAsia" w:ascii="宋体" w:hAnsi="宋体" w:cs="宋体"/>
          <w:sz w:val="24"/>
          <w:highlight w:val="none"/>
        </w:rPr>
        <w:t>1.满足《中华人民共和国政府采购法》第二十二条规定；</w:t>
      </w:r>
    </w:p>
    <w:p w14:paraId="4AF1471C">
      <w:pPr>
        <w:spacing w:line="500" w:lineRule="exact"/>
        <w:ind w:firstLine="420" w:firstLineChars="175"/>
        <w:rPr>
          <w:rFonts w:hint="eastAsia" w:ascii="宋体" w:hAnsi="宋体" w:cs="宋体"/>
          <w:sz w:val="24"/>
          <w:highlight w:val="none"/>
        </w:rPr>
      </w:pPr>
      <w:bookmarkStart w:id="209" w:name="_Toc28359004"/>
      <w:bookmarkStart w:id="210" w:name="_Toc28359081"/>
      <w:r>
        <w:rPr>
          <w:rFonts w:hint="eastAsia" w:ascii="宋体" w:hAnsi="宋体" w:cs="宋体"/>
          <w:sz w:val="24"/>
          <w:highlight w:val="none"/>
        </w:rPr>
        <w:t>2.落实政府采购政策需满足的资格要求：</w:t>
      </w:r>
      <w:r>
        <w:rPr>
          <w:rFonts w:hint="eastAsia" w:ascii="宋体" w:hAnsi="宋体" w:cs="宋体"/>
          <w:color w:val="auto"/>
          <w:sz w:val="24"/>
          <w:highlight w:val="none"/>
          <w:lang w:val="en-US" w:eastAsia="zh-CN"/>
        </w:rPr>
        <w:t>无</w:t>
      </w:r>
      <w:r>
        <w:rPr>
          <w:rFonts w:hint="eastAsia" w:ascii="宋体" w:hAnsi="宋体" w:cs="宋体"/>
          <w:sz w:val="24"/>
          <w:highlight w:val="none"/>
        </w:rPr>
        <w:t>；</w:t>
      </w:r>
    </w:p>
    <w:p w14:paraId="64AA94A2">
      <w:pPr>
        <w:spacing w:line="500" w:lineRule="exact"/>
        <w:ind w:firstLine="420" w:firstLineChars="175"/>
        <w:rPr>
          <w:rFonts w:hint="eastAsia" w:ascii="宋体" w:hAnsi="宋体" w:eastAsia="宋体" w:cs="宋体"/>
          <w:sz w:val="24"/>
          <w:highlight w:val="none"/>
          <w:lang w:eastAsia="zh-CN"/>
        </w:rPr>
      </w:pPr>
      <w:r>
        <w:rPr>
          <w:rFonts w:hint="eastAsia" w:ascii="宋体" w:hAnsi="宋体" w:cs="宋体"/>
          <w:sz w:val="24"/>
          <w:highlight w:val="none"/>
        </w:rPr>
        <w:t>3.本项目的特定资格要求：</w:t>
      </w:r>
      <w:bookmarkStart w:id="211" w:name="_Toc35393792"/>
      <w:bookmarkStart w:id="212" w:name="_Toc35393623"/>
      <w:r>
        <w:rPr>
          <w:rFonts w:hint="eastAsia" w:ascii="宋体" w:hAnsi="宋体" w:cs="宋体"/>
          <w:sz w:val="24"/>
          <w:highlight w:val="none"/>
        </w:rPr>
        <w:t>（</w:t>
      </w:r>
      <w:r>
        <w:rPr>
          <w:rFonts w:hint="eastAsia" w:ascii="宋体" w:hAnsi="宋体" w:cs="宋体"/>
          <w:sz w:val="24"/>
          <w:highlight w:val="none"/>
          <w:lang w:val="en-US" w:eastAsia="zh-CN"/>
        </w:rPr>
        <w:t>1</w:t>
      </w:r>
      <w:r>
        <w:rPr>
          <w:rFonts w:hint="eastAsia" w:ascii="宋体" w:hAnsi="宋体" w:cs="宋体"/>
          <w:sz w:val="24"/>
          <w:highlight w:val="none"/>
        </w:rPr>
        <w:t>）在“信用中国”（www.creditchina.gov.cn）、中国政府采购网（www.ccgp.gov.cn）等网站中被列入失信被执行人、重大税收违法失信主体、政府采购严重违法失信行为记录名单的供应商，不得参加本次政府采购活动；（</w:t>
      </w:r>
      <w:r>
        <w:rPr>
          <w:rFonts w:hint="eastAsia" w:ascii="宋体" w:hAnsi="宋体" w:cs="宋体"/>
          <w:sz w:val="24"/>
          <w:highlight w:val="none"/>
          <w:lang w:val="en-US" w:eastAsia="zh-CN"/>
        </w:rPr>
        <w:t>2</w:t>
      </w:r>
      <w:r>
        <w:rPr>
          <w:rFonts w:hint="eastAsia" w:ascii="宋体" w:hAnsi="宋体" w:cs="宋体"/>
          <w:sz w:val="24"/>
          <w:highlight w:val="none"/>
        </w:rPr>
        <w:t>）单位负责人为同一人或者存在直接控股、管理关系的不同供应商，不得参加同一合同项下的政府采购活动</w:t>
      </w:r>
      <w:r>
        <w:rPr>
          <w:rFonts w:hint="eastAsia" w:ascii="宋体" w:hAnsi="宋体" w:cs="宋体"/>
          <w:sz w:val="24"/>
          <w:highlight w:val="none"/>
          <w:lang w:eastAsia="zh-CN"/>
        </w:rPr>
        <w:t>；（</w:t>
      </w:r>
      <w:r>
        <w:rPr>
          <w:rFonts w:hint="eastAsia" w:ascii="宋体" w:hAnsi="宋体" w:cs="宋体"/>
          <w:sz w:val="24"/>
          <w:highlight w:val="none"/>
          <w:lang w:val="en-US" w:eastAsia="zh-CN"/>
        </w:rPr>
        <w:t>3</w:t>
      </w:r>
      <w:r>
        <w:rPr>
          <w:rFonts w:hint="eastAsia" w:ascii="宋体" w:hAnsi="宋体" w:cs="宋体"/>
          <w:sz w:val="24"/>
          <w:highlight w:val="none"/>
          <w:lang w:eastAsia="zh-CN"/>
        </w:rPr>
        <w:t>）供应商应具备相应的高校事业发展情况审计服务能力</w:t>
      </w:r>
      <w:r>
        <w:rPr>
          <w:rFonts w:hint="eastAsia" w:ascii="宋体" w:hAnsi="宋体" w:eastAsia="宋体" w:cs="宋体"/>
          <w:i w:val="0"/>
          <w:iCs w:val="0"/>
          <w:caps w:val="0"/>
          <w:color w:val="000000"/>
          <w:spacing w:val="0"/>
          <w:sz w:val="24"/>
          <w:szCs w:val="24"/>
          <w:highlight w:val="none"/>
          <w:shd w:val="clear" w:fill="FFFFFF"/>
          <w:lang w:eastAsia="zh-CN"/>
        </w:rPr>
        <w:t>。</w:t>
      </w:r>
    </w:p>
    <w:p w14:paraId="5AEC97F3">
      <w:pPr>
        <w:spacing w:line="500" w:lineRule="exact"/>
        <w:rPr>
          <w:rFonts w:ascii="宋体" w:hAnsi="宋体" w:cs="宋体"/>
          <w:sz w:val="24"/>
          <w:highlight w:val="none"/>
        </w:rPr>
      </w:pPr>
      <w:r>
        <w:rPr>
          <w:rFonts w:hint="eastAsia" w:ascii="宋体" w:hAnsi="宋体" w:cs="宋体"/>
          <w:sz w:val="24"/>
          <w:highlight w:val="none"/>
        </w:rPr>
        <w:t>三、获取采购文件</w:t>
      </w:r>
      <w:bookmarkEnd w:id="209"/>
      <w:bookmarkEnd w:id="210"/>
      <w:bookmarkEnd w:id="211"/>
      <w:bookmarkEnd w:id="212"/>
    </w:p>
    <w:p w14:paraId="591FBA35">
      <w:pPr>
        <w:spacing w:line="500" w:lineRule="exact"/>
        <w:ind w:firstLine="480" w:firstLineChars="200"/>
        <w:rPr>
          <w:rFonts w:ascii="宋体" w:hAnsi="宋体" w:cs="宋体"/>
          <w:sz w:val="24"/>
          <w:highlight w:val="none"/>
        </w:rPr>
      </w:pPr>
      <w:r>
        <w:rPr>
          <w:rFonts w:hint="eastAsia" w:ascii="宋体" w:hAnsi="宋体" w:cs="宋体"/>
          <w:sz w:val="24"/>
          <w:highlight w:val="none"/>
        </w:rPr>
        <w:t>1.时间：2025年</w:t>
      </w:r>
      <w:r>
        <w:rPr>
          <w:rFonts w:hint="eastAsia" w:ascii="宋体" w:hAnsi="宋体" w:cs="宋体"/>
          <w:sz w:val="24"/>
          <w:highlight w:val="none"/>
          <w:lang w:val="en-US" w:eastAsia="zh-CN"/>
        </w:rPr>
        <w:t>8</w:t>
      </w:r>
      <w:r>
        <w:rPr>
          <w:rFonts w:hint="eastAsia" w:ascii="宋体" w:hAnsi="宋体" w:cs="宋体"/>
          <w:sz w:val="24"/>
          <w:highlight w:val="none"/>
        </w:rPr>
        <w:t>月</w:t>
      </w:r>
      <w:r>
        <w:rPr>
          <w:rFonts w:hint="eastAsia" w:ascii="宋体" w:hAnsi="宋体" w:cs="宋体"/>
          <w:sz w:val="24"/>
          <w:highlight w:val="none"/>
          <w:lang w:val="en-US" w:eastAsia="zh-CN"/>
        </w:rPr>
        <w:t>22</w:t>
      </w:r>
      <w:r>
        <w:rPr>
          <w:rFonts w:hint="eastAsia" w:ascii="宋体" w:hAnsi="宋体" w:cs="宋体"/>
          <w:sz w:val="24"/>
          <w:highlight w:val="none"/>
        </w:rPr>
        <w:t>日8时30分至2025年</w:t>
      </w:r>
      <w:r>
        <w:rPr>
          <w:rFonts w:hint="eastAsia" w:ascii="宋体" w:hAnsi="宋体" w:cs="宋体"/>
          <w:sz w:val="24"/>
          <w:highlight w:val="none"/>
          <w:lang w:val="en-US" w:eastAsia="zh-CN"/>
        </w:rPr>
        <w:t>8</w:t>
      </w:r>
      <w:r>
        <w:rPr>
          <w:rFonts w:hint="eastAsia" w:ascii="宋体" w:hAnsi="宋体" w:cs="宋体"/>
          <w:sz w:val="24"/>
          <w:highlight w:val="none"/>
        </w:rPr>
        <w:t>月</w:t>
      </w:r>
      <w:r>
        <w:rPr>
          <w:rFonts w:hint="eastAsia" w:ascii="宋体" w:hAnsi="宋体" w:cs="宋体"/>
          <w:sz w:val="24"/>
          <w:highlight w:val="none"/>
          <w:lang w:val="en-US" w:eastAsia="zh-CN"/>
        </w:rPr>
        <w:t>28</w:t>
      </w:r>
      <w:r>
        <w:rPr>
          <w:rFonts w:hint="eastAsia" w:ascii="宋体" w:hAnsi="宋体" w:cs="宋体"/>
          <w:sz w:val="24"/>
          <w:highlight w:val="none"/>
        </w:rPr>
        <w:t>日17时00分（北京时间，法定节假日除外）</w:t>
      </w:r>
    </w:p>
    <w:p w14:paraId="6A7E4E13">
      <w:pPr>
        <w:spacing w:line="500" w:lineRule="exact"/>
        <w:ind w:firstLine="480" w:firstLineChars="200"/>
        <w:rPr>
          <w:rFonts w:ascii="宋体" w:hAnsi="宋体" w:cs="宋体"/>
          <w:sz w:val="24"/>
          <w:highlight w:val="none"/>
        </w:rPr>
      </w:pPr>
      <w:r>
        <w:rPr>
          <w:rFonts w:hint="eastAsia" w:ascii="宋体" w:hAnsi="宋体" w:cs="宋体"/>
          <w:sz w:val="24"/>
          <w:highlight w:val="none"/>
        </w:rPr>
        <w:t>2.地点：临沂市兰山区柳青街道北京路与沭河路交汇北50米红日大厦20楼临沂市沂蒙国际招标有限公司；</w:t>
      </w:r>
    </w:p>
    <w:p w14:paraId="2AC5C128">
      <w:pPr>
        <w:spacing w:line="500" w:lineRule="exact"/>
        <w:ind w:firstLine="480" w:firstLineChars="200"/>
        <w:rPr>
          <w:rFonts w:ascii="宋体" w:hAnsi="宋体" w:cs="宋体"/>
          <w:sz w:val="24"/>
          <w:highlight w:val="none"/>
        </w:rPr>
      </w:pPr>
      <w:r>
        <w:rPr>
          <w:rFonts w:hint="eastAsia" w:ascii="宋体" w:hAnsi="宋体" w:cs="宋体"/>
          <w:sz w:val="24"/>
          <w:highlight w:val="none"/>
        </w:rPr>
        <w:t>3.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01787741">
      <w:pPr>
        <w:spacing w:line="500" w:lineRule="exact"/>
        <w:ind w:firstLine="480" w:firstLineChars="200"/>
        <w:rPr>
          <w:rFonts w:ascii="宋体" w:hAnsi="宋体" w:cs="宋体"/>
          <w:sz w:val="24"/>
          <w:highlight w:val="none"/>
        </w:rPr>
      </w:pPr>
      <w:r>
        <w:rPr>
          <w:rFonts w:hint="eastAsia" w:ascii="宋体" w:hAnsi="宋体" w:cs="宋体"/>
          <w:sz w:val="24"/>
          <w:highlight w:val="none"/>
        </w:rPr>
        <w:t>4.售价：每套人民币200元</w:t>
      </w:r>
      <w:r>
        <w:rPr>
          <w:rFonts w:hint="eastAsia" w:ascii="宋体" w:hAnsi="宋体" w:cs="宋体"/>
          <w:sz w:val="24"/>
          <w:highlight w:val="none"/>
          <w:lang w:eastAsia="zh-CN"/>
        </w:rPr>
        <w:t>，</w:t>
      </w:r>
      <w:r>
        <w:rPr>
          <w:rFonts w:hint="eastAsia" w:ascii="宋体" w:hAnsi="宋体" w:cs="宋体"/>
          <w:sz w:val="24"/>
          <w:highlight w:val="none"/>
        </w:rPr>
        <w:t>售后不退。</w:t>
      </w:r>
    </w:p>
    <w:p w14:paraId="1866F726">
      <w:pPr>
        <w:spacing w:line="500" w:lineRule="exact"/>
        <w:rPr>
          <w:rFonts w:ascii="宋体" w:hAnsi="宋体" w:cs="宋体"/>
          <w:sz w:val="24"/>
          <w:highlight w:val="none"/>
        </w:rPr>
      </w:pPr>
      <w:bookmarkStart w:id="213" w:name="_Toc28359082"/>
      <w:bookmarkStart w:id="214" w:name="_Toc28359005"/>
      <w:bookmarkStart w:id="215" w:name="_Toc35393793"/>
      <w:bookmarkStart w:id="216" w:name="_Toc35393624"/>
      <w:r>
        <w:rPr>
          <w:rFonts w:hint="eastAsia" w:ascii="宋体" w:hAnsi="宋体" w:cs="宋体"/>
          <w:sz w:val="24"/>
          <w:highlight w:val="none"/>
        </w:rPr>
        <w:t>四、提交响应文件</w:t>
      </w:r>
      <w:bookmarkEnd w:id="213"/>
      <w:bookmarkEnd w:id="214"/>
      <w:r>
        <w:rPr>
          <w:rFonts w:hint="eastAsia" w:ascii="宋体" w:hAnsi="宋体" w:cs="宋体"/>
          <w:sz w:val="24"/>
          <w:highlight w:val="none"/>
        </w:rPr>
        <w:t>截止时间和地点</w:t>
      </w:r>
      <w:bookmarkEnd w:id="215"/>
      <w:bookmarkEnd w:id="216"/>
    </w:p>
    <w:p w14:paraId="56926C79">
      <w:pPr>
        <w:spacing w:line="500" w:lineRule="exact"/>
        <w:ind w:firstLine="480" w:firstLineChars="200"/>
        <w:rPr>
          <w:rFonts w:ascii="宋体" w:hAnsi="宋体" w:cs="宋体"/>
          <w:sz w:val="24"/>
          <w:highlight w:val="none"/>
        </w:rPr>
      </w:pPr>
      <w:r>
        <w:rPr>
          <w:rFonts w:hint="eastAsia" w:ascii="宋体" w:hAnsi="宋体" w:cs="宋体"/>
          <w:sz w:val="24"/>
          <w:highlight w:val="none"/>
        </w:rPr>
        <w:t>1.时间：2025年</w:t>
      </w:r>
      <w:r>
        <w:rPr>
          <w:rFonts w:hint="eastAsia" w:ascii="宋体" w:hAnsi="宋体" w:cs="宋体"/>
          <w:sz w:val="24"/>
          <w:highlight w:val="none"/>
          <w:lang w:val="en-US" w:eastAsia="zh-CN"/>
        </w:rPr>
        <w:t>9</w:t>
      </w:r>
      <w:r>
        <w:rPr>
          <w:rFonts w:hint="eastAsia" w:ascii="宋体" w:hAnsi="宋体" w:cs="宋体"/>
          <w:sz w:val="24"/>
          <w:highlight w:val="none"/>
        </w:rPr>
        <w:t>月</w:t>
      </w:r>
      <w:r>
        <w:rPr>
          <w:rFonts w:hint="eastAsia" w:ascii="宋体" w:hAnsi="宋体" w:cs="宋体"/>
          <w:sz w:val="24"/>
          <w:highlight w:val="none"/>
          <w:lang w:val="en-US" w:eastAsia="zh-CN"/>
        </w:rPr>
        <w:t>2</w:t>
      </w:r>
      <w:r>
        <w:rPr>
          <w:rFonts w:hint="eastAsia" w:ascii="宋体" w:hAnsi="宋体" w:cs="宋体"/>
          <w:sz w:val="24"/>
          <w:highlight w:val="none"/>
        </w:rPr>
        <w:t>日09时30分（北京时间）；</w:t>
      </w:r>
    </w:p>
    <w:p w14:paraId="70734196">
      <w:pPr>
        <w:spacing w:line="500" w:lineRule="exact"/>
        <w:ind w:firstLine="480" w:firstLineChars="200"/>
        <w:rPr>
          <w:rFonts w:ascii="宋体" w:hAnsi="宋体" w:cs="宋体"/>
          <w:sz w:val="24"/>
          <w:highlight w:val="none"/>
        </w:rPr>
      </w:pPr>
      <w:r>
        <w:rPr>
          <w:rFonts w:hint="eastAsia" w:ascii="宋体" w:hAnsi="宋体" w:cs="宋体"/>
          <w:sz w:val="24"/>
          <w:highlight w:val="none"/>
        </w:rPr>
        <w:t>2.地点：</w:t>
      </w:r>
      <w:r>
        <w:rPr>
          <w:rFonts w:hint="eastAsia" w:ascii="宋体" w:hAnsi="宋体" w:cs="宋体"/>
          <w:sz w:val="24"/>
          <w:highlight w:val="none"/>
          <w:lang w:val="zh-CN"/>
        </w:rPr>
        <w:t>临沂市兰山区柳青街道北京路与沭河路交汇北50米红日大厦20楼临沂市沂蒙国际招标有限公司开标室。</w:t>
      </w:r>
    </w:p>
    <w:p w14:paraId="301DDBAA">
      <w:pPr>
        <w:spacing w:line="500" w:lineRule="exact"/>
        <w:rPr>
          <w:rFonts w:ascii="宋体" w:hAnsi="宋体" w:cs="宋体"/>
          <w:sz w:val="24"/>
          <w:highlight w:val="none"/>
        </w:rPr>
      </w:pPr>
      <w:bookmarkStart w:id="217" w:name="_Toc35393633"/>
      <w:bookmarkStart w:id="218" w:name="_Toc28359093"/>
      <w:bookmarkStart w:id="219" w:name="_Toc35393802"/>
      <w:bookmarkStart w:id="220" w:name="_Toc28359016"/>
      <w:r>
        <w:rPr>
          <w:rFonts w:hint="eastAsia" w:ascii="宋体" w:hAnsi="宋体" w:cs="宋体"/>
          <w:sz w:val="24"/>
          <w:highlight w:val="none"/>
        </w:rPr>
        <w:t>五、开启</w:t>
      </w:r>
      <w:bookmarkEnd w:id="217"/>
      <w:bookmarkEnd w:id="218"/>
      <w:bookmarkEnd w:id="219"/>
      <w:bookmarkEnd w:id="220"/>
      <w:r>
        <w:rPr>
          <w:rFonts w:hint="eastAsia" w:ascii="宋体" w:hAnsi="宋体" w:cs="宋体"/>
          <w:sz w:val="24"/>
          <w:highlight w:val="none"/>
        </w:rPr>
        <w:t xml:space="preserve"> </w:t>
      </w:r>
    </w:p>
    <w:p w14:paraId="1CB2D359">
      <w:pPr>
        <w:spacing w:line="500" w:lineRule="exact"/>
        <w:ind w:firstLine="480" w:firstLineChars="200"/>
        <w:rPr>
          <w:rFonts w:ascii="宋体" w:hAnsi="宋体" w:cs="宋体"/>
          <w:sz w:val="24"/>
          <w:highlight w:val="none"/>
        </w:rPr>
      </w:pPr>
      <w:bookmarkStart w:id="221" w:name="_Toc28359094"/>
      <w:bookmarkStart w:id="222" w:name="_Toc35393634"/>
      <w:bookmarkStart w:id="223" w:name="_Toc35393803"/>
      <w:bookmarkStart w:id="224" w:name="_Toc28359017"/>
      <w:r>
        <w:rPr>
          <w:rFonts w:hint="eastAsia" w:ascii="宋体" w:hAnsi="宋体" w:cs="宋体"/>
          <w:sz w:val="24"/>
          <w:highlight w:val="none"/>
        </w:rPr>
        <w:t>1.时间：2025年</w:t>
      </w:r>
      <w:r>
        <w:rPr>
          <w:rFonts w:hint="eastAsia" w:ascii="宋体" w:hAnsi="宋体" w:cs="宋体"/>
          <w:sz w:val="24"/>
          <w:highlight w:val="none"/>
          <w:lang w:val="en-US" w:eastAsia="zh-CN"/>
        </w:rPr>
        <w:t>9</w:t>
      </w:r>
      <w:r>
        <w:rPr>
          <w:rFonts w:hint="eastAsia" w:ascii="宋体" w:hAnsi="宋体" w:cs="宋体"/>
          <w:sz w:val="24"/>
          <w:highlight w:val="none"/>
        </w:rPr>
        <w:t>月</w:t>
      </w:r>
      <w:r>
        <w:rPr>
          <w:rFonts w:hint="eastAsia" w:ascii="宋体" w:hAnsi="宋体" w:cs="宋体"/>
          <w:sz w:val="24"/>
          <w:highlight w:val="none"/>
          <w:lang w:val="en-US" w:eastAsia="zh-CN"/>
        </w:rPr>
        <w:t>2</w:t>
      </w:r>
      <w:r>
        <w:rPr>
          <w:rFonts w:hint="eastAsia" w:ascii="宋体" w:hAnsi="宋体" w:cs="宋体"/>
          <w:sz w:val="24"/>
          <w:highlight w:val="none"/>
        </w:rPr>
        <w:t>日09时30分（北京时间）；</w:t>
      </w:r>
    </w:p>
    <w:p w14:paraId="175A3EDC">
      <w:pPr>
        <w:spacing w:line="500" w:lineRule="exact"/>
        <w:ind w:firstLine="480" w:firstLineChars="200"/>
        <w:rPr>
          <w:rFonts w:ascii="宋体" w:hAnsi="宋体" w:cs="宋体"/>
          <w:sz w:val="24"/>
          <w:highlight w:val="none"/>
        </w:rPr>
      </w:pPr>
      <w:r>
        <w:rPr>
          <w:rFonts w:hint="eastAsia" w:ascii="宋体" w:hAnsi="宋体" w:cs="宋体"/>
          <w:sz w:val="24"/>
          <w:highlight w:val="none"/>
        </w:rPr>
        <w:t>2.地点：</w:t>
      </w:r>
      <w:r>
        <w:rPr>
          <w:rFonts w:hint="eastAsia" w:ascii="宋体" w:hAnsi="宋体" w:cs="宋体"/>
          <w:sz w:val="24"/>
          <w:highlight w:val="none"/>
          <w:lang w:val="zh-CN"/>
        </w:rPr>
        <w:t>临沂市兰山区柳青街道北京路与沭河路交汇北50米红日大厦20楼临沂市沂蒙国际招标有限公司开标室。</w:t>
      </w:r>
    </w:p>
    <w:p w14:paraId="34C38E75">
      <w:pPr>
        <w:spacing w:line="500" w:lineRule="exact"/>
        <w:rPr>
          <w:rFonts w:ascii="宋体" w:hAnsi="宋体" w:cs="宋体"/>
          <w:sz w:val="24"/>
          <w:highlight w:val="none"/>
        </w:rPr>
      </w:pPr>
      <w:r>
        <w:rPr>
          <w:rFonts w:hint="eastAsia" w:ascii="宋体" w:hAnsi="宋体" w:cs="宋体"/>
          <w:sz w:val="24"/>
          <w:highlight w:val="none"/>
        </w:rPr>
        <w:t>六、公告期限</w:t>
      </w:r>
      <w:bookmarkEnd w:id="221"/>
      <w:bookmarkEnd w:id="222"/>
      <w:bookmarkEnd w:id="223"/>
      <w:bookmarkEnd w:id="224"/>
    </w:p>
    <w:p w14:paraId="4C946B5A">
      <w:pPr>
        <w:spacing w:line="500" w:lineRule="exact"/>
        <w:ind w:firstLine="480" w:firstLineChars="200"/>
        <w:rPr>
          <w:rFonts w:ascii="宋体" w:hAnsi="宋体" w:cs="宋体"/>
          <w:sz w:val="24"/>
          <w:highlight w:val="none"/>
        </w:rPr>
      </w:pPr>
      <w:r>
        <w:rPr>
          <w:rFonts w:hint="eastAsia" w:ascii="宋体" w:hAnsi="宋体" w:cs="宋体"/>
          <w:sz w:val="24"/>
          <w:highlight w:val="none"/>
        </w:rPr>
        <w:t>自本公告发布之日起5个工作日。</w:t>
      </w:r>
    </w:p>
    <w:p w14:paraId="4FC91150">
      <w:pPr>
        <w:spacing w:line="500" w:lineRule="exact"/>
        <w:rPr>
          <w:rFonts w:ascii="宋体" w:hAnsi="宋体" w:cs="宋体"/>
          <w:sz w:val="24"/>
          <w:highlight w:val="none"/>
        </w:rPr>
      </w:pPr>
      <w:bookmarkStart w:id="225" w:name="_Toc35393804"/>
      <w:bookmarkStart w:id="226" w:name="_Toc35393635"/>
      <w:r>
        <w:rPr>
          <w:rFonts w:hint="eastAsia" w:ascii="宋体" w:hAnsi="宋体" w:cs="宋体"/>
          <w:sz w:val="24"/>
          <w:highlight w:val="none"/>
        </w:rPr>
        <w:t>七、其他补充事宜</w:t>
      </w:r>
      <w:bookmarkEnd w:id="225"/>
      <w:bookmarkEnd w:id="226"/>
    </w:p>
    <w:p w14:paraId="107080C4">
      <w:pPr>
        <w:spacing w:line="500" w:lineRule="exact"/>
        <w:rPr>
          <w:rFonts w:ascii="宋体" w:hAnsi="宋体" w:cs="宋体"/>
          <w:sz w:val="24"/>
          <w:highlight w:val="none"/>
        </w:rPr>
      </w:pPr>
      <w:bookmarkStart w:id="227" w:name="_Toc28359018"/>
      <w:bookmarkStart w:id="228" w:name="_Toc28359095"/>
      <w:bookmarkStart w:id="229" w:name="_Toc35393805"/>
      <w:bookmarkStart w:id="230" w:name="_Toc35393636"/>
      <w:r>
        <w:rPr>
          <w:rFonts w:hint="eastAsia" w:ascii="宋体" w:hAnsi="宋体" w:cs="宋体"/>
          <w:sz w:val="24"/>
          <w:highlight w:val="none"/>
        </w:rPr>
        <w:t>八、凡对本次采购提出询问，请按以下方式联系</w:t>
      </w:r>
      <w:bookmarkEnd w:id="227"/>
      <w:bookmarkEnd w:id="228"/>
      <w:bookmarkEnd w:id="229"/>
      <w:bookmarkEnd w:id="230"/>
      <w:r>
        <w:rPr>
          <w:rFonts w:hint="eastAsia" w:ascii="宋体" w:hAnsi="宋体" w:cs="宋体"/>
          <w:sz w:val="24"/>
          <w:highlight w:val="none"/>
        </w:rPr>
        <w:t>:</w:t>
      </w:r>
    </w:p>
    <w:p w14:paraId="2EDBB2B0">
      <w:pPr>
        <w:spacing w:line="500" w:lineRule="exact"/>
        <w:ind w:firstLine="480" w:firstLineChars="200"/>
        <w:rPr>
          <w:rFonts w:ascii="宋体" w:hAnsi="宋体" w:cs="宋体"/>
          <w:sz w:val="24"/>
          <w:highlight w:val="none"/>
        </w:rPr>
      </w:pPr>
      <w:r>
        <w:rPr>
          <w:rFonts w:hint="eastAsia" w:ascii="宋体" w:hAnsi="宋体" w:cs="宋体"/>
          <w:sz w:val="24"/>
          <w:highlight w:val="none"/>
        </w:rPr>
        <w:t>1.采购人：临沂大学</w:t>
      </w:r>
    </w:p>
    <w:p w14:paraId="092BD300">
      <w:pPr>
        <w:spacing w:line="500" w:lineRule="exact"/>
        <w:ind w:firstLine="480" w:firstLineChars="200"/>
        <w:rPr>
          <w:rFonts w:ascii="宋体" w:hAnsi="宋体" w:cs="宋体"/>
          <w:sz w:val="24"/>
          <w:highlight w:val="none"/>
        </w:rPr>
      </w:pPr>
      <w:r>
        <w:rPr>
          <w:rFonts w:hint="eastAsia" w:ascii="宋体" w:hAnsi="宋体" w:cs="宋体"/>
          <w:sz w:val="24"/>
          <w:highlight w:val="none"/>
        </w:rPr>
        <w:t>联系地址：山东省临沂市双岭路中段</w:t>
      </w:r>
    </w:p>
    <w:p w14:paraId="66D0C9EC">
      <w:pPr>
        <w:spacing w:line="500" w:lineRule="exact"/>
        <w:ind w:firstLine="480" w:firstLineChars="200"/>
        <w:rPr>
          <w:rFonts w:ascii="宋体" w:hAnsi="宋体" w:cs="宋体"/>
          <w:sz w:val="24"/>
          <w:highlight w:val="none"/>
        </w:rPr>
      </w:pPr>
      <w:r>
        <w:rPr>
          <w:rFonts w:hint="eastAsia" w:ascii="宋体" w:hAnsi="宋体" w:cs="宋体"/>
          <w:sz w:val="24"/>
          <w:highlight w:val="none"/>
        </w:rPr>
        <w:t>联系方式：0539-7258756</w:t>
      </w:r>
    </w:p>
    <w:p w14:paraId="2D44202F">
      <w:pPr>
        <w:spacing w:line="500" w:lineRule="exact"/>
        <w:ind w:firstLine="480" w:firstLineChars="200"/>
        <w:rPr>
          <w:rFonts w:ascii="宋体" w:hAnsi="宋体" w:cs="宋体"/>
          <w:sz w:val="24"/>
          <w:highlight w:val="none"/>
        </w:rPr>
      </w:pPr>
      <w:r>
        <w:rPr>
          <w:rFonts w:hint="eastAsia" w:ascii="宋体" w:hAnsi="宋体" w:cs="宋体"/>
          <w:sz w:val="24"/>
          <w:highlight w:val="none"/>
        </w:rPr>
        <w:t>2.采购代理机构：临沂市沂蒙国际招标有限公司</w:t>
      </w:r>
    </w:p>
    <w:p w14:paraId="4FC8CA01">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地址：山东省临沂市兰山区柳青街道北京路与沭河路交汇北50米红日大厦20楼2008室</w:t>
      </w:r>
    </w:p>
    <w:p w14:paraId="6AD3579F">
      <w:pPr>
        <w:spacing w:line="500" w:lineRule="exact"/>
        <w:ind w:firstLine="480" w:firstLineChars="200"/>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联系人：毛锟 申振</w:t>
      </w:r>
    </w:p>
    <w:p w14:paraId="20FD7809">
      <w:pPr>
        <w:spacing w:line="500" w:lineRule="exact"/>
        <w:ind w:firstLine="480" w:firstLineChars="200"/>
        <w:rPr>
          <w:highlight w:val="none"/>
        </w:rPr>
      </w:pPr>
      <w:r>
        <w:rPr>
          <w:rFonts w:hint="eastAsia" w:ascii="宋体" w:hAnsi="宋体" w:cs="宋体"/>
          <w:sz w:val="24"/>
          <w:highlight w:val="none"/>
        </w:rPr>
        <w:t>联系方式：0539-7578911</w:t>
      </w:r>
    </w:p>
    <w:p w14:paraId="354F98D9">
      <w:pPr>
        <w:rPr>
          <w:rFonts w:hAnsi="宋体" w:cs="宋体"/>
          <w:szCs w:val="32"/>
          <w:highlight w:val="none"/>
        </w:rPr>
      </w:pPr>
      <w:r>
        <w:rPr>
          <w:rFonts w:hint="eastAsia" w:hAnsi="宋体" w:cs="宋体"/>
          <w:szCs w:val="32"/>
          <w:highlight w:val="none"/>
        </w:rPr>
        <w:br w:type="page"/>
      </w:r>
    </w:p>
    <w:p w14:paraId="12694DEB">
      <w:pPr>
        <w:pStyle w:val="3"/>
        <w:tabs>
          <w:tab w:val="left" w:pos="0"/>
        </w:tabs>
        <w:spacing w:before="0" w:after="0" w:line="480" w:lineRule="exact"/>
        <w:ind w:firstLine="2088" w:firstLineChars="650"/>
        <w:jc w:val="both"/>
        <w:rPr>
          <w:rFonts w:hAnsi="宋体" w:cs="宋体"/>
          <w:szCs w:val="32"/>
          <w:highlight w:val="none"/>
        </w:rPr>
      </w:pPr>
      <w:bookmarkStart w:id="231" w:name="_Toc22616"/>
      <w:r>
        <w:rPr>
          <w:rFonts w:hint="eastAsia" w:hAnsi="宋体" w:cs="宋体"/>
          <w:szCs w:val="32"/>
          <w:highlight w:val="none"/>
        </w:rPr>
        <w:t>第3章</w:t>
      </w:r>
      <w:bookmarkStart w:id="232" w:name="_Toc515647830"/>
      <w:bookmarkStart w:id="233" w:name="_Toc31583"/>
      <w:bookmarkStart w:id="234" w:name="_Toc507399903"/>
      <w:bookmarkStart w:id="235" w:name="_Toc4766814"/>
      <w:bookmarkStart w:id="236" w:name="_Toc10488"/>
      <w:bookmarkStart w:id="237" w:name="_Toc216582823"/>
      <w:r>
        <w:rPr>
          <w:rFonts w:hint="eastAsia" w:hAnsi="宋体" w:cs="宋体"/>
          <w:szCs w:val="32"/>
          <w:highlight w:val="none"/>
        </w:rPr>
        <w:t xml:space="preserve"> </w:t>
      </w:r>
      <w:r>
        <w:rPr>
          <w:rFonts w:hint="eastAsia" w:hAnsi="宋体" w:cs="宋体"/>
          <w:highlight w:val="none"/>
        </w:rPr>
        <w:t>供应商须知</w:t>
      </w:r>
      <w:r>
        <w:rPr>
          <w:rFonts w:hint="eastAsia" w:hAnsi="宋体" w:cs="宋体"/>
          <w:szCs w:val="32"/>
          <w:highlight w:val="none"/>
        </w:rPr>
        <w:t>资料表</w:t>
      </w:r>
      <w:bookmarkEnd w:id="203"/>
      <w:bookmarkEnd w:id="231"/>
      <w:bookmarkEnd w:id="232"/>
      <w:bookmarkEnd w:id="233"/>
      <w:bookmarkEnd w:id="234"/>
      <w:bookmarkEnd w:id="235"/>
      <w:bookmarkEnd w:id="236"/>
      <w:bookmarkEnd w:id="237"/>
    </w:p>
    <w:p w14:paraId="0FCEE2EF">
      <w:pPr>
        <w:spacing w:line="480" w:lineRule="exact"/>
        <w:ind w:firstLine="360" w:firstLineChars="150"/>
        <w:rPr>
          <w:rFonts w:ascii="宋体" w:hAnsi="宋体" w:cs="宋体"/>
          <w:sz w:val="24"/>
          <w:highlight w:val="none"/>
        </w:rPr>
      </w:pPr>
      <w:r>
        <w:rPr>
          <w:rFonts w:hint="eastAsia" w:ascii="宋体" w:hAnsi="宋体" w:cs="宋体"/>
          <w:sz w:val="24"/>
          <w:highlight w:val="none"/>
        </w:rPr>
        <w:t>本表是本磋商项目的具体资料，是对供应商须知的具体补充和修改，如有矛盾，应</w:t>
      </w:r>
      <w:r>
        <w:rPr>
          <w:rFonts w:hint="eastAsia" w:ascii="宋体" w:hAnsi="宋体" w:cs="宋体"/>
          <w:b/>
          <w:sz w:val="24"/>
          <w:highlight w:val="none"/>
        </w:rPr>
        <w:t>以本资料表为准</w:t>
      </w:r>
      <w:r>
        <w:rPr>
          <w:rFonts w:hint="eastAsia" w:ascii="宋体" w:hAnsi="宋体" w:cs="宋体"/>
          <w:sz w:val="24"/>
          <w:highlight w:val="none"/>
        </w:rPr>
        <w:t>。</w:t>
      </w:r>
    </w:p>
    <w:tbl>
      <w:tblPr>
        <w:tblStyle w:val="28"/>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14:paraId="75EAE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vAlign w:val="center"/>
          </w:tcPr>
          <w:p w14:paraId="5804B69A">
            <w:pPr>
              <w:spacing w:line="500" w:lineRule="exact"/>
              <w:jc w:val="center"/>
              <w:rPr>
                <w:rFonts w:ascii="宋体" w:hAnsi="宋体" w:cs="宋体"/>
                <w:sz w:val="24"/>
                <w:highlight w:val="none"/>
              </w:rPr>
            </w:pPr>
            <w:r>
              <w:rPr>
                <w:rFonts w:hint="eastAsia" w:ascii="宋体" w:hAnsi="宋体" w:cs="宋体"/>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vAlign w:val="center"/>
          </w:tcPr>
          <w:p w14:paraId="77984768">
            <w:pPr>
              <w:spacing w:line="500" w:lineRule="exact"/>
              <w:ind w:left="-31" w:leftChars="-15" w:firstLine="112" w:firstLineChars="47"/>
              <w:jc w:val="center"/>
              <w:rPr>
                <w:rFonts w:ascii="宋体" w:hAnsi="宋体" w:cs="宋体"/>
                <w:sz w:val="24"/>
                <w:highlight w:val="none"/>
              </w:rPr>
            </w:pPr>
            <w:r>
              <w:rPr>
                <w:rFonts w:hint="eastAsia" w:ascii="宋体" w:hAnsi="宋体" w:cs="宋体"/>
                <w:sz w:val="24"/>
                <w:highlight w:val="none"/>
              </w:rPr>
              <w:t>内      容</w:t>
            </w:r>
          </w:p>
        </w:tc>
      </w:tr>
      <w:tr w14:paraId="4D728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3B0C4301">
            <w:pPr>
              <w:spacing w:line="500" w:lineRule="exact"/>
              <w:jc w:val="center"/>
              <w:rPr>
                <w:rFonts w:ascii="宋体" w:hAnsi="宋体" w:cs="宋体"/>
                <w:sz w:val="24"/>
                <w:highlight w:val="none"/>
              </w:rPr>
            </w:pPr>
            <w:r>
              <w:rPr>
                <w:rFonts w:hint="eastAsia" w:ascii="宋体" w:hAnsi="宋体" w:cs="宋体"/>
                <w:sz w:val="24"/>
                <w:highlight w:val="none"/>
              </w:rPr>
              <w:t>1.1</w:t>
            </w:r>
          </w:p>
        </w:tc>
        <w:tc>
          <w:tcPr>
            <w:tcW w:w="8477" w:type="dxa"/>
            <w:tcBorders>
              <w:top w:val="single" w:color="auto" w:sz="6" w:space="0"/>
              <w:left w:val="single" w:color="auto" w:sz="6" w:space="0"/>
              <w:bottom w:val="single" w:color="auto" w:sz="6" w:space="0"/>
              <w:right w:val="single" w:color="auto" w:sz="12" w:space="0"/>
            </w:tcBorders>
            <w:vAlign w:val="center"/>
          </w:tcPr>
          <w:p w14:paraId="5B80EB1B">
            <w:pPr>
              <w:spacing w:line="500" w:lineRule="exact"/>
              <w:rPr>
                <w:rFonts w:ascii="宋体" w:hAnsi="宋体" w:cs="宋体"/>
                <w:sz w:val="24"/>
                <w:highlight w:val="none"/>
              </w:rPr>
            </w:pPr>
            <w:r>
              <w:rPr>
                <w:rFonts w:hint="eastAsia" w:ascii="宋体" w:hAnsi="宋体" w:cs="宋体"/>
                <w:sz w:val="24"/>
                <w:highlight w:val="none"/>
              </w:rPr>
              <w:t>采购人：临沂大学</w:t>
            </w:r>
          </w:p>
          <w:p w14:paraId="6AE5C87A">
            <w:pPr>
              <w:spacing w:line="500" w:lineRule="exact"/>
              <w:rPr>
                <w:rFonts w:ascii="宋体" w:hAnsi="宋体" w:cs="宋体"/>
                <w:sz w:val="24"/>
                <w:highlight w:val="none"/>
              </w:rPr>
            </w:pPr>
            <w:r>
              <w:rPr>
                <w:rFonts w:hint="eastAsia" w:ascii="宋体" w:hAnsi="宋体" w:cs="宋体"/>
                <w:sz w:val="24"/>
                <w:highlight w:val="none"/>
              </w:rPr>
              <w:t>地   址：山东省临沂市双岭路中段(临沂大学)</w:t>
            </w:r>
          </w:p>
          <w:p w14:paraId="3E00A762">
            <w:pPr>
              <w:spacing w:line="500" w:lineRule="exact"/>
              <w:rPr>
                <w:rFonts w:ascii="宋体" w:hAnsi="宋体" w:cs="宋体"/>
                <w:sz w:val="24"/>
                <w:highlight w:val="none"/>
              </w:rPr>
            </w:pPr>
            <w:r>
              <w:rPr>
                <w:rFonts w:hint="eastAsia" w:ascii="宋体" w:hAnsi="宋体" w:cs="宋体"/>
                <w:sz w:val="24"/>
                <w:highlight w:val="none"/>
              </w:rPr>
              <w:t>联系方式：0539-7258756　</w:t>
            </w:r>
          </w:p>
        </w:tc>
      </w:tr>
      <w:tr w14:paraId="09258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713121A7">
            <w:pPr>
              <w:spacing w:line="500" w:lineRule="exact"/>
              <w:jc w:val="center"/>
              <w:rPr>
                <w:rFonts w:ascii="宋体" w:hAnsi="宋体" w:cs="宋体"/>
                <w:sz w:val="24"/>
                <w:highlight w:val="none"/>
              </w:rPr>
            </w:pPr>
            <w:r>
              <w:rPr>
                <w:rFonts w:hint="eastAsia" w:ascii="宋体" w:hAnsi="宋体" w:cs="宋体"/>
                <w:sz w:val="24"/>
                <w:highlight w:val="none"/>
              </w:rPr>
              <w:t>1.2</w:t>
            </w:r>
          </w:p>
        </w:tc>
        <w:tc>
          <w:tcPr>
            <w:tcW w:w="8477" w:type="dxa"/>
            <w:tcBorders>
              <w:top w:val="single" w:color="auto" w:sz="6" w:space="0"/>
              <w:left w:val="single" w:color="auto" w:sz="6" w:space="0"/>
              <w:bottom w:val="single" w:color="auto" w:sz="6" w:space="0"/>
              <w:right w:val="single" w:color="auto" w:sz="12" w:space="0"/>
            </w:tcBorders>
            <w:vAlign w:val="center"/>
          </w:tcPr>
          <w:p w14:paraId="43EEFE43">
            <w:pPr>
              <w:spacing w:line="500" w:lineRule="exact"/>
              <w:rPr>
                <w:rFonts w:ascii="宋体" w:hAnsi="宋体" w:cs="宋体"/>
                <w:sz w:val="24"/>
                <w:highlight w:val="none"/>
              </w:rPr>
            </w:pPr>
            <w:r>
              <w:rPr>
                <w:rFonts w:hint="eastAsia" w:ascii="宋体" w:hAnsi="宋体" w:cs="宋体"/>
                <w:sz w:val="24"/>
                <w:highlight w:val="none"/>
              </w:rPr>
              <w:t>采购代理机构：临沂市沂蒙国际招标有限公司</w:t>
            </w:r>
          </w:p>
          <w:p w14:paraId="0FB4FAA2">
            <w:pPr>
              <w:spacing w:line="500" w:lineRule="exact"/>
              <w:ind w:left="-31" w:leftChars="-15"/>
              <w:rPr>
                <w:rFonts w:ascii="宋体" w:hAnsi="宋体" w:cs="宋体"/>
                <w:sz w:val="24"/>
                <w:highlight w:val="none"/>
              </w:rPr>
            </w:pPr>
            <w:r>
              <w:rPr>
                <w:rFonts w:hint="eastAsia" w:ascii="宋体" w:hAnsi="宋体" w:cs="宋体"/>
                <w:sz w:val="24"/>
                <w:highlight w:val="none"/>
              </w:rPr>
              <w:t>地址：山东省临沂市兰山区柳青街道北京路与沭河路交汇北50米红日大厦20楼2008室</w:t>
            </w:r>
          </w:p>
          <w:p w14:paraId="7887B63F">
            <w:pPr>
              <w:spacing w:line="500" w:lineRule="exact"/>
              <w:rPr>
                <w:rFonts w:ascii="宋体" w:hAnsi="宋体" w:cs="宋体"/>
                <w:sz w:val="24"/>
                <w:highlight w:val="none"/>
              </w:rPr>
            </w:pPr>
            <w:r>
              <w:rPr>
                <w:rFonts w:hint="eastAsia" w:ascii="宋体" w:hAnsi="宋体" w:cs="宋体"/>
                <w:sz w:val="24"/>
                <w:highlight w:val="none"/>
              </w:rPr>
              <w:t>联系方式：0539-7578911</w:t>
            </w:r>
          </w:p>
        </w:tc>
      </w:tr>
      <w:tr w14:paraId="71959D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A52BDFE">
            <w:pPr>
              <w:spacing w:line="500" w:lineRule="exact"/>
              <w:jc w:val="center"/>
              <w:rPr>
                <w:rFonts w:ascii="宋体" w:hAnsi="宋体" w:cs="宋体"/>
                <w:sz w:val="24"/>
                <w:highlight w:val="none"/>
              </w:rPr>
            </w:pPr>
            <w:r>
              <w:rPr>
                <w:rFonts w:hint="eastAsia" w:ascii="宋体" w:hAnsi="宋体" w:cs="宋体"/>
                <w:sz w:val="24"/>
                <w:highlight w:val="none"/>
              </w:rPr>
              <w:t>1.3.4</w:t>
            </w:r>
          </w:p>
        </w:tc>
        <w:tc>
          <w:tcPr>
            <w:tcW w:w="8477" w:type="dxa"/>
            <w:tcBorders>
              <w:top w:val="single" w:color="auto" w:sz="6" w:space="0"/>
              <w:left w:val="single" w:color="auto" w:sz="6" w:space="0"/>
              <w:bottom w:val="single" w:color="auto" w:sz="6" w:space="0"/>
              <w:right w:val="single" w:color="auto" w:sz="12" w:space="0"/>
            </w:tcBorders>
            <w:vAlign w:val="center"/>
          </w:tcPr>
          <w:p w14:paraId="48885064">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合格供应商的特定资格要求：见磋商公告</w:t>
            </w:r>
          </w:p>
        </w:tc>
      </w:tr>
      <w:tr w14:paraId="1122C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F335114">
            <w:pPr>
              <w:spacing w:line="500" w:lineRule="exact"/>
              <w:jc w:val="center"/>
              <w:rPr>
                <w:rFonts w:ascii="宋体" w:hAnsi="宋体" w:cs="宋体"/>
                <w:sz w:val="24"/>
                <w:highlight w:val="none"/>
              </w:rPr>
            </w:pPr>
            <w:r>
              <w:rPr>
                <w:rFonts w:hint="eastAsia" w:ascii="宋体" w:hAnsi="宋体" w:cs="宋体"/>
                <w:sz w:val="24"/>
                <w:highlight w:val="none"/>
              </w:rPr>
              <w:t>1.3.5</w:t>
            </w:r>
          </w:p>
        </w:tc>
        <w:tc>
          <w:tcPr>
            <w:tcW w:w="8477" w:type="dxa"/>
            <w:tcBorders>
              <w:top w:val="single" w:color="auto" w:sz="6" w:space="0"/>
              <w:left w:val="single" w:color="auto" w:sz="6" w:space="0"/>
              <w:bottom w:val="single" w:color="auto" w:sz="6" w:space="0"/>
              <w:right w:val="single" w:color="auto" w:sz="12" w:space="0"/>
            </w:tcBorders>
            <w:vAlign w:val="center"/>
          </w:tcPr>
          <w:p w14:paraId="7775531C">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是否为专门面向中小企业采购：</w:t>
            </w:r>
            <w:r>
              <w:rPr>
                <w:rFonts w:hint="eastAsia" w:ascii="宋体" w:hAnsi="宋体" w:cs="宋体"/>
                <w:b w:val="0"/>
                <w:bCs w:val="0"/>
                <w:sz w:val="24"/>
                <w:highlight w:val="none"/>
              </w:rPr>
              <w:t>（是</w:t>
            </w:r>
            <w:r>
              <w:rPr>
                <w:rFonts w:hint="eastAsia" w:ascii="宋体" w:hAnsi="宋体" w:cs="宋体"/>
                <w:b w:val="0"/>
                <w:bCs w:val="0"/>
                <w:sz w:val="24"/>
                <w:highlight w:val="none"/>
              </w:rPr>
              <w:sym w:font="Wingdings 2" w:char="00A3"/>
            </w:r>
            <w:r>
              <w:rPr>
                <w:rFonts w:hint="eastAsia" w:ascii="宋体" w:hAnsi="宋体" w:cs="宋体"/>
                <w:b w:val="0"/>
                <w:bCs w:val="0"/>
                <w:sz w:val="24"/>
                <w:highlight w:val="none"/>
              </w:rPr>
              <w:t xml:space="preserve">  </w:t>
            </w:r>
            <w:r>
              <w:rPr>
                <w:rFonts w:hint="eastAsia" w:ascii="宋体" w:hAnsi="宋体" w:cs="宋体"/>
                <w:sz w:val="24"/>
                <w:highlight w:val="none"/>
              </w:rPr>
              <w:t xml:space="preserve"> 否</w:t>
            </w:r>
            <w:r>
              <w:rPr>
                <w:rFonts w:hint="eastAsia" w:ascii="仿宋" w:hAnsi="仿宋" w:eastAsia="仿宋" w:cs="宋体"/>
                <w:sz w:val="24"/>
                <w:highlight w:val="none"/>
              </w:rPr>
              <w:sym w:font="Wingdings 2" w:char="0052"/>
            </w:r>
            <w:r>
              <w:rPr>
                <w:rFonts w:hint="eastAsia" w:ascii="宋体" w:hAnsi="宋体" w:cs="宋体"/>
                <w:sz w:val="24"/>
                <w:highlight w:val="none"/>
              </w:rPr>
              <w:t>）</w:t>
            </w:r>
          </w:p>
        </w:tc>
      </w:tr>
      <w:tr w14:paraId="45C0E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28114F41">
            <w:pPr>
              <w:spacing w:line="500" w:lineRule="exact"/>
              <w:jc w:val="center"/>
              <w:rPr>
                <w:rFonts w:ascii="宋体" w:hAnsi="宋体" w:cs="宋体"/>
                <w:sz w:val="24"/>
                <w:highlight w:val="none"/>
              </w:rPr>
            </w:pPr>
            <w:r>
              <w:rPr>
                <w:rFonts w:hint="eastAsia" w:ascii="宋体" w:hAnsi="宋体" w:cs="宋体"/>
                <w:sz w:val="24"/>
                <w:highlight w:val="none"/>
              </w:rPr>
              <w:t>1.4</w:t>
            </w:r>
          </w:p>
        </w:tc>
        <w:tc>
          <w:tcPr>
            <w:tcW w:w="8477" w:type="dxa"/>
            <w:tcBorders>
              <w:top w:val="single" w:color="auto" w:sz="6" w:space="0"/>
              <w:left w:val="single" w:color="auto" w:sz="6" w:space="0"/>
              <w:bottom w:val="single" w:color="auto" w:sz="6" w:space="0"/>
              <w:right w:val="single" w:color="auto" w:sz="12" w:space="0"/>
            </w:tcBorders>
            <w:vAlign w:val="center"/>
          </w:tcPr>
          <w:p w14:paraId="21BE8BCE">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是否允许联合体投标：（是</w:t>
            </w:r>
            <w:r>
              <w:rPr>
                <w:rFonts w:hint="eastAsia" w:ascii="仿宋" w:hAnsi="仿宋" w:eastAsia="仿宋" w:cs="宋体"/>
                <w:sz w:val="24"/>
                <w:highlight w:val="none"/>
              </w:rPr>
              <w:sym w:font="Wingdings 2" w:char="00A3"/>
            </w:r>
            <w:r>
              <w:rPr>
                <w:rFonts w:hint="eastAsia" w:ascii="宋体" w:hAnsi="宋体" w:cs="宋体"/>
                <w:sz w:val="24"/>
                <w:highlight w:val="none"/>
              </w:rPr>
              <w:t xml:space="preserve">    否</w:t>
            </w:r>
            <w:r>
              <w:rPr>
                <w:rFonts w:hint="eastAsia" w:ascii="宋体" w:hAnsi="宋体" w:cs="宋体"/>
                <w:sz w:val="24"/>
                <w:highlight w:val="none"/>
              </w:rPr>
              <w:sym w:font="Wingdings 2" w:char="0052"/>
            </w:r>
            <w:r>
              <w:rPr>
                <w:rFonts w:hint="eastAsia" w:ascii="宋体" w:hAnsi="宋体" w:cs="宋体"/>
                <w:sz w:val="24"/>
                <w:highlight w:val="none"/>
              </w:rPr>
              <w:t xml:space="preserve">  ）</w:t>
            </w:r>
          </w:p>
        </w:tc>
      </w:tr>
      <w:tr w14:paraId="0DC7C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DA800D4">
            <w:pPr>
              <w:spacing w:line="500" w:lineRule="exact"/>
              <w:jc w:val="center"/>
              <w:rPr>
                <w:rFonts w:ascii="宋体" w:hAnsi="宋体" w:cs="宋体"/>
                <w:sz w:val="24"/>
                <w:highlight w:val="none"/>
              </w:rPr>
            </w:pPr>
            <w:r>
              <w:rPr>
                <w:rFonts w:hint="eastAsia" w:ascii="宋体" w:hAnsi="宋体" w:cs="宋体"/>
                <w:sz w:val="24"/>
                <w:highlight w:val="none"/>
              </w:rPr>
              <w:t>1.4.7</w:t>
            </w:r>
          </w:p>
        </w:tc>
        <w:tc>
          <w:tcPr>
            <w:tcW w:w="8477" w:type="dxa"/>
            <w:tcBorders>
              <w:top w:val="single" w:color="auto" w:sz="6" w:space="0"/>
              <w:left w:val="single" w:color="auto" w:sz="6" w:space="0"/>
              <w:bottom w:val="single" w:color="auto" w:sz="6" w:space="0"/>
              <w:right w:val="single" w:color="auto" w:sz="12" w:space="0"/>
            </w:tcBorders>
            <w:vAlign w:val="center"/>
          </w:tcPr>
          <w:p w14:paraId="1450EE06">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联合体的其他资格要求：不适用</w:t>
            </w:r>
          </w:p>
        </w:tc>
      </w:tr>
      <w:tr w14:paraId="66D33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E7F279B">
            <w:pPr>
              <w:spacing w:line="500" w:lineRule="exact"/>
              <w:jc w:val="center"/>
              <w:rPr>
                <w:rFonts w:ascii="宋体" w:hAnsi="宋体" w:cs="宋体"/>
                <w:sz w:val="24"/>
                <w:highlight w:val="none"/>
              </w:rPr>
            </w:pPr>
            <w:r>
              <w:rPr>
                <w:rFonts w:hint="eastAsia" w:ascii="宋体" w:hAnsi="宋体" w:cs="宋体"/>
                <w:sz w:val="24"/>
                <w:highlight w:val="none"/>
              </w:rPr>
              <w:t>2</w:t>
            </w:r>
          </w:p>
        </w:tc>
        <w:tc>
          <w:tcPr>
            <w:tcW w:w="8477" w:type="dxa"/>
            <w:tcBorders>
              <w:top w:val="single" w:color="auto" w:sz="6" w:space="0"/>
              <w:left w:val="single" w:color="auto" w:sz="6" w:space="0"/>
              <w:bottom w:val="single" w:color="auto" w:sz="6" w:space="0"/>
              <w:right w:val="single" w:color="auto" w:sz="12" w:space="0"/>
            </w:tcBorders>
            <w:vAlign w:val="center"/>
          </w:tcPr>
          <w:p w14:paraId="6764A500">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本分包最高限价：见磋商公告预算金额；</w:t>
            </w:r>
          </w:p>
          <w:p w14:paraId="7F8CFFB3">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本项目预算属于以下情形：</w:t>
            </w:r>
          </w:p>
          <w:p w14:paraId="57A9CB5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(1)项目为非预采购项目</w:t>
            </w:r>
            <w:r>
              <w:rPr>
                <w:rFonts w:hint="eastAsia" w:ascii="仿宋" w:hAnsi="仿宋" w:eastAsia="仿宋" w:cs="宋体"/>
                <w:sz w:val="24"/>
                <w:highlight w:val="none"/>
              </w:rPr>
              <w:sym w:font="Wingdings 2" w:char="0052"/>
            </w:r>
            <w:r>
              <w:rPr>
                <w:rFonts w:hint="eastAsia" w:ascii="宋体" w:hAnsi="宋体" w:cs="宋体"/>
                <w:sz w:val="24"/>
                <w:highlight w:val="none"/>
              </w:rPr>
              <w:t xml:space="preserve">     预采购项目</w:t>
            </w:r>
            <w:r>
              <w:rPr>
                <w:rFonts w:hint="eastAsia" w:ascii="宋体" w:hAnsi="宋体" w:cs="宋体"/>
                <w:sz w:val="24"/>
                <w:highlight w:val="none"/>
              </w:rPr>
              <w:sym w:font="Wingdings 2" w:char="00A3"/>
            </w:r>
          </w:p>
          <w:p w14:paraId="58F8C152">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(2)项目为非预采购项目，预算见磋商公告。</w:t>
            </w:r>
          </w:p>
          <w:p w14:paraId="42482F0F">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(3)项目为跨年度预采购项目，概算总金额/元，采购年限为/年，当年安排数/元。</w:t>
            </w:r>
          </w:p>
          <w:p w14:paraId="7CFFE69C">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根据《转发财政部关于做好政府采购信息公开工作的通知》（鲁财采【2015】33号）文件规定，预采购项目有取消和终止采购的可能。</w:t>
            </w:r>
          </w:p>
        </w:tc>
      </w:tr>
      <w:tr w14:paraId="56429A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4"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60FC4886">
            <w:pPr>
              <w:spacing w:line="500" w:lineRule="exact"/>
              <w:jc w:val="center"/>
              <w:rPr>
                <w:rFonts w:ascii="宋体" w:hAnsi="宋体" w:cs="宋体"/>
                <w:sz w:val="24"/>
                <w:highlight w:val="none"/>
              </w:rPr>
            </w:pPr>
            <w:r>
              <w:rPr>
                <w:rFonts w:hint="eastAsia" w:ascii="宋体" w:hAnsi="宋体" w:cs="宋体"/>
                <w:sz w:val="24"/>
                <w:highlight w:val="none"/>
              </w:rPr>
              <w:t>3</w:t>
            </w:r>
          </w:p>
        </w:tc>
        <w:tc>
          <w:tcPr>
            <w:tcW w:w="8477" w:type="dxa"/>
            <w:tcBorders>
              <w:top w:val="single" w:color="auto" w:sz="6" w:space="0"/>
              <w:left w:val="single" w:color="auto" w:sz="6" w:space="0"/>
              <w:bottom w:val="single" w:color="auto" w:sz="6" w:space="0"/>
              <w:right w:val="single" w:color="auto" w:sz="12" w:space="0"/>
            </w:tcBorders>
            <w:vAlign w:val="center"/>
          </w:tcPr>
          <w:p w14:paraId="53CEB10A">
            <w:pPr>
              <w:spacing w:line="500" w:lineRule="exact"/>
              <w:rPr>
                <w:rFonts w:ascii="宋体" w:hAnsi="宋体" w:cs="宋体"/>
                <w:sz w:val="24"/>
                <w:highlight w:val="none"/>
              </w:rPr>
            </w:pPr>
            <w:r>
              <w:rPr>
                <w:rFonts w:hint="eastAsia" w:ascii="宋体" w:hAnsi="宋体" w:cs="宋体"/>
                <w:sz w:val="24"/>
                <w:highlight w:val="none"/>
              </w:rPr>
              <w:t>是否现场踏勘：（是</w:t>
            </w:r>
            <w:r>
              <w:rPr>
                <w:rFonts w:hint="eastAsia" w:ascii="仿宋" w:hAnsi="仿宋" w:eastAsia="仿宋" w:cs="宋体"/>
                <w:sz w:val="24"/>
                <w:highlight w:val="none"/>
                <w:lang w:eastAsia="zh-CN"/>
              </w:rPr>
              <w:t>□</w:t>
            </w:r>
            <w:r>
              <w:rPr>
                <w:rFonts w:hint="eastAsia" w:ascii="宋体" w:hAnsi="宋体" w:cs="宋体"/>
                <w:sz w:val="24"/>
                <w:highlight w:val="none"/>
              </w:rPr>
              <w:t xml:space="preserve">   否</w:t>
            </w:r>
            <w:r>
              <w:rPr>
                <w:rFonts w:hint="eastAsia" w:ascii="宋体" w:hAnsi="宋体" w:cs="宋体"/>
                <w:sz w:val="24"/>
                <w:highlight w:val="none"/>
              </w:rPr>
              <w:sym w:font="Wingdings 2" w:char="0052"/>
            </w:r>
            <w:r>
              <w:rPr>
                <w:rFonts w:hint="eastAsia" w:ascii="宋体" w:hAnsi="宋体" w:cs="宋体"/>
                <w:sz w:val="24"/>
                <w:highlight w:val="none"/>
              </w:rPr>
              <w:t>）</w:t>
            </w:r>
          </w:p>
        </w:tc>
      </w:tr>
      <w:tr w14:paraId="20533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2FF8E279">
            <w:pPr>
              <w:spacing w:line="500" w:lineRule="exact"/>
              <w:jc w:val="center"/>
              <w:rPr>
                <w:rFonts w:ascii="宋体" w:hAnsi="宋体" w:cs="宋体"/>
                <w:sz w:val="24"/>
                <w:highlight w:val="none"/>
              </w:rPr>
            </w:pPr>
            <w:r>
              <w:rPr>
                <w:rFonts w:hint="eastAsia" w:ascii="宋体" w:hAnsi="宋体" w:cs="宋体"/>
                <w:sz w:val="24"/>
                <w:highlight w:val="none"/>
              </w:rPr>
              <w:t>4</w:t>
            </w:r>
          </w:p>
        </w:tc>
        <w:tc>
          <w:tcPr>
            <w:tcW w:w="8477" w:type="dxa"/>
            <w:tcBorders>
              <w:top w:val="single" w:color="auto" w:sz="6" w:space="0"/>
              <w:left w:val="single" w:color="auto" w:sz="6" w:space="0"/>
              <w:bottom w:val="single" w:color="auto" w:sz="6" w:space="0"/>
              <w:right w:val="single" w:color="auto" w:sz="12" w:space="0"/>
            </w:tcBorders>
            <w:vAlign w:val="center"/>
          </w:tcPr>
          <w:p w14:paraId="0814A48D">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是否兼投不兼中：（是</w:t>
            </w:r>
            <w:r>
              <w:rPr>
                <w:rFonts w:hint="eastAsia" w:ascii="仿宋" w:hAnsi="仿宋" w:eastAsia="仿宋" w:cs="宋体"/>
                <w:sz w:val="24"/>
                <w:highlight w:val="none"/>
              </w:rPr>
              <w:t>□</w:t>
            </w:r>
            <w:r>
              <w:rPr>
                <w:rFonts w:hint="eastAsia" w:ascii="宋体" w:hAnsi="宋体" w:cs="宋体"/>
                <w:sz w:val="24"/>
                <w:highlight w:val="none"/>
              </w:rPr>
              <w:t xml:space="preserve">    否</w:t>
            </w:r>
            <w:r>
              <w:rPr>
                <w:rFonts w:hint="eastAsia" w:ascii="仿宋" w:hAnsi="仿宋" w:eastAsia="仿宋" w:cs="宋体"/>
                <w:sz w:val="24"/>
                <w:highlight w:val="none"/>
              </w:rPr>
              <w:sym w:font="Wingdings 2" w:char="0052"/>
            </w:r>
            <w:r>
              <w:rPr>
                <w:rFonts w:hint="eastAsia" w:ascii="宋体" w:hAnsi="宋体" w:cs="宋体"/>
                <w:sz w:val="24"/>
                <w:highlight w:val="none"/>
              </w:rPr>
              <w:t xml:space="preserve"> ）</w:t>
            </w:r>
          </w:p>
          <w:p w14:paraId="1DC01288">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兼投不兼中描述：无</w:t>
            </w:r>
            <w:r>
              <w:rPr>
                <w:rFonts w:ascii="宋体" w:hAnsi="宋体" w:cs="宋体"/>
                <w:sz w:val="24"/>
                <w:highlight w:val="none"/>
              </w:rPr>
              <w:t>要求</w:t>
            </w:r>
          </w:p>
        </w:tc>
      </w:tr>
      <w:tr w14:paraId="2633C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15C0BC00">
            <w:pPr>
              <w:spacing w:line="500" w:lineRule="exact"/>
              <w:jc w:val="center"/>
              <w:rPr>
                <w:rFonts w:ascii="宋体" w:hAnsi="宋体" w:cs="宋体"/>
                <w:sz w:val="24"/>
                <w:highlight w:val="none"/>
              </w:rPr>
            </w:pPr>
            <w:r>
              <w:rPr>
                <w:rFonts w:hint="eastAsia" w:ascii="宋体" w:hAnsi="宋体" w:cs="宋体"/>
                <w:sz w:val="24"/>
                <w:highlight w:val="none"/>
              </w:rPr>
              <w:t>5</w:t>
            </w:r>
          </w:p>
        </w:tc>
        <w:tc>
          <w:tcPr>
            <w:tcW w:w="8477" w:type="dxa"/>
            <w:tcBorders>
              <w:top w:val="single" w:color="auto" w:sz="6" w:space="0"/>
              <w:left w:val="single" w:color="auto" w:sz="6" w:space="0"/>
              <w:bottom w:val="single" w:color="auto" w:sz="6" w:space="0"/>
              <w:right w:val="single" w:color="auto" w:sz="12" w:space="0"/>
            </w:tcBorders>
            <w:vAlign w:val="center"/>
          </w:tcPr>
          <w:p w14:paraId="6DFCF178">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本项目是否采用电子投标：（是</w:t>
            </w:r>
            <w:r>
              <w:rPr>
                <w:rFonts w:hint="eastAsia" w:ascii="仿宋" w:hAnsi="仿宋" w:eastAsia="仿宋" w:cs="宋体"/>
                <w:sz w:val="24"/>
                <w:highlight w:val="none"/>
              </w:rPr>
              <w:t>□</w:t>
            </w:r>
            <w:r>
              <w:rPr>
                <w:rFonts w:hint="eastAsia" w:ascii="宋体" w:hAnsi="宋体" w:cs="宋体"/>
                <w:sz w:val="24"/>
                <w:highlight w:val="none"/>
              </w:rPr>
              <w:t xml:space="preserve">   否</w:t>
            </w:r>
            <w:r>
              <w:rPr>
                <w:rFonts w:hint="eastAsia" w:ascii="宋体" w:hAnsi="宋体" w:cs="宋体"/>
                <w:sz w:val="24"/>
                <w:highlight w:val="none"/>
              </w:rPr>
              <w:sym w:font="Wingdings 2" w:char="F052"/>
            </w:r>
            <w:r>
              <w:rPr>
                <w:rFonts w:hint="eastAsia" w:ascii="宋体" w:hAnsi="宋体" w:cs="宋体"/>
                <w:sz w:val="24"/>
                <w:highlight w:val="none"/>
              </w:rPr>
              <w:t xml:space="preserve"> ）</w:t>
            </w:r>
          </w:p>
        </w:tc>
      </w:tr>
      <w:tr w14:paraId="11B6D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DBE0050">
            <w:pPr>
              <w:spacing w:line="500" w:lineRule="exact"/>
              <w:jc w:val="center"/>
              <w:rPr>
                <w:rFonts w:ascii="宋体" w:hAnsi="宋体" w:cs="宋体"/>
                <w:sz w:val="24"/>
                <w:highlight w:val="none"/>
              </w:rPr>
            </w:pPr>
            <w:r>
              <w:rPr>
                <w:rFonts w:hint="eastAsia" w:ascii="宋体" w:hAnsi="宋体" w:cs="宋体"/>
                <w:sz w:val="24"/>
                <w:highlight w:val="none"/>
              </w:rPr>
              <w:t>6</w:t>
            </w:r>
          </w:p>
        </w:tc>
        <w:tc>
          <w:tcPr>
            <w:tcW w:w="8477" w:type="dxa"/>
            <w:tcBorders>
              <w:top w:val="single" w:color="auto" w:sz="6" w:space="0"/>
              <w:left w:val="single" w:color="auto" w:sz="6" w:space="0"/>
              <w:bottom w:val="single" w:color="auto" w:sz="6" w:space="0"/>
              <w:right w:val="single" w:color="auto" w:sz="12" w:space="0"/>
            </w:tcBorders>
            <w:vAlign w:val="center"/>
          </w:tcPr>
          <w:p w14:paraId="17FFD61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lang w:val="en-US" w:eastAsia="zh-CN"/>
              </w:rPr>
              <w:t>服务期限</w:t>
            </w:r>
            <w:r>
              <w:rPr>
                <w:rFonts w:hint="eastAsia" w:ascii="宋体" w:hAnsi="宋体" w:cs="宋体"/>
                <w:sz w:val="24"/>
                <w:highlight w:val="none"/>
              </w:rPr>
              <w:t>：提供审计材料后60个工作日内。</w:t>
            </w:r>
          </w:p>
        </w:tc>
      </w:tr>
      <w:tr w14:paraId="4C936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00BF522">
            <w:pPr>
              <w:spacing w:line="500" w:lineRule="exact"/>
              <w:jc w:val="center"/>
              <w:rPr>
                <w:rFonts w:ascii="宋体" w:hAnsi="宋体" w:cs="宋体"/>
                <w:sz w:val="24"/>
                <w:highlight w:val="none"/>
              </w:rPr>
            </w:pPr>
            <w:r>
              <w:rPr>
                <w:rFonts w:hint="eastAsia" w:ascii="宋体" w:hAnsi="宋体" w:cs="宋体"/>
                <w:sz w:val="24"/>
                <w:highlight w:val="none"/>
              </w:rPr>
              <w:t>7</w:t>
            </w:r>
          </w:p>
        </w:tc>
        <w:tc>
          <w:tcPr>
            <w:tcW w:w="8477" w:type="dxa"/>
            <w:tcBorders>
              <w:top w:val="single" w:color="auto" w:sz="6" w:space="0"/>
              <w:left w:val="single" w:color="auto" w:sz="6" w:space="0"/>
              <w:bottom w:val="single" w:color="auto" w:sz="6" w:space="0"/>
              <w:right w:val="single" w:color="auto" w:sz="12" w:space="0"/>
            </w:tcBorders>
            <w:vAlign w:val="center"/>
          </w:tcPr>
          <w:p w14:paraId="2512B1D9">
            <w:pPr>
              <w:spacing w:line="500" w:lineRule="exact"/>
              <w:rPr>
                <w:rFonts w:ascii="宋体" w:hAnsi="宋体" w:cs="宋体"/>
                <w:sz w:val="24"/>
                <w:highlight w:val="none"/>
              </w:rPr>
            </w:pPr>
            <w:r>
              <w:rPr>
                <w:rFonts w:hint="eastAsia" w:ascii="宋体" w:hAnsi="宋体" w:cs="宋体"/>
                <w:sz w:val="24"/>
                <w:highlight w:val="none"/>
              </w:rPr>
              <w:t>报价要求：供应商在报价表中所报总价包括完成本项目服务所需的全部费用，报价需充分考虑并包括</w:t>
            </w:r>
            <w:r>
              <w:rPr>
                <w:rFonts w:hint="eastAsia" w:ascii="宋体" w:hAnsi="宋体" w:cs="宋体"/>
                <w:sz w:val="24"/>
                <w:highlight w:val="none"/>
                <w:lang w:val="en-US" w:eastAsia="zh-CN"/>
              </w:rPr>
              <w:t>审计费、</w:t>
            </w:r>
            <w:r>
              <w:rPr>
                <w:rFonts w:hint="eastAsia" w:ascii="宋体" w:hAnsi="宋体" w:cs="宋体"/>
                <w:sz w:val="24"/>
                <w:highlight w:val="none"/>
              </w:rPr>
              <w:t>咨询费、差旅费、管理费、利润及税金等为完成本项目所承担的所有责任、义务、其它风险因素等一切费用。</w:t>
            </w:r>
          </w:p>
        </w:tc>
      </w:tr>
      <w:tr w14:paraId="6DD6E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CB03D77">
            <w:pPr>
              <w:spacing w:line="500" w:lineRule="exact"/>
              <w:jc w:val="center"/>
              <w:rPr>
                <w:rFonts w:ascii="宋体" w:hAnsi="宋体" w:cs="宋体"/>
                <w:sz w:val="24"/>
                <w:highlight w:val="none"/>
              </w:rPr>
            </w:pPr>
            <w:r>
              <w:rPr>
                <w:rFonts w:hint="eastAsia" w:ascii="宋体" w:hAnsi="宋体" w:cs="宋体"/>
                <w:sz w:val="24"/>
                <w:highlight w:val="none"/>
              </w:rPr>
              <w:t>8</w:t>
            </w:r>
          </w:p>
        </w:tc>
        <w:tc>
          <w:tcPr>
            <w:tcW w:w="8477" w:type="dxa"/>
            <w:tcBorders>
              <w:top w:val="single" w:color="auto" w:sz="6" w:space="0"/>
              <w:left w:val="single" w:color="auto" w:sz="6" w:space="0"/>
              <w:bottom w:val="single" w:color="auto" w:sz="6" w:space="0"/>
              <w:right w:val="single" w:color="auto" w:sz="12" w:space="0"/>
            </w:tcBorders>
            <w:vAlign w:val="center"/>
          </w:tcPr>
          <w:p w14:paraId="7890858F">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是否提供演示： 是</w:t>
            </w:r>
            <w:r>
              <w:rPr>
                <w:rFonts w:hint="eastAsia" w:ascii="宋体" w:hAnsi="宋体" w:cs="宋体"/>
                <w:sz w:val="24"/>
                <w:highlight w:val="none"/>
              </w:rPr>
              <w:sym w:font="Wingdings 2" w:char="00A3"/>
            </w:r>
            <w:r>
              <w:rPr>
                <w:rFonts w:hint="eastAsia" w:ascii="宋体" w:hAnsi="宋体" w:cs="宋体"/>
                <w:sz w:val="24"/>
                <w:highlight w:val="none"/>
              </w:rPr>
              <w:t xml:space="preserve">  否</w:t>
            </w:r>
            <w:r>
              <w:rPr>
                <w:rFonts w:hint="eastAsia" w:ascii="宋体" w:hAnsi="宋体" w:cs="宋体"/>
                <w:sz w:val="24"/>
                <w:highlight w:val="none"/>
              </w:rPr>
              <w:sym w:font="Wingdings 2" w:char="0052"/>
            </w:r>
          </w:p>
        </w:tc>
      </w:tr>
      <w:tr w14:paraId="4A035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4202620C">
            <w:pPr>
              <w:spacing w:line="500" w:lineRule="exact"/>
              <w:jc w:val="center"/>
              <w:rPr>
                <w:rFonts w:ascii="宋体" w:hAnsi="宋体" w:cs="宋体"/>
                <w:sz w:val="24"/>
                <w:highlight w:val="none"/>
              </w:rPr>
            </w:pPr>
            <w:r>
              <w:rPr>
                <w:rFonts w:hint="eastAsia" w:ascii="宋体" w:hAnsi="宋体" w:cs="宋体"/>
                <w:sz w:val="24"/>
                <w:highlight w:val="none"/>
              </w:rPr>
              <w:t>9</w:t>
            </w:r>
          </w:p>
        </w:tc>
        <w:tc>
          <w:tcPr>
            <w:tcW w:w="8477" w:type="dxa"/>
            <w:tcBorders>
              <w:top w:val="single" w:color="auto" w:sz="6" w:space="0"/>
              <w:left w:val="single" w:color="auto" w:sz="6" w:space="0"/>
              <w:bottom w:val="single" w:color="auto" w:sz="6" w:space="0"/>
              <w:right w:val="single" w:color="auto" w:sz="12" w:space="0"/>
            </w:tcBorders>
            <w:vAlign w:val="center"/>
          </w:tcPr>
          <w:p w14:paraId="54D810BB">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保证金形式：□保函  □电汇  □支票</w:t>
            </w:r>
          </w:p>
          <w:p w14:paraId="5206291D">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保证金数额：0万元</w:t>
            </w:r>
          </w:p>
          <w:p w14:paraId="289C428D">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保证金收款人：/</w:t>
            </w:r>
          </w:p>
        </w:tc>
      </w:tr>
      <w:tr w14:paraId="4D52A7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7F933DE6">
            <w:pPr>
              <w:spacing w:line="500" w:lineRule="exact"/>
              <w:jc w:val="center"/>
              <w:rPr>
                <w:rFonts w:ascii="宋体" w:hAnsi="宋体" w:cs="宋体"/>
                <w:sz w:val="24"/>
                <w:highlight w:val="none"/>
              </w:rPr>
            </w:pPr>
            <w:r>
              <w:rPr>
                <w:rFonts w:hint="eastAsia" w:ascii="宋体" w:hAnsi="宋体" w:cs="宋体"/>
                <w:sz w:val="24"/>
                <w:highlight w:val="none"/>
              </w:rPr>
              <w:t>10</w:t>
            </w:r>
          </w:p>
        </w:tc>
        <w:tc>
          <w:tcPr>
            <w:tcW w:w="8477" w:type="dxa"/>
            <w:tcBorders>
              <w:top w:val="single" w:color="auto" w:sz="6" w:space="0"/>
              <w:left w:val="single" w:color="auto" w:sz="6" w:space="0"/>
              <w:bottom w:val="single" w:color="auto" w:sz="6" w:space="0"/>
              <w:right w:val="single" w:color="auto" w:sz="12" w:space="0"/>
            </w:tcBorders>
            <w:vAlign w:val="center"/>
          </w:tcPr>
          <w:p w14:paraId="5FF5D321">
            <w:pPr>
              <w:spacing w:line="500" w:lineRule="exact"/>
              <w:rPr>
                <w:rFonts w:ascii="宋体" w:hAnsi="宋体" w:cs="宋体"/>
                <w:b/>
                <w:sz w:val="24"/>
                <w:highlight w:val="none"/>
              </w:rPr>
            </w:pPr>
            <w:r>
              <w:rPr>
                <w:rFonts w:hint="eastAsia" w:ascii="宋体" w:hAnsi="宋体" w:cs="宋体"/>
                <w:b/>
                <w:sz w:val="24"/>
                <w:highlight w:val="none"/>
              </w:rPr>
              <w:t>响应文件份数：四份（一份正本、三份副本），</w:t>
            </w:r>
            <w:r>
              <w:rPr>
                <w:rFonts w:hint="eastAsia" w:ascii="宋体" w:hAnsi="宋体"/>
                <w:b/>
                <w:sz w:val="24"/>
                <w:highlight w:val="none"/>
              </w:rPr>
              <w:t>各供应商须提供完整响应文件电子版一份（word格式，U盘或光盘存储）密封后随响应文件一起提交。</w:t>
            </w:r>
          </w:p>
          <w:p w14:paraId="25CD3894">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响应有效期：90日历日</w:t>
            </w:r>
          </w:p>
        </w:tc>
      </w:tr>
      <w:tr w14:paraId="5ED7D8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7307BBA1">
            <w:pPr>
              <w:spacing w:line="500" w:lineRule="exact"/>
              <w:jc w:val="center"/>
              <w:rPr>
                <w:rFonts w:ascii="宋体" w:hAnsi="宋体" w:cs="宋体"/>
                <w:sz w:val="24"/>
                <w:highlight w:val="none"/>
              </w:rPr>
            </w:pPr>
            <w:r>
              <w:rPr>
                <w:rFonts w:hint="eastAsia" w:ascii="宋体" w:hAnsi="宋体" w:cs="宋体"/>
                <w:sz w:val="24"/>
                <w:highlight w:val="none"/>
              </w:rPr>
              <w:t>11</w:t>
            </w:r>
          </w:p>
        </w:tc>
        <w:tc>
          <w:tcPr>
            <w:tcW w:w="8477" w:type="dxa"/>
            <w:tcBorders>
              <w:top w:val="single" w:color="auto" w:sz="6" w:space="0"/>
              <w:left w:val="single" w:color="auto" w:sz="6" w:space="0"/>
              <w:bottom w:val="single" w:color="auto" w:sz="6" w:space="0"/>
              <w:right w:val="single" w:color="auto" w:sz="12" w:space="0"/>
            </w:tcBorders>
            <w:vAlign w:val="center"/>
          </w:tcPr>
          <w:p w14:paraId="6677A4A6">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响应文件提交截止时间：</w:t>
            </w:r>
            <w:r>
              <w:rPr>
                <w:rFonts w:hint="eastAsia" w:ascii="宋体" w:hAnsi="宋体"/>
                <w:sz w:val="24"/>
                <w:highlight w:val="none"/>
              </w:rPr>
              <w:t>见磋商公告</w:t>
            </w:r>
          </w:p>
        </w:tc>
      </w:tr>
      <w:tr w14:paraId="13903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344CCB08">
            <w:pPr>
              <w:spacing w:line="500" w:lineRule="exact"/>
              <w:jc w:val="center"/>
              <w:rPr>
                <w:rFonts w:ascii="宋体" w:hAnsi="宋体" w:cs="宋体"/>
                <w:sz w:val="24"/>
                <w:highlight w:val="none"/>
              </w:rPr>
            </w:pPr>
            <w:r>
              <w:rPr>
                <w:rFonts w:hint="eastAsia" w:ascii="宋体" w:hAnsi="宋体" w:cs="宋体"/>
                <w:sz w:val="24"/>
                <w:highlight w:val="none"/>
              </w:rPr>
              <w:t>12</w:t>
            </w:r>
          </w:p>
        </w:tc>
        <w:tc>
          <w:tcPr>
            <w:tcW w:w="8477" w:type="dxa"/>
            <w:tcBorders>
              <w:top w:val="single" w:color="auto" w:sz="6" w:space="0"/>
              <w:left w:val="single" w:color="auto" w:sz="6" w:space="0"/>
              <w:bottom w:val="single" w:color="auto" w:sz="6" w:space="0"/>
              <w:right w:val="single" w:color="auto" w:sz="12" w:space="0"/>
            </w:tcBorders>
            <w:vAlign w:val="center"/>
          </w:tcPr>
          <w:p w14:paraId="500EF527">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开启响应文件时间：</w:t>
            </w:r>
            <w:r>
              <w:rPr>
                <w:rFonts w:hint="eastAsia" w:ascii="宋体" w:hAnsi="宋体"/>
                <w:sz w:val="24"/>
                <w:highlight w:val="none"/>
              </w:rPr>
              <w:t>见磋商公告</w:t>
            </w:r>
          </w:p>
          <w:p w14:paraId="4972F8B0">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开启地点：</w:t>
            </w:r>
            <w:r>
              <w:rPr>
                <w:rFonts w:hint="eastAsia" w:ascii="宋体" w:hAnsi="宋体"/>
                <w:sz w:val="24"/>
                <w:highlight w:val="none"/>
              </w:rPr>
              <w:t>见磋商公告</w:t>
            </w:r>
          </w:p>
        </w:tc>
      </w:tr>
      <w:tr w14:paraId="465F90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452649CA">
            <w:pPr>
              <w:spacing w:line="500" w:lineRule="exact"/>
              <w:jc w:val="center"/>
              <w:rPr>
                <w:rFonts w:ascii="宋体" w:hAnsi="宋体" w:cs="宋体"/>
                <w:sz w:val="24"/>
                <w:highlight w:val="none"/>
              </w:rPr>
            </w:pPr>
            <w:r>
              <w:rPr>
                <w:rFonts w:hint="eastAsia" w:ascii="宋体" w:hAnsi="宋体" w:cs="宋体"/>
                <w:sz w:val="24"/>
                <w:highlight w:val="none"/>
              </w:rPr>
              <w:t>13</w:t>
            </w:r>
          </w:p>
        </w:tc>
        <w:tc>
          <w:tcPr>
            <w:tcW w:w="8477" w:type="dxa"/>
            <w:tcBorders>
              <w:top w:val="single" w:color="auto" w:sz="6" w:space="0"/>
              <w:left w:val="single" w:color="auto" w:sz="6" w:space="0"/>
              <w:bottom w:val="single" w:color="auto" w:sz="6" w:space="0"/>
              <w:right w:val="single" w:color="auto" w:sz="12" w:space="0"/>
            </w:tcBorders>
            <w:vAlign w:val="center"/>
          </w:tcPr>
          <w:p w14:paraId="3208D32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推荐成交候选供应商的数量：不少于3家</w:t>
            </w:r>
          </w:p>
        </w:tc>
      </w:tr>
      <w:tr w14:paraId="0EE84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268F812E">
            <w:pPr>
              <w:spacing w:line="500" w:lineRule="exact"/>
              <w:jc w:val="center"/>
              <w:rPr>
                <w:rFonts w:ascii="宋体" w:hAnsi="宋体" w:cs="宋体"/>
                <w:sz w:val="24"/>
                <w:highlight w:val="none"/>
              </w:rPr>
            </w:pPr>
            <w:r>
              <w:rPr>
                <w:rFonts w:hint="eastAsia" w:ascii="宋体" w:hAnsi="宋体" w:cs="宋体"/>
                <w:sz w:val="24"/>
                <w:highlight w:val="none"/>
              </w:rPr>
              <w:t>14</w:t>
            </w:r>
          </w:p>
        </w:tc>
        <w:tc>
          <w:tcPr>
            <w:tcW w:w="8477" w:type="dxa"/>
            <w:tcBorders>
              <w:top w:val="single" w:color="auto" w:sz="6" w:space="0"/>
              <w:left w:val="single" w:color="auto" w:sz="6" w:space="0"/>
              <w:bottom w:val="single" w:color="auto" w:sz="6" w:space="0"/>
              <w:right w:val="single" w:color="auto" w:sz="12" w:space="0"/>
            </w:tcBorders>
            <w:vAlign w:val="center"/>
          </w:tcPr>
          <w:p w14:paraId="63D0613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采购人是否委托磋商小组直接确定成交供应商：是</w:t>
            </w:r>
            <w:r>
              <w:rPr>
                <w:rFonts w:hint="eastAsia" w:ascii="宋体" w:hAnsi="宋体" w:cs="宋体"/>
                <w:sz w:val="24"/>
                <w:highlight w:val="none"/>
              </w:rPr>
              <w:sym w:font="Wingdings 2" w:char="F052"/>
            </w:r>
            <w:r>
              <w:rPr>
                <w:rFonts w:hint="eastAsia" w:ascii="宋体" w:hAnsi="宋体" w:cs="宋体"/>
                <w:sz w:val="24"/>
                <w:highlight w:val="none"/>
              </w:rPr>
              <w:t xml:space="preserve"> 否□</w:t>
            </w:r>
          </w:p>
        </w:tc>
      </w:tr>
      <w:tr w14:paraId="2FFFF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8BCA448">
            <w:pPr>
              <w:spacing w:line="500" w:lineRule="exact"/>
              <w:jc w:val="center"/>
              <w:rPr>
                <w:rFonts w:ascii="宋体" w:hAnsi="宋体" w:cs="宋体"/>
                <w:sz w:val="24"/>
                <w:highlight w:val="none"/>
              </w:rPr>
            </w:pPr>
            <w:r>
              <w:rPr>
                <w:rFonts w:hint="eastAsia" w:ascii="宋体" w:hAnsi="宋体" w:cs="宋体"/>
                <w:sz w:val="24"/>
                <w:highlight w:val="none"/>
              </w:rPr>
              <w:t>15</w:t>
            </w:r>
          </w:p>
        </w:tc>
        <w:tc>
          <w:tcPr>
            <w:tcW w:w="8477" w:type="dxa"/>
            <w:tcBorders>
              <w:top w:val="single" w:color="auto" w:sz="6" w:space="0"/>
              <w:left w:val="single" w:color="auto" w:sz="6" w:space="0"/>
              <w:bottom w:val="single" w:color="auto" w:sz="6" w:space="0"/>
              <w:right w:val="single" w:color="auto" w:sz="12" w:space="0"/>
            </w:tcBorders>
            <w:vAlign w:val="center"/>
          </w:tcPr>
          <w:p w14:paraId="1FAEB8C1">
            <w:pPr>
              <w:spacing w:line="500" w:lineRule="exact"/>
              <w:rPr>
                <w:rFonts w:hint="eastAsia" w:ascii="宋体" w:hAnsi="宋体" w:eastAsia="宋体" w:cs="宋体"/>
                <w:sz w:val="24"/>
                <w:highlight w:val="none"/>
                <w:lang w:val="en-US" w:eastAsia="zh-CN"/>
              </w:rPr>
            </w:pPr>
            <w:r>
              <w:rPr>
                <w:rFonts w:hint="eastAsia" w:ascii="宋体" w:hAnsi="宋体" w:cs="宋体"/>
                <w:sz w:val="24"/>
                <w:highlight w:val="none"/>
              </w:rPr>
              <w:t>履约保证金金额：双方合同签订前，成交供应商须向采购人指定的账户交纳合同金额的5%作为履约保证金。履约保证金在项目验收合格后，由乙方向甲方提出退还申请。甲方在项目实施及质保无争议的情况下，无息退还。</w:t>
            </w:r>
          </w:p>
        </w:tc>
      </w:tr>
      <w:tr w14:paraId="7818B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5E6B58E0">
            <w:pPr>
              <w:spacing w:line="500" w:lineRule="exact"/>
              <w:jc w:val="center"/>
              <w:rPr>
                <w:rFonts w:ascii="宋体" w:hAnsi="宋体" w:cs="宋体"/>
                <w:sz w:val="24"/>
                <w:highlight w:val="none"/>
              </w:rPr>
            </w:pPr>
            <w:r>
              <w:rPr>
                <w:rFonts w:hint="eastAsia" w:ascii="宋体" w:hAnsi="宋体" w:cs="宋体"/>
                <w:sz w:val="24"/>
                <w:highlight w:val="none"/>
              </w:rPr>
              <w:t>16</w:t>
            </w:r>
          </w:p>
        </w:tc>
        <w:tc>
          <w:tcPr>
            <w:tcW w:w="8477" w:type="dxa"/>
            <w:tcBorders>
              <w:top w:val="single" w:color="auto" w:sz="6" w:space="0"/>
              <w:left w:val="single" w:color="auto" w:sz="6" w:space="0"/>
              <w:bottom w:val="single" w:color="auto" w:sz="6" w:space="0"/>
              <w:right w:val="single" w:color="auto" w:sz="12" w:space="0"/>
            </w:tcBorders>
            <w:vAlign w:val="center"/>
          </w:tcPr>
          <w:p w14:paraId="0C61DD8E">
            <w:pPr>
              <w:spacing w:line="480" w:lineRule="exact"/>
              <w:rPr>
                <w:rFonts w:ascii="宋体" w:hAnsi="宋体" w:cs="宋体"/>
                <w:sz w:val="24"/>
                <w:highlight w:val="none"/>
              </w:rPr>
            </w:pPr>
            <w:r>
              <w:rPr>
                <w:rFonts w:hint="eastAsia" w:ascii="宋体" w:hAnsi="宋体" w:cs="宋体"/>
                <w:sz w:val="24"/>
                <w:highlight w:val="none"/>
              </w:rPr>
              <w:t>本项目是否属于信用担保试点范围：（是</w:t>
            </w:r>
            <w:r>
              <w:rPr>
                <w:rFonts w:hint="eastAsia" w:ascii="仿宋" w:hAnsi="仿宋" w:eastAsia="仿宋" w:cs="宋体"/>
                <w:sz w:val="24"/>
                <w:highlight w:val="none"/>
              </w:rPr>
              <w:sym w:font="Wingdings 2" w:char="0052"/>
            </w:r>
            <w:r>
              <w:rPr>
                <w:rFonts w:hint="eastAsia" w:ascii="仿宋" w:hAnsi="仿宋" w:eastAsia="仿宋" w:cs="宋体"/>
                <w:sz w:val="24"/>
                <w:highlight w:val="none"/>
              </w:rPr>
              <w:t xml:space="preserve">  </w:t>
            </w:r>
            <w:r>
              <w:rPr>
                <w:rFonts w:hint="eastAsia" w:ascii="宋体" w:hAnsi="宋体" w:cs="宋体"/>
                <w:sz w:val="24"/>
                <w:highlight w:val="none"/>
              </w:rPr>
              <w:t>否</w:t>
            </w:r>
            <w:r>
              <w:rPr>
                <w:rFonts w:hint="eastAsia" w:ascii="宋体" w:hAnsi="宋体" w:cs="宋体"/>
                <w:sz w:val="24"/>
                <w:highlight w:val="none"/>
              </w:rPr>
              <w:sym w:font="Wingdings 2" w:char="00A3"/>
            </w:r>
            <w:r>
              <w:rPr>
                <w:rFonts w:hint="eastAsia" w:ascii="宋体" w:hAnsi="宋体" w:cs="宋体"/>
                <w:sz w:val="24"/>
                <w:highlight w:val="none"/>
              </w:rPr>
              <w:t>）</w:t>
            </w:r>
          </w:p>
          <w:p w14:paraId="5C588B10">
            <w:pPr>
              <w:spacing w:line="480" w:lineRule="exact"/>
              <w:rPr>
                <w:rFonts w:ascii="宋体" w:hAnsi="宋体" w:cs="宋体"/>
                <w:b/>
                <w:bCs/>
                <w:sz w:val="24"/>
                <w:highlight w:val="none"/>
              </w:rPr>
            </w:pPr>
            <w:r>
              <w:rPr>
                <w:rFonts w:hint="eastAsia" w:ascii="宋体" w:hAnsi="宋体" w:cs="宋体"/>
                <w:b/>
                <w:bCs/>
                <w:sz w:val="24"/>
                <w:highlight w:val="none"/>
              </w:rPr>
              <w:t>本项目是否可以办理政府采购融资贷款：是</w:t>
            </w:r>
          </w:p>
          <w:p w14:paraId="1F7AD002">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供应商如需了解详细办理程序请登录“http://www.ccgp-shandong-rz.cn/”。</w:t>
            </w:r>
          </w:p>
        </w:tc>
      </w:tr>
      <w:tr w14:paraId="1B87F0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171FC4FF">
            <w:pPr>
              <w:spacing w:line="500" w:lineRule="exact"/>
              <w:jc w:val="center"/>
              <w:rPr>
                <w:rFonts w:ascii="宋体" w:hAnsi="宋体" w:cs="宋体"/>
                <w:sz w:val="24"/>
                <w:highlight w:val="none"/>
              </w:rPr>
            </w:pPr>
            <w:r>
              <w:rPr>
                <w:rFonts w:hint="eastAsia" w:ascii="宋体" w:hAnsi="宋体" w:cs="宋体"/>
                <w:sz w:val="24"/>
                <w:highlight w:val="none"/>
              </w:rPr>
              <w:t>17</w:t>
            </w:r>
          </w:p>
        </w:tc>
        <w:tc>
          <w:tcPr>
            <w:tcW w:w="8477" w:type="dxa"/>
            <w:tcBorders>
              <w:top w:val="single" w:color="auto" w:sz="6" w:space="0"/>
              <w:left w:val="single" w:color="auto" w:sz="6" w:space="0"/>
              <w:bottom w:val="single" w:color="auto" w:sz="6" w:space="0"/>
              <w:right w:val="single" w:color="auto" w:sz="12" w:space="0"/>
            </w:tcBorders>
            <w:vAlign w:val="center"/>
          </w:tcPr>
          <w:p w14:paraId="1A5601A0">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预付款比例为：/</w:t>
            </w:r>
          </w:p>
        </w:tc>
      </w:tr>
      <w:tr w14:paraId="3FC826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01DCC817">
            <w:pPr>
              <w:spacing w:line="500" w:lineRule="exact"/>
              <w:jc w:val="center"/>
              <w:rPr>
                <w:rFonts w:ascii="宋体" w:hAnsi="宋体" w:cs="宋体"/>
                <w:sz w:val="24"/>
                <w:highlight w:val="none"/>
              </w:rPr>
            </w:pPr>
            <w:r>
              <w:rPr>
                <w:rFonts w:hint="eastAsia" w:ascii="宋体" w:hAnsi="宋体" w:cs="宋体"/>
                <w:sz w:val="24"/>
                <w:highlight w:val="none"/>
              </w:rPr>
              <w:t>18</w:t>
            </w:r>
          </w:p>
        </w:tc>
        <w:tc>
          <w:tcPr>
            <w:tcW w:w="8477" w:type="dxa"/>
            <w:tcBorders>
              <w:top w:val="single" w:color="auto" w:sz="6" w:space="0"/>
              <w:left w:val="single" w:color="auto" w:sz="6" w:space="0"/>
              <w:bottom w:val="single" w:color="auto" w:sz="6" w:space="0"/>
              <w:right w:val="single" w:color="auto" w:sz="12" w:space="0"/>
            </w:tcBorders>
            <w:vAlign w:val="center"/>
          </w:tcPr>
          <w:p w14:paraId="32292D9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质疑函接收部门、联系电话和通讯地址：</w:t>
            </w:r>
          </w:p>
          <w:p w14:paraId="7B1E3F5F">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联系部门：临沂市沂蒙国际招标有限公司</w:t>
            </w:r>
          </w:p>
          <w:p w14:paraId="76E3A6BE">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地址：山东省临沂市兰山区柳青街道北京路与沭河路交汇北50米红日大厦20楼2008室</w:t>
            </w:r>
          </w:p>
          <w:p w14:paraId="7B6D6258">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 xml:space="preserve">联系方式：0539-7578911           </w:t>
            </w:r>
          </w:p>
        </w:tc>
      </w:tr>
      <w:tr w14:paraId="10EC0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vAlign w:val="center"/>
          </w:tcPr>
          <w:p w14:paraId="1BA3376C">
            <w:pPr>
              <w:spacing w:line="500" w:lineRule="exact"/>
              <w:jc w:val="center"/>
              <w:rPr>
                <w:rFonts w:ascii="宋体" w:hAnsi="宋体" w:cs="宋体"/>
                <w:sz w:val="24"/>
                <w:highlight w:val="none"/>
              </w:rPr>
            </w:pPr>
            <w:r>
              <w:rPr>
                <w:rFonts w:hint="eastAsia" w:ascii="宋体" w:hAnsi="宋体" w:cs="宋体"/>
                <w:sz w:val="24"/>
                <w:highlight w:val="none"/>
              </w:rPr>
              <w:t>19</w:t>
            </w:r>
          </w:p>
        </w:tc>
        <w:tc>
          <w:tcPr>
            <w:tcW w:w="8477" w:type="dxa"/>
            <w:tcBorders>
              <w:top w:val="single" w:color="auto" w:sz="6" w:space="0"/>
              <w:left w:val="single" w:color="auto" w:sz="6" w:space="0"/>
              <w:bottom w:val="single" w:color="auto" w:sz="6" w:space="0"/>
              <w:right w:val="single" w:color="auto" w:sz="12" w:space="0"/>
            </w:tcBorders>
            <w:vAlign w:val="center"/>
          </w:tcPr>
          <w:p w14:paraId="3C6D930D">
            <w:pPr>
              <w:spacing w:line="500" w:lineRule="exact"/>
              <w:rPr>
                <w:rFonts w:ascii="宋体" w:hAnsi="宋体"/>
                <w:sz w:val="24"/>
                <w:highlight w:val="none"/>
              </w:rPr>
            </w:pPr>
            <w:r>
              <w:rPr>
                <w:rFonts w:hint="eastAsia" w:ascii="宋体" w:hAnsi="宋体" w:cs="宋体"/>
                <w:sz w:val="24"/>
                <w:highlight w:val="none"/>
              </w:rPr>
              <w:t>成交服务费：</w:t>
            </w:r>
            <w:r>
              <w:rPr>
                <w:rFonts w:hint="eastAsia" w:ascii="宋体" w:hAnsi="宋体"/>
                <w:sz w:val="24"/>
                <w:highlight w:val="none"/>
              </w:rPr>
              <w:t>按成交额1.2%计算，不足2000元按2000元收取，由成交供应商支付，在领取成交通知书前支付给代理采购人。</w:t>
            </w:r>
          </w:p>
          <w:p w14:paraId="51D4EB2A">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支付形式：转账或电汇</w:t>
            </w:r>
          </w:p>
          <w:p w14:paraId="3CE30496">
            <w:pPr>
              <w:spacing w:line="500" w:lineRule="exact"/>
              <w:ind w:left="900" w:hanging="900" w:hangingChars="375"/>
              <w:rPr>
                <w:rFonts w:ascii="宋体" w:hAnsi="宋体"/>
                <w:sz w:val="24"/>
                <w:highlight w:val="none"/>
              </w:rPr>
            </w:pPr>
            <w:r>
              <w:rPr>
                <w:rFonts w:hint="eastAsia" w:ascii="宋体" w:hAnsi="宋体"/>
                <w:sz w:val="24"/>
                <w:highlight w:val="none"/>
              </w:rPr>
              <w:t>收款信息：</w:t>
            </w:r>
          </w:p>
          <w:p w14:paraId="1BA05F70">
            <w:pPr>
              <w:spacing w:line="500" w:lineRule="exact"/>
              <w:ind w:left="900" w:hanging="900" w:hangingChars="375"/>
              <w:rPr>
                <w:rFonts w:ascii="宋体" w:hAnsi="宋体"/>
                <w:sz w:val="24"/>
                <w:highlight w:val="none"/>
              </w:rPr>
            </w:pPr>
            <w:r>
              <w:rPr>
                <w:rFonts w:hint="eastAsia" w:ascii="宋体" w:hAnsi="宋体"/>
                <w:sz w:val="24"/>
                <w:highlight w:val="none"/>
              </w:rPr>
              <w:t>开 户 名：临沂市沂蒙国际招标有限公司</w:t>
            </w:r>
          </w:p>
          <w:p w14:paraId="13E649B6">
            <w:pPr>
              <w:spacing w:line="500" w:lineRule="exact"/>
              <w:ind w:left="900" w:hanging="900" w:hangingChars="375"/>
              <w:rPr>
                <w:rFonts w:ascii="宋体" w:hAnsi="宋体"/>
                <w:sz w:val="24"/>
                <w:highlight w:val="none"/>
              </w:rPr>
            </w:pPr>
            <w:r>
              <w:rPr>
                <w:rFonts w:hint="eastAsia" w:ascii="宋体" w:hAnsi="宋体"/>
                <w:sz w:val="24"/>
                <w:highlight w:val="none"/>
              </w:rPr>
              <w:t>开 户 行：建设银行临沂分行营业部</w:t>
            </w:r>
          </w:p>
          <w:p w14:paraId="7E06FDFB">
            <w:pPr>
              <w:spacing w:line="500" w:lineRule="exact"/>
              <w:ind w:left="900" w:hanging="900" w:hangingChars="375"/>
              <w:rPr>
                <w:rFonts w:ascii="宋体" w:hAnsi="宋体"/>
                <w:sz w:val="24"/>
                <w:highlight w:val="none"/>
              </w:rPr>
            </w:pPr>
            <w:r>
              <w:rPr>
                <w:rFonts w:hint="eastAsia" w:ascii="宋体" w:hAnsi="宋体"/>
                <w:sz w:val="24"/>
                <w:highlight w:val="none"/>
              </w:rPr>
              <w:t>账    号：37001828301050001489</w:t>
            </w:r>
          </w:p>
          <w:p w14:paraId="2C884845">
            <w:pPr>
              <w:spacing w:line="500" w:lineRule="exact"/>
              <w:rPr>
                <w:rFonts w:ascii="宋体" w:hAnsi="宋体" w:cs="宋体"/>
                <w:sz w:val="24"/>
                <w:highlight w:val="none"/>
              </w:rPr>
            </w:pPr>
            <w:r>
              <w:rPr>
                <w:rFonts w:hint="eastAsia" w:ascii="宋体" w:hAnsi="宋体"/>
                <w:sz w:val="24"/>
                <w:highlight w:val="none"/>
              </w:rPr>
              <w:t>支付时间：领取成交通知</w:t>
            </w:r>
            <w:r>
              <w:rPr>
                <w:rFonts w:ascii="宋体" w:hAnsi="宋体"/>
                <w:sz w:val="24"/>
                <w:highlight w:val="none"/>
              </w:rPr>
              <w:t>书前。</w:t>
            </w:r>
          </w:p>
          <w:p w14:paraId="2300F762">
            <w:pPr>
              <w:spacing w:line="500" w:lineRule="exact"/>
              <w:rPr>
                <w:rFonts w:ascii="宋体" w:hAnsi="宋体" w:cs="宋体"/>
                <w:sz w:val="24"/>
                <w:highlight w:val="none"/>
              </w:rPr>
            </w:pPr>
            <w:r>
              <w:rPr>
                <w:rFonts w:hint="eastAsia" w:ascii="宋体" w:hAnsi="宋体" w:cs="宋体"/>
                <w:sz w:val="24"/>
                <w:highlight w:val="none"/>
              </w:rPr>
              <w:t>支付时间：确定成交结果后5个工作日内。</w:t>
            </w:r>
          </w:p>
        </w:tc>
      </w:tr>
      <w:tr w14:paraId="51D26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vAlign w:val="center"/>
          </w:tcPr>
          <w:p w14:paraId="7040BE35">
            <w:pPr>
              <w:spacing w:line="500" w:lineRule="exact"/>
              <w:ind w:left="-31" w:leftChars="-15" w:firstLine="112" w:firstLineChars="47"/>
              <w:jc w:val="center"/>
              <w:rPr>
                <w:rFonts w:ascii="宋体" w:hAnsi="宋体" w:cs="宋体"/>
                <w:sz w:val="24"/>
                <w:highlight w:val="none"/>
              </w:rPr>
            </w:pPr>
            <w:r>
              <w:rPr>
                <w:rFonts w:hint="eastAsia" w:ascii="宋体" w:hAnsi="宋体" w:cs="宋体"/>
                <w:sz w:val="24"/>
                <w:highlight w:val="none"/>
              </w:rPr>
              <w:t>适用于本供应商须知的额外增加的变动：</w:t>
            </w:r>
          </w:p>
        </w:tc>
      </w:tr>
      <w:tr w14:paraId="47CB0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6001480D">
            <w:pPr>
              <w:spacing w:line="500" w:lineRule="exact"/>
              <w:jc w:val="center"/>
              <w:rPr>
                <w:rFonts w:ascii="宋体" w:hAnsi="宋体" w:cs="宋体"/>
                <w:sz w:val="24"/>
                <w:highlight w:val="none"/>
              </w:rPr>
            </w:pPr>
            <w:r>
              <w:rPr>
                <w:rFonts w:hint="eastAsia" w:ascii="宋体" w:hAnsi="宋体" w:cs="宋体"/>
                <w:sz w:val="24"/>
                <w:highlight w:val="none"/>
              </w:rPr>
              <w:t>1</w:t>
            </w:r>
          </w:p>
        </w:tc>
        <w:tc>
          <w:tcPr>
            <w:tcW w:w="8477" w:type="dxa"/>
            <w:vAlign w:val="center"/>
          </w:tcPr>
          <w:p w14:paraId="4AB47371">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法律法规对相应服务规定的条件：详见磋商公告</w:t>
            </w:r>
          </w:p>
        </w:tc>
      </w:tr>
      <w:tr w14:paraId="2E5958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2624ED0A">
            <w:pPr>
              <w:spacing w:line="500" w:lineRule="exact"/>
              <w:jc w:val="center"/>
              <w:rPr>
                <w:rFonts w:ascii="宋体" w:hAnsi="宋体" w:cs="宋体"/>
                <w:sz w:val="24"/>
                <w:highlight w:val="none"/>
              </w:rPr>
            </w:pPr>
            <w:r>
              <w:rPr>
                <w:rFonts w:hint="eastAsia" w:ascii="宋体" w:hAnsi="宋体" w:cs="宋体"/>
                <w:sz w:val="24"/>
                <w:highlight w:val="none"/>
              </w:rPr>
              <w:t>2</w:t>
            </w:r>
          </w:p>
        </w:tc>
        <w:tc>
          <w:tcPr>
            <w:tcW w:w="8477" w:type="dxa"/>
            <w:vAlign w:val="center"/>
          </w:tcPr>
          <w:p w14:paraId="2A7B7FB7">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是否允许供应商将项目非主体、非关键性工作交由他人完成：是□  否</w:t>
            </w:r>
            <w:r>
              <w:rPr>
                <w:rFonts w:hint="eastAsia" w:ascii="宋体" w:hAnsi="宋体" w:cs="宋体"/>
                <w:sz w:val="24"/>
                <w:highlight w:val="none"/>
              </w:rPr>
              <w:sym w:font="Wingdings 2" w:char="F052"/>
            </w:r>
          </w:p>
        </w:tc>
      </w:tr>
      <w:tr w14:paraId="26D12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vAlign w:val="center"/>
          </w:tcPr>
          <w:p w14:paraId="36A8F6E1">
            <w:pPr>
              <w:spacing w:line="500" w:lineRule="exact"/>
              <w:ind w:left="-31" w:leftChars="-15" w:firstLine="112" w:firstLineChars="47"/>
              <w:jc w:val="center"/>
              <w:rPr>
                <w:rFonts w:ascii="宋体" w:hAnsi="宋体" w:cs="宋体"/>
                <w:sz w:val="24"/>
                <w:highlight w:val="none"/>
              </w:rPr>
            </w:pPr>
            <w:r>
              <w:rPr>
                <w:rFonts w:hint="eastAsia" w:ascii="宋体" w:hAnsi="宋体" w:cs="宋体"/>
                <w:sz w:val="24"/>
                <w:highlight w:val="none"/>
              </w:rPr>
              <w:t>合同条款</w:t>
            </w:r>
          </w:p>
        </w:tc>
      </w:tr>
      <w:tr w14:paraId="35EB3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0777ECAF">
            <w:pPr>
              <w:spacing w:line="500" w:lineRule="exact"/>
              <w:jc w:val="center"/>
              <w:rPr>
                <w:rFonts w:ascii="宋体" w:hAnsi="宋体" w:cs="宋体"/>
                <w:sz w:val="24"/>
                <w:highlight w:val="none"/>
              </w:rPr>
            </w:pPr>
            <w:r>
              <w:rPr>
                <w:rFonts w:hint="eastAsia" w:ascii="宋体" w:hAnsi="宋体" w:cs="宋体"/>
                <w:sz w:val="24"/>
                <w:highlight w:val="none"/>
              </w:rPr>
              <w:t>1</w:t>
            </w:r>
          </w:p>
        </w:tc>
        <w:tc>
          <w:tcPr>
            <w:tcW w:w="8477" w:type="dxa"/>
            <w:vAlign w:val="center"/>
          </w:tcPr>
          <w:p w14:paraId="21FAA1FC">
            <w:pPr>
              <w:spacing w:line="500" w:lineRule="exact"/>
              <w:rPr>
                <w:rFonts w:ascii="宋体" w:hAnsi="宋体" w:cs="宋体"/>
                <w:sz w:val="24"/>
                <w:highlight w:val="none"/>
              </w:rPr>
            </w:pPr>
            <w:r>
              <w:rPr>
                <w:rFonts w:hint="eastAsia" w:ascii="宋体" w:hAnsi="宋体" w:cs="宋体"/>
                <w:sz w:val="24"/>
                <w:highlight w:val="none"/>
              </w:rPr>
              <w:t>付款途径：采购人支付</w:t>
            </w:r>
          </w:p>
        </w:tc>
      </w:tr>
      <w:tr w14:paraId="6DE38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1A79DB0A">
            <w:pPr>
              <w:spacing w:line="500" w:lineRule="exact"/>
              <w:jc w:val="center"/>
              <w:rPr>
                <w:rFonts w:ascii="宋体" w:hAnsi="宋体" w:cs="宋体"/>
                <w:sz w:val="24"/>
                <w:highlight w:val="none"/>
              </w:rPr>
            </w:pPr>
            <w:r>
              <w:rPr>
                <w:rFonts w:hint="eastAsia" w:ascii="宋体" w:hAnsi="宋体" w:cs="宋体"/>
                <w:sz w:val="24"/>
                <w:highlight w:val="none"/>
              </w:rPr>
              <w:t>2</w:t>
            </w:r>
          </w:p>
        </w:tc>
        <w:tc>
          <w:tcPr>
            <w:tcW w:w="8477" w:type="dxa"/>
            <w:vAlign w:val="center"/>
          </w:tcPr>
          <w:p w14:paraId="732DCD79">
            <w:pPr>
              <w:spacing w:line="500" w:lineRule="exact"/>
              <w:rPr>
                <w:rFonts w:ascii="宋体" w:hAnsi="宋体" w:cs="宋体"/>
                <w:sz w:val="24"/>
                <w:highlight w:val="none"/>
              </w:rPr>
            </w:pPr>
            <w:r>
              <w:rPr>
                <w:rFonts w:hint="eastAsia" w:ascii="宋体" w:hAnsi="宋体" w:cs="宋体"/>
                <w:sz w:val="24"/>
                <w:highlight w:val="none"/>
              </w:rPr>
              <w:t>付款方式：合同签订并生效后且项目实施完成经验收合格后，采购人向成交人一次性全额支付合同约定货款。</w:t>
            </w:r>
          </w:p>
        </w:tc>
      </w:tr>
      <w:tr w14:paraId="42171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0D7FDD4C">
            <w:pPr>
              <w:spacing w:line="500" w:lineRule="exact"/>
              <w:jc w:val="center"/>
              <w:rPr>
                <w:rFonts w:ascii="宋体" w:hAnsi="宋体" w:cs="宋体"/>
                <w:sz w:val="24"/>
                <w:highlight w:val="none"/>
              </w:rPr>
            </w:pPr>
            <w:r>
              <w:rPr>
                <w:rFonts w:hint="eastAsia" w:ascii="宋体" w:hAnsi="宋体" w:cs="宋体"/>
                <w:sz w:val="24"/>
                <w:highlight w:val="none"/>
              </w:rPr>
              <w:t>4</w:t>
            </w:r>
          </w:p>
        </w:tc>
        <w:tc>
          <w:tcPr>
            <w:tcW w:w="8477" w:type="dxa"/>
            <w:vAlign w:val="center"/>
          </w:tcPr>
          <w:p w14:paraId="19CE1437">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交付地点：临沂大学指定地点。</w:t>
            </w:r>
          </w:p>
        </w:tc>
      </w:tr>
      <w:tr w14:paraId="54C9B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vAlign w:val="center"/>
          </w:tcPr>
          <w:p w14:paraId="460CC16F">
            <w:pPr>
              <w:spacing w:line="500" w:lineRule="exact"/>
              <w:jc w:val="center"/>
              <w:rPr>
                <w:rFonts w:ascii="宋体" w:hAnsi="宋体" w:cs="宋体"/>
                <w:sz w:val="24"/>
                <w:highlight w:val="none"/>
              </w:rPr>
            </w:pPr>
            <w:r>
              <w:rPr>
                <w:rFonts w:hint="eastAsia" w:ascii="宋体" w:hAnsi="宋体" w:cs="宋体"/>
                <w:sz w:val="24"/>
                <w:highlight w:val="none"/>
              </w:rPr>
              <w:t>5</w:t>
            </w:r>
          </w:p>
        </w:tc>
        <w:tc>
          <w:tcPr>
            <w:tcW w:w="8477" w:type="dxa"/>
            <w:vAlign w:val="center"/>
          </w:tcPr>
          <w:p w14:paraId="70276C79">
            <w:pPr>
              <w:spacing w:line="500" w:lineRule="exact"/>
              <w:ind w:left="-31" w:leftChars="-15" w:firstLine="112" w:firstLineChars="47"/>
              <w:rPr>
                <w:rFonts w:ascii="宋体" w:hAnsi="宋体" w:cs="宋体"/>
                <w:sz w:val="24"/>
                <w:highlight w:val="none"/>
              </w:rPr>
            </w:pPr>
            <w:r>
              <w:rPr>
                <w:rFonts w:hint="eastAsia" w:ascii="宋体" w:hAnsi="宋体" w:cs="宋体"/>
                <w:sz w:val="24"/>
                <w:highlight w:val="none"/>
              </w:rPr>
              <w:t>争议的解决：提交采购人所在地人民法院。</w:t>
            </w:r>
          </w:p>
        </w:tc>
      </w:tr>
    </w:tbl>
    <w:p w14:paraId="65D21952">
      <w:pPr>
        <w:spacing w:line="480" w:lineRule="exact"/>
        <w:rPr>
          <w:rFonts w:ascii="宋体" w:hAnsi="宋体" w:cs="宋体"/>
          <w:sz w:val="24"/>
          <w:highlight w:val="none"/>
        </w:rPr>
        <w:sectPr>
          <w:headerReference r:id="rId7" w:type="default"/>
          <w:footerReference r:id="rId9" w:type="default"/>
          <w:headerReference r:id="rId8" w:type="even"/>
          <w:footerReference r:id="rId10" w:type="even"/>
          <w:pgSz w:w="11906" w:h="16838"/>
          <w:pgMar w:top="1440" w:right="1797" w:bottom="1440" w:left="1797" w:header="851" w:footer="992" w:gutter="0"/>
          <w:cols w:space="720" w:num="1"/>
          <w:docGrid w:linePitch="312" w:charSpace="0"/>
        </w:sectPr>
      </w:pPr>
    </w:p>
    <w:bookmarkEnd w:id="204"/>
    <w:p w14:paraId="2D6FDC05">
      <w:pPr>
        <w:pStyle w:val="3"/>
        <w:numPr>
          <w:ilvl w:val="0"/>
          <w:numId w:val="4"/>
        </w:numPr>
        <w:rPr>
          <w:highlight w:val="none"/>
        </w:rPr>
      </w:pPr>
      <w:bookmarkStart w:id="238" w:name="_Toc1457"/>
      <w:bookmarkStart w:id="239" w:name="_Toc512937852"/>
      <w:r>
        <w:rPr>
          <w:rFonts w:hint="eastAsia"/>
          <w:highlight w:val="none"/>
        </w:rPr>
        <w:t>服务需求</w:t>
      </w:r>
      <w:bookmarkEnd w:id="238"/>
    </w:p>
    <w:p w14:paraId="06E718A0">
      <w:pPr>
        <w:keepNext w:val="0"/>
        <w:keepLines w:val="0"/>
        <w:pageBreakBefore w:val="0"/>
        <w:widowControl w:val="0"/>
        <w:numPr>
          <w:ilvl w:val="0"/>
          <w:numId w:val="5"/>
        </w:numPr>
        <w:kinsoku/>
        <w:wordWrap/>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lang w:eastAsia="zh-CN"/>
        </w:rPr>
        <w:t>服务需求概述：</w:t>
      </w:r>
    </w:p>
    <w:p w14:paraId="7CD10DA7">
      <w:pPr>
        <w:keepNext w:val="0"/>
        <w:keepLines w:val="0"/>
        <w:pageBreakBefore w:val="0"/>
        <w:widowControl w:val="0"/>
        <w:kinsoku/>
        <w:wordWrap/>
        <w:topLinePunct w:val="0"/>
        <w:autoSpaceDE/>
        <w:autoSpaceDN/>
        <w:bidi w:val="0"/>
        <w:adjustRightInd/>
        <w:snapToGrid/>
        <w:spacing w:line="500" w:lineRule="exact"/>
        <w:ind w:firstLine="480" w:firstLineChars="200"/>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深入学习贯彻习近平总书记关于审计工作重要论述和重要指示精神，完整准确全面贯彻新发展理念，更好发挥审计在推进党的自我革命中的独特作用，紧紧围绕上级党委政府重大决策部署和学校发展战略、工作规划和改革目标，立足经济监督定位，紧盯权力集中，资金密集，资源富集，资产聚集，师生关注等重点领域和重要环节，坚持问题导向，揭示风险隐患，促进全面深化改革，促进权力规范运行，促进反腐倡廉促，提升学校内部治理能力和水平，推动学校事业高质量发展，根据《中华人民共和国审计法》《中华人民共和国高等教育法》《教育系统内部审计工作规定》《关于进一步加强高等学校内部控制建设的指导意见》《中共山东省委审计委员会关于推进新时代内部审计工作高质量发展的实施意见》法律法规和相关规定，结合省委巡视自查发现问题立行立改，结合对照审计发现问题自查自纠、专项审计、内控风险评估、内控评价发现问题整改等，拟对2020年以来学校事业发展情况开展审计。</w:t>
      </w:r>
    </w:p>
    <w:bookmarkEnd w:id="239"/>
    <w:p w14:paraId="63A5F83E">
      <w:pPr>
        <w:keepNext w:val="0"/>
        <w:keepLines w:val="0"/>
        <w:pageBreakBefore w:val="0"/>
        <w:widowControl w:val="0"/>
        <w:numPr>
          <w:ilvl w:val="0"/>
          <w:numId w:val="5"/>
        </w:numPr>
        <w:kinsoku/>
        <w:wordWrap/>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bookmarkStart w:id="240" w:name="_Toc23476"/>
      <w:bookmarkStart w:id="241" w:name="_Toc68259625"/>
      <w:bookmarkStart w:id="242" w:name="_Toc219175639"/>
      <w:bookmarkStart w:id="243" w:name="_Toc218935355"/>
      <w:bookmarkStart w:id="244" w:name="_Toc216582826"/>
      <w:r>
        <w:rPr>
          <w:rFonts w:hint="eastAsia" w:asciiTheme="minorEastAsia" w:hAnsiTheme="minorEastAsia" w:eastAsiaTheme="minorEastAsia" w:cstheme="minorEastAsia"/>
          <w:b/>
          <w:bCs/>
          <w:sz w:val="24"/>
          <w:highlight w:val="none"/>
          <w:lang w:eastAsia="zh-CN"/>
        </w:rPr>
        <w:t>服务的具体内容、范围、标准、期限等要求：</w:t>
      </w:r>
    </w:p>
    <w:p w14:paraId="028CB0E1">
      <w:pPr>
        <w:keepNext w:val="0"/>
        <w:keepLines w:val="0"/>
        <w:pageBreakBefore w:val="0"/>
        <w:widowControl w:val="0"/>
        <w:kinsoku/>
        <w:wordWrap/>
        <w:overflowPunct w:val="0"/>
        <w:topLinePunct w:val="0"/>
        <w:autoSpaceDE/>
        <w:autoSpaceDN/>
        <w:bidi w:val="0"/>
        <w:adjustRightInd/>
        <w:snapToGrid/>
        <w:spacing w:line="500" w:lineRule="exact"/>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1.审计目的</w:t>
      </w:r>
    </w:p>
    <w:p w14:paraId="20EF2FB3">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通过全面审查学校在落实上级党委政府重大决策部署、战略规划、重大经济事项的决策与执行、财务管理、内部控制等方面的情况，发现存在的问题和不足，提出改进建议，抓实问题整改，促进学校完善制度体系，优化治理结构，提高决策水平，规范权力运行，提升执行力和资源利用率，防范经济风险，保障学校事业持续健康发展。为确保项目实施进度和质量，建议尽快实施采购，预算经费22.80万元，列入2025年政府采购预算，以竞争性磋商方式实施预采购。</w:t>
      </w:r>
    </w:p>
    <w:p w14:paraId="1516D59B">
      <w:pPr>
        <w:keepNext w:val="0"/>
        <w:keepLines w:val="0"/>
        <w:pageBreakBefore w:val="0"/>
        <w:widowControl w:val="0"/>
        <w:kinsoku/>
        <w:wordWrap/>
        <w:overflowPunct w:val="0"/>
        <w:topLinePunct w:val="0"/>
        <w:autoSpaceDE/>
        <w:autoSpaceDN/>
        <w:bidi w:val="0"/>
        <w:adjustRightInd/>
        <w:snapToGrid/>
        <w:spacing w:line="500" w:lineRule="exact"/>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2.审计范围</w:t>
      </w:r>
    </w:p>
    <w:p w14:paraId="43615352">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围绕学校2020年1月1日以来的以下方面进行审计，必要时可追溯：</w:t>
      </w:r>
    </w:p>
    <w:p w14:paraId="62815AEC">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（1）贯彻落实党和国家经济方针政策及上级决策部署情况；</w:t>
      </w:r>
    </w:p>
    <w:p w14:paraId="02F331FE">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（2）学校重大发展规划、有关制度措施的制定、执行和效果情况；</w:t>
      </w:r>
    </w:p>
    <w:p w14:paraId="64711EFC">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（3）重大经济事项的决策、执行和效果情况；</w:t>
      </w:r>
    </w:p>
    <w:p w14:paraId="02A0DC00">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（4）重大项目的投资、管理和效益情况；</w:t>
      </w:r>
    </w:p>
    <w:p w14:paraId="6A1D1721">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（5）国有资产、国有资源的管理、使用和处置情况；</w:t>
      </w:r>
    </w:p>
    <w:p w14:paraId="21346F5C">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（6）财务管理和经济风险防范情况；</w:t>
      </w:r>
    </w:p>
    <w:p w14:paraId="4C2D634C">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（7）内部控制制度的制定和执行情况；</w:t>
      </w:r>
    </w:p>
    <w:p w14:paraId="5AF007A6">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（8）以往审计和对照审计发现问题自查自纠发现问题整改情况；</w:t>
      </w:r>
    </w:p>
    <w:p w14:paraId="20438489">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（9）其他需要审计的内容。</w:t>
      </w:r>
    </w:p>
    <w:p w14:paraId="2EE7F389">
      <w:pPr>
        <w:keepNext w:val="0"/>
        <w:keepLines w:val="0"/>
        <w:pageBreakBefore w:val="0"/>
        <w:widowControl w:val="0"/>
        <w:kinsoku/>
        <w:wordWrap/>
        <w:overflowPunct w:val="0"/>
        <w:topLinePunct w:val="0"/>
        <w:autoSpaceDE/>
        <w:autoSpaceDN/>
        <w:bidi w:val="0"/>
        <w:adjustRightInd/>
        <w:snapToGrid/>
        <w:spacing w:line="500" w:lineRule="exact"/>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4.投标人服务要求:</w:t>
      </w:r>
    </w:p>
    <w:p w14:paraId="59779EB8">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（1）根据审计内容开展全方位审计；</w:t>
      </w:r>
    </w:p>
    <w:p w14:paraId="02A1E2F6">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2）能根据审计的主要内容与校方共同制定切实可行的审计方案，能全面熟悉审计的主要内容，能熟练掌握审计的环节、程序和方法，项目组人员配置不少于6人（项目负责人除外），项目负责人须具有足以胜任审计工作的专业技能及从业经验；以上拟派本项目作人员应为本单位正式职工，须提供供应商为其缴纳的近三个月的社保证明材料；</w:t>
      </w:r>
    </w:p>
    <w:p w14:paraId="48DF446D">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宋体" w:hAnsi="宋体" w:eastAsia="宋体" w:cs="宋体"/>
          <w:b w:val="0"/>
          <w:bCs/>
          <w:color w:val="auto"/>
          <w:sz w:val="24"/>
          <w:szCs w:val="24"/>
          <w:highlight w:val="none"/>
        </w:rPr>
        <w:t>★</w:t>
      </w:r>
      <w:r>
        <w:rPr>
          <w:rFonts w:hint="eastAsia" w:asciiTheme="minorEastAsia" w:hAnsiTheme="minorEastAsia" w:eastAsiaTheme="minorEastAsia" w:cstheme="minorEastAsia"/>
          <w:b w:val="0"/>
          <w:bCs w:val="0"/>
          <w:sz w:val="24"/>
          <w:highlight w:val="none"/>
          <w:lang w:val="en-US" w:eastAsia="zh-CN"/>
        </w:rPr>
        <w:t>（3）拟投入本项目的人员中，注册会计师不少于1人或注册造价工程师不少于1人且为本单位正式职工，须提供供应商为其缴纳的近三个月的社保证明材料；</w:t>
      </w:r>
    </w:p>
    <w:p w14:paraId="4F8DA041">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（4）对审计中所发现的问题披露要全面、完整、准确；</w:t>
      </w:r>
    </w:p>
    <w:p w14:paraId="14C0A52D">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（5）审计结论客观、准确；</w:t>
      </w:r>
    </w:p>
    <w:p w14:paraId="11ED6334">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（6）工作底稿规范、完整；</w:t>
      </w:r>
    </w:p>
    <w:p w14:paraId="5E48434B">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（7）工作响应不超过1小时；</w:t>
      </w:r>
    </w:p>
    <w:p w14:paraId="10F397E6">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（8）完成时限：提供审计材料后60个工作日内；</w:t>
      </w:r>
    </w:p>
    <w:p w14:paraId="657E13FF">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（9）受托社会中介机构(乙方)参与审计的人员与被评价对象存在利害关系的，应主动申请回避；</w:t>
      </w:r>
    </w:p>
    <w:p w14:paraId="07851E25">
      <w:pPr>
        <w:keepNext w:val="0"/>
        <w:keepLines w:val="0"/>
        <w:pageBreakBefore w:val="0"/>
        <w:widowControl w:val="0"/>
        <w:kinsoku/>
        <w:wordWrap/>
        <w:overflowPunct w:val="0"/>
        <w:topLinePunct w:val="0"/>
        <w:autoSpaceDE/>
        <w:autoSpaceDN/>
        <w:bidi w:val="0"/>
        <w:adjustRightInd/>
        <w:snapToGrid/>
        <w:spacing w:line="500" w:lineRule="exact"/>
        <w:ind w:left="420" w:leftChars="200"/>
        <w:textAlignment w:val="auto"/>
        <w:rPr>
          <w:rFonts w:hint="eastAsia" w:asciiTheme="minorEastAsia" w:hAnsiTheme="minorEastAsia" w:eastAsiaTheme="minorEastAsia" w:cstheme="minorEastAsia"/>
          <w:b w:val="0"/>
          <w:bCs w:val="0"/>
          <w:sz w:val="24"/>
          <w:highlight w:val="none"/>
          <w:lang w:val="en-US" w:eastAsia="zh-CN"/>
        </w:rPr>
      </w:pPr>
      <w:r>
        <w:rPr>
          <w:rFonts w:hint="eastAsia" w:asciiTheme="minorEastAsia" w:hAnsiTheme="minorEastAsia" w:eastAsiaTheme="minorEastAsia" w:cstheme="minorEastAsia"/>
          <w:b w:val="0"/>
          <w:bCs w:val="0"/>
          <w:sz w:val="24"/>
          <w:highlight w:val="none"/>
          <w:lang w:val="en-US" w:eastAsia="zh-CN"/>
        </w:rPr>
        <w:t>（10）按照国家该行业相关标准和合同约定的相关要求，为委托方提供服务，并随时接受委托方的检查、监督。</w:t>
      </w:r>
    </w:p>
    <w:p w14:paraId="14266953">
      <w:pPr>
        <w:keepNext w:val="0"/>
        <w:keepLines w:val="0"/>
        <w:pageBreakBefore w:val="0"/>
        <w:widowControl w:val="0"/>
        <w:kinsoku/>
        <w:wordWrap/>
        <w:overflowPunct w:val="0"/>
        <w:topLinePunct w:val="0"/>
        <w:autoSpaceDE/>
        <w:autoSpaceDN/>
        <w:bidi w:val="0"/>
        <w:adjustRightInd/>
        <w:snapToGrid/>
        <w:spacing w:line="500" w:lineRule="exact"/>
        <w:textAlignment w:val="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lang w:val="en-US" w:eastAsia="zh-CN"/>
        </w:rPr>
        <w:t>三</w:t>
      </w:r>
      <w:r>
        <w:rPr>
          <w:rFonts w:hint="eastAsia" w:asciiTheme="minorEastAsia" w:hAnsiTheme="minorEastAsia" w:eastAsiaTheme="minorEastAsia" w:cstheme="minorEastAsia"/>
          <w:b/>
          <w:bCs/>
          <w:sz w:val="24"/>
          <w:highlight w:val="none"/>
        </w:rPr>
        <w:t>、其他说明</w:t>
      </w:r>
    </w:p>
    <w:p w14:paraId="364E94CF">
      <w:pPr>
        <w:keepNext w:val="0"/>
        <w:keepLines w:val="0"/>
        <w:pageBreakBefore w:val="0"/>
        <w:widowControl w:val="0"/>
        <w:kinsoku/>
        <w:wordWrap/>
        <w:overflowPunct w:val="0"/>
        <w:topLinePunct w:val="0"/>
        <w:autoSpaceDE/>
        <w:autoSpaceDN/>
        <w:bidi w:val="0"/>
        <w:adjustRightInd/>
        <w:snapToGrid/>
        <w:spacing w:line="500" w:lineRule="exact"/>
        <w:ind w:firstLine="482" w:firstLineChars="200"/>
        <w:textAlignment w:val="auto"/>
        <w:outlineLvl w:val="1"/>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本项目标的所属行业说明：以《工业和信息化部、国家统计局、国家发展和改革委员会、财政部关于印发中小企业划型标准规定的通知》（工信部联企业[2011]300号）规定的划分标准为准。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53E3F73">
      <w:pPr>
        <w:widowControl/>
        <w:jc w:val="left"/>
        <w:rPr>
          <w:rFonts w:asciiTheme="minorEastAsia" w:hAnsiTheme="minorEastAsia" w:eastAsiaTheme="minorEastAsia" w:cstheme="minorEastAsia"/>
          <w:b/>
          <w:kern w:val="44"/>
          <w:sz w:val="32"/>
          <w:szCs w:val="20"/>
          <w:highlight w:val="none"/>
        </w:rPr>
      </w:pPr>
      <w:r>
        <w:rPr>
          <w:rFonts w:hint="eastAsia" w:asciiTheme="minorEastAsia" w:hAnsiTheme="minorEastAsia" w:eastAsiaTheme="minorEastAsia" w:cstheme="minorEastAsia"/>
          <w:highlight w:val="none"/>
        </w:rPr>
        <w:br w:type="page"/>
      </w:r>
    </w:p>
    <w:p w14:paraId="3022640C">
      <w:pPr>
        <w:rPr>
          <w:highlight w:val="none"/>
        </w:rPr>
        <w:sectPr>
          <w:headerReference r:id="rId11" w:type="default"/>
          <w:footerReference r:id="rId12" w:type="default"/>
          <w:pgSz w:w="11906" w:h="16838"/>
          <w:pgMar w:top="1440" w:right="1797" w:bottom="1440" w:left="1797" w:header="851" w:footer="992" w:gutter="0"/>
          <w:cols w:space="720" w:num="1"/>
          <w:docGrid w:linePitch="312" w:charSpace="0"/>
        </w:sectPr>
      </w:pPr>
    </w:p>
    <w:p w14:paraId="044A73D0">
      <w:pPr>
        <w:pStyle w:val="3"/>
        <w:tabs>
          <w:tab w:val="left" w:pos="0"/>
        </w:tabs>
        <w:spacing w:before="0" w:after="0" w:line="480" w:lineRule="exact"/>
        <w:ind w:firstLine="2249" w:firstLineChars="700"/>
        <w:jc w:val="both"/>
        <w:rPr>
          <w:rFonts w:hAnsi="宋体" w:cs="宋体"/>
          <w:highlight w:val="none"/>
        </w:rPr>
      </w:pPr>
      <w:r>
        <w:rPr>
          <w:rFonts w:hint="eastAsia" w:hAnsi="宋体" w:cs="宋体"/>
          <w:highlight w:val="none"/>
        </w:rPr>
        <w:t xml:space="preserve">第5章  </w:t>
      </w:r>
      <w:bookmarkStart w:id="245" w:name="_Toc32647"/>
      <w:bookmarkStart w:id="246" w:name="_Toc7971"/>
      <w:bookmarkStart w:id="247" w:name="_Toc4766816"/>
      <w:bookmarkStart w:id="248" w:name="_Toc507399907"/>
      <w:bookmarkStart w:id="249" w:name="_Toc515647832"/>
      <w:r>
        <w:rPr>
          <w:rFonts w:hint="eastAsia" w:hAnsi="宋体" w:cs="宋体"/>
          <w:highlight w:val="none"/>
        </w:rPr>
        <w:t>评审方法和标准</w:t>
      </w:r>
      <w:bookmarkEnd w:id="240"/>
      <w:bookmarkEnd w:id="241"/>
      <w:bookmarkEnd w:id="242"/>
      <w:bookmarkEnd w:id="243"/>
      <w:bookmarkEnd w:id="244"/>
      <w:bookmarkEnd w:id="245"/>
      <w:bookmarkEnd w:id="246"/>
      <w:bookmarkEnd w:id="247"/>
      <w:bookmarkEnd w:id="248"/>
      <w:bookmarkEnd w:id="249"/>
    </w:p>
    <w:p w14:paraId="060498E4">
      <w:pPr>
        <w:pStyle w:val="9"/>
        <w:tabs>
          <w:tab w:val="clear" w:pos="567"/>
        </w:tabs>
        <w:spacing w:before="0" w:line="480" w:lineRule="exact"/>
        <w:ind w:firstLine="540" w:firstLineChars="225"/>
        <w:rPr>
          <w:rFonts w:cs="宋体"/>
          <w:highlight w:val="none"/>
        </w:rPr>
      </w:pPr>
    </w:p>
    <w:p w14:paraId="52450778">
      <w:pPr>
        <w:spacing w:line="480" w:lineRule="exact"/>
        <w:ind w:firstLine="424" w:firstLineChars="177"/>
        <w:rPr>
          <w:rFonts w:ascii="宋体" w:hAnsi="宋体" w:cs="宋体"/>
          <w:sz w:val="24"/>
          <w:highlight w:val="none"/>
        </w:rPr>
      </w:pPr>
      <w:r>
        <w:rPr>
          <w:rFonts w:hint="eastAsia" w:ascii="宋体" w:hAnsi="宋体" w:cs="宋体"/>
          <w:sz w:val="24"/>
          <w:highlight w:val="none"/>
        </w:rPr>
        <w:t>本项目将按照竞争性磋商文件第一章供应商须知中“五 提交响应文件截止及磋商”“六 确定成交”及本章的规定评审。</w:t>
      </w:r>
    </w:p>
    <w:p w14:paraId="24A61502">
      <w:pPr>
        <w:pStyle w:val="9"/>
        <w:tabs>
          <w:tab w:val="clear" w:pos="567"/>
        </w:tabs>
        <w:spacing w:before="0" w:line="480" w:lineRule="exact"/>
        <w:ind w:firstLine="540" w:firstLineChars="225"/>
        <w:rPr>
          <w:rFonts w:cs="宋体"/>
          <w:highlight w:val="none"/>
        </w:rPr>
      </w:pPr>
      <w:r>
        <w:rPr>
          <w:rFonts w:hint="eastAsia" w:cs="宋体"/>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0" w:name="percentDesc"/>
      <w:bookmarkEnd w:id="250"/>
    </w:p>
    <w:p w14:paraId="6AE7536C">
      <w:pPr>
        <w:pStyle w:val="4"/>
        <w:rPr>
          <w:highlight w:val="none"/>
        </w:rPr>
      </w:pPr>
      <w:bookmarkStart w:id="251" w:name="_Toc68259626"/>
      <w:bookmarkStart w:id="252" w:name="_Toc499"/>
      <w:bookmarkStart w:id="253" w:name="_Toc46238261"/>
      <w:bookmarkStart w:id="254" w:name="_Toc45562497"/>
      <w:bookmarkStart w:id="255" w:name="_Toc46136844"/>
      <w:r>
        <w:rPr>
          <w:rFonts w:hint="eastAsia"/>
          <w:highlight w:val="none"/>
          <w:lang w:val="en-US" w:eastAsia="zh-CN"/>
        </w:rPr>
        <w:t>一、</w:t>
      </w:r>
      <w:r>
        <w:rPr>
          <w:rFonts w:hint="eastAsia"/>
          <w:highlight w:val="none"/>
        </w:rPr>
        <w:t>初步评审</w:t>
      </w:r>
      <w:bookmarkEnd w:id="251"/>
      <w:bookmarkEnd w:id="252"/>
      <w:bookmarkEnd w:id="253"/>
      <w:bookmarkEnd w:id="254"/>
      <w:bookmarkEnd w:id="255"/>
    </w:p>
    <w:tbl>
      <w:tblPr>
        <w:tblStyle w:val="28"/>
        <w:tblW w:w="9678" w:type="dxa"/>
        <w:jc w:val="center"/>
        <w:tblLayout w:type="fixed"/>
        <w:tblCellMar>
          <w:top w:w="0" w:type="dxa"/>
          <w:left w:w="0" w:type="dxa"/>
          <w:bottom w:w="0" w:type="dxa"/>
          <w:right w:w="0" w:type="dxa"/>
        </w:tblCellMar>
      </w:tblPr>
      <w:tblGrid>
        <w:gridCol w:w="825"/>
        <w:gridCol w:w="527"/>
        <w:gridCol w:w="5775"/>
        <w:gridCol w:w="2551"/>
      </w:tblGrid>
      <w:tr w14:paraId="250FFC03">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vAlign w:val="center"/>
          </w:tcPr>
          <w:p w14:paraId="3F771808">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评审</w:t>
            </w:r>
          </w:p>
          <w:p w14:paraId="1D64BC1E">
            <w:pPr>
              <w:spacing w:line="480" w:lineRule="exact"/>
              <w:jc w:val="center"/>
              <w:rPr>
                <w:rFonts w:ascii="宋体" w:hAnsi="宋体" w:cs="宋体"/>
                <w:kern w:val="0"/>
                <w:sz w:val="24"/>
                <w:highlight w:val="none"/>
                <w:lang w:eastAsia="en-US"/>
              </w:rPr>
            </w:pPr>
            <w:r>
              <w:rPr>
                <w:rFonts w:hint="eastAsia" w:ascii="宋体" w:hAnsi="宋体" w:cs="宋体"/>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vAlign w:val="center"/>
          </w:tcPr>
          <w:p w14:paraId="5E1C5FF6">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序</w:t>
            </w:r>
          </w:p>
          <w:p w14:paraId="7529C7CD">
            <w:pPr>
              <w:spacing w:line="480" w:lineRule="exact"/>
              <w:jc w:val="center"/>
              <w:rPr>
                <w:rFonts w:ascii="宋体" w:hAnsi="宋体" w:cs="宋体"/>
                <w:kern w:val="0"/>
                <w:sz w:val="24"/>
                <w:highlight w:val="none"/>
                <w:lang w:eastAsia="en-US"/>
              </w:rPr>
            </w:pPr>
            <w:r>
              <w:rPr>
                <w:rFonts w:hint="eastAsia" w:ascii="宋体" w:hAnsi="宋体" w:cs="宋体"/>
                <w:kern w:val="0"/>
                <w:position w:val="-3"/>
                <w:sz w:val="24"/>
                <w:highlight w:val="none"/>
                <w:lang w:eastAsia="en-US"/>
              </w:rPr>
              <w:t>号</w:t>
            </w:r>
          </w:p>
        </w:tc>
        <w:tc>
          <w:tcPr>
            <w:tcW w:w="5775" w:type="dxa"/>
            <w:tcBorders>
              <w:top w:val="single" w:color="000000" w:sz="2" w:space="0"/>
              <w:left w:val="single" w:color="000000" w:sz="2" w:space="0"/>
              <w:bottom w:val="single" w:color="000000" w:sz="2" w:space="0"/>
              <w:right w:val="single" w:color="000000" w:sz="2" w:space="0"/>
            </w:tcBorders>
            <w:vAlign w:val="center"/>
          </w:tcPr>
          <w:p w14:paraId="753B24C6">
            <w:pPr>
              <w:spacing w:line="480" w:lineRule="exact"/>
              <w:ind w:left="142" w:hanging="141" w:hangingChars="59"/>
              <w:jc w:val="center"/>
              <w:rPr>
                <w:rFonts w:ascii="宋体" w:hAnsi="宋体" w:cs="宋体"/>
                <w:kern w:val="0"/>
                <w:sz w:val="24"/>
                <w:highlight w:val="none"/>
                <w:lang w:eastAsia="en-US"/>
              </w:rPr>
            </w:pPr>
            <w:r>
              <w:rPr>
                <w:rFonts w:hint="eastAsia" w:ascii="宋体" w:hAnsi="宋体" w:cs="宋体"/>
                <w:kern w:val="0"/>
                <w:sz w:val="24"/>
                <w:highlight w:val="none"/>
                <w:lang w:eastAsia="en-US"/>
              </w:rPr>
              <w:t>评审因素</w:t>
            </w:r>
          </w:p>
        </w:tc>
        <w:tc>
          <w:tcPr>
            <w:tcW w:w="2551" w:type="dxa"/>
            <w:tcBorders>
              <w:top w:val="single" w:color="000000" w:sz="2" w:space="0"/>
              <w:left w:val="single" w:color="000000" w:sz="2" w:space="0"/>
              <w:bottom w:val="single" w:color="000000" w:sz="2" w:space="0"/>
              <w:right w:val="single" w:color="000000" w:sz="2" w:space="0"/>
            </w:tcBorders>
            <w:vAlign w:val="center"/>
          </w:tcPr>
          <w:p w14:paraId="270BEE21">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是否符合</w:t>
            </w:r>
          </w:p>
        </w:tc>
      </w:tr>
      <w:tr w14:paraId="6486BDC8">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vAlign w:val="center"/>
          </w:tcPr>
          <w:p w14:paraId="4E402163">
            <w:pPr>
              <w:spacing w:line="480" w:lineRule="exact"/>
              <w:jc w:val="center"/>
              <w:rPr>
                <w:rFonts w:ascii="宋体" w:hAnsi="宋体" w:cs="宋体"/>
                <w:kern w:val="0"/>
                <w:sz w:val="24"/>
                <w:highlight w:val="none"/>
                <w:lang w:eastAsia="en-US"/>
              </w:rPr>
            </w:pPr>
            <w:r>
              <w:rPr>
                <w:rFonts w:hint="eastAsia" w:ascii="宋体" w:hAnsi="宋体" w:cs="宋体"/>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vAlign w:val="center"/>
          </w:tcPr>
          <w:p w14:paraId="4B2B97CA">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w:t>
            </w:r>
          </w:p>
        </w:tc>
        <w:tc>
          <w:tcPr>
            <w:tcW w:w="5775" w:type="dxa"/>
            <w:tcBorders>
              <w:top w:val="single" w:color="000000" w:sz="2" w:space="0"/>
              <w:left w:val="single" w:color="000000" w:sz="2" w:space="0"/>
              <w:bottom w:val="single" w:color="000000" w:sz="2" w:space="0"/>
              <w:right w:val="single" w:color="000000" w:sz="2" w:space="0"/>
            </w:tcBorders>
            <w:vAlign w:val="center"/>
          </w:tcPr>
          <w:p w14:paraId="018DAFA2">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以竞争性磋商文件规定的方式获取竞争性磋商文件</w:t>
            </w:r>
          </w:p>
        </w:tc>
        <w:tc>
          <w:tcPr>
            <w:tcW w:w="2551" w:type="dxa"/>
            <w:tcBorders>
              <w:top w:val="single" w:color="000000" w:sz="2" w:space="0"/>
              <w:left w:val="single" w:color="000000" w:sz="2" w:space="0"/>
              <w:bottom w:val="single" w:color="000000" w:sz="2" w:space="0"/>
              <w:right w:val="single" w:color="000000" w:sz="2" w:space="0"/>
            </w:tcBorders>
            <w:vAlign w:val="center"/>
          </w:tcPr>
          <w:p w14:paraId="28184744">
            <w:pPr>
              <w:spacing w:line="480" w:lineRule="exact"/>
              <w:jc w:val="center"/>
              <w:rPr>
                <w:rFonts w:ascii="宋体" w:hAnsi="宋体"/>
                <w:kern w:val="0"/>
                <w:sz w:val="24"/>
                <w:highlight w:val="none"/>
              </w:rPr>
            </w:pPr>
            <w:r>
              <w:rPr>
                <w:rFonts w:ascii="宋体" w:hAnsi="宋体"/>
                <w:kern w:val="0"/>
                <w:sz w:val="24"/>
                <w:highlight w:val="none"/>
              </w:rPr>
              <w:t>是否在规定时间内获取</w:t>
            </w:r>
          </w:p>
        </w:tc>
      </w:tr>
      <w:tr w14:paraId="555713A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6E4344AD">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E729B82">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2</w:t>
            </w:r>
          </w:p>
        </w:tc>
        <w:tc>
          <w:tcPr>
            <w:tcW w:w="5775" w:type="dxa"/>
            <w:tcBorders>
              <w:top w:val="single" w:color="000000" w:sz="2" w:space="0"/>
              <w:left w:val="single" w:color="000000" w:sz="2" w:space="0"/>
              <w:bottom w:val="single" w:color="000000" w:sz="2" w:space="0"/>
              <w:right w:val="single" w:color="000000" w:sz="2" w:space="0"/>
            </w:tcBorders>
            <w:vAlign w:val="center"/>
          </w:tcPr>
          <w:p w14:paraId="56F13E4F">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在中华人民共和国境内注册</w:t>
            </w:r>
          </w:p>
        </w:tc>
        <w:tc>
          <w:tcPr>
            <w:tcW w:w="2551" w:type="dxa"/>
            <w:tcBorders>
              <w:top w:val="single" w:color="000000" w:sz="2" w:space="0"/>
              <w:left w:val="single" w:color="000000" w:sz="2" w:space="0"/>
              <w:bottom w:val="single" w:color="000000" w:sz="2" w:space="0"/>
              <w:right w:val="single" w:color="000000" w:sz="2" w:space="0"/>
            </w:tcBorders>
            <w:vAlign w:val="center"/>
          </w:tcPr>
          <w:p w14:paraId="10D762C1">
            <w:pPr>
              <w:spacing w:line="480" w:lineRule="exact"/>
              <w:jc w:val="center"/>
              <w:rPr>
                <w:rFonts w:ascii="宋体" w:hAnsi="宋体"/>
                <w:kern w:val="0"/>
                <w:sz w:val="24"/>
                <w:highlight w:val="none"/>
              </w:rPr>
            </w:pPr>
            <w:r>
              <w:rPr>
                <w:rFonts w:ascii="宋体" w:hAnsi="宋体"/>
                <w:kern w:val="0"/>
                <w:sz w:val="24"/>
                <w:highlight w:val="none"/>
              </w:rPr>
              <w:t>注册地</w:t>
            </w:r>
            <w:r>
              <w:rPr>
                <w:rFonts w:hint="eastAsia" w:ascii="宋体" w:hAnsi="宋体"/>
                <w:kern w:val="0"/>
                <w:sz w:val="24"/>
                <w:highlight w:val="none"/>
              </w:rPr>
              <w:t>是否符合</w:t>
            </w:r>
          </w:p>
        </w:tc>
      </w:tr>
      <w:tr w14:paraId="1BF6D5AC">
        <w:tblPrEx>
          <w:tblCellMar>
            <w:top w:w="0" w:type="dxa"/>
            <w:left w:w="0" w:type="dxa"/>
            <w:bottom w:w="0" w:type="dxa"/>
            <w:right w:w="0" w:type="dxa"/>
          </w:tblCellMar>
        </w:tblPrEx>
        <w:trPr>
          <w:trHeight w:val="570"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5B1558F2">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620E5F37">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3</w:t>
            </w:r>
          </w:p>
        </w:tc>
        <w:tc>
          <w:tcPr>
            <w:tcW w:w="5775" w:type="dxa"/>
            <w:tcBorders>
              <w:top w:val="single" w:color="000000" w:sz="2" w:space="0"/>
              <w:left w:val="single" w:color="000000" w:sz="2" w:space="0"/>
              <w:bottom w:val="single" w:color="000000" w:sz="2" w:space="0"/>
              <w:right w:val="single" w:color="000000" w:sz="2" w:space="0"/>
            </w:tcBorders>
            <w:vAlign w:val="center"/>
          </w:tcPr>
          <w:p w14:paraId="7A08F147">
            <w:pPr>
              <w:spacing w:line="480" w:lineRule="exact"/>
              <w:ind w:left="216" w:leftChars="103"/>
              <w:jc w:val="left"/>
              <w:rPr>
                <w:rFonts w:hint="default" w:ascii="宋体" w:hAnsi="宋体" w:eastAsia="宋体" w:cs="宋体"/>
                <w:kern w:val="0"/>
                <w:position w:val="-2"/>
                <w:sz w:val="24"/>
                <w:highlight w:val="none"/>
                <w:lang w:val="en-US" w:eastAsia="zh-CN"/>
              </w:rPr>
            </w:pPr>
            <w:r>
              <w:rPr>
                <w:rFonts w:hint="default" w:ascii="宋体" w:hAnsi="宋体" w:eastAsia="宋体" w:cs="宋体"/>
                <w:kern w:val="0"/>
                <w:position w:val="-2"/>
                <w:sz w:val="24"/>
                <w:highlight w:val="none"/>
                <w:lang w:val="en-US" w:eastAsia="zh-CN"/>
              </w:rPr>
              <w:t>营业执照等证明文件</w:t>
            </w:r>
          </w:p>
        </w:tc>
        <w:tc>
          <w:tcPr>
            <w:tcW w:w="2551" w:type="dxa"/>
            <w:tcBorders>
              <w:top w:val="single" w:color="000000" w:sz="2" w:space="0"/>
              <w:left w:val="single" w:color="000000" w:sz="2" w:space="0"/>
              <w:bottom w:val="single" w:color="000000" w:sz="2" w:space="0"/>
              <w:right w:val="single" w:color="000000" w:sz="2" w:space="0"/>
            </w:tcBorders>
            <w:vAlign w:val="center"/>
          </w:tcPr>
          <w:p w14:paraId="328AF857">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0D3D095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383CDF2A">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2EA113BC">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4</w:t>
            </w:r>
          </w:p>
        </w:tc>
        <w:tc>
          <w:tcPr>
            <w:tcW w:w="5775" w:type="dxa"/>
            <w:tcBorders>
              <w:top w:val="single" w:color="000000" w:sz="2" w:space="0"/>
              <w:left w:val="single" w:color="000000" w:sz="2" w:space="0"/>
              <w:bottom w:val="single" w:color="000000" w:sz="2" w:space="0"/>
              <w:right w:val="single" w:color="000000" w:sz="2" w:space="0"/>
            </w:tcBorders>
            <w:vAlign w:val="center"/>
          </w:tcPr>
          <w:p w14:paraId="672924DA">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法定代表人/负责人身份证明书或法定代表人/负责人授权委托书</w:t>
            </w:r>
          </w:p>
        </w:tc>
        <w:tc>
          <w:tcPr>
            <w:tcW w:w="2551" w:type="dxa"/>
            <w:tcBorders>
              <w:top w:val="single" w:color="000000" w:sz="2" w:space="0"/>
              <w:left w:val="single" w:color="000000" w:sz="2" w:space="0"/>
              <w:bottom w:val="single" w:color="000000" w:sz="2" w:space="0"/>
              <w:right w:val="single" w:color="000000" w:sz="2" w:space="0"/>
            </w:tcBorders>
            <w:vAlign w:val="center"/>
          </w:tcPr>
          <w:p w14:paraId="43CA2EFE">
            <w:pPr>
              <w:spacing w:line="480" w:lineRule="exact"/>
              <w:jc w:val="center"/>
              <w:rPr>
                <w:rFonts w:ascii="宋体" w:hAnsi="宋体"/>
                <w:kern w:val="0"/>
                <w:sz w:val="24"/>
                <w:highlight w:val="none"/>
              </w:rPr>
            </w:pPr>
            <w:r>
              <w:rPr>
                <w:rFonts w:ascii="宋体" w:hAnsi="宋体"/>
                <w:kern w:val="0"/>
                <w:sz w:val="24"/>
                <w:highlight w:val="none"/>
              </w:rPr>
              <w:t>格式及内容是否完整</w:t>
            </w:r>
          </w:p>
        </w:tc>
      </w:tr>
      <w:tr w14:paraId="798823D2">
        <w:tblPrEx>
          <w:tblCellMar>
            <w:top w:w="0" w:type="dxa"/>
            <w:left w:w="0" w:type="dxa"/>
            <w:bottom w:w="0" w:type="dxa"/>
            <w:right w:w="0" w:type="dxa"/>
          </w:tblCellMar>
        </w:tblPrEx>
        <w:trPr>
          <w:trHeight w:val="1009"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3BF0CE08">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54166E82">
            <w:pPr>
              <w:spacing w:line="480" w:lineRule="exact"/>
              <w:jc w:val="center"/>
              <w:rPr>
                <w:rFonts w:ascii="宋体" w:hAnsi="宋体" w:cs="宋体"/>
                <w:kern w:val="0"/>
                <w:position w:val="-2"/>
                <w:sz w:val="24"/>
                <w:highlight w:val="none"/>
              </w:rPr>
            </w:pPr>
            <w:r>
              <w:rPr>
                <w:rFonts w:hint="eastAsia" w:ascii="宋体" w:hAnsi="宋体" w:cs="宋体"/>
                <w:kern w:val="0"/>
                <w:position w:val="-2"/>
                <w:sz w:val="24"/>
                <w:highlight w:val="none"/>
              </w:rPr>
              <w:t>5</w:t>
            </w:r>
          </w:p>
        </w:tc>
        <w:tc>
          <w:tcPr>
            <w:tcW w:w="5775" w:type="dxa"/>
            <w:tcBorders>
              <w:top w:val="single" w:color="000000" w:sz="2" w:space="0"/>
              <w:left w:val="single" w:color="000000" w:sz="2" w:space="0"/>
              <w:bottom w:val="single" w:color="000000" w:sz="2" w:space="0"/>
              <w:right w:val="single" w:color="000000" w:sz="2" w:space="0"/>
            </w:tcBorders>
            <w:vAlign w:val="center"/>
          </w:tcPr>
          <w:p w14:paraId="0C01A4D4">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 xml:space="preserve">具有良好的商业信誉和健全的财务会计制度的证明材料 </w:t>
            </w:r>
          </w:p>
        </w:tc>
        <w:tc>
          <w:tcPr>
            <w:tcW w:w="2551" w:type="dxa"/>
            <w:tcBorders>
              <w:top w:val="single" w:color="000000" w:sz="2" w:space="0"/>
              <w:left w:val="single" w:color="000000" w:sz="2" w:space="0"/>
              <w:bottom w:val="single" w:color="000000" w:sz="2" w:space="0"/>
              <w:right w:val="single" w:color="000000" w:sz="2" w:space="0"/>
            </w:tcBorders>
            <w:vAlign w:val="center"/>
          </w:tcPr>
          <w:p w14:paraId="799889E7">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0D84089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527E3D9E">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3A9DFD2">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6</w:t>
            </w:r>
          </w:p>
        </w:tc>
        <w:tc>
          <w:tcPr>
            <w:tcW w:w="5775" w:type="dxa"/>
            <w:tcBorders>
              <w:top w:val="single" w:color="000000" w:sz="2" w:space="0"/>
              <w:left w:val="single" w:color="000000" w:sz="2" w:space="0"/>
              <w:bottom w:val="single" w:color="000000" w:sz="2" w:space="0"/>
              <w:right w:val="single" w:color="000000" w:sz="2" w:space="0"/>
            </w:tcBorders>
            <w:vAlign w:val="center"/>
          </w:tcPr>
          <w:p w14:paraId="029B342B">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依法缴纳税收和社会保障资金承诺函</w:t>
            </w:r>
          </w:p>
        </w:tc>
        <w:tc>
          <w:tcPr>
            <w:tcW w:w="2551" w:type="dxa"/>
            <w:tcBorders>
              <w:top w:val="single" w:color="000000" w:sz="2" w:space="0"/>
              <w:left w:val="single" w:color="000000" w:sz="2" w:space="0"/>
              <w:bottom w:val="single" w:color="000000" w:sz="2" w:space="0"/>
              <w:right w:val="single" w:color="000000" w:sz="2" w:space="0"/>
            </w:tcBorders>
            <w:vAlign w:val="center"/>
          </w:tcPr>
          <w:p w14:paraId="32A8579F">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1B82AC2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6E98CB21">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652C8F6E">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7</w:t>
            </w:r>
          </w:p>
        </w:tc>
        <w:tc>
          <w:tcPr>
            <w:tcW w:w="5775" w:type="dxa"/>
            <w:tcBorders>
              <w:top w:val="single" w:color="000000" w:sz="2" w:space="0"/>
              <w:left w:val="single" w:color="000000" w:sz="2" w:space="0"/>
              <w:bottom w:val="single" w:color="000000" w:sz="2" w:space="0"/>
              <w:right w:val="single" w:color="000000" w:sz="2" w:space="0"/>
            </w:tcBorders>
            <w:vAlign w:val="center"/>
          </w:tcPr>
          <w:p w14:paraId="0A70F76D">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无重大违法记录的书面声明</w:t>
            </w:r>
          </w:p>
        </w:tc>
        <w:tc>
          <w:tcPr>
            <w:tcW w:w="2551" w:type="dxa"/>
            <w:tcBorders>
              <w:top w:val="single" w:color="000000" w:sz="2" w:space="0"/>
              <w:left w:val="single" w:color="000000" w:sz="2" w:space="0"/>
              <w:bottom w:val="single" w:color="000000" w:sz="2" w:space="0"/>
              <w:right w:val="single" w:color="000000" w:sz="2" w:space="0"/>
            </w:tcBorders>
            <w:vAlign w:val="center"/>
          </w:tcPr>
          <w:p w14:paraId="1F64D8DA">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1CAC63D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72A6A37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0BC40C70">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8</w:t>
            </w:r>
          </w:p>
        </w:tc>
        <w:tc>
          <w:tcPr>
            <w:tcW w:w="5775" w:type="dxa"/>
            <w:tcBorders>
              <w:top w:val="single" w:color="000000" w:sz="2" w:space="0"/>
              <w:left w:val="single" w:color="000000" w:sz="2" w:space="0"/>
              <w:bottom w:val="single" w:color="000000" w:sz="2" w:space="0"/>
              <w:right w:val="single" w:color="000000" w:sz="2" w:space="0"/>
            </w:tcBorders>
            <w:vAlign w:val="center"/>
          </w:tcPr>
          <w:p w14:paraId="43ABF367">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信用记录（由代理机构查询）</w:t>
            </w:r>
          </w:p>
        </w:tc>
        <w:tc>
          <w:tcPr>
            <w:tcW w:w="2551" w:type="dxa"/>
            <w:tcBorders>
              <w:top w:val="single" w:color="000000" w:sz="2" w:space="0"/>
              <w:left w:val="single" w:color="000000" w:sz="2" w:space="0"/>
              <w:bottom w:val="single" w:color="000000" w:sz="2" w:space="0"/>
              <w:right w:val="single" w:color="000000" w:sz="2" w:space="0"/>
            </w:tcBorders>
            <w:vAlign w:val="center"/>
          </w:tcPr>
          <w:p w14:paraId="7D4AE6E2">
            <w:pPr>
              <w:spacing w:line="480" w:lineRule="exact"/>
              <w:jc w:val="center"/>
              <w:rPr>
                <w:rFonts w:ascii="宋体" w:hAnsi="宋体"/>
                <w:kern w:val="0"/>
                <w:sz w:val="24"/>
                <w:highlight w:val="none"/>
              </w:rPr>
            </w:pPr>
            <w:r>
              <w:rPr>
                <w:rFonts w:ascii="宋体" w:hAnsi="宋体"/>
                <w:kern w:val="0"/>
                <w:sz w:val="24"/>
                <w:highlight w:val="none"/>
              </w:rPr>
              <w:t>是否按要求提供</w:t>
            </w:r>
          </w:p>
        </w:tc>
      </w:tr>
      <w:tr w14:paraId="7E0360A8">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5058A0BA">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D40FA4A">
            <w:pPr>
              <w:spacing w:line="480" w:lineRule="exact"/>
              <w:jc w:val="center"/>
              <w:rPr>
                <w:rFonts w:ascii="宋体" w:hAnsi="宋体" w:cs="宋体"/>
                <w:kern w:val="0"/>
                <w:position w:val="-2"/>
                <w:sz w:val="24"/>
                <w:highlight w:val="none"/>
              </w:rPr>
            </w:pPr>
            <w:r>
              <w:rPr>
                <w:rFonts w:hint="eastAsia" w:ascii="宋体" w:hAnsi="宋体" w:cs="宋体"/>
                <w:kern w:val="0"/>
                <w:position w:val="-2"/>
                <w:sz w:val="24"/>
                <w:highlight w:val="none"/>
              </w:rPr>
              <w:t>9</w:t>
            </w:r>
          </w:p>
        </w:tc>
        <w:tc>
          <w:tcPr>
            <w:tcW w:w="5775" w:type="dxa"/>
            <w:tcBorders>
              <w:top w:val="single" w:color="000000" w:sz="2" w:space="0"/>
              <w:left w:val="single" w:color="000000" w:sz="2" w:space="0"/>
              <w:bottom w:val="single" w:color="000000" w:sz="2" w:space="0"/>
              <w:right w:val="single" w:color="000000" w:sz="2" w:space="0"/>
            </w:tcBorders>
            <w:vAlign w:val="center"/>
          </w:tcPr>
          <w:p w14:paraId="19AC64C4">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供应商须知资料表中要求的供应商其他资格要求</w:t>
            </w:r>
          </w:p>
        </w:tc>
        <w:tc>
          <w:tcPr>
            <w:tcW w:w="2551" w:type="dxa"/>
            <w:tcBorders>
              <w:top w:val="single" w:color="000000" w:sz="2" w:space="0"/>
              <w:left w:val="single" w:color="000000" w:sz="2" w:space="0"/>
              <w:bottom w:val="single" w:color="000000" w:sz="2" w:space="0"/>
              <w:right w:val="single" w:color="000000" w:sz="2" w:space="0"/>
            </w:tcBorders>
            <w:vAlign w:val="center"/>
          </w:tcPr>
          <w:p w14:paraId="3A22A64C">
            <w:pPr>
              <w:spacing w:line="480" w:lineRule="exact"/>
              <w:jc w:val="center"/>
              <w:rPr>
                <w:rFonts w:ascii="宋体" w:hAnsi="宋体"/>
                <w:kern w:val="0"/>
                <w:sz w:val="24"/>
                <w:highlight w:val="none"/>
              </w:rPr>
            </w:pPr>
            <w:r>
              <w:rPr>
                <w:rFonts w:ascii="宋体" w:hAnsi="宋体"/>
                <w:kern w:val="0"/>
                <w:sz w:val="24"/>
                <w:highlight w:val="none"/>
              </w:rPr>
              <w:t>是否存在不良记录</w:t>
            </w:r>
          </w:p>
        </w:tc>
      </w:tr>
      <w:tr w14:paraId="777E311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vAlign w:val="center"/>
          </w:tcPr>
          <w:p w14:paraId="15396EBF">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E100CA0">
            <w:pPr>
              <w:spacing w:line="480" w:lineRule="exact"/>
              <w:jc w:val="center"/>
              <w:rPr>
                <w:rFonts w:ascii="宋体" w:hAnsi="宋体" w:cs="宋体"/>
                <w:kern w:val="0"/>
                <w:sz w:val="24"/>
                <w:highlight w:val="none"/>
              </w:rPr>
            </w:pPr>
            <w:r>
              <w:rPr>
                <w:rFonts w:hint="eastAsia" w:ascii="宋体" w:hAnsi="宋体" w:cs="宋体"/>
                <w:kern w:val="0"/>
                <w:position w:val="-2"/>
                <w:sz w:val="24"/>
                <w:highlight w:val="none"/>
              </w:rPr>
              <w:t>10</w:t>
            </w:r>
          </w:p>
        </w:tc>
        <w:tc>
          <w:tcPr>
            <w:tcW w:w="5775" w:type="dxa"/>
            <w:tcBorders>
              <w:top w:val="single" w:color="000000" w:sz="2" w:space="0"/>
              <w:left w:val="single" w:color="000000" w:sz="2" w:space="0"/>
              <w:bottom w:val="single" w:color="000000" w:sz="2" w:space="0"/>
              <w:right w:val="single" w:color="000000" w:sz="2" w:space="0"/>
            </w:tcBorders>
            <w:vAlign w:val="center"/>
          </w:tcPr>
          <w:p w14:paraId="27CC06F7">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其他内容</w:t>
            </w:r>
          </w:p>
        </w:tc>
        <w:tc>
          <w:tcPr>
            <w:tcW w:w="2551" w:type="dxa"/>
            <w:tcBorders>
              <w:top w:val="single" w:color="000000" w:sz="2" w:space="0"/>
              <w:left w:val="single" w:color="000000" w:sz="2" w:space="0"/>
              <w:bottom w:val="single" w:color="000000" w:sz="2" w:space="0"/>
              <w:right w:val="single" w:color="000000" w:sz="2" w:space="0"/>
            </w:tcBorders>
            <w:vAlign w:val="center"/>
          </w:tcPr>
          <w:p w14:paraId="30646CB1">
            <w:pPr>
              <w:spacing w:line="480" w:lineRule="exact"/>
              <w:jc w:val="center"/>
              <w:rPr>
                <w:rFonts w:ascii="宋体" w:hAnsi="宋体" w:cs="宋体"/>
                <w:kern w:val="0"/>
                <w:sz w:val="24"/>
                <w:highlight w:val="none"/>
              </w:rPr>
            </w:pPr>
            <w:r>
              <w:rPr>
                <w:rFonts w:ascii="宋体" w:hAnsi="宋体"/>
                <w:kern w:val="0"/>
                <w:sz w:val="24"/>
                <w:highlight w:val="none"/>
              </w:rPr>
              <w:t>是否按要求提供</w:t>
            </w:r>
          </w:p>
        </w:tc>
      </w:tr>
      <w:tr w14:paraId="54E70C13">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vAlign w:val="center"/>
          </w:tcPr>
          <w:p w14:paraId="344002D8">
            <w:pPr>
              <w:spacing w:line="480" w:lineRule="exact"/>
              <w:jc w:val="center"/>
              <w:rPr>
                <w:rFonts w:ascii="宋体" w:hAnsi="宋体" w:cs="宋体"/>
                <w:kern w:val="0"/>
                <w:sz w:val="24"/>
                <w:highlight w:val="none"/>
                <w:lang w:eastAsia="en-US"/>
              </w:rPr>
            </w:pPr>
            <w:r>
              <w:rPr>
                <w:rFonts w:hint="eastAsia" w:ascii="宋体" w:hAnsi="宋体" w:cs="宋体"/>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vAlign w:val="center"/>
          </w:tcPr>
          <w:p w14:paraId="16AA28DE">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w:t>
            </w:r>
          </w:p>
        </w:tc>
        <w:tc>
          <w:tcPr>
            <w:tcW w:w="5775" w:type="dxa"/>
            <w:tcBorders>
              <w:top w:val="single" w:color="000000" w:sz="2" w:space="0"/>
              <w:left w:val="single" w:color="000000" w:sz="2" w:space="0"/>
              <w:bottom w:val="single" w:color="000000" w:sz="2" w:space="0"/>
              <w:right w:val="single" w:color="000000" w:sz="2" w:space="0"/>
            </w:tcBorders>
            <w:vAlign w:val="center"/>
          </w:tcPr>
          <w:p w14:paraId="41D92646">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未按照磋商文件规定要求签署、盖章的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5E73A141">
            <w:pPr>
              <w:spacing w:line="480" w:lineRule="exact"/>
              <w:jc w:val="center"/>
              <w:rPr>
                <w:highlight w:val="none"/>
              </w:rPr>
            </w:pPr>
            <w:r>
              <w:rPr>
                <w:rFonts w:ascii="宋体" w:hAnsi="宋体"/>
                <w:kern w:val="0"/>
                <w:sz w:val="24"/>
                <w:highlight w:val="none"/>
              </w:rPr>
              <w:t>是否按要求提供</w:t>
            </w:r>
          </w:p>
        </w:tc>
      </w:tr>
      <w:tr w14:paraId="3D48319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72633D17">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4E963688">
            <w:pPr>
              <w:spacing w:line="480" w:lineRule="exact"/>
              <w:jc w:val="center"/>
              <w:rPr>
                <w:rFonts w:ascii="宋体" w:hAnsi="宋体" w:cs="宋体"/>
                <w:kern w:val="0"/>
                <w:sz w:val="24"/>
                <w:highlight w:val="none"/>
                <w:lang w:eastAsia="en-US"/>
              </w:rPr>
            </w:pPr>
            <w:r>
              <w:rPr>
                <w:rFonts w:hint="eastAsia" w:ascii="宋体" w:hAnsi="宋体" w:cs="宋体"/>
                <w:kern w:val="0"/>
                <w:sz w:val="24"/>
                <w:highlight w:val="none"/>
                <w:lang w:eastAsia="en-US"/>
              </w:rPr>
              <w:t>2</w:t>
            </w:r>
          </w:p>
        </w:tc>
        <w:tc>
          <w:tcPr>
            <w:tcW w:w="5775" w:type="dxa"/>
            <w:tcBorders>
              <w:top w:val="single" w:color="000000" w:sz="2" w:space="0"/>
              <w:left w:val="single" w:color="000000" w:sz="2" w:space="0"/>
              <w:bottom w:val="single" w:color="000000" w:sz="2" w:space="0"/>
              <w:right w:val="single" w:color="000000" w:sz="2" w:space="0"/>
            </w:tcBorders>
            <w:vAlign w:val="center"/>
          </w:tcPr>
          <w:p w14:paraId="4435A039">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报价一览表</w:t>
            </w:r>
          </w:p>
        </w:tc>
        <w:tc>
          <w:tcPr>
            <w:tcW w:w="2551" w:type="dxa"/>
            <w:tcBorders>
              <w:top w:val="single" w:color="000000" w:sz="2" w:space="0"/>
              <w:left w:val="single" w:color="000000" w:sz="2" w:space="0"/>
              <w:bottom w:val="single" w:color="000000" w:sz="2" w:space="0"/>
              <w:right w:val="single" w:color="000000" w:sz="2" w:space="0"/>
            </w:tcBorders>
            <w:vAlign w:val="center"/>
          </w:tcPr>
          <w:p w14:paraId="7AA60F90">
            <w:pPr>
              <w:spacing w:line="480" w:lineRule="exact"/>
              <w:jc w:val="center"/>
              <w:rPr>
                <w:highlight w:val="none"/>
              </w:rPr>
            </w:pPr>
            <w:r>
              <w:rPr>
                <w:rFonts w:ascii="宋体" w:hAnsi="宋体"/>
                <w:kern w:val="0"/>
                <w:sz w:val="24"/>
                <w:highlight w:val="none"/>
              </w:rPr>
              <w:t>是否按要求提供</w:t>
            </w:r>
          </w:p>
        </w:tc>
      </w:tr>
      <w:tr w14:paraId="2DACC08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694C04D2">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39E038F5">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3</w:t>
            </w:r>
          </w:p>
        </w:tc>
        <w:tc>
          <w:tcPr>
            <w:tcW w:w="5775" w:type="dxa"/>
            <w:tcBorders>
              <w:top w:val="single" w:color="000000" w:sz="2" w:space="0"/>
              <w:left w:val="single" w:color="000000" w:sz="2" w:space="0"/>
              <w:bottom w:val="single" w:color="000000" w:sz="2" w:space="0"/>
              <w:right w:val="single" w:color="000000" w:sz="2" w:space="0"/>
            </w:tcBorders>
            <w:vAlign w:val="center"/>
          </w:tcPr>
          <w:p w14:paraId="6B3E39B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分项报价表</w:t>
            </w:r>
          </w:p>
        </w:tc>
        <w:tc>
          <w:tcPr>
            <w:tcW w:w="2551" w:type="dxa"/>
            <w:tcBorders>
              <w:top w:val="single" w:color="000000" w:sz="2" w:space="0"/>
              <w:left w:val="single" w:color="000000" w:sz="2" w:space="0"/>
              <w:bottom w:val="single" w:color="000000" w:sz="2" w:space="0"/>
              <w:right w:val="single" w:color="000000" w:sz="2" w:space="0"/>
            </w:tcBorders>
            <w:vAlign w:val="center"/>
          </w:tcPr>
          <w:p w14:paraId="56A84A6E">
            <w:pPr>
              <w:spacing w:line="480" w:lineRule="exact"/>
              <w:jc w:val="center"/>
              <w:rPr>
                <w:highlight w:val="none"/>
              </w:rPr>
            </w:pPr>
            <w:r>
              <w:rPr>
                <w:rFonts w:ascii="宋体" w:hAnsi="宋体"/>
                <w:kern w:val="0"/>
                <w:sz w:val="24"/>
                <w:highlight w:val="none"/>
              </w:rPr>
              <w:t>是否按要求提供</w:t>
            </w:r>
          </w:p>
        </w:tc>
      </w:tr>
      <w:tr w14:paraId="243E01B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47CBC971">
            <w:pPr>
              <w:widowControl/>
              <w:spacing w:line="480" w:lineRule="exact"/>
              <w:jc w:val="center"/>
              <w:rPr>
                <w:rFonts w:ascii="宋体" w:hAnsi="宋体" w:cs="宋体"/>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123C3F54">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4</w:t>
            </w:r>
          </w:p>
        </w:tc>
        <w:tc>
          <w:tcPr>
            <w:tcW w:w="5775" w:type="dxa"/>
            <w:tcBorders>
              <w:top w:val="single" w:color="000000" w:sz="2" w:space="0"/>
              <w:left w:val="single" w:color="000000" w:sz="2" w:space="0"/>
              <w:bottom w:val="single" w:color="000000" w:sz="2" w:space="0"/>
              <w:right w:val="single" w:color="000000" w:sz="2" w:space="0"/>
            </w:tcBorders>
            <w:vAlign w:val="center"/>
          </w:tcPr>
          <w:p w14:paraId="0954601A">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技术明细表（含偏离）</w:t>
            </w:r>
          </w:p>
        </w:tc>
        <w:tc>
          <w:tcPr>
            <w:tcW w:w="2551" w:type="dxa"/>
            <w:tcBorders>
              <w:top w:val="single" w:color="000000" w:sz="2" w:space="0"/>
              <w:left w:val="single" w:color="000000" w:sz="2" w:space="0"/>
              <w:bottom w:val="single" w:color="000000" w:sz="2" w:space="0"/>
              <w:right w:val="single" w:color="000000" w:sz="2" w:space="0"/>
            </w:tcBorders>
            <w:vAlign w:val="center"/>
          </w:tcPr>
          <w:p w14:paraId="3FACAEF9">
            <w:pPr>
              <w:spacing w:line="480" w:lineRule="exact"/>
              <w:jc w:val="center"/>
              <w:rPr>
                <w:highlight w:val="none"/>
              </w:rPr>
            </w:pPr>
            <w:r>
              <w:rPr>
                <w:rFonts w:ascii="宋体" w:hAnsi="宋体"/>
                <w:kern w:val="0"/>
                <w:sz w:val="24"/>
                <w:highlight w:val="none"/>
              </w:rPr>
              <w:t>是否按要求提供</w:t>
            </w:r>
          </w:p>
        </w:tc>
      </w:tr>
      <w:tr w14:paraId="09FF5FC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40D14B5A">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644219A0">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5</w:t>
            </w:r>
          </w:p>
        </w:tc>
        <w:tc>
          <w:tcPr>
            <w:tcW w:w="5775" w:type="dxa"/>
            <w:tcBorders>
              <w:top w:val="single" w:color="000000" w:sz="2" w:space="0"/>
              <w:left w:val="single" w:color="000000" w:sz="2" w:space="0"/>
              <w:bottom w:val="single" w:color="000000" w:sz="2" w:space="0"/>
              <w:right w:val="single" w:color="000000" w:sz="2" w:space="0"/>
            </w:tcBorders>
            <w:vAlign w:val="center"/>
          </w:tcPr>
          <w:p w14:paraId="4F6BB95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“第4章  服务需求”中实质性要求条款情况</w:t>
            </w:r>
          </w:p>
        </w:tc>
        <w:tc>
          <w:tcPr>
            <w:tcW w:w="2551" w:type="dxa"/>
            <w:tcBorders>
              <w:top w:val="single" w:color="000000" w:sz="2" w:space="0"/>
              <w:left w:val="single" w:color="000000" w:sz="2" w:space="0"/>
              <w:bottom w:val="single" w:color="000000" w:sz="2" w:space="0"/>
              <w:right w:val="single" w:color="000000" w:sz="2" w:space="0"/>
            </w:tcBorders>
            <w:vAlign w:val="center"/>
          </w:tcPr>
          <w:p w14:paraId="79B633F0">
            <w:pPr>
              <w:spacing w:line="480" w:lineRule="exact"/>
              <w:jc w:val="center"/>
              <w:rPr>
                <w:rFonts w:ascii="宋体" w:hAnsi="宋体" w:cs="宋体"/>
                <w:kern w:val="0"/>
                <w:sz w:val="24"/>
                <w:highlight w:val="none"/>
              </w:rPr>
            </w:pPr>
            <w:r>
              <w:rPr>
                <w:rFonts w:ascii="宋体" w:hAnsi="宋体" w:cs="宋体"/>
                <w:kern w:val="0"/>
                <w:sz w:val="24"/>
                <w:highlight w:val="none"/>
              </w:rPr>
              <w:t>是否满足</w:t>
            </w:r>
          </w:p>
        </w:tc>
      </w:tr>
      <w:tr w14:paraId="05DFFA8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0D602B6E">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1AA7A492">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6</w:t>
            </w:r>
          </w:p>
        </w:tc>
        <w:tc>
          <w:tcPr>
            <w:tcW w:w="5775" w:type="dxa"/>
            <w:tcBorders>
              <w:top w:val="single" w:color="000000" w:sz="2" w:space="0"/>
              <w:left w:val="single" w:color="000000" w:sz="2" w:space="0"/>
              <w:bottom w:val="single" w:color="000000" w:sz="2" w:space="0"/>
              <w:right w:val="single" w:color="000000" w:sz="2" w:space="0"/>
            </w:tcBorders>
            <w:vAlign w:val="center"/>
          </w:tcPr>
          <w:p w14:paraId="7CF196B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报价超过项目预算或最高限价的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4834DAF7">
            <w:pPr>
              <w:spacing w:line="480" w:lineRule="exact"/>
              <w:jc w:val="center"/>
              <w:rPr>
                <w:rFonts w:ascii="宋体" w:hAnsi="宋体" w:cs="宋体"/>
                <w:kern w:val="0"/>
                <w:sz w:val="24"/>
                <w:highlight w:val="none"/>
              </w:rPr>
            </w:pPr>
            <w:r>
              <w:rPr>
                <w:rFonts w:ascii="宋体" w:hAnsi="宋体" w:cs="宋体"/>
                <w:kern w:val="0"/>
                <w:sz w:val="24"/>
                <w:highlight w:val="none"/>
              </w:rPr>
              <w:t>是否超出</w:t>
            </w:r>
          </w:p>
        </w:tc>
      </w:tr>
      <w:tr w14:paraId="1DF0E9C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45360E1F">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3661FF63">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7</w:t>
            </w:r>
          </w:p>
        </w:tc>
        <w:tc>
          <w:tcPr>
            <w:tcW w:w="5775" w:type="dxa"/>
            <w:tcBorders>
              <w:top w:val="single" w:color="000000" w:sz="2" w:space="0"/>
              <w:left w:val="single" w:color="000000" w:sz="2" w:space="0"/>
              <w:bottom w:val="single" w:color="000000" w:sz="2" w:space="0"/>
              <w:right w:val="single" w:color="000000" w:sz="2" w:space="0"/>
            </w:tcBorders>
            <w:vAlign w:val="center"/>
          </w:tcPr>
          <w:p w14:paraId="0B545B28">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响应文件有效期不足的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34920243">
            <w:pPr>
              <w:spacing w:line="480" w:lineRule="exact"/>
              <w:jc w:val="center"/>
              <w:rPr>
                <w:rFonts w:ascii="宋体" w:hAnsi="宋体"/>
                <w:kern w:val="0"/>
                <w:sz w:val="24"/>
                <w:highlight w:val="none"/>
              </w:rPr>
            </w:pPr>
            <w:r>
              <w:rPr>
                <w:rFonts w:ascii="宋体" w:hAnsi="宋体"/>
                <w:kern w:val="0"/>
                <w:sz w:val="24"/>
                <w:highlight w:val="none"/>
              </w:rPr>
              <w:t>是否满足磋商文件</w:t>
            </w:r>
            <w:r>
              <w:rPr>
                <w:rFonts w:hint="eastAsia" w:ascii="宋体" w:hAnsi="宋体"/>
                <w:kern w:val="0"/>
                <w:sz w:val="24"/>
                <w:highlight w:val="none"/>
              </w:rPr>
              <w:t>要</w:t>
            </w:r>
            <w:r>
              <w:rPr>
                <w:rFonts w:ascii="宋体" w:hAnsi="宋体"/>
                <w:kern w:val="0"/>
                <w:sz w:val="24"/>
                <w:highlight w:val="none"/>
              </w:rPr>
              <w:t>求</w:t>
            </w:r>
          </w:p>
        </w:tc>
      </w:tr>
      <w:tr w14:paraId="5F7EF55C">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14A5136B">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A03AEED">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8</w:t>
            </w:r>
          </w:p>
        </w:tc>
        <w:tc>
          <w:tcPr>
            <w:tcW w:w="5775" w:type="dxa"/>
            <w:tcBorders>
              <w:top w:val="single" w:color="000000" w:sz="2" w:space="0"/>
              <w:left w:val="single" w:color="000000" w:sz="2" w:space="0"/>
              <w:bottom w:val="single" w:color="000000" w:sz="2" w:space="0"/>
              <w:right w:val="single" w:color="000000" w:sz="2" w:space="0"/>
            </w:tcBorders>
            <w:vAlign w:val="center"/>
          </w:tcPr>
          <w:p w14:paraId="37C4CD00">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联合体响应文件未附联合体响应文件协议书的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50900B39">
            <w:pPr>
              <w:spacing w:line="480" w:lineRule="exact"/>
              <w:jc w:val="center"/>
              <w:rPr>
                <w:rFonts w:ascii="宋体" w:hAnsi="宋体"/>
                <w:kern w:val="0"/>
                <w:sz w:val="24"/>
                <w:highlight w:val="none"/>
              </w:rPr>
            </w:pPr>
            <w:r>
              <w:rPr>
                <w:rFonts w:hint="eastAsia" w:ascii="宋体" w:hAnsi="宋体" w:cs="宋体"/>
                <w:kern w:val="0"/>
                <w:position w:val="-2"/>
                <w:sz w:val="24"/>
                <w:highlight w:val="none"/>
              </w:rPr>
              <w:t>本项目不接受</w:t>
            </w:r>
          </w:p>
        </w:tc>
      </w:tr>
      <w:tr w14:paraId="65BC61AA">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0A00124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5CFA62E0">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9</w:t>
            </w:r>
          </w:p>
        </w:tc>
        <w:tc>
          <w:tcPr>
            <w:tcW w:w="5775" w:type="dxa"/>
            <w:tcBorders>
              <w:top w:val="single" w:color="000000" w:sz="2" w:space="0"/>
              <w:left w:val="single" w:color="000000" w:sz="2" w:space="0"/>
              <w:bottom w:val="single" w:color="000000" w:sz="2" w:space="0"/>
              <w:right w:val="single" w:color="000000" w:sz="2" w:space="0"/>
            </w:tcBorders>
            <w:vAlign w:val="center"/>
          </w:tcPr>
          <w:p w14:paraId="234126FE">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不符合磋商文件中有关分包规定的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0268D40F">
            <w:pPr>
              <w:spacing w:line="480" w:lineRule="exact"/>
              <w:jc w:val="center"/>
              <w:rPr>
                <w:rFonts w:ascii="宋体" w:hAnsi="宋体"/>
                <w:kern w:val="0"/>
                <w:sz w:val="24"/>
                <w:highlight w:val="none"/>
              </w:rPr>
            </w:pPr>
            <w:r>
              <w:rPr>
                <w:rFonts w:ascii="宋体" w:hAnsi="宋体"/>
                <w:kern w:val="0"/>
                <w:sz w:val="24"/>
                <w:highlight w:val="none"/>
              </w:rPr>
              <w:t>是否存在</w:t>
            </w:r>
          </w:p>
        </w:tc>
      </w:tr>
      <w:tr w14:paraId="7A11E005">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748D734F">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74E45B51">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10</w:t>
            </w:r>
          </w:p>
        </w:tc>
        <w:tc>
          <w:tcPr>
            <w:tcW w:w="5775" w:type="dxa"/>
            <w:tcBorders>
              <w:top w:val="single" w:color="000000" w:sz="2" w:space="0"/>
              <w:left w:val="single" w:color="000000" w:sz="2" w:space="0"/>
              <w:bottom w:val="single" w:color="000000" w:sz="2" w:space="0"/>
              <w:right w:val="single" w:color="000000" w:sz="2" w:space="0"/>
            </w:tcBorders>
            <w:vAlign w:val="center"/>
          </w:tcPr>
          <w:p w14:paraId="7FADF3A5">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属于串通投标，或者依法被视为串通投标</w:t>
            </w:r>
          </w:p>
        </w:tc>
        <w:tc>
          <w:tcPr>
            <w:tcW w:w="2551" w:type="dxa"/>
            <w:tcBorders>
              <w:top w:val="single" w:color="000000" w:sz="2" w:space="0"/>
              <w:left w:val="single" w:color="000000" w:sz="2" w:space="0"/>
              <w:bottom w:val="single" w:color="000000" w:sz="2" w:space="0"/>
              <w:right w:val="single" w:color="000000" w:sz="2" w:space="0"/>
            </w:tcBorders>
            <w:vAlign w:val="center"/>
          </w:tcPr>
          <w:p w14:paraId="10B16333">
            <w:pPr>
              <w:spacing w:line="480" w:lineRule="exact"/>
              <w:jc w:val="center"/>
              <w:rPr>
                <w:highlight w:val="none"/>
              </w:rPr>
            </w:pPr>
            <w:r>
              <w:rPr>
                <w:rFonts w:ascii="宋体" w:hAnsi="宋体"/>
                <w:kern w:val="0"/>
                <w:sz w:val="24"/>
                <w:highlight w:val="none"/>
              </w:rPr>
              <w:t>是否存在</w:t>
            </w:r>
          </w:p>
        </w:tc>
      </w:tr>
      <w:tr w14:paraId="3E79912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1AC2CFE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09819944">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11</w:t>
            </w:r>
          </w:p>
        </w:tc>
        <w:tc>
          <w:tcPr>
            <w:tcW w:w="5775" w:type="dxa"/>
            <w:tcBorders>
              <w:top w:val="single" w:color="000000" w:sz="2" w:space="0"/>
              <w:left w:val="single" w:color="000000" w:sz="2" w:space="0"/>
              <w:bottom w:val="single" w:color="000000" w:sz="2" w:space="0"/>
              <w:right w:val="single" w:color="000000" w:sz="2" w:space="0"/>
            </w:tcBorders>
            <w:vAlign w:val="center"/>
          </w:tcPr>
          <w:p w14:paraId="3A0A641F">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响应文件含有采购人不能接受的附加条件的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29572FD0">
            <w:pPr>
              <w:spacing w:line="480" w:lineRule="exact"/>
              <w:jc w:val="center"/>
              <w:rPr>
                <w:highlight w:val="none"/>
              </w:rPr>
            </w:pPr>
            <w:r>
              <w:rPr>
                <w:rFonts w:ascii="宋体" w:hAnsi="宋体"/>
                <w:kern w:val="0"/>
                <w:sz w:val="24"/>
                <w:highlight w:val="none"/>
              </w:rPr>
              <w:t>是否存在</w:t>
            </w:r>
          </w:p>
        </w:tc>
      </w:tr>
      <w:tr w14:paraId="56DE519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53E6FD1B">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08FDE107">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12</w:t>
            </w:r>
          </w:p>
        </w:tc>
        <w:tc>
          <w:tcPr>
            <w:tcW w:w="5775" w:type="dxa"/>
            <w:tcBorders>
              <w:top w:val="single" w:color="000000" w:sz="2" w:space="0"/>
              <w:left w:val="single" w:color="000000" w:sz="2" w:space="0"/>
              <w:bottom w:val="single" w:color="000000" w:sz="2" w:space="0"/>
              <w:right w:val="single" w:color="000000" w:sz="2" w:space="0"/>
            </w:tcBorders>
            <w:vAlign w:val="center"/>
          </w:tcPr>
          <w:p w14:paraId="1BB9EE68">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属于磋商文件规定的其他无效响应情形</w:t>
            </w:r>
          </w:p>
        </w:tc>
        <w:tc>
          <w:tcPr>
            <w:tcW w:w="2551" w:type="dxa"/>
            <w:tcBorders>
              <w:top w:val="single" w:color="000000" w:sz="2" w:space="0"/>
              <w:left w:val="single" w:color="000000" w:sz="2" w:space="0"/>
              <w:bottom w:val="single" w:color="000000" w:sz="2" w:space="0"/>
              <w:right w:val="single" w:color="000000" w:sz="2" w:space="0"/>
            </w:tcBorders>
            <w:vAlign w:val="center"/>
          </w:tcPr>
          <w:p w14:paraId="21D097C2">
            <w:pPr>
              <w:spacing w:line="480" w:lineRule="exact"/>
              <w:jc w:val="center"/>
              <w:rPr>
                <w:highlight w:val="none"/>
              </w:rPr>
            </w:pPr>
            <w:r>
              <w:rPr>
                <w:rFonts w:ascii="宋体" w:hAnsi="宋体"/>
                <w:kern w:val="0"/>
                <w:sz w:val="24"/>
                <w:highlight w:val="none"/>
              </w:rPr>
              <w:t>是否存在</w:t>
            </w:r>
          </w:p>
        </w:tc>
      </w:tr>
      <w:tr w14:paraId="744B935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vAlign w:val="center"/>
          </w:tcPr>
          <w:p w14:paraId="6EEBFE03">
            <w:pPr>
              <w:widowControl/>
              <w:spacing w:line="480" w:lineRule="exact"/>
              <w:jc w:val="center"/>
              <w:rPr>
                <w:rFonts w:ascii="宋体" w:hAnsi="宋体" w:cs="宋体"/>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vAlign w:val="center"/>
          </w:tcPr>
          <w:p w14:paraId="587F8ABE">
            <w:pPr>
              <w:spacing w:line="480" w:lineRule="exact"/>
              <w:jc w:val="center"/>
              <w:rPr>
                <w:rFonts w:ascii="宋体" w:hAnsi="宋体" w:cs="宋体"/>
                <w:kern w:val="0"/>
                <w:sz w:val="24"/>
                <w:highlight w:val="none"/>
                <w:lang w:eastAsia="en-US"/>
              </w:rPr>
            </w:pPr>
            <w:r>
              <w:rPr>
                <w:rFonts w:hint="eastAsia" w:ascii="宋体" w:hAnsi="宋体" w:cs="宋体"/>
                <w:kern w:val="0"/>
                <w:position w:val="-2"/>
                <w:sz w:val="24"/>
                <w:highlight w:val="none"/>
                <w:lang w:eastAsia="en-US"/>
              </w:rPr>
              <w:t>1</w:t>
            </w:r>
            <w:r>
              <w:rPr>
                <w:rFonts w:hint="eastAsia" w:ascii="宋体" w:hAnsi="宋体" w:cs="宋体"/>
                <w:kern w:val="0"/>
                <w:position w:val="-2"/>
                <w:sz w:val="24"/>
                <w:highlight w:val="none"/>
              </w:rPr>
              <w:t>3</w:t>
            </w:r>
          </w:p>
        </w:tc>
        <w:tc>
          <w:tcPr>
            <w:tcW w:w="5775" w:type="dxa"/>
            <w:tcBorders>
              <w:top w:val="single" w:color="000000" w:sz="2" w:space="0"/>
              <w:left w:val="single" w:color="000000" w:sz="2" w:space="0"/>
              <w:bottom w:val="single" w:color="000000" w:sz="2" w:space="0"/>
              <w:right w:val="single" w:color="000000" w:sz="2" w:space="0"/>
            </w:tcBorders>
            <w:vAlign w:val="center"/>
          </w:tcPr>
          <w:p w14:paraId="58E0C9B0">
            <w:pPr>
              <w:spacing w:line="480" w:lineRule="exact"/>
              <w:ind w:left="216" w:leftChars="103"/>
              <w:jc w:val="left"/>
              <w:rPr>
                <w:rFonts w:ascii="宋体" w:hAnsi="宋体" w:cs="宋体"/>
                <w:kern w:val="0"/>
                <w:position w:val="-2"/>
                <w:sz w:val="24"/>
                <w:highlight w:val="none"/>
              </w:rPr>
            </w:pPr>
            <w:r>
              <w:rPr>
                <w:rFonts w:hint="eastAsia" w:ascii="宋体" w:hAnsi="宋体" w:cs="宋体"/>
                <w:kern w:val="0"/>
                <w:position w:val="-2"/>
                <w:sz w:val="24"/>
                <w:highlight w:val="none"/>
              </w:rPr>
              <w:t>不符合法规和磋商文件中规定的其他实质性要求的</w:t>
            </w:r>
          </w:p>
        </w:tc>
        <w:tc>
          <w:tcPr>
            <w:tcW w:w="2551" w:type="dxa"/>
            <w:tcBorders>
              <w:top w:val="single" w:color="000000" w:sz="2" w:space="0"/>
              <w:left w:val="single" w:color="000000" w:sz="2" w:space="0"/>
              <w:bottom w:val="single" w:color="000000" w:sz="2" w:space="0"/>
              <w:right w:val="single" w:color="000000" w:sz="2" w:space="0"/>
            </w:tcBorders>
            <w:vAlign w:val="center"/>
          </w:tcPr>
          <w:p w14:paraId="6E163437">
            <w:pPr>
              <w:spacing w:line="480" w:lineRule="exact"/>
              <w:jc w:val="center"/>
              <w:rPr>
                <w:rFonts w:ascii="宋体" w:hAnsi="宋体" w:cs="宋体"/>
                <w:kern w:val="0"/>
                <w:sz w:val="24"/>
                <w:highlight w:val="none"/>
              </w:rPr>
            </w:pPr>
            <w:r>
              <w:rPr>
                <w:rFonts w:ascii="宋体" w:hAnsi="宋体"/>
                <w:kern w:val="0"/>
                <w:sz w:val="24"/>
                <w:highlight w:val="none"/>
              </w:rPr>
              <w:t>是否存在</w:t>
            </w:r>
          </w:p>
        </w:tc>
      </w:tr>
    </w:tbl>
    <w:p w14:paraId="150A7A44">
      <w:pPr>
        <w:pStyle w:val="4"/>
        <w:numPr>
          <w:ilvl w:val="0"/>
          <w:numId w:val="0"/>
        </w:numPr>
        <w:spacing w:line="480" w:lineRule="exact"/>
        <w:jc w:val="center"/>
        <w:rPr>
          <w:rFonts w:ascii="宋体" w:hAnsi="宋体" w:cs="宋体"/>
          <w:sz w:val="24"/>
          <w:szCs w:val="22"/>
          <w:highlight w:val="none"/>
        </w:rPr>
      </w:pPr>
      <w:bookmarkStart w:id="256" w:name="_Toc68259627"/>
      <w:bookmarkStart w:id="257" w:name="_Toc3860"/>
      <w:r>
        <w:rPr>
          <w:rFonts w:hint="eastAsia" w:ascii="宋体" w:hAnsi="宋体" w:cs="宋体"/>
          <w:sz w:val="24"/>
          <w:szCs w:val="22"/>
          <w:highlight w:val="none"/>
          <w:lang w:val="en-US" w:eastAsia="zh-CN"/>
        </w:rPr>
        <w:t>二、</w:t>
      </w:r>
      <w:r>
        <w:rPr>
          <w:rFonts w:hint="eastAsia" w:ascii="宋体" w:hAnsi="宋体" w:cs="宋体"/>
          <w:sz w:val="24"/>
          <w:szCs w:val="22"/>
          <w:highlight w:val="none"/>
        </w:rPr>
        <w:t>评分细则</w:t>
      </w:r>
      <w:bookmarkEnd w:id="256"/>
      <w:bookmarkEnd w:id="257"/>
    </w:p>
    <w:tbl>
      <w:tblPr>
        <w:tblStyle w:val="28"/>
        <w:tblW w:w="55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272"/>
        <w:gridCol w:w="7451"/>
      </w:tblGrid>
      <w:tr w14:paraId="56F8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05" w:type="pct"/>
            <w:tcBorders>
              <w:top w:val="single" w:color="auto" w:sz="4" w:space="0"/>
              <w:left w:val="single" w:color="auto" w:sz="4" w:space="0"/>
              <w:bottom w:val="single" w:color="auto" w:sz="4" w:space="0"/>
              <w:right w:val="single" w:color="auto" w:sz="4" w:space="0"/>
            </w:tcBorders>
            <w:vAlign w:val="center"/>
          </w:tcPr>
          <w:p w14:paraId="3CB84F01">
            <w:pPr>
              <w:widowControl/>
              <w:spacing w:line="480" w:lineRule="exact"/>
              <w:jc w:val="center"/>
              <w:rPr>
                <w:rFonts w:ascii="宋体" w:hAnsi="宋体" w:cs="宋体"/>
                <w:b/>
                <w:sz w:val="24"/>
                <w:highlight w:val="none"/>
              </w:rPr>
            </w:pPr>
            <w:r>
              <w:rPr>
                <w:rFonts w:hint="eastAsia" w:ascii="宋体" w:hAnsi="宋体" w:cs="宋体"/>
                <w:b/>
                <w:sz w:val="24"/>
                <w:highlight w:val="none"/>
              </w:rPr>
              <w:t>评分项目</w:t>
            </w:r>
          </w:p>
        </w:tc>
        <w:tc>
          <w:tcPr>
            <w:tcW w:w="670" w:type="pct"/>
            <w:tcBorders>
              <w:top w:val="single" w:color="auto" w:sz="4" w:space="0"/>
              <w:left w:val="single" w:color="auto" w:sz="4" w:space="0"/>
              <w:bottom w:val="single" w:color="auto" w:sz="4" w:space="0"/>
              <w:right w:val="single" w:color="auto" w:sz="4" w:space="0"/>
            </w:tcBorders>
            <w:vAlign w:val="center"/>
          </w:tcPr>
          <w:p w14:paraId="36E6AAC2">
            <w:pPr>
              <w:widowControl/>
              <w:spacing w:line="480" w:lineRule="exact"/>
              <w:jc w:val="center"/>
              <w:rPr>
                <w:rFonts w:ascii="宋体" w:hAnsi="宋体" w:cs="宋体"/>
                <w:b/>
                <w:sz w:val="24"/>
                <w:highlight w:val="none"/>
              </w:rPr>
            </w:pPr>
            <w:r>
              <w:rPr>
                <w:rFonts w:hint="eastAsia" w:ascii="宋体" w:hAnsi="宋体" w:cs="宋体"/>
                <w:b/>
                <w:sz w:val="24"/>
                <w:highlight w:val="none"/>
              </w:rPr>
              <w:t>评分细项</w:t>
            </w:r>
          </w:p>
        </w:tc>
        <w:tc>
          <w:tcPr>
            <w:tcW w:w="3924" w:type="pct"/>
            <w:tcBorders>
              <w:top w:val="single" w:color="auto" w:sz="4" w:space="0"/>
              <w:left w:val="single" w:color="auto" w:sz="4" w:space="0"/>
              <w:bottom w:val="single" w:color="auto" w:sz="4" w:space="0"/>
              <w:right w:val="single" w:color="auto" w:sz="4" w:space="0"/>
            </w:tcBorders>
            <w:vAlign w:val="center"/>
          </w:tcPr>
          <w:p w14:paraId="10C31D8A">
            <w:pPr>
              <w:widowControl/>
              <w:spacing w:line="480" w:lineRule="exact"/>
              <w:jc w:val="center"/>
              <w:rPr>
                <w:rFonts w:ascii="宋体" w:hAnsi="宋体" w:cs="宋体"/>
                <w:b/>
                <w:sz w:val="24"/>
                <w:highlight w:val="none"/>
              </w:rPr>
            </w:pPr>
            <w:r>
              <w:rPr>
                <w:rFonts w:hint="eastAsia" w:ascii="宋体" w:hAnsi="宋体" w:cs="宋体"/>
                <w:b/>
                <w:sz w:val="24"/>
                <w:highlight w:val="none"/>
              </w:rPr>
              <w:t>评分标准</w:t>
            </w:r>
          </w:p>
        </w:tc>
      </w:tr>
      <w:tr w14:paraId="72D5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jc w:val="center"/>
        </w:trPr>
        <w:tc>
          <w:tcPr>
            <w:tcW w:w="405" w:type="pct"/>
            <w:tcBorders>
              <w:top w:val="single" w:color="auto" w:sz="4" w:space="0"/>
              <w:left w:val="single" w:color="auto" w:sz="4" w:space="0"/>
              <w:right w:val="single" w:color="auto" w:sz="4" w:space="0"/>
            </w:tcBorders>
            <w:vAlign w:val="center"/>
          </w:tcPr>
          <w:p w14:paraId="0D48B942">
            <w:pPr>
              <w:widowControl/>
              <w:spacing w:line="480" w:lineRule="exact"/>
              <w:rPr>
                <w:rFonts w:ascii="宋体" w:hAnsi="宋体" w:cs="宋体"/>
                <w:sz w:val="24"/>
                <w:highlight w:val="none"/>
              </w:rPr>
            </w:pPr>
            <w:r>
              <w:rPr>
                <w:rFonts w:hint="eastAsia" w:ascii="宋体" w:hAnsi="宋体" w:cs="宋体"/>
                <w:sz w:val="24"/>
                <w:highlight w:val="none"/>
              </w:rPr>
              <w:t>报价部分</w:t>
            </w:r>
          </w:p>
        </w:tc>
        <w:tc>
          <w:tcPr>
            <w:tcW w:w="670" w:type="pct"/>
            <w:tcBorders>
              <w:top w:val="single" w:color="auto" w:sz="4" w:space="0"/>
              <w:left w:val="single" w:color="auto" w:sz="4" w:space="0"/>
              <w:right w:val="single" w:color="auto" w:sz="4" w:space="0"/>
            </w:tcBorders>
            <w:vAlign w:val="center"/>
          </w:tcPr>
          <w:p w14:paraId="0AEC16BE">
            <w:pPr>
              <w:widowControl/>
              <w:spacing w:line="480" w:lineRule="exact"/>
              <w:rPr>
                <w:rFonts w:ascii="宋体" w:hAnsi="宋体" w:cs="宋体"/>
                <w:sz w:val="24"/>
                <w:highlight w:val="none"/>
              </w:rPr>
            </w:pPr>
            <w:r>
              <w:rPr>
                <w:rFonts w:hint="eastAsia" w:ascii="宋体" w:hAnsi="宋体" w:cs="宋体"/>
                <w:sz w:val="24"/>
                <w:highlight w:val="none"/>
              </w:rPr>
              <w:t>报价得分（10分）</w:t>
            </w:r>
          </w:p>
        </w:tc>
        <w:tc>
          <w:tcPr>
            <w:tcW w:w="3924" w:type="pct"/>
            <w:tcBorders>
              <w:top w:val="single" w:color="auto" w:sz="4" w:space="0"/>
              <w:left w:val="single" w:color="auto" w:sz="4" w:space="0"/>
              <w:bottom w:val="single" w:color="auto" w:sz="4" w:space="0"/>
              <w:right w:val="single" w:color="auto" w:sz="4" w:space="0"/>
            </w:tcBorders>
            <w:vAlign w:val="center"/>
          </w:tcPr>
          <w:p w14:paraId="1C30BDAE">
            <w:pPr>
              <w:widowControl/>
              <w:spacing w:line="480" w:lineRule="exact"/>
              <w:ind w:firstLine="600" w:firstLineChars="250"/>
              <w:rPr>
                <w:rFonts w:ascii="宋体" w:hAnsi="宋体" w:cs="宋体"/>
                <w:sz w:val="24"/>
                <w:highlight w:val="none"/>
              </w:rPr>
            </w:pPr>
            <w:r>
              <w:rPr>
                <w:rFonts w:hint="eastAsia" w:ascii="宋体" w:hAnsi="宋体" w:cs="宋体"/>
                <w:sz w:val="24"/>
                <w:highlight w:val="none"/>
              </w:rPr>
              <w:t>以满足磋商文件要求且最终报价最低的报价为</w:t>
            </w:r>
            <w:r>
              <w:rPr>
                <w:rFonts w:hint="eastAsia" w:ascii="宋体" w:hAnsi="宋体" w:cs="宋体"/>
                <w:sz w:val="24"/>
                <w:highlight w:val="none"/>
                <w:lang w:eastAsia="zh-CN"/>
              </w:rPr>
              <w:t>评审基准价</w:t>
            </w:r>
            <w:r>
              <w:rPr>
                <w:rFonts w:hint="eastAsia" w:ascii="宋体" w:hAnsi="宋体" w:cs="宋体"/>
                <w:sz w:val="24"/>
                <w:highlight w:val="none"/>
              </w:rPr>
              <w:t>，其价格分为满分10分，其他供应商的价格分按照下列公式计算：报价得分=（</w:t>
            </w:r>
            <w:r>
              <w:rPr>
                <w:rFonts w:hint="eastAsia" w:ascii="宋体" w:hAnsi="宋体" w:cs="宋体"/>
                <w:sz w:val="24"/>
                <w:highlight w:val="none"/>
                <w:lang w:eastAsia="zh-CN"/>
              </w:rPr>
              <w:t>评审基准价</w:t>
            </w:r>
            <w:r>
              <w:rPr>
                <w:rFonts w:hint="eastAsia" w:ascii="宋体" w:hAnsi="宋体" w:cs="宋体"/>
                <w:sz w:val="24"/>
                <w:highlight w:val="none"/>
              </w:rPr>
              <w:t>/最后报价）×10。</w:t>
            </w:r>
          </w:p>
          <w:p w14:paraId="0892E189">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说明：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r>
      <w:tr w14:paraId="0DD06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405" w:type="pct"/>
            <w:tcBorders>
              <w:top w:val="single" w:color="auto" w:sz="4" w:space="0"/>
              <w:left w:val="single" w:color="auto" w:sz="4" w:space="0"/>
              <w:right w:val="single" w:color="auto" w:sz="4" w:space="0"/>
            </w:tcBorders>
            <w:vAlign w:val="center"/>
          </w:tcPr>
          <w:p w14:paraId="467FF74D">
            <w:pPr>
              <w:widowControl/>
              <w:spacing w:line="480" w:lineRule="exact"/>
              <w:rPr>
                <w:rFonts w:ascii="宋体" w:hAnsi="宋体" w:cs="宋体"/>
                <w:sz w:val="24"/>
                <w:highlight w:val="none"/>
              </w:rPr>
            </w:pPr>
            <w:r>
              <w:rPr>
                <w:rFonts w:hint="eastAsia" w:ascii="宋体" w:hAnsi="宋体" w:cs="宋体"/>
                <w:sz w:val="24"/>
                <w:highlight w:val="none"/>
              </w:rPr>
              <w:t>商务部分</w:t>
            </w:r>
          </w:p>
        </w:tc>
        <w:tc>
          <w:tcPr>
            <w:tcW w:w="670" w:type="pct"/>
            <w:tcBorders>
              <w:top w:val="single" w:color="auto" w:sz="4" w:space="0"/>
              <w:left w:val="single" w:color="auto" w:sz="4" w:space="0"/>
              <w:right w:val="single" w:color="auto" w:sz="4" w:space="0"/>
            </w:tcBorders>
            <w:vAlign w:val="center"/>
          </w:tcPr>
          <w:p w14:paraId="2C867FAF">
            <w:pPr>
              <w:widowControl/>
              <w:spacing w:line="480" w:lineRule="exact"/>
              <w:rPr>
                <w:rFonts w:ascii="宋体" w:hAnsi="宋体" w:cs="宋体"/>
                <w:sz w:val="24"/>
                <w:highlight w:val="none"/>
              </w:rPr>
            </w:pPr>
            <w:r>
              <w:rPr>
                <w:rFonts w:hint="eastAsia" w:ascii="宋体" w:hAnsi="宋体" w:cs="宋体"/>
                <w:sz w:val="24"/>
                <w:szCs w:val="22"/>
                <w:highlight w:val="none"/>
              </w:rPr>
              <w:t>同类业绩（5分）</w:t>
            </w:r>
          </w:p>
        </w:tc>
        <w:tc>
          <w:tcPr>
            <w:tcW w:w="3924" w:type="pct"/>
            <w:tcBorders>
              <w:top w:val="single" w:color="auto" w:sz="4" w:space="0"/>
              <w:left w:val="single" w:color="auto" w:sz="4" w:space="0"/>
              <w:bottom w:val="single" w:color="auto" w:sz="4" w:space="0"/>
              <w:right w:val="single" w:color="auto" w:sz="4" w:space="0"/>
            </w:tcBorders>
            <w:vAlign w:val="center"/>
          </w:tcPr>
          <w:p w14:paraId="2DF3F9AB">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提供自2022年01月01日起至开标日（以合同签订时间为准）承揽的类似项目业绩，每提供1份得1分，最高得5分；</w:t>
            </w:r>
          </w:p>
          <w:p w14:paraId="03355546">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cs="宋体"/>
                <w:b/>
                <w:bCs/>
                <w:spacing w:val="-2"/>
                <w:sz w:val="24"/>
                <w:highlight w:val="none"/>
              </w:rPr>
              <w:t>并提供合同和中标（成交）通知书原件现场查验。未按上述要求提供的业绩不予认可。</w:t>
            </w:r>
            <w:r>
              <w:rPr>
                <w:rFonts w:hint="eastAsia" w:ascii="宋体" w:hAnsi="宋体" w:cs="宋体"/>
                <w:sz w:val="24"/>
                <w:highlight w:val="none"/>
              </w:rPr>
              <w:t>时间以合同签订时间为准。</w:t>
            </w:r>
          </w:p>
          <w:p w14:paraId="5923534E">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说明：以上参与评分的业绩，确定成交结果后将作为附件随成交公告一起发布，接受社会监督，一经发现存在弄虚造假情形，将按规定严肃处理。</w:t>
            </w:r>
          </w:p>
        </w:tc>
      </w:tr>
      <w:tr w14:paraId="2C52D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restart"/>
            <w:tcBorders>
              <w:top w:val="single" w:color="auto" w:sz="4" w:space="0"/>
              <w:left w:val="single" w:color="auto" w:sz="4" w:space="0"/>
              <w:right w:val="single" w:color="auto" w:sz="4" w:space="0"/>
            </w:tcBorders>
            <w:vAlign w:val="center"/>
          </w:tcPr>
          <w:p w14:paraId="605B2B55">
            <w:pPr>
              <w:widowControl/>
              <w:spacing w:line="480" w:lineRule="exact"/>
              <w:jc w:val="center"/>
              <w:rPr>
                <w:rFonts w:ascii="宋体" w:hAnsi="宋体" w:cs="宋体"/>
                <w:sz w:val="24"/>
                <w:highlight w:val="none"/>
              </w:rPr>
            </w:pPr>
            <w:r>
              <w:rPr>
                <w:rFonts w:hint="eastAsia" w:ascii="宋体" w:hAnsi="宋体" w:cs="宋体"/>
                <w:sz w:val="24"/>
                <w:highlight w:val="none"/>
              </w:rPr>
              <w:t>技术部分</w:t>
            </w:r>
          </w:p>
        </w:tc>
        <w:tc>
          <w:tcPr>
            <w:tcW w:w="670" w:type="pct"/>
            <w:tcBorders>
              <w:top w:val="single" w:color="auto" w:sz="4" w:space="0"/>
              <w:left w:val="single" w:color="auto" w:sz="4" w:space="0"/>
              <w:bottom w:val="single" w:color="auto" w:sz="4" w:space="0"/>
              <w:right w:val="single" w:color="auto" w:sz="4" w:space="0"/>
            </w:tcBorders>
            <w:vAlign w:val="center"/>
          </w:tcPr>
          <w:p w14:paraId="0128E0B2">
            <w:pPr>
              <w:widowControl/>
              <w:spacing w:line="480" w:lineRule="exact"/>
              <w:rPr>
                <w:rFonts w:hint="eastAsia" w:ascii="宋体" w:hAnsi="宋体" w:eastAsia="宋体" w:cs="宋体"/>
                <w:sz w:val="24"/>
                <w:highlight w:val="none"/>
              </w:rPr>
            </w:pPr>
            <w:r>
              <w:rPr>
                <w:rFonts w:hint="eastAsia" w:ascii="宋体" w:hAnsi="宋体" w:eastAsia="宋体" w:cs="宋体"/>
                <w:sz w:val="24"/>
                <w:highlight w:val="none"/>
              </w:rPr>
              <w:t>总体思路及目标（</w:t>
            </w:r>
            <w:r>
              <w:rPr>
                <w:rFonts w:hint="eastAsia" w:ascii="宋体" w:hAnsi="宋体" w:cs="宋体"/>
                <w:sz w:val="24"/>
                <w:highlight w:val="none"/>
                <w:lang w:val="en-US" w:eastAsia="zh-CN"/>
              </w:rPr>
              <w:t>10</w:t>
            </w:r>
            <w:r>
              <w:rPr>
                <w:rFonts w:hint="eastAsia" w:ascii="宋体" w:hAnsi="宋体" w:eastAsia="宋体" w:cs="宋体"/>
                <w:sz w:val="24"/>
                <w:highlight w:val="none"/>
              </w:rPr>
              <w:t>分）</w:t>
            </w:r>
          </w:p>
        </w:tc>
        <w:tc>
          <w:tcPr>
            <w:tcW w:w="3924" w:type="pct"/>
            <w:tcBorders>
              <w:top w:val="single" w:color="auto" w:sz="4" w:space="0"/>
              <w:left w:val="single" w:color="auto" w:sz="4" w:space="0"/>
              <w:bottom w:val="single" w:color="auto" w:sz="4" w:space="0"/>
              <w:right w:val="single" w:color="auto" w:sz="4" w:space="0"/>
            </w:tcBorders>
            <w:vAlign w:val="center"/>
          </w:tcPr>
          <w:p w14:paraId="378154E1">
            <w:pPr>
              <w:widowControl/>
              <w:spacing w:line="48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根据供应商对本项目的认识和理解。供应商对本项目总体思路明确、</w:t>
            </w:r>
            <w:r>
              <w:rPr>
                <w:rFonts w:hint="eastAsia" w:ascii="宋体" w:hAnsi="宋体" w:eastAsia="宋体" w:cs="Times New Roman"/>
                <w:color w:val="auto"/>
                <w:kern w:val="2"/>
                <w:sz w:val="24"/>
                <w:szCs w:val="24"/>
                <w:highlight w:val="none"/>
                <w:lang w:val="en-US" w:eastAsia="zh-CN" w:bidi="ar-SA"/>
              </w:rPr>
              <w:t>分析透彻、理解深入、概括全面、</w:t>
            </w:r>
            <w:r>
              <w:rPr>
                <w:rFonts w:hint="eastAsia" w:ascii="宋体" w:hAnsi="宋体" w:eastAsia="宋体" w:cs="宋体"/>
                <w:sz w:val="24"/>
                <w:highlight w:val="none"/>
              </w:rPr>
              <w:t>目标完全符合</w:t>
            </w:r>
            <w:r>
              <w:rPr>
                <w:rFonts w:hint="eastAsia" w:ascii="宋体" w:hAnsi="宋体" w:eastAsia="宋体" w:cs="宋体"/>
                <w:sz w:val="24"/>
                <w:highlight w:val="none"/>
                <w:lang w:val="en-US" w:eastAsia="zh-CN"/>
              </w:rPr>
              <w:t>项目</w:t>
            </w:r>
            <w:r>
              <w:rPr>
                <w:rFonts w:hint="eastAsia" w:ascii="宋体" w:hAnsi="宋体" w:eastAsia="宋体" w:cs="宋体"/>
                <w:sz w:val="24"/>
                <w:highlight w:val="none"/>
              </w:rPr>
              <w:t>需求得</w:t>
            </w:r>
            <w:r>
              <w:rPr>
                <w:rFonts w:hint="eastAsia" w:ascii="宋体" w:hAnsi="宋体" w:cs="宋体"/>
                <w:sz w:val="24"/>
                <w:highlight w:val="none"/>
                <w:lang w:val="en-US" w:eastAsia="zh-CN"/>
              </w:rPr>
              <w:t>10</w:t>
            </w:r>
            <w:r>
              <w:rPr>
                <w:rFonts w:hint="eastAsia" w:ascii="宋体" w:hAnsi="宋体" w:eastAsia="宋体" w:cs="宋体"/>
                <w:sz w:val="24"/>
                <w:highlight w:val="none"/>
              </w:rPr>
              <w:t>分，每有一处不完善或劣势扣</w:t>
            </w:r>
            <w:r>
              <w:rPr>
                <w:rFonts w:hint="eastAsia" w:ascii="宋体" w:hAnsi="宋体" w:cs="宋体"/>
                <w:sz w:val="24"/>
                <w:highlight w:val="none"/>
                <w:lang w:val="en-US" w:eastAsia="zh-CN"/>
              </w:rPr>
              <w:t>1</w:t>
            </w:r>
            <w:r>
              <w:rPr>
                <w:rFonts w:hint="eastAsia" w:ascii="宋体" w:hAnsi="宋体" w:eastAsia="宋体" w:cs="宋体"/>
                <w:sz w:val="24"/>
                <w:highlight w:val="none"/>
              </w:rPr>
              <w:t>分，扣完为止。此条缺项不得分。</w:t>
            </w:r>
          </w:p>
        </w:tc>
      </w:tr>
      <w:tr w14:paraId="55B14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0B64C9E3">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12456EA1">
            <w:pPr>
              <w:widowControl/>
              <w:spacing w:line="480" w:lineRule="exact"/>
              <w:jc w:val="center"/>
              <w:rPr>
                <w:rFonts w:ascii="宋体" w:hAnsi="宋体" w:cs="宋体"/>
                <w:sz w:val="24"/>
                <w:highlight w:val="none"/>
              </w:rPr>
            </w:pPr>
            <w:r>
              <w:rPr>
                <w:rFonts w:hint="eastAsia" w:ascii="宋体" w:hAnsi="宋体" w:cs="宋体"/>
                <w:sz w:val="24"/>
                <w:highlight w:val="none"/>
              </w:rPr>
              <w:t>服务方案（</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3924" w:type="pct"/>
            <w:tcBorders>
              <w:top w:val="single" w:color="auto" w:sz="4" w:space="0"/>
              <w:left w:val="single" w:color="auto" w:sz="4" w:space="0"/>
              <w:bottom w:val="single" w:color="auto" w:sz="4" w:space="0"/>
              <w:right w:val="single" w:color="auto" w:sz="4" w:space="0"/>
            </w:tcBorders>
            <w:vAlign w:val="center"/>
          </w:tcPr>
          <w:p w14:paraId="5324F5B7">
            <w:pPr>
              <w:pStyle w:val="36"/>
              <w:spacing w:line="480" w:lineRule="exact"/>
              <w:ind w:firstLine="458" w:firstLineChars="191"/>
              <w:jc w:val="both"/>
              <w:rPr>
                <w:highlight w:val="none"/>
              </w:rPr>
            </w:pPr>
            <w:r>
              <w:rPr>
                <w:rFonts w:hint="eastAsia" w:hAnsi="宋体" w:cs="宋体"/>
                <w:color w:val="auto"/>
                <w:szCs w:val="24"/>
                <w:highlight w:val="none"/>
              </w:rPr>
              <w:t>供应商应针对本项目提供详细完备的服务方案，</w:t>
            </w:r>
            <w:r>
              <w:rPr>
                <w:rFonts w:ascii="宋体" w:hAnsi="宋体" w:eastAsia="宋体" w:cs="宋体"/>
                <w:sz w:val="24"/>
                <w:szCs w:val="24"/>
                <w:highlight w:val="none"/>
              </w:rPr>
              <w:t>①总体</w:t>
            </w:r>
            <w:r>
              <w:rPr>
                <w:rFonts w:hint="eastAsia" w:hAnsi="宋体" w:cs="宋体"/>
                <w:sz w:val="24"/>
                <w:szCs w:val="24"/>
                <w:highlight w:val="none"/>
                <w:lang w:val="en-US" w:eastAsia="zh-CN"/>
              </w:rPr>
              <w:t>服务</w:t>
            </w:r>
            <w:r>
              <w:rPr>
                <w:rFonts w:ascii="宋体" w:hAnsi="宋体" w:eastAsia="宋体" w:cs="宋体"/>
                <w:sz w:val="24"/>
                <w:szCs w:val="24"/>
                <w:highlight w:val="none"/>
              </w:rPr>
              <w:t>方案，需具有切实可行的协调、解决和完成本项目的工作方法</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②业务流程</w:t>
            </w:r>
            <w:r>
              <w:rPr>
                <w:rFonts w:hint="eastAsia" w:ascii="宋体" w:hAnsi="宋体" w:eastAsia="宋体" w:cs="宋体"/>
                <w:sz w:val="24"/>
                <w:szCs w:val="24"/>
                <w:highlight w:val="none"/>
                <w:lang w:eastAsia="zh-CN"/>
              </w:rPr>
              <w:t>；</w:t>
            </w:r>
            <w:r>
              <w:rPr>
                <w:rFonts w:hint="eastAsia" w:hAnsi="宋体" w:cs="宋体"/>
                <w:sz w:val="24"/>
                <w:szCs w:val="24"/>
                <w:highlight w:val="none"/>
                <w:lang w:val="en-US" w:eastAsia="zh-CN"/>
              </w:rPr>
              <w:t>③</w:t>
            </w:r>
            <w:r>
              <w:rPr>
                <w:rFonts w:hint="eastAsia" w:hAnsi="宋体" w:cs="宋体"/>
                <w:color w:val="auto"/>
                <w:szCs w:val="24"/>
                <w:highlight w:val="none"/>
              </w:rPr>
              <w:t>工作标准与要求</w:t>
            </w:r>
            <w:r>
              <w:rPr>
                <w:rFonts w:hint="eastAsia" w:hAnsi="宋体" w:cs="宋体"/>
                <w:color w:val="auto"/>
                <w:szCs w:val="24"/>
                <w:highlight w:val="none"/>
                <w:lang w:eastAsia="zh-CN"/>
              </w:rPr>
              <w:t>；</w:t>
            </w:r>
            <w:r>
              <w:rPr>
                <w:rFonts w:hint="eastAsia" w:hAnsi="宋体" w:cs="宋体"/>
                <w:color w:val="auto"/>
                <w:szCs w:val="24"/>
                <w:highlight w:val="none"/>
                <w:lang w:val="en-US" w:eastAsia="zh-CN"/>
              </w:rPr>
              <w:t>④</w:t>
            </w:r>
            <w:r>
              <w:rPr>
                <w:rFonts w:hint="eastAsia" w:hAnsi="宋体" w:cs="宋体"/>
                <w:color w:val="auto"/>
                <w:szCs w:val="24"/>
                <w:highlight w:val="none"/>
              </w:rPr>
              <w:t>重难点分析及解决方案</w:t>
            </w:r>
            <w:r>
              <w:rPr>
                <w:rFonts w:hint="eastAsia" w:hAnsi="宋体" w:cs="宋体"/>
                <w:color w:val="auto"/>
                <w:szCs w:val="24"/>
                <w:highlight w:val="none"/>
                <w:lang w:eastAsia="zh-CN"/>
              </w:rPr>
              <w:t>；</w:t>
            </w:r>
            <w:r>
              <w:rPr>
                <w:rFonts w:hint="eastAsia" w:hAnsi="宋体" w:cs="宋体"/>
                <w:color w:val="auto"/>
                <w:szCs w:val="24"/>
                <w:highlight w:val="none"/>
                <w:lang w:val="en-US" w:eastAsia="zh-CN"/>
              </w:rPr>
              <w:t>⑤</w:t>
            </w:r>
            <w:r>
              <w:rPr>
                <w:rFonts w:hint="eastAsia" w:hAnsi="宋体" w:cs="宋体"/>
                <w:color w:val="auto"/>
                <w:szCs w:val="24"/>
                <w:highlight w:val="none"/>
              </w:rPr>
              <w:t>与相关部门的协调机制</w:t>
            </w:r>
            <w:r>
              <w:rPr>
                <w:rFonts w:hint="eastAsia" w:hAnsi="宋体" w:cs="宋体"/>
                <w:color w:val="auto"/>
                <w:szCs w:val="24"/>
                <w:highlight w:val="none"/>
                <w:lang w:eastAsia="zh-CN"/>
              </w:rPr>
              <w:t>；</w:t>
            </w:r>
            <w:r>
              <w:rPr>
                <w:rFonts w:hint="eastAsia" w:hAnsi="宋体" w:cs="宋体"/>
                <w:color w:val="auto"/>
                <w:szCs w:val="24"/>
                <w:highlight w:val="none"/>
                <w:lang w:val="en-US" w:eastAsia="zh-CN"/>
              </w:rPr>
              <w:t>⑥</w:t>
            </w:r>
            <w:r>
              <w:rPr>
                <w:rFonts w:ascii="宋体" w:hAnsi="宋体" w:eastAsia="宋体" w:cs="宋体"/>
                <w:sz w:val="24"/>
                <w:szCs w:val="24"/>
                <w:highlight w:val="none"/>
              </w:rPr>
              <w:t>成果归档</w:t>
            </w:r>
            <w:r>
              <w:rPr>
                <w:rFonts w:hint="eastAsia" w:hAnsi="宋体" w:cs="宋体"/>
                <w:color w:val="auto"/>
                <w:szCs w:val="24"/>
                <w:highlight w:val="none"/>
              </w:rPr>
              <w:t>等内容</w:t>
            </w:r>
            <w:r>
              <w:rPr>
                <w:rFonts w:hint="eastAsia" w:hAnsi="宋体" w:cs="宋体"/>
                <w:color w:val="auto"/>
                <w:szCs w:val="24"/>
                <w:highlight w:val="none"/>
                <w:lang w:eastAsia="zh-CN"/>
              </w:rPr>
              <w:t>；</w:t>
            </w:r>
            <w:r>
              <w:rPr>
                <w:rFonts w:ascii="宋体" w:hAnsi="宋体" w:eastAsia="宋体" w:cs="宋体"/>
                <w:sz w:val="24"/>
                <w:szCs w:val="24"/>
                <w:highlight w:val="none"/>
              </w:rPr>
              <w:t>每项最高得</w:t>
            </w:r>
            <w:r>
              <w:rPr>
                <w:rFonts w:hint="eastAsia" w:hAnsi="宋体" w:cs="宋体"/>
                <w:sz w:val="24"/>
                <w:szCs w:val="24"/>
                <w:highlight w:val="none"/>
                <w:lang w:val="en-US" w:eastAsia="zh-CN"/>
              </w:rPr>
              <w:t>5</w:t>
            </w:r>
            <w:r>
              <w:rPr>
                <w:rFonts w:ascii="宋体" w:hAnsi="宋体" w:eastAsia="宋体" w:cs="宋体"/>
                <w:sz w:val="24"/>
                <w:szCs w:val="24"/>
                <w:highlight w:val="none"/>
              </w:rPr>
              <w:t>分，满分30分</w:t>
            </w:r>
            <w:r>
              <w:rPr>
                <w:rFonts w:hint="eastAsia" w:hAnsi="宋体" w:cs="宋体"/>
                <w:sz w:val="24"/>
                <w:szCs w:val="24"/>
                <w:highlight w:val="none"/>
                <w:lang w:eastAsia="zh-CN"/>
              </w:rPr>
              <w:t>；</w:t>
            </w:r>
            <w:r>
              <w:rPr>
                <w:rFonts w:hint="eastAsia" w:hAnsi="宋体" w:cs="宋体"/>
                <w:sz w:val="24"/>
                <w:szCs w:val="24"/>
                <w:highlight w:val="none"/>
                <w:lang w:val="en-US" w:eastAsia="zh-CN"/>
              </w:rPr>
              <w:t>每缺一项扣5分，</w:t>
            </w:r>
            <w:r>
              <w:rPr>
                <w:rFonts w:ascii="宋体" w:hAnsi="宋体" w:eastAsia="宋体" w:cs="宋体"/>
                <w:sz w:val="24"/>
                <w:szCs w:val="24"/>
                <w:highlight w:val="none"/>
              </w:rPr>
              <w:t>每项存在一</w:t>
            </w:r>
            <w:r>
              <w:rPr>
                <w:rFonts w:hint="eastAsia" w:ascii="宋体" w:hAnsi="宋体" w:eastAsia="宋体" w:cs="宋体"/>
                <w:sz w:val="24"/>
                <w:highlight w:val="none"/>
              </w:rPr>
              <w:t>处不完善或劣势扣</w:t>
            </w:r>
            <w:r>
              <w:rPr>
                <w:rFonts w:hint="eastAsia" w:ascii="宋体" w:hAnsi="宋体" w:eastAsia="宋体" w:cs="宋体"/>
                <w:sz w:val="24"/>
                <w:highlight w:val="none"/>
                <w:lang w:val="en-US" w:eastAsia="zh-CN"/>
              </w:rPr>
              <w:t>0.5</w:t>
            </w:r>
            <w:r>
              <w:rPr>
                <w:rFonts w:hint="eastAsia" w:ascii="宋体" w:hAnsi="宋体" w:eastAsia="宋体" w:cs="宋体"/>
                <w:sz w:val="24"/>
                <w:highlight w:val="none"/>
              </w:rPr>
              <w:t>分</w:t>
            </w:r>
            <w:r>
              <w:rPr>
                <w:rFonts w:ascii="宋体" w:hAnsi="宋体" w:eastAsia="宋体" w:cs="宋体"/>
                <w:sz w:val="24"/>
                <w:szCs w:val="24"/>
                <w:highlight w:val="none"/>
              </w:rPr>
              <w:t>，扣完为止。</w:t>
            </w:r>
          </w:p>
        </w:tc>
      </w:tr>
      <w:tr w14:paraId="13E3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31289102">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2E5614FD">
            <w:pPr>
              <w:spacing w:line="480" w:lineRule="exact"/>
              <w:jc w:val="center"/>
              <w:rPr>
                <w:rFonts w:ascii="宋体" w:hAnsi="宋体" w:cs="宋体"/>
                <w:sz w:val="24"/>
                <w:szCs w:val="22"/>
                <w:highlight w:val="none"/>
              </w:rPr>
            </w:pPr>
            <w:r>
              <w:rPr>
                <w:rFonts w:hint="eastAsia" w:ascii="宋体" w:hAnsi="宋体" w:cs="宋体"/>
                <w:sz w:val="24"/>
                <w:highlight w:val="none"/>
              </w:rPr>
              <w:t>人员配备（1</w:t>
            </w:r>
            <w:r>
              <w:rPr>
                <w:rFonts w:hint="eastAsia" w:ascii="宋体" w:hAnsi="宋体" w:cs="宋体"/>
                <w:sz w:val="24"/>
                <w:highlight w:val="none"/>
                <w:lang w:val="en-US" w:eastAsia="zh-CN"/>
              </w:rPr>
              <w:t>0</w:t>
            </w:r>
            <w:r>
              <w:rPr>
                <w:rFonts w:hint="eastAsia" w:ascii="宋体" w:hAnsi="宋体" w:cs="宋体"/>
                <w:sz w:val="24"/>
                <w:highlight w:val="none"/>
              </w:rPr>
              <w:t>分）</w:t>
            </w:r>
          </w:p>
        </w:tc>
        <w:tc>
          <w:tcPr>
            <w:tcW w:w="3924" w:type="pct"/>
            <w:tcBorders>
              <w:top w:val="single" w:color="auto" w:sz="4" w:space="0"/>
              <w:left w:val="single" w:color="auto" w:sz="4" w:space="0"/>
              <w:bottom w:val="single" w:color="auto" w:sz="4" w:space="0"/>
              <w:right w:val="single" w:color="auto" w:sz="4" w:space="0"/>
            </w:tcBorders>
            <w:vAlign w:val="center"/>
          </w:tcPr>
          <w:p w14:paraId="45C12D5F">
            <w:pPr>
              <w:widowControl/>
              <w:numPr>
                <w:ilvl w:val="0"/>
                <w:numId w:val="0"/>
              </w:numPr>
              <w:spacing w:line="480" w:lineRule="exact"/>
              <w:ind w:firstLine="480" w:firstLineChars="200"/>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1.拟投入项目负责人为高级职称且具有</w:t>
            </w:r>
            <w:r>
              <w:rPr>
                <w:rFonts w:hint="eastAsia" w:ascii="宋体" w:hAnsi="宋体" w:cs="宋体"/>
                <w:sz w:val="24"/>
                <w:highlight w:val="none"/>
                <w:lang w:val="en-US" w:eastAsia="zh-CN"/>
              </w:rPr>
              <w:t>注册会计师资格或一级造价工程师注册证书（或原造价工程师注册证书）</w:t>
            </w:r>
            <w:r>
              <w:rPr>
                <w:rFonts w:hint="eastAsia" w:ascii="宋体" w:hAnsi="宋体" w:eastAsia="宋体" w:cs="Times New Roman"/>
                <w:color w:val="auto"/>
                <w:kern w:val="2"/>
                <w:sz w:val="24"/>
                <w:szCs w:val="24"/>
                <w:highlight w:val="none"/>
                <w:lang w:val="en-US" w:eastAsia="zh-CN" w:bidi="ar-SA"/>
              </w:rPr>
              <w:t>的得</w:t>
            </w:r>
            <w:r>
              <w:rPr>
                <w:rFonts w:hint="eastAsia" w:ascii="宋体" w:hAnsi="宋体" w:cs="Times New Roman"/>
                <w:color w:val="auto"/>
                <w:kern w:val="2"/>
                <w:sz w:val="24"/>
                <w:szCs w:val="24"/>
                <w:highlight w:val="none"/>
                <w:lang w:val="en-US" w:eastAsia="zh-CN" w:bidi="ar-SA"/>
              </w:rPr>
              <w:t>2分</w:t>
            </w:r>
            <w:r>
              <w:rPr>
                <w:rFonts w:hint="eastAsia" w:ascii="宋体" w:hAnsi="宋体" w:eastAsia="宋体" w:cs="Times New Roman"/>
                <w:color w:val="auto"/>
                <w:kern w:val="2"/>
                <w:sz w:val="24"/>
                <w:szCs w:val="24"/>
                <w:highlight w:val="none"/>
                <w:lang w:val="en-US" w:eastAsia="zh-CN" w:bidi="ar-SA"/>
              </w:rPr>
              <w:t>。</w:t>
            </w:r>
          </w:p>
          <w:p w14:paraId="6A539FB5">
            <w:pPr>
              <w:widowControl/>
              <w:numPr>
                <w:ilvl w:val="0"/>
                <w:numId w:val="0"/>
              </w:numPr>
              <w:spacing w:line="480" w:lineRule="exact"/>
              <w:ind w:firstLine="480" w:firstLineChars="200"/>
              <w:jc w:val="both"/>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2.满足本项目项目组人员配置要求</w:t>
            </w:r>
            <w:r>
              <w:rPr>
                <w:rFonts w:hint="eastAsia" w:ascii="宋体" w:hAnsi="宋体" w:cs="Times New Roman"/>
                <w:color w:val="auto"/>
                <w:kern w:val="2"/>
                <w:sz w:val="24"/>
                <w:szCs w:val="24"/>
                <w:highlight w:val="none"/>
                <w:lang w:val="en-US" w:eastAsia="zh-CN" w:bidi="ar-SA"/>
              </w:rPr>
              <w:t>人员之外</w:t>
            </w:r>
            <w:r>
              <w:rPr>
                <w:rFonts w:hint="eastAsia" w:ascii="宋体" w:hAnsi="宋体" w:eastAsia="宋体" w:cs="Times New Roman"/>
                <w:color w:val="auto"/>
                <w:kern w:val="2"/>
                <w:sz w:val="24"/>
                <w:szCs w:val="24"/>
                <w:highlight w:val="none"/>
                <w:lang w:val="en-US" w:eastAsia="zh-CN" w:bidi="ar-SA"/>
              </w:rPr>
              <w:t>，每增加一名注册会计师或注册造价师执业资格证书的加1分，最高得3分。（</w:t>
            </w:r>
            <w:r>
              <w:rPr>
                <w:rFonts w:hint="eastAsia" w:ascii="宋体" w:hAnsi="宋体" w:cs="宋体"/>
                <w:bCs/>
                <w:color w:val="auto"/>
                <w:sz w:val="24"/>
                <w:highlight w:val="none"/>
                <w:lang w:val="en-US" w:eastAsia="zh-CN"/>
              </w:rPr>
              <w:t>一人多证的，不重复计分</w:t>
            </w:r>
            <w:r>
              <w:rPr>
                <w:rFonts w:hint="eastAsia" w:ascii="宋体" w:hAnsi="宋体" w:eastAsia="宋体" w:cs="Times New Roman"/>
                <w:color w:val="auto"/>
                <w:kern w:val="2"/>
                <w:sz w:val="24"/>
                <w:szCs w:val="24"/>
                <w:highlight w:val="none"/>
                <w:lang w:val="en-US" w:eastAsia="zh-CN" w:bidi="ar-SA"/>
              </w:rPr>
              <w:t>）。</w:t>
            </w:r>
          </w:p>
          <w:p w14:paraId="7644F80D">
            <w:pPr>
              <w:widowControl/>
              <w:spacing w:line="48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3.</w:t>
            </w:r>
            <w:r>
              <w:rPr>
                <w:rFonts w:ascii="宋体" w:hAnsi="宋体" w:cs="宋体"/>
                <w:sz w:val="24"/>
                <w:highlight w:val="none"/>
              </w:rPr>
              <w:t>根据供应商为本项目配备人员团队及其专业能力（</w:t>
            </w:r>
            <w:r>
              <w:rPr>
                <w:rFonts w:hint="eastAsia" w:ascii="宋体" w:hAnsi="宋体" w:cs="宋体"/>
                <w:sz w:val="24"/>
                <w:highlight w:val="none"/>
              </w:rPr>
              <w:t>综合考虑团队成员的工作经历、岗位证书、注册证书、职责分工等因素</w:t>
            </w:r>
            <w:r>
              <w:rPr>
                <w:rFonts w:ascii="宋体" w:hAnsi="宋体" w:cs="宋体"/>
                <w:sz w:val="24"/>
                <w:highlight w:val="none"/>
              </w:rPr>
              <w:t>）情况进行综合评审。人员职责分工明确、专业能力强、类似项目经验丰富的得</w:t>
            </w:r>
            <w:r>
              <w:rPr>
                <w:rFonts w:hint="eastAsia" w:ascii="宋体" w:hAnsi="宋体" w:cs="宋体"/>
                <w:sz w:val="24"/>
                <w:highlight w:val="none"/>
                <w:lang w:val="en-US" w:eastAsia="zh-CN"/>
              </w:rPr>
              <w:t>5</w:t>
            </w:r>
            <w:r>
              <w:rPr>
                <w:rFonts w:ascii="宋体" w:hAnsi="宋体" w:cs="宋体"/>
                <w:sz w:val="24"/>
                <w:highlight w:val="none"/>
              </w:rPr>
              <w:t>分；在此基础上</w:t>
            </w:r>
            <w:r>
              <w:rPr>
                <w:rFonts w:hint="eastAsia" w:ascii="宋体" w:hAnsi="宋体" w:cs="宋体"/>
                <w:sz w:val="24"/>
                <w:highlight w:val="none"/>
              </w:rPr>
              <w:t>每有一项不完善或劣势扣1分</w:t>
            </w:r>
            <w:r>
              <w:rPr>
                <w:rFonts w:ascii="宋体" w:hAnsi="宋体" w:cs="宋体"/>
                <w:sz w:val="24"/>
                <w:highlight w:val="none"/>
              </w:rPr>
              <w:t>，</w:t>
            </w:r>
            <w:r>
              <w:rPr>
                <w:rFonts w:hint="eastAsia" w:ascii="宋体" w:hAnsi="宋体" w:cs="宋体"/>
                <w:sz w:val="24"/>
                <w:highlight w:val="none"/>
              </w:rPr>
              <w:t>扣完为止，未提供不得分。</w:t>
            </w:r>
          </w:p>
          <w:p w14:paraId="2E0D4400">
            <w:pPr>
              <w:pStyle w:val="14"/>
              <w:keepNext w:val="0"/>
              <w:keepLines w:val="0"/>
              <w:suppressLineNumbers w:val="0"/>
              <w:snapToGrid w:val="0"/>
              <w:spacing w:before="0" w:beforeAutospacing="0" w:after="0" w:afterAutospacing="0" w:line="480" w:lineRule="exact"/>
              <w:ind w:left="0" w:right="0" w:firstLine="480" w:firstLineChars="200"/>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注：</w:t>
            </w:r>
            <w:r>
              <w:rPr>
                <w:rFonts w:hint="eastAsia" w:hAnsi="宋体" w:cs="宋体"/>
                <w:sz w:val="24"/>
                <w:highlight w:val="none"/>
                <w:lang w:val="en-US" w:eastAsia="zh-CN"/>
              </w:rPr>
              <w:t>以上人员须为本单位正式人员（不包括退休返聘人员），提供证书复印件及</w:t>
            </w:r>
            <w:r>
              <w:rPr>
                <w:rFonts w:hint="eastAsia" w:ascii="宋体" w:hAnsi="宋体" w:eastAsia="宋体" w:cs="宋体"/>
                <w:color w:val="auto"/>
                <w:sz w:val="24"/>
                <w:szCs w:val="24"/>
                <w:highlight w:val="none"/>
              </w:rPr>
              <w:t>本单位近</w:t>
            </w:r>
            <w:r>
              <w:rPr>
                <w:rFonts w:hint="eastAsia" w:ascii="宋体" w:hAnsi="宋体" w:eastAsia="宋体" w:cs="宋体"/>
                <w:color w:val="auto"/>
                <w:sz w:val="24"/>
                <w:szCs w:val="24"/>
                <w:highlight w:val="none"/>
                <w:lang w:val="en-US" w:eastAsia="zh-CN"/>
              </w:rPr>
              <w:t>六个月</w:t>
            </w:r>
            <w:r>
              <w:rPr>
                <w:rFonts w:hint="eastAsia" w:ascii="宋体" w:hAnsi="宋体" w:eastAsia="宋体" w:cs="宋体"/>
                <w:color w:val="auto"/>
                <w:sz w:val="24"/>
                <w:szCs w:val="24"/>
                <w:highlight w:val="none"/>
              </w:rPr>
              <w:t>内至少三个月的社保缴纳证明社保缴纳证明材料</w:t>
            </w:r>
            <w:r>
              <w:rPr>
                <w:rFonts w:hint="eastAsia" w:ascii="宋体" w:hAnsi="宋体" w:eastAsia="宋体" w:cs="宋体"/>
                <w:color w:val="auto"/>
                <w:sz w:val="24"/>
                <w:szCs w:val="24"/>
                <w:highlight w:val="none"/>
                <w:lang w:eastAsia="zh-CN"/>
              </w:rPr>
              <w:t>（须体现缴纳单位、人员姓名、身份证号码及缴纳起止期限等信息）</w:t>
            </w:r>
            <w:r>
              <w:rPr>
                <w:rFonts w:hint="eastAsia" w:ascii="宋体" w:hAnsi="宋体" w:eastAsia="宋体" w:cs="宋体"/>
                <w:color w:val="auto"/>
                <w:sz w:val="24"/>
                <w:szCs w:val="24"/>
                <w:highlight w:val="none"/>
              </w:rPr>
              <w:t>。</w:t>
            </w:r>
          </w:p>
        </w:tc>
      </w:tr>
      <w:tr w14:paraId="6CA70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0E8BEA53">
            <w:pPr>
              <w:widowControl/>
              <w:spacing w:line="480" w:lineRule="exact"/>
              <w:jc w:val="center"/>
              <w:rPr>
                <w:rFonts w:ascii="宋体" w:hAnsi="宋体" w:cs="宋体"/>
                <w:sz w:val="24"/>
                <w:highlight w:val="none"/>
              </w:rPr>
            </w:pPr>
          </w:p>
        </w:tc>
        <w:tc>
          <w:tcPr>
            <w:tcW w:w="1272" w:type="dxa"/>
            <w:tcBorders>
              <w:top w:val="single" w:color="auto" w:sz="4" w:space="0"/>
              <w:left w:val="single" w:color="auto" w:sz="4" w:space="0"/>
              <w:bottom w:val="single" w:color="auto" w:sz="4" w:space="0"/>
              <w:right w:val="single" w:color="auto" w:sz="4" w:space="0"/>
            </w:tcBorders>
            <w:vAlign w:val="center"/>
          </w:tcPr>
          <w:p w14:paraId="71C19C54">
            <w:pPr>
              <w:keepNext w:val="0"/>
              <w:keepLines w:val="0"/>
              <w:pageBreakBefore w:val="0"/>
              <w:widowControl/>
              <w:suppressLineNumbers w:val="0"/>
              <w:kinsoku/>
              <w:wordWrap/>
              <w:overflowPunct/>
              <w:topLinePunct w:val="0"/>
              <w:bidi w:val="0"/>
              <w:spacing w:line="480" w:lineRule="exact"/>
              <w:jc w:val="center"/>
              <w:textAlignment w:val="auto"/>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服务质量保障措施（10分）</w:t>
            </w:r>
          </w:p>
        </w:tc>
        <w:tc>
          <w:tcPr>
            <w:tcW w:w="7451" w:type="dxa"/>
            <w:tcBorders>
              <w:top w:val="single" w:color="auto" w:sz="4" w:space="0"/>
              <w:left w:val="single" w:color="auto" w:sz="4" w:space="0"/>
              <w:bottom w:val="single" w:color="auto" w:sz="4" w:space="0"/>
              <w:right w:val="single" w:color="auto" w:sz="4" w:space="0"/>
            </w:tcBorders>
            <w:vAlign w:val="top"/>
          </w:tcPr>
          <w:p w14:paraId="5779F7C3">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根据供应商提供的质量保障措施进行评分，措施完整、有针对性，控制性且能够充分保障服务质量的得10分，每存在一处不完善或有瑕疵的内容扣1分，扣完为止；缺项不得分。</w:t>
            </w:r>
          </w:p>
        </w:tc>
      </w:tr>
      <w:tr w14:paraId="501B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00EEA9B5">
            <w:pPr>
              <w:widowControl/>
              <w:spacing w:line="480" w:lineRule="exact"/>
              <w:jc w:val="center"/>
              <w:rPr>
                <w:rFonts w:ascii="宋体" w:hAnsi="宋体" w:cs="宋体"/>
                <w:sz w:val="24"/>
                <w:highlight w:val="none"/>
              </w:rPr>
            </w:pPr>
          </w:p>
        </w:tc>
        <w:tc>
          <w:tcPr>
            <w:tcW w:w="1272" w:type="dxa"/>
            <w:tcBorders>
              <w:top w:val="single" w:color="auto" w:sz="4" w:space="0"/>
              <w:left w:val="single" w:color="auto" w:sz="4" w:space="0"/>
              <w:bottom w:val="single" w:color="auto" w:sz="4" w:space="0"/>
              <w:right w:val="single" w:color="auto" w:sz="4" w:space="0"/>
            </w:tcBorders>
            <w:vAlign w:val="center"/>
          </w:tcPr>
          <w:p w14:paraId="1B8ED0CD">
            <w:pPr>
              <w:keepNext w:val="0"/>
              <w:keepLines w:val="0"/>
              <w:pageBreakBefore w:val="0"/>
              <w:widowControl/>
              <w:suppressLineNumbers w:val="0"/>
              <w:kinsoku/>
              <w:wordWrap/>
              <w:overflowPunct/>
              <w:topLinePunct w:val="0"/>
              <w:bidi w:val="0"/>
              <w:spacing w:line="480" w:lineRule="exact"/>
              <w:jc w:val="center"/>
              <w:textAlignment w:val="auto"/>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服务进度保障措施（10分）</w:t>
            </w:r>
          </w:p>
        </w:tc>
        <w:tc>
          <w:tcPr>
            <w:tcW w:w="7451" w:type="dxa"/>
            <w:tcBorders>
              <w:top w:val="single" w:color="auto" w:sz="4" w:space="0"/>
              <w:left w:val="single" w:color="auto" w:sz="4" w:space="0"/>
              <w:bottom w:val="single" w:color="auto" w:sz="4" w:space="0"/>
              <w:right w:val="single" w:color="auto" w:sz="4" w:space="0"/>
            </w:tcBorders>
            <w:vAlign w:val="top"/>
          </w:tcPr>
          <w:p w14:paraId="560652FB">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根据供应商提供的进度保障措施进行评分，进度计划安排合理、符合项目要求及实际情况，能够有效保障服务进度</w:t>
            </w:r>
            <w:r>
              <w:rPr>
                <w:rFonts w:hint="eastAsia" w:ascii="宋体" w:hAnsi="宋体" w:cs="Times New Roman"/>
                <w:color w:val="auto"/>
                <w:kern w:val="2"/>
                <w:sz w:val="24"/>
                <w:szCs w:val="24"/>
                <w:highlight w:val="none"/>
                <w:lang w:val="en-US" w:eastAsia="zh-CN" w:bidi="ar-SA"/>
              </w:rPr>
              <w:t>和时效性</w:t>
            </w:r>
            <w:r>
              <w:rPr>
                <w:rFonts w:hint="eastAsia" w:ascii="宋体" w:hAnsi="宋体" w:eastAsia="宋体" w:cs="Times New Roman"/>
                <w:color w:val="auto"/>
                <w:kern w:val="2"/>
                <w:sz w:val="24"/>
                <w:szCs w:val="24"/>
                <w:highlight w:val="none"/>
                <w:lang w:val="en-US" w:eastAsia="zh-CN" w:bidi="ar-SA"/>
              </w:rPr>
              <w:t>的得10分，每存在一处不完善或有瑕疵的内容扣1分，扣完为止；缺项不得分。</w:t>
            </w:r>
          </w:p>
        </w:tc>
      </w:tr>
      <w:tr w14:paraId="3E2EA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59EDB2B0">
            <w:pPr>
              <w:widowControl/>
              <w:spacing w:line="480" w:lineRule="exact"/>
              <w:jc w:val="center"/>
              <w:rPr>
                <w:rFonts w:ascii="宋体" w:hAnsi="宋体" w:cs="宋体"/>
                <w:sz w:val="24"/>
                <w:highlight w:val="none"/>
              </w:rPr>
            </w:pPr>
          </w:p>
        </w:tc>
        <w:tc>
          <w:tcPr>
            <w:tcW w:w="1272" w:type="dxa"/>
            <w:tcBorders>
              <w:top w:val="single" w:color="auto" w:sz="4" w:space="0"/>
              <w:left w:val="single" w:color="auto" w:sz="4" w:space="0"/>
              <w:bottom w:val="single" w:color="auto" w:sz="4" w:space="0"/>
              <w:right w:val="single" w:color="auto" w:sz="4" w:space="0"/>
            </w:tcBorders>
            <w:vAlign w:val="center"/>
          </w:tcPr>
          <w:p w14:paraId="7EEFB38C">
            <w:pPr>
              <w:keepNext w:val="0"/>
              <w:keepLines w:val="0"/>
              <w:pageBreakBefore w:val="0"/>
              <w:widowControl/>
              <w:suppressLineNumbers w:val="0"/>
              <w:kinsoku/>
              <w:wordWrap/>
              <w:overflowPunct/>
              <w:topLinePunct w:val="0"/>
              <w:bidi w:val="0"/>
              <w:spacing w:line="480" w:lineRule="exact"/>
              <w:jc w:val="center"/>
              <w:textAlignment w:val="auto"/>
              <w:rPr>
                <w:rFonts w:hint="default"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保密措施</w:t>
            </w:r>
            <w:r>
              <w:rPr>
                <w:rFonts w:hint="eastAsia" w:ascii="宋体" w:hAnsi="宋体" w:cs="Times New Roman"/>
                <w:color w:val="auto"/>
                <w:kern w:val="2"/>
                <w:sz w:val="24"/>
                <w:szCs w:val="24"/>
                <w:highlight w:val="none"/>
                <w:lang w:val="en-US" w:eastAsia="zh-CN" w:bidi="ar-SA"/>
              </w:rPr>
              <w:t>（10分）</w:t>
            </w:r>
          </w:p>
        </w:tc>
        <w:tc>
          <w:tcPr>
            <w:tcW w:w="7451" w:type="dxa"/>
            <w:tcBorders>
              <w:top w:val="single" w:color="auto" w:sz="4" w:space="0"/>
              <w:left w:val="single" w:color="auto" w:sz="4" w:space="0"/>
              <w:bottom w:val="single" w:color="auto" w:sz="4" w:space="0"/>
              <w:right w:val="single" w:color="auto" w:sz="4" w:space="0"/>
            </w:tcBorders>
            <w:vAlign w:val="top"/>
          </w:tcPr>
          <w:p w14:paraId="309E9097">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Times New Roman"/>
                <w:color w:val="auto"/>
                <w:kern w:val="2"/>
                <w:sz w:val="24"/>
                <w:szCs w:val="24"/>
                <w:highlight w:val="none"/>
                <w:lang w:val="en-US" w:eastAsia="zh-CN" w:bidi="ar-SA"/>
              </w:rPr>
            </w:pPr>
            <w:r>
              <w:rPr>
                <w:rFonts w:hint="eastAsia" w:ascii="宋体" w:hAnsi="宋体" w:cs="Times New Roman"/>
                <w:color w:val="auto"/>
                <w:kern w:val="2"/>
                <w:sz w:val="24"/>
                <w:szCs w:val="24"/>
                <w:highlight w:val="none"/>
                <w:lang w:val="en-US" w:eastAsia="zh-CN" w:bidi="ar-SA"/>
              </w:rPr>
              <w:t>供应商针对本项目</w:t>
            </w:r>
            <w:r>
              <w:rPr>
                <w:rFonts w:hint="eastAsia" w:ascii="宋体" w:hAnsi="宋体" w:eastAsia="宋体" w:cs="Times New Roman"/>
                <w:color w:val="auto"/>
                <w:kern w:val="2"/>
                <w:sz w:val="24"/>
                <w:szCs w:val="24"/>
                <w:highlight w:val="none"/>
                <w:lang w:val="en-US" w:eastAsia="zh-CN" w:bidi="ar-SA"/>
              </w:rPr>
              <w:t>采购需求制定廉洁保密方案，明确保密范围，廉洁保密措施规范化、制度化，廉洁保密方案严谨周密，切实可行，对于泄密风险制定应对措施，并能根据法律法规变化和业务需求定期审查和更新保密政策</w:t>
            </w:r>
            <w:r>
              <w:rPr>
                <w:rFonts w:hint="eastAsia" w:ascii="宋体" w:hAnsi="宋体" w:cs="Times New Roman"/>
                <w:color w:val="auto"/>
                <w:kern w:val="2"/>
                <w:sz w:val="24"/>
                <w:szCs w:val="24"/>
                <w:highlight w:val="none"/>
                <w:lang w:val="en-US" w:eastAsia="zh-CN" w:bidi="ar-SA"/>
              </w:rPr>
              <w:t>的得10</w:t>
            </w:r>
            <w:r>
              <w:rPr>
                <w:rFonts w:hint="eastAsia" w:ascii="宋体" w:hAnsi="宋体" w:eastAsia="宋体" w:cs="Times New Roman"/>
                <w:color w:val="auto"/>
                <w:kern w:val="2"/>
                <w:sz w:val="24"/>
                <w:szCs w:val="24"/>
                <w:highlight w:val="none"/>
                <w:lang w:val="en-US" w:eastAsia="zh-CN" w:bidi="ar-SA"/>
              </w:rPr>
              <w:t>分，每存在一处不完善或有瑕疵的内容扣1分，扣完为止；缺项不得分。</w:t>
            </w:r>
          </w:p>
        </w:tc>
      </w:tr>
      <w:tr w14:paraId="18D6F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5" w:type="pct"/>
            <w:vMerge w:val="continue"/>
            <w:tcBorders>
              <w:left w:val="single" w:color="auto" w:sz="4" w:space="0"/>
              <w:right w:val="single" w:color="auto" w:sz="4" w:space="0"/>
            </w:tcBorders>
            <w:vAlign w:val="center"/>
          </w:tcPr>
          <w:p w14:paraId="52F9987B">
            <w:pPr>
              <w:widowControl/>
              <w:spacing w:line="480" w:lineRule="exact"/>
              <w:jc w:val="center"/>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62C23192">
            <w:pPr>
              <w:spacing w:line="480" w:lineRule="exact"/>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突发事件应急预案（5分）</w:t>
            </w:r>
          </w:p>
        </w:tc>
        <w:tc>
          <w:tcPr>
            <w:tcW w:w="3924" w:type="pct"/>
            <w:tcBorders>
              <w:top w:val="single" w:color="auto" w:sz="4" w:space="0"/>
              <w:left w:val="single" w:color="auto" w:sz="4" w:space="0"/>
              <w:bottom w:val="single" w:color="auto" w:sz="4" w:space="0"/>
              <w:right w:val="single" w:color="auto" w:sz="4" w:space="0"/>
            </w:tcBorders>
            <w:vAlign w:val="center"/>
          </w:tcPr>
          <w:p w14:paraId="6D51B9AC">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default" w:ascii="宋体" w:hAnsi="宋体" w:eastAsia="宋体" w:cs="宋体"/>
                <w:sz w:val="24"/>
                <w:highlight w:val="none"/>
                <w:lang w:val="en-US" w:eastAsia="zh-CN"/>
              </w:rPr>
            </w:pPr>
            <w:r>
              <w:rPr>
                <w:rFonts w:hint="eastAsia" w:ascii="宋体" w:hAnsi="宋体" w:cs="Times New Roman"/>
                <w:color w:val="auto"/>
                <w:kern w:val="2"/>
                <w:sz w:val="24"/>
                <w:szCs w:val="24"/>
                <w:highlight w:val="none"/>
                <w:lang w:val="en-US" w:eastAsia="zh-CN" w:bidi="ar-SA"/>
              </w:rPr>
              <w:t>根据供应商提供的针对本项目项实施过程中突发事件处理机制与预案进行综合评审，方案措施详细完整、</w:t>
            </w:r>
            <w:r>
              <w:rPr>
                <w:rFonts w:hint="eastAsia" w:ascii="宋体" w:hAnsi="宋体" w:cs="宋体"/>
                <w:i w:val="0"/>
                <w:iCs w:val="0"/>
                <w:color w:val="auto"/>
                <w:kern w:val="0"/>
                <w:sz w:val="24"/>
                <w:szCs w:val="24"/>
                <w:highlight w:val="none"/>
                <w:u w:val="none"/>
                <w:lang w:val="en-US" w:eastAsia="zh-CN" w:bidi="ar"/>
              </w:rPr>
              <w:t>有较强的</w:t>
            </w:r>
            <w:r>
              <w:rPr>
                <w:rFonts w:hint="eastAsia" w:ascii="宋体" w:hAnsi="宋体" w:eastAsia="宋体" w:cs="宋体"/>
                <w:i w:val="0"/>
                <w:iCs w:val="0"/>
                <w:color w:val="auto"/>
                <w:kern w:val="0"/>
                <w:sz w:val="24"/>
                <w:szCs w:val="24"/>
                <w:highlight w:val="none"/>
                <w:u w:val="none"/>
                <w:lang w:val="en-US" w:eastAsia="zh-CN" w:bidi="ar"/>
              </w:rPr>
              <w:t>解决问题能力，项目实施过程中所有可能出现的问题考虑全面，应急问题处理预案详细可操作</w:t>
            </w:r>
            <w:r>
              <w:rPr>
                <w:rFonts w:hint="eastAsia" w:ascii="宋体" w:hAnsi="宋体" w:cs="Times New Roman"/>
                <w:color w:val="auto"/>
                <w:kern w:val="2"/>
                <w:sz w:val="24"/>
                <w:szCs w:val="24"/>
                <w:highlight w:val="none"/>
                <w:lang w:val="en-US" w:eastAsia="zh-CN" w:bidi="ar-SA"/>
              </w:rPr>
              <w:t>得5分，每有</w:t>
            </w:r>
            <w:bookmarkStart w:id="329" w:name="_GoBack"/>
            <w:bookmarkEnd w:id="329"/>
            <w:r>
              <w:rPr>
                <w:rFonts w:hint="eastAsia" w:ascii="宋体" w:hAnsi="宋体" w:cs="Times New Roman"/>
                <w:color w:val="auto"/>
                <w:kern w:val="2"/>
                <w:sz w:val="24"/>
                <w:szCs w:val="24"/>
                <w:highlight w:val="none"/>
                <w:lang w:val="en-US" w:eastAsia="zh-CN" w:bidi="ar-SA"/>
              </w:rPr>
              <w:t>一处不完善或劣势扣0.5分，扣完为止。此条缺项不得分。</w:t>
            </w:r>
          </w:p>
        </w:tc>
      </w:tr>
    </w:tbl>
    <w:p w14:paraId="39004421">
      <w:pPr>
        <w:overflowPunct w:val="0"/>
        <w:spacing w:line="480" w:lineRule="exact"/>
        <w:rPr>
          <w:rFonts w:hint="eastAsia" w:ascii="宋体" w:hAnsi="宋体" w:cs="宋体"/>
          <w:b/>
          <w:bCs/>
          <w:color w:val="auto"/>
          <w:sz w:val="24"/>
          <w:highlight w:val="none"/>
        </w:rPr>
      </w:pPr>
      <w:bookmarkStart w:id="258" w:name="_Toc46235126"/>
      <w:bookmarkStart w:id="259" w:name="_Toc15882"/>
      <w:bookmarkStart w:id="260" w:name="_Toc68259628"/>
      <w:bookmarkStart w:id="261" w:name="_Toc518923106"/>
      <w:bookmarkStart w:id="262" w:name="_Toc216582812"/>
      <w:r>
        <w:rPr>
          <w:rFonts w:hint="eastAsia" w:ascii="宋体" w:hAnsi="宋体" w:cs="宋体"/>
          <w:b/>
          <w:bCs/>
          <w:color w:val="auto"/>
          <w:sz w:val="24"/>
          <w:highlight w:val="none"/>
        </w:rPr>
        <w:t>说明：需满足的采购政策要求：</w:t>
      </w:r>
    </w:p>
    <w:p w14:paraId="665432B3">
      <w:pPr>
        <w:overflowPunct w:val="0"/>
        <w:spacing w:line="480" w:lineRule="exact"/>
        <w:ind w:firstLine="240" w:firstLineChars="100"/>
        <w:rPr>
          <w:rFonts w:ascii="宋体" w:hAnsi="宋体" w:cs="宋体"/>
          <w:color w:val="auto"/>
          <w:sz w:val="24"/>
          <w:highlight w:val="none"/>
        </w:rPr>
      </w:pPr>
      <w:r>
        <w:rPr>
          <w:rFonts w:hint="eastAsia" w:ascii="宋体" w:hAnsi="宋体" w:cs="宋体"/>
          <w:color w:val="auto"/>
          <w:sz w:val="24"/>
          <w:highlight w:val="none"/>
        </w:rPr>
        <w:t>（1）政策文件：</w:t>
      </w:r>
    </w:p>
    <w:p w14:paraId="49B40F03">
      <w:pPr>
        <w:overflowPunct w:val="0"/>
        <w:spacing w:line="480" w:lineRule="exact"/>
        <w:ind w:firstLine="480" w:firstLineChars="200"/>
        <w:rPr>
          <w:rFonts w:hint="eastAsia" w:ascii="宋体" w:hAnsi="宋体" w:cs="宋体"/>
          <w:color w:val="auto"/>
          <w:position w:val="-3"/>
          <w:sz w:val="24"/>
          <w:highlight w:val="none"/>
        </w:rPr>
      </w:pPr>
      <w:r>
        <w:rPr>
          <w:rFonts w:ascii="宋体" w:hAnsi="宋体" w:cs="宋体"/>
          <w:color w:val="auto"/>
          <w:position w:val="-3"/>
          <w:sz w:val="24"/>
          <w:highlight w:val="none"/>
        </w:rPr>
        <w:t>《</w:t>
      </w:r>
      <w:r>
        <w:rPr>
          <w:rFonts w:hint="eastAsia" w:ascii="宋体" w:hAnsi="宋体" w:cs="宋体"/>
          <w:color w:val="auto"/>
          <w:position w:val="-3"/>
          <w:sz w:val="24"/>
          <w:highlight w:val="none"/>
          <w:lang w:eastAsia="zh-CN"/>
        </w:rPr>
        <w:t>政府采购促进中小企业发展管理办法</w:t>
      </w:r>
      <w:r>
        <w:rPr>
          <w:rFonts w:ascii="宋体" w:hAnsi="宋体" w:cs="宋体"/>
          <w:color w:val="auto"/>
          <w:position w:val="-3"/>
          <w:sz w:val="24"/>
          <w:highlight w:val="none"/>
        </w:rPr>
        <w:t>》（财</w:t>
      </w:r>
      <w:r>
        <w:rPr>
          <w:rFonts w:ascii="宋体" w:hAnsi="宋体" w:cs="宋体"/>
          <w:color w:val="auto"/>
          <w:spacing w:val="1"/>
          <w:position w:val="-3"/>
          <w:sz w:val="24"/>
          <w:highlight w:val="none"/>
        </w:rPr>
        <w:t>库</w:t>
      </w:r>
      <w:r>
        <w:rPr>
          <w:rFonts w:ascii="宋体" w:hAnsi="宋体" w:cs="宋体"/>
          <w:color w:val="auto"/>
          <w:position w:val="-3"/>
          <w:sz w:val="24"/>
          <w:highlight w:val="none"/>
        </w:rPr>
        <w:t>[20</w:t>
      </w:r>
      <w:r>
        <w:rPr>
          <w:rFonts w:hint="eastAsia" w:ascii="宋体" w:hAnsi="宋体" w:cs="宋体"/>
          <w:color w:val="auto"/>
          <w:position w:val="-3"/>
          <w:sz w:val="24"/>
          <w:highlight w:val="none"/>
        </w:rPr>
        <w:t>20</w:t>
      </w:r>
      <w:r>
        <w:rPr>
          <w:rFonts w:ascii="宋体" w:hAnsi="宋体" w:cs="宋体"/>
          <w:color w:val="auto"/>
          <w:position w:val="-3"/>
          <w:sz w:val="24"/>
          <w:highlight w:val="none"/>
        </w:rPr>
        <w:t>]</w:t>
      </w:r>
      <w:r>
        <w:rPr>
          <w:rFonts w:hint="eastAsia" w:ascii="宋体" w:hAnsi="宋体" w:cs="宋体"/>
          <w:color w:val="auto"/>
          <w:position w:val="-3"/>
          <w:sz w:val="24"/>
          <w:highlight w:val="none"/>
        </w:rPr>
        <w:t>46</w:t>
      </w:r>
      <w:r>
        <w:rPr>
          <w:rFonts w:ascii="宋体" w:hAnsi="宋体" w:cs="宋体"/>
          <w:color w:val="auto"/>
          <w:position w:val="-3"/>
          <w:sz w:val="24"/>
          <w:highlight w:val="none"/>
        </w:rPr>
        <w:t>号）</w:t>
      </w:r>
    </w:p>
    <w:p w14:paraId="0291C689">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财政部 司法部关于政府采购支持监狱企业发展有关问题的通知</w:t>
      </w:r>
      <w:r>
        <w:rPr>
          <w:rFonts w:hint="eastAsia" w:ascii="宋体" w:hAnsi="宋体"/>
          <w:color w:val="auto"/>
          <w:sz w:val="24"/>
          <w:highlight w:val="none"/>
        </w:rPr>
        <w:t>》（财库〔2014〕68号）</w:t>
      </w:r>
    </w:p>
    <w:p w14:paraId="291733B1">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《三部门联合发布关于促进残疾人就业政府采购政策的通知》（财库〔2017〕141号）</w:t>
      </w:r>
    </w:p>
    <w:p w14:paraId="21D9177C">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财政部国家发展改革委关于印发《节能产品政府采购实施意见》的通知（财库〔2004〕185号）</w:t>
      </w:r>
    </w:p>
    <w:p w14:paraId="234C75D7">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《财政部 发展改革委 生态环境部 市场监管总局关于调整优化节能产品、环境标志产品政府采购执行机制的通知》财库〔2019〕9号</w:t>
      </w:r>
    </w:p>
    <w:p w14:paraId="29BB2324">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《关于印发环境标志产品政府采购品目清单的通知》财库〔2019〕18号</w:t>
      </w:r>
    </w:p>
    <w:p w14:paraId="780E254D">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《关于印发节能产品政府采购品目清单的通知》财库〔2019〕19号</w:t>
      </w:r>
    </w:p>
    <w:p w14:paraId="4C30028E">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《山东省节能环保产品政府采购评审办法》（鲁财库〔2007〕32号）</w:t>
      </w:r>
    </w:p>
    <w:p w14:paraId="34ABDD4B">
      <w:pPr>
        <w:overflowPunct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（2）政策要求</w:t>
      </w:r>
    </w:p>
    <w:p w14:paraId="2BA847F9">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对满足价格扣除条件且在投标（响应）文件中提交了《中小企业声明函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eastAsia="宋体" w:cs="宋体"/>
          <w:color w:val="auto"/>
          <w:sz w:val="24"/>
          <w:highlight w:val="none"/>
          <w:lang w:eastAsia="zh-CN"/>
        </w:rPr>
        <w:t>政府采购促进中小企业发展管理办法</w:t>
      </w:r>
      <w:r>
        <w:rPr>
          <w:rFonts w:hint="eastAsia" w:ascii="宋体" w:hAnsi="宋体" w:eastAsia="宋体" w:cs="宋体"/>
          <w:color w:val="auto"/>
          <w:sz w:val="24"/>
          <w:highlight w:val="none"/>
        </w:rPr>
        <w:t>》所指中小企业（含中型、小型、微型企业，下同）应当同时符合以下条件：</w:t>
      </w:r>
    </w:p>
    <w:p w14:paraId="6E6990D4">
      <w:pPr>
        <w:tabs>
          <w:tab w:val="left" w:pos="993"/>
          <w:tab w:val="left" w:pos="1440"/>
        </w:tabs>
        <w:spacing w:line="480" w:lineRule="exact"/>
        <w:ind w:firstLine="708" w:firstLineChars="295"/>
        <w:rPr>
          <w:rFonts w:hint="eastAsia" w:ascii="宋体" w:hAnsi="宋体" w:cs="宋体"/>
          <w:color w:val="auto"/>
          <w:kern w:val="11"/>
          <w:sz w:val="24"/>
          <w:highlight w:val="none"/>
        </w:rPr>
      </w:pPr>
      <w:r>
        <w:rPr>
          <w:rFonts w:hint="eastAsia" w:ascii="宋体" w:hAnsi="宋体" w:cs="宋体"/>
          <w:color w:val="auto"/>
          <w:kern w:val="11"/>
          <w:sz w:val="24"/>
          <w:highlight w:val="none"/>
        </w:rPr>
        <w:fldChar w:fldCharType="begin"/>
      </w:r>
      <w:r>
        <w:rPr>
          <w:rFonts w:hint="eastAsia" w:ascii="宋体" w:hAnsi="宋体" w:cs="宋体"/>
          <w:color w:val="auto"/>
          <w:kern w:val="11"/>
          <w:sz w:val="24"/>
          <w:highlight w:val="none"/>
        </w:rPr>
        <w:instrText xml:space="preserve"> = 1 \* GB3 </w:instrText>
      </w:r>
      <w:r>
        <w:rPr>
          <w:rFonts w:hint="eastAsia" w:ascii="宋体" w:hAnsi="宋体" w:cs="宋体"/>
          <w:color w:val="auto"/>
          <w:kern w:val="11"/>
          <w:sz w:val="24"/>
          <w:highlight w:val="none"/>
        </w:rPr>
        <w:fldChar w:fldCharType="separate"/>
      </w:r>
      <w:r>
        <w:rPr>
          <w:rFonts w:hint="eastAsia" w:ascii="宋体" w:hAnsi="宋体" w:cs="宋体"/>
          <w:color w:val="auto"/>
          <w:kern w:val="11"/>
          <w:sz w:val="24"/>
          <w:highlight w:val="none"/>
        </w:rPr>
        <w:t>①</w:t>
      </w:r>
      <w:r>
        <w:rPr>
          <w:rFonts w:hint="eastAsia" w:ascii="宋体" w:hAnsi="宋体" w:cs="宋体"/>
          <w:color w:val="auto"/>
          <w:kern w:val="11"/>
          <w:sz w:val="24"/>
          <w:highlight w:val="none"/>
        </w:rPr>
        <w:fldChar w:fldCharType="end"/>
      </w:r>
      <w:r>
        <w:rPr>
          <w:rFonts w:hint="eastAsia" w:ascii="宋体" w:hAnsi="宋体" w:cs="宋体"/>
          <w:color w:val="auto"/>
          <w:kern w:val="11"/>
          <w:sz w:val="24"/>
          <w:highlight w:val="none"/>
        </w:rPr>
        <w:t xml:space="preserve">符合中小企业划分标准； </w:t>
      </w:r>
    </w:p>
    <w:p w14:paraId="023870BA">
      <w:pPr>
        <w:tabs>
          <w:tab w:val="left" w:pos="993"/>
          <w:tab w:val="left" w:pos="1440"/>
        </w:tabs>
        <w:spacing w:line="480" w:lineRule="exact"/>
        <w:ind w:left="283" w:leftChars="135" w:firstLine="424" w:firstLineChars="177"/>
        <w:rPr>
          <w:rFonts w:hint="eastAsia" w:ascii="宋体" w:hAnsi="宋体" w:cs="宋体"/>
          <w:color w:val="auto"/>
          <w:kern w:val="11"/>
          <w:sz w:val="24"/>
          <w:highlight w:val="none"/>
        </w:rPr>
      </w:pPr>
      <w:r>
        <w:rPr>
          <w:rFonts w:hint="eastAsia" w:ascii="宋体" w:hAnsi="宋体" w:cs="宋体"/>
          <w:color w:val="auto"/>
          <w:kern w:val="11"/>
          <w:sz w:val="24"/>
          <w:highlight w:val="none"/>
        </w:rPr>
        <w:fldChar w:fldCharType="begin"/>
      </w:r>
      <w:r>
        <w:rPr>
          <w:rFonts w:hint="eastAsia" w:ascii="宋体" w:hAnsi="宋体" w:cs="宋体"/>
          <w:color w:val="auto"/>
          <w:kern w:val="11"/>
          <w:sz w:val="24"/>
          <w:highlight w:val="none"/>
        </w:rPr>
        <w:instrText xml:space="preserve"> = 2 \* GB3 </w:instrText>
      </w:r>
      <w:r>
        <w:rPr>
          <w:rFonts w:hint="eastAsia" w:ascii="宋体" w:hAnsi="宋体" w:cs="宋体"/>
          <w:color w:val="auto"/>
          <w:kern w:val="11"/>
          <w:sz w:val="24"/>
          <w:highlight w:val="none"/>
        </w:rPr>
        <w:fldChar w:fldCharType="separate"/>
      </w:r>
      <w:r>
        <w:rPr>
          <w:rFonts w:hint="eastAsia" w:ascii="宋体" w:hAnsi="宋体" w:cs="宋体"/>
          <w:color w:val="auto"/>
          <w:kern w:val="11"/>
          <w:sz w:val="24"/>
          <w:highlight w:val="none"/>
        </w:rPr>
        <w:t>②</w:t>
      </w:r>
      <w:r>
        <w:rPr>
          <w:rFonts w:hint="eastAsia" w:ascii="宋体" w:hAnsi="宋体" w:cs="宋体"/>
          <w:color w:val="auto"/>
          <w:kern w:val="11"/>
          <w:sz w:val="24"/>
          <w:highlight w:val="none"/>
        </w:rPr>
        <w:fldChar w:fldCharType="end"/>
      </w:r>
      <w:r>
        <w:rPr>
          <w:rFonts w:hint="eastAsia" w:ascii="宋体" w:hAnsi="宋体" w:cs="宋体"/>
          <w:color w:val="auto"/>
          <w:kern w:val="11"/>
          <w:sz w:val="24"/>
          <w:highlight w:val="none"/>
        </w:rPr>
        <w:t>提供本企业制造的货物、承担的工程或者服务，或者提供其他中小企业制造的货物。本项所称货物不包括使用大型企业注册商标的货物。</w:t>
      </w:r>
    </w:p>
    <w:p w14:paraId="7B8E427C">
      <w:pPr>
        <w:overflowPunct w:val="0"/>
        <w:spacing w:line="480" w:lineRule="exact"/>
        <w:ind w:firstLine="480" w:firstLineChars="200"/>
        <w:rPr>
          <w:rFonts w:hint="eastAsia"/>
          <w:color w:val="auto"/>
          <w:highlight w:val="none"/>
        </w:rPr>
      </w:pPr>
      <w:r>
        <w:rPr>
          <w:rFonts w:hint="eastAsia" w:ascii="宋体" w:hAnsi="宋体"/>
          <w:color w:val="auto"/>
          <w:sz w:val="24"/>
          <w:highlight w:val="none"/>
        </w:rPr>
        <w:t>在本次货物采购项目中，供应商提供的货物既有中小企业制造货物，也有大型企业制造货物的，不享受本办法规定的中小企业扶持政策。</w:t>
      </w:r>
    </w:p>
    <w:p w14:paraId="4042A231">
      <w:pPr>
        <w:tabs>
          <w:tab w:val="left" w:pos="1440"/>
        </w:tabs>
        <w:spacing w:line="480" w:lineRule="exact"/>
        <w:ind w:left="284"/>
        <w:rPr>
          <w:rFonts w:hint="eastAsia"/>
          <w:color w:val="auto"/>
          <w:highlight w:val="none"/>
        </w:rPr>
      </w:pPr>
      <w:r>
        <w:rPr>
          <w:rFonts w:hint="eastAsia" w:ascii="宋体" w:hAnsi="宋体" w:cs="宋体"/>
          <w:color w:val="auto"/>
          <w:kern w:val="11"/>
          <w:sz w:val="24"/>
          <w:highlight w:val="none"/>
        </w:rPr>
        <w:t xml:space="preserve">    中小企业划分标准以《工业和信息化部、国家统计局、国家发展和改革委员会、财政部关于印发中小企业划型标准规定的通知》（工信部联企业[2011]300号）规定的划分标准为准。</w:t>
      </w:r>
    </w:p>
    <w:p w14:paraId="4B20335E">
      <w:pPr>
        <w:rPr>
          <w:rFonts w:hAnsi="宋体" w:cs="宋体"/>
          <w:highlight w:val="none"/>
        </w:rPr>
      </w:pPr>
      <w:r>
        <w:rPr>
          <w:rFonts w:hint="eastAsia" w:hAnsi="宋体" w:cs="宋体"/>
          <w:highlight w:val="none"/>
        </w:rPr>
        <w:br w:type="page"/>
      </w:r>
    </w:p>
    <w:p w14:paraId="5753A6EA">
      <w:pPr>
        <w:rPr>
          <w:highlight w:val="none"/>
        </w:rPr>
      </w:pPr>
    </w:p>
    <w:p w14:paraId="30A515AF">
      <w:pPr>
        <w:pStyle w:val="3"/>
        <w:spacing w:line="480" w:lineRule="exact"/>
        <w:rPr>
          <w:rFonts w:hAnsi="宋体" w:cs="宋体"/>
          <w:highlight w:val="none"/>
        </w:rPr>
      </w:pPr>
      <w:r>
        <w:rPr>
          <w:rFonts w:hint="eastAsia" w:hAnsi="宋体" w:cs="宋体"/>
          <w:highlight w:val="none"/>
        </w:rPr>
        <w:t>第6章 响应文件格式</w:t>
      </w:r>
      <w:bookmarkEnd w:id="258"/>
      <w:bookmarkEnd w:id="259"/>
      <w:bookmarkEnd w:id="260"/>
      <w:bookmarkEnd w:id="261"/>
      <w:bookmarkEnd w:id="262"/>
    </w:p>
    <w:p w14:paraId="42D32AD9">
      <w:pPr>
        <w:pStyle w:val="4"/>
        <w:spacing w:line="480" w:lineRule="exact"/>
        <w:ind w:left="722" w:hanging="722" w:hangingChars="257"/>
        <w:rPr>
          <w:rFonts w:ascii="宋体" w:hAnsi="宋体" w:cs="宋体"/>
          <w:highlight w:val="none"/>
        </w:rPr>
      </w:pPr>
      <w:bookmarkStart w:id="263" w:name="_Toc27723"/>
      <w:bookmarkStart w:id="264" w:name="_Toc46235127"/>
      <w:bookmarkStart w:id="265" w:name="_Toc68259629"/>
      <w:r>
        <w:rPr>
          <w:rFonts w:hint="eastAsia" w:ascii="宋体" w:hAnsi="宋体" w:cs="宋体"/>
          <w:highlight w:val="none"/>
        </w:rPr>
        <w:t>一、封面格式</w:t>
      </w:r>
      <w:bookmarkEnd w:id="263"/>
      <w:bookmarkEnd w:id="264"/>
      <w:bookmarkEnd w:id="265"/>
    </w:p>
    <w:tbl>
      <w:tblPr>
        <w:tblStyle w:val="2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7967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14:paraId="16C0A292">
            <w:pPr>
              <w:spacing w:line="480" w:lineRule="exact"/>
              <w:jc w:val="center"/>
              <w:rPr>
                <w:rFonts w:ascii="宋体" w:hAnsi="宋体" w:cs="宋体"/>
                <w:highlight w:val="none"/>
              </w:rPr>
            </w:pPr>
          </w:p>
          <w:p w14:paraId="21B52BA0">
            <w:pPr>
              <w:spacing w:line="480" w:lineRule="exact"/>
              <w:jc w:val="center"/>
              <w:rPr>
                <w:rFonts w:ascii="宋体" w:hAnsi="宋体" w:cs="宋体"/>
                <w:b/>
                <w:sz w:val="30"/>
                <w:szCs w:val="30"/>
                <w:highlight w:val="none"/>
              </w:rPr>
            </w:pPr>
            <w:r>
              <w:rPr>
                <w:rFonts w:hint="eastAsia" w:ascii="宋体" w:hAnsi="宋体" w:cs="宋体"/>
                <w:b/>
                <w:sz w:val="30"/>
                <w:szCs w:val="30"/>
                <w:highlight w:val="none"/>
              </w:rPr>
              <w:t>响应文件</w:t>
            </w:r>
          </w:p>
          <w:p w14:paraId="09E0C9AA">
            <w:pPr>
              <w:spacing w:line="480" w:lineRule="exact"/>
              <w:jc w:val="center"/>
              <w:rPr>
                <w:rFonts w:ascii="宋体" w:hAnsi="宋体" w:cs="宋体"/>
                <w:b/>
                <w:sz w:val="30"/>
                <w:szCs w:val="30"/>
                <w:highlight w:val="none"/>
              </w:rPr>
            </w:pPr>
          </w:p>
          <w:p w14:paraId="5982AA83">
            <w:pPr>
              <w:spacing w:line="480" w:lineRule="exact"/>
              <w:jc w:val="center"/>
              <w:rPr>
                <w:rFonts w:ascii="宋体" w:hAnsi="宋体" w:cs="宋体"/>
                <w:sz w:val="24"/>
                <w:highlight w:val="none"/>
              </w:rPr>
            </w:pPr>
            <w:r>
              <w:rPr>
                <w:rFonts w:hint="eastAsia" w:ascii="宋体" w:hAnsi="宋体" w:cs="宋体"/>
                <w:sz w:val="24"/>
                <w:highlight w:val="none"/>
              </w:rPr>
              <w:t>项目编号：</w:t>
            </w:r>
          </w:p>
          <w:p w14:paraId="6E2BD99D">
            <w:pPr>
              <w:spacing w:line="480" w:lineRule="exact"/>
              <w:jc w:val="center"/>
              <w:rPr>
                <w:rFonts w:ascii="宋体" w:hAnsi="宋体" w:cs="宋体"/>
                <w:sz w:val="24"/>
                <w:highlight w:val="none"/>
              </w:rPr>
            </w:pPr>
            <w:r>
              <w:rPr>
                <w:rFonts w:hint="eastAsia" w:ascii="宋体" w:hAnsi="宋体" w:cs="宋体"/>
                <w:sz w:val="24"/>
                <w:highlight w:val="none"/>
              </w:rPr>
              <w:t>项目名称：</w:t>
            </w:r>
          </w:p>
          <w:p w14:paraId="11F36A6B">
            <w:pPr>
              <w:spacing w:line="480" w:lineRule="exact"/>
              <w:jc w:val="center"/>
              <w:rPr>
                <w:rFonts w:ascii="宋体" w:hAnsi="宋体" w:cs="宋体"/>
                <w:sz w:val="24"/>
                <w:highlight w:val="none"/>
              </w:rPr>
            </w:pPr>
            <w:r>
              <w:rPr>
                <w:rFonts w:hint="eastAsia" w:ascii="宋体" w:hAnsi="宋体" w:cs="宋体"/>
                <w:sz w:val="24"/>
                <w:highlight w:val="none"/>
              </w:rPr>
              <w:t>项目包号：</w:t>
            </w:r>
          </w:p>
          <w:p w14:paraId="44A488DF">
            <w:pPr>
              <w:spacing w:line="480" w:lineRule="exact"/>
              <w:jc w:val="center"/>
              <w:rPr>
                <w:rFonts w:ascii="宋体" w:hAnsi="宋体" w:cs="宋体"/>
                <w:sz w:val="24"/>
                <w:highlight w:val="none"/>
              </w:rPr>
            </w:pPr>
            <w:r>
              <w:rPr>
                <w:rFonts w:hint="eastAsia" w:ascii="宋体" w:hAnsi="宋体" w:cs="宋体"/>
                <w:sz w:val="24"/>
                <w:highlight w:val="none"/>
              </w:rPr>
              <w:t>供应商名称（公章）：</w:t>
            </w:r>
          </w:p>
          <w:p w14:paraId="6630D2FA">
            <w:pPr>
              <w:spacing w:line="480" w:lineRule="exact"/>
              <w:jc w:val="center"/>
              <w:rPr>
                <w:rFonts w:ascii="宋体" w:hAnsi="宋体" w:cs="宋体"/>
                <w:sz w:val="24"/>
                <w:highlight w:val="none"/>
              </w:rPr>
            </w:pPr>
            <w:r>
              <w:rPr>
                <w:rFonts w:hint="eastAsia" w:ascii="宋体" w:hAnsi="宋体" w:cs="宋体"/>
                <w:sz w:val="24"/>
                <w:highlight w:val="none"/>
              </w:rPr>
              <w:t>日 期：</w:t>
            </w:r>
          </w:p>
          <w:p w14:paraId="5CCBF44A">
            <w:pPr>
              <w:spacing w:line="480" w:lineRule="exact"/>
              <w:rPr>
                <w:rFonts w:ascii="宋体" w:hAnsi="宋体" w:cs="宋体"/>
                <w:highlight w:val="none"/>
              </w:rPr>
            </w:pPr>
          </w:p>
        </w:tc>
      </w:tr>
    </w:tbl>
    <w:p w14:paraId="6AB4FAF9">
      <w:pPr>
        <w:rPr>
          <w:rFonts w:ascii="宋体" w:hAnsi="宋体" w:cs="宋体"/>
          <w:highlight w:val="none"/>
        </w:rPr>
      </w:pPr>
      <w:bookmarkStart w:id="266" w:name="_Toc68259630"/>
      <w:bookmarkStart w:id="267" w:name="_Toc518923108"/>
      <w:bookmarkStart w:id="268" w:name="_Toc46235128"/>
      <w:r>
        <w:rPr>
          <w:rFonts w:ascii="宋体" w:hAnsi="宋体" w:cs="宋体"/>
          <w:highlight w:val="none"/>
        </w:rPr>
        <w:br w:type="page"/>
      </w:r>
    </w:p>
    <w:p w14:paraId="78348B40">
      <w:pPr>
        <w:pStyle w:val="4"/>
        <w:spacing w:line="480" w:lineRule="exact"/>
        <w:ind w:left="722" w:hanging="722" w:hangingChars="257"/>
        <w:rPr>
          <w:rFonts w:ascii="宋体" w:hAnsi="宋体" w:cs="宋体"/>
          <w:highlight w:val="none"/>
        </w:rPr>
      </w:pPr>
      <w:bookmarkStart w:id="269" w:name="_Toc13711"/>
      <w:r>
        <w:rPr>
          <w:rFonts w:hint="eastAsia" w:ascii="宋体" w:hAnsi="宋体" w:cs="宋体"/>
          <w:highlight w:val="none"/>
        </w:rPr>
        <w:t>二、评审因素索引表</w:t>
      </w:r>
      <w:bookmarkEnd w:id="269"/>
    </w:p>
    <w:p w14:paraId="40719E82">
      <w:pPr>
        <w:pStyle w:val="45"/>
        <w:spacing w:line="480" w:lineRule="exact"/>
        <w:ind w:left="0" w:firstLine="0"/>
        <w:jc w:val="left"/>
        <w:rPr>
          <w:rFonts w:ascii="宋体" w:hAnsi="宋体" w:cs="宋体"/>
          <w:sz w:val="24"/>
          <w:highlight w:val="none"/>
        </w:rPr>
      </w:pPr>
      <w:r>
        <w:rPr>
          <w:rFonts w:hint="eastAsia" w:ascii="宋体" w:hAnsi="宋体" w:cs="宋体"/>
          <w:sz w:val="24"/>
          <w:highlight w:val="none"/>
        </w:rPr>
        <w:t>致供应商：</w:t>
      </w:r>
    </w:p>
    <w:p w14:paraId="4DCBE203">
      <w:pPr>
        <w:pStyle w:val="45"/>
        <w:spacing w:line="360" w:lineRule="auto"/>
        <w:ind w:left="0" w:firstLineChars="200"/>
        <w:jc w:val="left"/>
        <w:rPr>
          <w:rFonts w:ascii="宋体" w:hAnsi="宋体" w:cs="宋体"/>
          <w:sz w:val="24"/>
          <w:highlight w:val="none"/>
        </w:rPr>
      </w:pPr>
      <w:r>
        <w:rPr>
          <w:rFonts w:hint="eastAsia" w:ascii="宋体" w:hAnsi="宋体" w:cs="宋体"/>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sz w:val="24"/>
          <w:highlight w:val="none"/>
        </w:rPr>
        <w:t>（报价或价格项不必填写）</w:t>
      </w:r>
      <w:r>
        <w:rPr>
          <w:rFonts w:hint="eastAsia" w:ascii="宋体" w:hAnsi="宋体" w:cs="宋体"/>
          <w:sz w:val="24"/>
          <w:highlight w:val="none"/>
        </w:rPr>
        <w:t>。</w:t>
      </w:r>
    </w:p>
    <w:tbl>
      <w:tblPr>
        <w:tblStyle w:val="28"/>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455"/>
        <w:gridCol w:w="6078"/>
        <w:gridCol w:w="820"/>
      </w:tblGrid>
      <w:tr w14:paraId="3A1C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58" w:type="pct"/>
            <w:tcBorders>
              <w:top w:val="single" w:color="auto" w:sz="4" w:space="0"/>
              <w:left w:val="single" w:color="auto" w:sz="4" w:space="0"/>
              <w:bottom w:val="single" w:color="auto" w:sz="4" w:space="0"/>
              <w:right w:val="single" w:color="auto" w:sz="4" w:space="0"/>
            </w:tcBorders>
            <w:noWrap/>
            <w:vAlign w:val="center"/>
          </w:tcPr>
          <w:p w14:paraId="1D232AC2">
            <w:pPr>
              <w:spacing w:line="480" w:lineRule="exact"/>
              <w:jc w:val="center"/>
              <w:rPr>
                <w:rFonts w:ascii="宋体" w:hAnsi="宋体" w:cs="宋体"/>
                <w:bCs/>
                <w:sz w:val="24"/>
                <w:highlight w:val="none"/>
              </w:rPr>
            </w:pPr>
            <w:r>
              <w:rPr>
                <w:rFonts w:hint="eastAsia" w:ascii="宋体" w:hAnsi="宋体" w:cs="宋体"/>
                <w:bCs/>
                <w:sz w:val="24"/>
                <w:highlight w:val="none"/>
              </w:rPr>
              <w:t>评分项目</w:t>
            </w:r>
          </w:p>
        </w:tc>
        <w:tc>
          <w:tcPr>
            <w:tcW w:w="756" w:type="pct"/>
            <w:tcBorders>
              <w:top w:val="single" w:color="auto" w:sz="4" w:space="0"/>
              <w:left w:val="single" w:color="auto" w:sz="4" w:space="0"/>
              <w:bottom w:val="single" w:color="auto" w:sz="4" w:space="0"/>
              <w:right w:val="single" w:color="auto" w:sz="4" w:space="0"/>
            </w:tcBorders>
            <w:noWrap/>
            <w:vAlign w:val="center"/>
          </w:tcPr>
          <w:p w14:paraId="5145554E">
            <w:pPr>
              <w:spacing w:line="480" w:lineRule="exact"/>
              <w:jc w:val="center"/>
              <w:rPr>
                <w:rFonts w:ascii="宋体" w:hAnsi="宋体" w:cs="宋体"/>
                <w:bCs/>
                <w:sz w:val="24"/>
                <w:highlight w:val="none"/>
              </w:rPr>
            </w:pPr>
            <w:r>
              <w:rPr>
                <w:rFonts w:hint="eastAsia" w:ascii="宋体" w:hAnsi="宋体" w:cs="宋体"/>
                <w:bCs/>
                <w:sz w:val="24"/>
                <w:highlight w:val="none"/>
              </w:rPr>
              <w:t>附表或</w:t>
            </w:r>
          </w:p>
          <w:p w14:paraId="271B8AE3">
            <w:pPr>
              <w:spacing w:line="480" w:lineRule="exact"/>
              <w:jc w:val="center"/>
              <w:rPr>
                <w:rFonts w:ascii="宋体" w:hAnsi="宋体" w:cs="宋体"/>
                <w:bCs/>
                <w:sz w:val="24"/>
                <w:highlight w:val="none"/>
              </w:rPr>
            </w:pPr>
            <w:r>
              <w:rPr>
                <w:rFonts w:hint="eastAsia" w:ascii="宋体" w:hAnsi="宋体" w:cs="宋体"/>
                <w:bCs/>
                <w:sz w:val="24"/>
                <w:highlight w:val="none"/>
              </w:rPr>
              <w:t>材料序号</w:t>
            </w:r>
          </w:p>
        </w:tc>
        <w:tc>
          <w:tcPr>
            <w:tcW w:w="3159" w:type="pct"/>
            <w:tcBorders>
              <w:top w:val="single" w:color="auto" w:sz="4" w:space="0"/>
              <w:left w:val="single" w:color="auto" w:sz="4" w:space="0"/>
              <w:bottom w:val="single" w:color="auto" w:sz="4" w:space="0"/>
              <w:right w:val="single" w:color="auto" w:sz="4" w:space="0"/>
            </w:tcBorders>
            <w:noWrap/>
            <w:vAlign w:val="center"/>
          </w:tcPr>
          <w:p w14:paraId="100BC676">
            <w:pPr>
              <w:spacing w:line="480" w:lineRule="exact"/>
              <w:jc w:val="center"/>
              <w:rPr>
                <w:rFonts w:ascii="宋体" w:hAnsi="宋体" w:cs="宋体"/>
                <w:bCs/>
                <w:sz w:val="24"/>
                <w:highlight w:val="none"/>
              </w:rPr>
            </w:pPr>
            <w:r>
              <w:rPr>
                <w:rFonts w:hint="eastAsia" w:ascii="宋体" w:hAnsi="宋体" w:cs="宋体"/>
                <w:bCs/>
                <w:sz w:val="24"/>
                <w:highlight w:val="none"/>
              </w:rPr>
              <w:t>材料明细</w:t>
            </w:r>
          </w:p>
        </w:tc>
        <w:tc>
          <w:tcPr>
            <w:tcW w:w="426" w:type="pct"/>
            <w:tcBorders>
              <w:top w:val="single" w:color="auto" w:sz="4" w:space="0"/>
              <w:left w:val="single" w:color="auto" w:sz="4" w:space="0"/>
              <w:bottom w:val="single" w:color="auto" w:sz="4" w:space="0"/>
              <w:right w:val="single" w:color="auto" w:sz="4" w:space="0"/>
            </w:tcBorders>
            <w:noWrap/>
            <w:vAlign w:val="center"/>
          </w:tcPr>
          <w:p w14:paraId="459F8CDA">
            <w:pPr>
              <w:spacing w:line="480" w:lineRule="exact"/>
              <w:jc w:val="center"/>
              <w:rPr>
                <w:rFonts w:ascii="宋体" w:hAnsi="宋体" w:cs="宋体"/>
                <w:bCs/>
                <w:sz w:val="24"/>
                <w:highlight w:val="none"/>
              </w:rPr>
            </w:pPr>
            <w:r>
              <w:rPr>
                <w:rFonts w:hint="eastAsia" w:ascii="宋体" w:hAnsi="宋体" w:cs="宋体"/>
                <w:bCs/>
                <w:sz w:val="24"/>
                <w:highlight w:val="none"/>
              </w:rPr>
              <w:t>对应</w:t>
            </w:r>
          </w:p>
          <w:p w14:paraId="45095B6D">
            <w:pPr>
              <w:spacing w:line="480" w:lineRule="exact"/>
              <w:jc w:val="center"/>
              <w:rPr>
                <w:rFonts w:ascii="宋体" w:hAnsi="宋体" w:cs="宋体"/>
                <w:bCs/>
                <w:sz w:val="24"/>
                <w:highlight w:val="none"/>
              </w:rPr>
            </w:pPr>
            <w:r>
              <w:rPr>
                <w:rFonts w:hint="eastAsia" w:ascii="宋体" w:hAnsi="宋体" w:cs="宋体"/>
                <w:bCs/>
                <w:sz w:val="24"/>
                <w:highlight w:val="none"/>
              </w:rPr>
              <w:t>页码</w:t>
            </w:r>
          </w:p>
        </w:tc>
      </w:tr>
      <w:tr w14:paraId="7BFF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restart"/>
            <w:tcBorders>
              <w:top w:val="single" w:color="auto" w:sz="4" w:space="0"/>
              <w:left w:val="single" w:color="auto" w:sz="4" w:space="0"/>
              <w:right w:val="single" w:color="auto" w:sz="4" w:space="0"/>
            </w:tcBorders>
            <w:noWrap/>
            <w:vAlign w:val="center"/>
          </w:tcPr>
          <w:p w14:paraId="206CC4DA">
            <w:pPr>
              <w:spacing w:line="480" w:lineRule="exact"/>
              <w:jc w:val="center"/>
              <w:rPr>
                <w:rFonts w:ascii="宋体" w:hAnsi="宋体" w:cs="宋体"/>
                <w:bCs/>
                <w:sz w:val="24"/>
                <w:highlight w:val="none"/>
              </w:rPr>
            </w:pPr>
            <w:r>
              <w:rPr>
                <w:rFonts w:hint="eastAsia" w:ascii="宋体" w:hAnsi="宋体" w:cs="宋体"/>
                <w:bCs/>
                <w:sz w:val="24"/>
                <w:highlight w:val="none"/>
              </w:rPr>
              <w:t>供</w:t>
            </w:r>
          </w:p>
          <w:p w14:paraId="4D21D4D5">
            <w:pPr>
              <w:spacing w:line="480" w:lineRule="exact"/>
              <w:jc w:val="center"/>
              <w:rPr>
                <w:rFonts w:ascii="宋体" w:hAnsi="宋体" w:cs="宋体"/>
                <w:bCs/>
                <w:sz w:val="24"/>
                <w:highlight w:val="none"/>
              </w:rPr>
            </w:pPr>
            <w:r>
              <w:rPr>
                <w:rFonts w:hint="eastAsia" w:ascii="宋体" w:hAnsi="宋体" w:cs="宋体"/>
                <w:bCs/>
                <w:sz w:val="24"/>
                <w:highlight w:val="none"/>
              </w:rPr>
              <w:t>应</w:t>
            </w:r>
          </w:p>
          <w:p w14:paraId="765DA178">
            <w:pPr>
              <w:spacing w:line="480" w:lineRule="exact"/>
              <w:jc w:val="center"/>
              <w:rPr>
                <w:rFonts w:ascii="宋体" w:hAnsi="宋体" w:cs="宋体"/>
                <w:bCs/>
                <w:sz w:val="24"/>
                <w:highlight w:val="none"/>
              </w:rPr>
            </w:pPr>
            <w:r>
              <w:rPr>
                <w:rFonts w:hint="eastAsia" w:ascii="宋体" w:hAnsi="宋体" w:cs="宋体"/>
                <w:bCs/>
                <w:sz w:val="24"/>
                <w:highlight w:val="none"/>
              </w:rPr>
              <w:t>商</w:t>
            </w:r>
          </w:p>
          <w:p w14:paraId="6F88E861">
            <w:pPr>
              <w:spacing w:line="480" w:lineRule="exact"/>
              <w:jc w:val="center"/>
              <w:rPr>
                <w:rFonts w:ascii="宋体" w:hAnsi="宋体" w:cs="宋体"/>
                <w:bCs/>
                <w:sz w:val="24"/>
                <w:highlight w:val="none"/>
              </w:rPr>
            </w:pPr>
            <w:r>
              <w:rPr>
                <w:rFonts w:hint="eastAsia" w:ascii="宋体" w:hAnsi="宋体" w:cs="宋体"/>
                <w:bCs/>
                <w:sz w:val="24"/>
                <w:highlight w:val="none"/>
              </w:rPr>
              <w:t>投</w:t>
            </w:r>
          </w:p>
          <w:p w14:paraId="328C765D">
            <w:pPr>
              <w:spacing w:line="480" w:lineRule="exact"/>
              <w:jc w:val="center"/>
              <w:rPr>
                <w:rFonts w:ascii="宋体" w:hAnsi="宋体" w:cs="宋体"/>
                <w:bCs/>
                <w:sz w:val="24"/>
                <w:highlight w:val="none"/>
              </w:rPr>
            </w:pPr>
            <w:r>
              <w:rPr>
                <w:rFonts w:hint="eastAsia" w:ascii="宋体" w:hAnsi="宋体" w:cs="宋体"/>
                <w:bCs/>
                <w:sz w:val="24"/>
                <w:highlight w:val="none"/>
              </w:rPr>
              <w:t>标</w:t>
            </w:r>
          </w:p>
          <w:p w14:paraId="2FBCA4B3">
            <w:pPr>
              <w:spacing w:line="480" w:lineRule="exact"/>
              <w:jc w:val="center"/>
              <w:rPr>
                <w:rFonts w:ascii="宋体" w:hAnsi="宋体" w:cs="宋体"/>
                <w:bCs/>
                <w:sz w:val="24"/>
                <w:highlight w:val="none"/>
              </w:rPr>
            </w:pPr>
            <w:r>
              <w:rPr>
                <w:rFonts w:hint="eastAsia" w:ascii="宋体" w:hAnsi="宋体" w:cs="宋体"/>
                <w:bCs/>
                <w:sz w:val="24"/>
                <w:highlight w:val="none"/>
              </w:rPr>
              <w:t>资</w:t>
            </w:r>
          </w:p>
          <w:p w14:paraId="3DA89905">
            <w:pPr>
              <w:spacing w:line="480" w:lineRule="exact"/>
              <w:jc w:val="center"/>
              <w:rPr>
                <w:rFonts w:ascii="宋体" w:hAnsi="宋体" w:cs="宋体"/>
                <w:bCs/>
                <w:sz w:val="24"/>
                <w:highlight w:val="none"/>
              </w:rPr>
            </w:pPr>
            <w:r>
              <w:rPr>
                <w:rFonts w:hint="eastAsia" w:ascii="宋体" w:hAnsi="宋体" w:cs="宋体"/>
                <w:bCs/>
                <w:sz w:val="24"/>
                <w:highlight w:val="none"/>
              </w:rPr>
              <w:t>格</w:t>
            </w:r>
          </w:p>
          <w:p w14:paraId="1F5149BA">
            <w:pPr>
              <w:spacing w:line="480" w:lineRule="exact"/>
              <w:jc w:val="center"/>
              <w:rPr>
                <w:rFonts w:ascii="宋体" w:hAnsi="宋体" w:cs="宋体"/>
                <w:bCs/>
                <w:sz w:val="24"/>
                <w:highlight w:val="none"/>
              </w:rPr>
            </w:pPr>
            <w:r>
              <w:rPr>
                <w:rFonts w:hint="eastAsia" w:ascii="宋体" w:hAnsi="宋体" w:cs="宋体"/>
                <w:bCs/>
                <w:sz w:val="24"/>
                <w:highlight w:val="none"/>
              </w:rPr>
              <w:t>资</w:t>
            </w:r>
          </w:p>
          <w:p w14:paraId="6AA4F949">
            <w:pPr>
              <w:spacing w:line="480" w:lineRule="exact"/>
              <w:jc w:val="center"/>
              <w:rPr>
                <w:rFonts w:ascii="宋体" w:hAnsi="宋体" w:cs="宋体"/>
                <w:bCs/>
                <w:sz w:val="24"/>
                <w:highlight w:val="none"/>
              </w:rPr>
            </w:pPr>
            <w:r>
              <w:rPr>
                <w:rFonts w:hint="eastAsia" w:ascii="宋体" w:hAnsi="宋体" w:cs="宋体"/>
                <w:bCs/>
                <w:sz w:val="24"/>
                <w:highlight w:val="none"/>
              </w:rPr>
              <w:t>质</w:t>
            </w:r>
          </w:p>
          <w:p w14:paraId="17202E60">
            <w:pPr>
              <w:spacing w:line="480" w:lineRule="exact"/>
              <w:jc w:val="center"/>
              <w:rPr>
                <w:rFonts w:ascii="宋体" w:hAnsi="宋体" w:cs="宋体"/>
                <w:bCs/>
                <w:sz w:val="24"/>
                <w:highlight w:val="none"/>
              </w:rPr>
            </w:pPr>
            <w:r>
              <w:rPr>
                <w:rFonts w:hint="eastAsia" w:ascii="宋体" w:hAnsi="宋体" w:cs="宋体"/>
                <w:bCs/>
                <w:sz w:val="24"/>
                <w:highlight w:val="none"/>
              </w:rPr>
              <w:t>证</w:t>
            </w:r>
          </w:p>
          <w:p w14:paraId="27E13375">
            <w:pPr>
              <w:spacing w:line="480" w:lineRule="exact"/>
              <w:jc w:val="center"/>
              <w:rPr>
                <w:rFonts w:ascii="宋体" w:hAnsi="宋体" w:cs="宋体"/>
                <w:bCs/>
                <w:sz w:val="24"/>
                <w:highlight w:val="none"/>
              </w:rPr>
            </w:pPr>
            <w:r>
              <w:rPr>
                <w:rFonts w:hint="eastAsia" w:ascii="宋体" w:hAnsi="宋体" w:cs="宋体"/>
                <w:bCs/>
                <w:sz w:val="24"/>
                <w:highlight w:val="none"/>
              </w:rPr>
              <w:t>明</w:t>
            </w:r>
          </w:p>
          <w:p w14:paraId="259AFC53">
            <w:pPr>
              <w:spacing w:line="480" w:lineRule="exact"/>
              <w:jc w:val="center"/>
              <w:rPr>
                <w:rFonts w:ascii="宋体" w:hAnsi="宋体" w:cs="宋体"/>
                <w:bCs/>
                <w:sz w:val="24"/>
                <w:highlight w:val="none"/>
              </w:rPr>
            </w:pPr>
            <w:r>
              <w:rPr>
                <w:rFonts w:hint="eastAsia" w:ascii="宋体" w:hAnsi="宋体" w:cs="宋体"/>
                <w:bCs/>
                <w:sz w:val="24"/>
                <w:highlight w:val="none"/>
              </w:rPr>
              <w:t>材</w:t>
            </w:r>
          </w:p>
          <w:p w14:paraId="593F3C6F">
            <w:pPr>
              <w:spacing w:line="480" w:lineRule="exact"/>
              <w:jc w:val="center"/>
              <w:rPr>
                <w:rFonts w:ascii="宋体" w:hAnsi="宋体" w:cs="宋体"/>
                <w:bCs/>
                <w:sz w:val="24"/>
                <w:highlight w:val="none"/>
              </w:rPr>
            </w:pPr>
            <w:r>
              <w:rPr>
                <w:rFonts w:hint="eastAsia" w:ascii="宋体" w:hAnsi="宋体" w:cs="宋体"/>
                <w:bCs/>
                <w:sz w:val="24"/>
                <w:highlight w:val="none"/>
              </w:rPr>
              <w:t>料</w:t>
            </w:r>
          </w:p>
        </w:tc>
        <w:tc>
          <w:tcPr>
            <w:tcW w:w="756" w:type="pct"/>
            <w:tcBorders>
              <w:top w:val="single" w:color="auto" w:sz="4" w:space="0"/>
              <w:left w:val="single" w:color="auto" w:sz="4" w:space="0"/>
              <w:bottom w:val="single" w:color="auto" w:sz="4" w:space="0"/>
              <w:right w:val="single" w:color="auto" w:sz="4" w:space="0"/>
            </w:tcBorders>
            <w:noWrap/>
            <w:vAlign w:val="center"/>
          </w:tcPr>
          <w:p w14:paraId="4F8CDA0D">
            <w:pPr>
              <w:spacing w:line="480" w:lineRule="exact"/>
              <w:jc w:val="center"/>
              <w:rPr>
                <w:rFonts w:ascii="宋体" w:hAnsi="宋体" w:cs="宋体"/>
                <w:bCs/>
                <w:sz w:val="24"/>
                <w:highlight w:val="none"/>
              </w:rPr>
            </w:pPr>
            <w:r>
              <w:rPr>
                <w:rFonts w:hint="eastAsia" w:ascii="宋体" w:hAnsi="宋体" w:cs="宋体"/>
                <w:bCs/>
                <w:sz w:val="24"/>
                <w:highlight w:val="none"/>
              </w:rPr>
              <w:t>1</w:t>
            </w:r>
          </w:p>
        </w:tc>
        <w:tc>
          <w:tcPr>
            <w:tcW w:w="3159" w:type="pct"/>
            <w:tcBorders>
              <w:top w:val="single" w:color="auto" w:sz="4" w:space="0"/>
              <w:left w:val="single" w:color="auto" w:sz="4" w:space="0"/>
              <w:bottom w:val="single" w:color="auto" w:sz="4" w:space="0"/>
              <w:right w:val="single" w:color="auto" w:sz="4" w:space="0"/>
            </w:tcBorders>
            <w:noWrap/>
            <w:vAlign w:val="center"/>
          </w:tcPr>
          <w:p w14:paraId="136A7710">
            <w:pPr>
              <w:spacing w:line="480" w:lineRule="exact"/>
              <w:jc w:val="left"/>
              <w:rPr>
                <w:rFonts w:ascii="宋体" w:hAnsi="宋体" w:cs="宋体"/>
                <w:bCs/>
                <w:sz w:val="24"/>
                <w:highlight w:val="none"/>
              </w:rPr>
            </w:pPr>
            <w:r>
              <w:rPr>
                <w:rFonts w:hint="eastAsia" w:ascii="宋体" w:hAnsi="宋体" w:cs="宋体"/>
                <w:bCs/>
                <w:sz w:val="24"/>
                <w:highlight w:val="none"/>
              </w:rPr>
              <w:t>响应函</w:t>
            </w:r>
          </w:p>
        </w:tc>
        <w:tc>
          <w:tcPr>
            <w:tcW w:w="426" w:type="pct"/>
            <w:tcBorders>
              <w:top w:val="single" w:color="auto" w:sz="4" w:space="0"/>
              <w:left w:val="single" w:color="auto" w:sz="4" w:space="0"/>
              <w:bottom w:val="single" w:color="auto" w:sz="4" w:space="0"/>
              <w:right w:val="single" w:color="auto" w:sz="4" w:space="0"/>
            </w:tcBorders>
            <w:noWrap/>
            <w:vAlign w:val="center"/>
          </w:tcPr>
          <w:p w14:paraId="6EACC6B6">
            <w:pPr>
              <w:spacing w:line="480" w:lineRule="exact"/>
              <w:rPr>
                <w:rFonts w:ascii="宋体" w:hAnsi="宋体" w:cs="宋体"/>
                <w:bCs/>
                <w:sz w:val="24"/>
                <w:highlight w:val="none"/>
              </w:rPr>
            </w:pPr>
          </w:p>
        </w:tc>
      </w:tr>
      <w:tr w14:paraId="594B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592D18C7">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3EC6B335">
            <w:pPr>
              <w:spacing w:line="480" w:lineRule="exact"/>
              <w:jc w:val="center"/>
              <w:rPr>
                <w:rFonts w:ascii="宋体" w:hAnsi="宋体" w:cs="宋体"/>
                <w:bCs/>
                <w:sz w:val="24"/>
                <w:highlight w:val="none"/>
              </w:rPr>
            </w:pPr>
            <w:r>
              <w:rPr>
                <w:rFonts w:hint="eastAsia" w:ascii="宋体" w:hAnsi="宋体" w:cs="宋体"/>
                <w:bCs/>
                <w:sz w:val="24"/>
                <w:highlight w:val="none"/>
              </w:rPr>
              <w:t>2</w:t>
            </w:r>
          </w:p>
        </w:tc>
        <w:tc>
          <w:tcPr>
            <w:tcW w:w="3159" w:type="pct"/>
            <w:tcBorders>
              <w:top w:val="single" w:color="auto" w:sz="4" w:space="0"/>
              <w:left w:val="single" w:color="auto" w:sz="4" w:space="0"/>
              <w:bottom w:val="single" w:color="auto" w:sz="4" w:space="0"/>
              <w:right w:val="single" w:color="auto" w:sz="4" w:space="0"/>
            </w:tcBorders>
            <w:noWrap/>
            <w:vAlign w:val="center"/>
          </w:tcPr>
          <w:p w14:paraId="59E0E7C9">
            <w:pPr>
              <w:spacing w:line="480" w:lineRule="exact"/>
              <w:jc w:val="left"/>
              <w:rPr>
                <w:rFonts w:ascii="宋体" w:hAnsi="宋体" w:cs="宋体"/>
                <w:bCs/>
                <w:sz w:val="24"/>
                <w:highlight w:val="none"/>
              </w:rPr>
            </w:pPr>
            <w:r>
              <w:rPr>
                <w:rFonts w:hint="eastAsia" w:ascii="宋体" w:hAnsi="宋体" w:cs="宋体"/>
                <w:bCs/>
                <w:sz w:val="24"/>
                <w:highlight w:val="none"/>
              </w:rPr>
              <w:t>法定代表人授权委托书</w:t>
            </w:r>
          </w:p>
        </w:tc>
        <w:tc>
          <w:tcPr>
            <w:tcW w:w="426" w:type="pct"/>
            <w:tcBorders>
              <w:top w:val="single" w:color="auto" w:sz="4" w:space="0"/>
              <w:left w:val="single" w:color="auto" w:sz="4" w:space="0"/>
              <w:bottom w:val="single" w:color="auto" w:sz="4" w:space="0"/>
              <w:right w:val="single" w:color="auto" w:sz="4" w:space="0"/>
            </w:tcBorders>
            <w:noWrap/>
            <w:vAlign w:val="center"/>
          </w:tcPr>
          <w:p w14:paraId="4F8CE9D5">
            <w:pPr>
              <w:spacing w:line="480" w:lineRule="exact"/>
              <w:rPr>
                <w:rFonts w:ascii="宋体" w:hAnsi="宋体" w:cs="宋体"/>
                <w:bCs/>
                <w:sz w:val="24"/>
                <w:highlight w:val="none"/>
              </w:rPr>
            </w:pPr>
          </w:p>
        </w:tc>
      </w:tr>
      <w:tr w14:paraId="611C6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42E09C0C">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223A1BD5">
            <w:pPr>
              <w:spacing w:line="480" w:lineRule="exact"/>
              <w:jc w:val="center"/>
              <w:rPr>
                <w:rFonts w:ascii="宋体" w:hAnsi="宋体" w:cs="宋体"/>
                <w:bCs/>
                <w:sz w:val="24"/>
                <w:highlight w:val="none"/>
              </w:rPr>
            </w:pPr>
            <w:r>
              <w:rPr>
                <w:rFonts w:hint="eastAsia" w:ascii="宋体" w:hAnsi="宋体" w:cs="宋体"/>
                <w:bCs/>
                <w:sz w:val="24"/>
                <w:highlight w:val="none"/>
              </w:rPr>
              <w:t>3</w:t>
            </w:r>
          </w:p>
        </w:tc>
        <w:tc>
          <w:tcPr>
            <w:tcW w:w="3159" w:type="pct"/>
            <w:tcBorders>
              <w:top w:val="single" w:color="auto" w:sz="4" w:space="0"/>
              <w:left w:val="single" w:color="auto" w:sz="4" w:space="0"/>
              <w:bottom w:val="single" w:color="auto" w:sz="4" w:space="0"/>
              <w:right w:val="single" w:color="auto" w:sz="4" w:space="0"/>
            </w:tcBorders>
            <w:noWrap/>
            <w:vAlign w:val="center"/>
          </w:tcPr>
          <w:p w14:paraId="63F2EF43">
            <w:pPr>
              <w:pStyle w:val="4"/>
              <w:keepNext w:val="0"/>
              <w:spacing w:before="0" w:line="480" w:lineRule="exact"/>
              <w:jc w:val="left"/>
              <w:rPr>
                <w:rFonts w:ascii="宋体" w:hAnsi="宋体" w:cs="宋体"/>
                <w:b w:val="0"/>
                <w:bCs/>
                <w:kern w:val="2"/>
                <w:sz w:val="24"/>
                <w:szCs w:val="24"/>
                <w:highlight w:val="none"/>
              </w:rPr>
            </w:pPr>
            <w:bookmarkStart w:id="270" w:name="_Toc3417"/>
            <w:r>
              <w:rPr>
                <w:rFonts w:hint="eastAsia" w:ascii="宋体" w:hAnsi="宋体" w:cs="宋体"/>
                <w:b w:val="0"/>
                <w:bCs/>
                <w:kern w:val="2"/>
                <w:sz w:val="24"/>
                <w:szCs w:val="24"/>
                <w:highlight w:val="none"/>
              </w:rPr>
              <w:t>法定代表人身份证明书</w:t>
            </w:r>
            <w:bookmarkEnd w:id="270"/>
          </w:p>
        </w:tc>
        <w:tc>
          <w:tcPr>
            <w:tcW w:w="426" w:type="pct"/>
            <w:tcBorders>
              <w:top w:val="single" w:color="auto" w:sz="4" w:space="0"/>
              <w:left w:val="single" w:color="auto" w:sz="4" w:space="0"/>
              <w:bottom w:val="single" w:color="auto" w:sz="4" w:space="0"/>
              <w:right w:val="single" w:color="auto" w:sz="4" w:space="0"/>
            </w:tcBorders>
            <w:noWrap/>
            <w:vAlign w:val="center"/>
          </w:tcPr>
          <w:p w14:paraId="62B72BE1">
            <w:pPr>
              <w:spacing w:line="480" w:lineRule="exact"/>
              <w:rPr>
                <w:rFonts w:ascii="宋体" w:hAnsi="宋体" w:cs="宋体"/>
                <w:bCs/>
                <w:sz w:val="24"/>
                <w:highlight w:val="none"/>
              </w:rPr>
            </w:pPr>
          </w:p>
        </w:tc>
      </w:tr>
      <w:tr w14:paraId="50D7A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631B94D5">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5AB64C2D">
            <w:pPr>
              <w:spacing w:line="480" w:lineRule="exact"/>
              <w:jc w:val="center"/>
              <w:rPr>
                <w:rFonts w:hint="eastAsia" w:ascii="宋体" w:hAnsi="宋体" w:eastAsia="宋体" w:cs="宋体"/>
                <w:bCs/>
                <w:sz w:val="24"/>
                <w:highlight w:val="none"/>
                <w:lang w:eastAsia="zh-CN"/>
              </w:rPr>
            </w:pPr>
            <w:r>
              <w:rPr>
                <w:rFonts w:hint="eastAsia" w:ascii="宋体" w:hAnsi="宋体" w:cs="宋体"/>
                <w:bCs/>
                <w:sz w:val="24"/>
                <w:highlight w:val="none"/>
                <w:lang w:val="en-US" w:eastAsia="zh-CN"/>
              </w:rPr>
              <w:t>4</w:t>
            </w:r>
          </w:p>
        </w:tc>
        <w:tc>
          <w:tcPr>
            <w:tcW w:w="3159" w:type="pct"/>
            <w:tcBorders>
              <w:top w:val="single" w:color="auto" w:sz="4" w:space="0"/>
              <w:left w:val="single" w:color="auto" w:sz="4" w:space="0"/>
              <w:bottom w:val="single" w:color="auto" w:sz="4" w:space="0"/>
              <w:right w:val="single" w:color="auto" w:sz="4" w:space="0"/>
            </w:tcBorders>
            <w:noWrap/>
            <w:vAlign w:val="center"/>
          </w:tcPr>
          <w:p w14:paraId="3BC95ECA">
            <w:pPr>
              <w:spacing w:line="480" w:lineRule="exact"/>
              <w:jc w:val="left"/>
              <w:rPr>
                <w:rFonts w:ascii="宋体" w:hAnsi="宋体" w:cs="宋体"/>
                <w:bCs/>
                <w:sz w:val="24"/>
                <w:highlight w:val="none"/>
              </w:rPr>
            </w:pPr>
            <w:r>
              <w:rPr>
                <w:rFonts w:hint="eastAsia" w:hAnsi="宋体" w:cs="宋体"/>
                <w:bCs/>
                <w:sz w:val="24"/>
                <w:highlight w:val="none"/>
              </w:rPr>
              <w:t>营业执照证明文件</w:t>
            </w:r>
          </w:p>
        </w:tc>
        <w:tc>
          <w:tcPr>
            <w:tcW w:w="426" w:type="pct"/>
            <w:tcBorders>
              <w:top w:val="single" w:color="auto" w:sz="4" w:space="0"/>
              <w:left w:val="single" w:color="auto" w:sz="4" w:space="0"/>
              <w:bottom w:val="single" w:color="auto" w:sz="4" w:space="0"/>
              <w:right w:val="single" w:color="auto" w:sz="4" w:space="0"/>
            </w:tcBorders>
            <w:noWrap/>
            <w:vAlign w:val="center"/>
          </w:tcPr>
          <w:p w14:paraId="6281476F">
            <w:pPr>
              <w:spacing w:line="480" w:lineRule="exact"/>
              <w:rPr>
                <w:rFonts w:ascii="宋体" w:hAnsi="宋体" w:cs="宋体"/>
                <w:bCs/>
                <w:sz w:val="24"/>
                <w:highlight w:val="none"/>
              </w:rPr>
            </w:pPr>
          </w:p>
        </w:tc>
      </w:tr>
      <w:tr w14:paraId="1437D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16E1E4B6">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1F51837B">
            <w:pPr>
              <w:spacing w:line="480" w:lineRule="exact"/>
              <w:jc w:val="center"/>
              <w:rPr>
                <w:rFonts w:hint="eastAsia" w:ascii="宋体" w:hAnsi="宋体" w:eastAsia="宋体" w:cs="宋体"/>
                <w:bCs/>
                <w:sz w:val="24"/>
                <w:highlight w:val="none"/>
                <w:lang w:eastAsia="zh-CN"/>
              </w:rPr>
            </w:pPr>
            <w:r>
              <w:rPr>
                <w:rFonts w:hint="eastAsia" w:ascii="宋体" w:hAnsi="宋体" w:cs="宋体"/>
                <w:bCs/>
                <w:sz w:val="24"/>
                <w:highlight w:val="none"/>
                <w:lang w:val="en-US" w:eastAsia="zh-CN"/>
              </w:rPr>
              <w:t>5</w:t>
            </w:r>
          </w:p>
        </w:tc>
        <w:tc>
          <w:tcPr>
            <w:tcW w:w="3159" w:type="pct"/>
            <w:tcBorders>
              <w:top w:val="single" w:color="auto" w:sz="4" w:space="0"/>
              <w:left w:val="single" w:color="auto" w:sz="4" w:space="0"/>
              <w:bottom w:val="single" w:color="auto" w:sz="4" w:space="0"/>
              <w:right w:val="single" w:color="auto" w:sz="4" w:space="0"/>
            </w:tcBorders>
            <w:noWrap/>
            <w:vAlign w:val="center"/>
          </w:tcPr>
          <w:p w14:paraId="3D95907D">
            <w:pPr>
              <w:spacing w:line="480" w:lineRule="exact"/>
              <w:jc w:val="left"/>
              <w:rPr>
                <w:rFonts w:ascii="宋体" w:hAnsi="宋体" w:cs="宋体"/>
                <w:bCs/>
                <w:sz w:val="24"/>
                <w:highlight w:val="none"/>
              </w:rPr>
            </w:pPr>
            <w:r>
              <w:rPr>
                <w:rFonts w:hint="eastAsia" w:hAnsi="宋体" w:cs="宋体"/>
                <w:bCs/>
                <w:sz w:val="24"/>
                <w:highlight w:val="none"/>
              </w:rPr>
              <w:t>具有良好的商业信誉和健全的财务会计制度的证明文件</w:t>
            </w:r>
          </w:p>
        </w:tc>
        <w:tc>
          <w:tcPr>
            <w:tcW w:w="426" w:type="pct"/>
            <w:tcBorders>
              <w:top w:val="single" w:color="auto" w:sz="4" w:space="0"/>
              <w:left w:val="single" w:color="auto" w:sz="4" w:space="0"/>
              <w:bottom w:val="single" w:color="auto" w:sz="4" w:space="0"/>
              <w:right w:val="single" w:color="auto" w:sz="4" w:space="0"/>
            </w:tcBorders>
            <w:noWrap/>
            <w:vAlign w:val="center"/>
          </w:tcPr>
          <w:p w14:paraId="03BA8F12">
            <w:pPr>
              <w:spacing w:line="480" w:lineRule="exact"/>
              <w:rPr>
                <w:rFonts w:ascii="宋体" w:hAnsi="宋体" w:cs="宋体"/>
                <w:bCs/>
                <w:sz w:val="24"/>
                <w:highlight w:val="none"/>
              </w:rPr>
            </w:pPr>
          </w:p>
        </w:tc>
      </w:tr>
      <w:tr w14:paraId="64B62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8" w:type="pct"/>
            <w:vMerge w:val="continue"/>
            <w:tcBorders>
              <w:left w:val="single" w:color="auto" w:sz="4" w:space="0"/>
              <w:right w:val="single" w:color="auto" w:sz="4" w:space="0"/>
            </w:tcBorders>
            <w:noWrap/>
            <w:vAlign w:val="center"/>
          </w:tcPr>
          <w:p w14:paraId="26659D36">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37D48C9A">
            <w:pPr>
              <w:spacing w:line="480" w:lineRule="exact"/>
              <w:jc w:val="center"/>
              <w:rPr>
                <w:rFonts w:hint="eastAsia" w:ascii="宋体" w:hAnsi="宋体" w:eastAsia="宋体" w:cs="宋体"/>
                <w:bCs/>
                <w:sz w:val="24"/>
                <w:highlight w:val="none"/>
                <w:lang w:eastAsia="zh-CN"/>
              </w:rPr>
            </w:pPr>
            <w:r>
              <w:rPr>
                <w:rFonts w:hint="eastAsia" w:ascii="宋体" w:hAnsi="宋体" w:cs="宋体"/>
                <w:bCs/>
                <w:sz w:val="24"/>
                <w:highlight w:val="none"/>
                <w:lang w:val="en-US" w:eastAsia="zh-CN"/>
              </w:rPr>
              <w:t>6</w:t>
            </w:r>
          </w:p>
        </w:tc>
        <w:tc>
          <w:tcPr>
            <w:tcW w:w="3159" w:type="pct"/>
            <w:tcBorders>
              <w:top w:val="single" w:color="auto" w:sz="4" w:space="0"/>
              <w:left w:val="single" w:color="auto" w:sz="4" w:space="0"/>
              <w:bottom w:val="single" w:color="auto" w:sz="4" w:space="0"/>
              <w:right w:val="single" w:color="auto" w:sz="4" w:space="0"/>
            </w:tcBorders>
            <w:noWrap/>
            <w:vAlign w:val="center"/>
          </w:tcPr>
          <w:p w14:paraId="7ADC42BB">
            <w:pPr>
              <w:spacing w:line="480" w:lineRule="exact"/>
              <w:jc w:val="left"/>
              <w:rPr>
                <w:rFonts w:ascii="宋体" w:hAnsi="宋体" w:cs="宋体"/>
                <w:bCs/>
                <w:sz w:val="24"/>
                <w:highlight w:val="none"/>
              </w:rPr>
            </w:pPr>
            <w:r>
              <w:rPr>
                <w:rFonts w:hint="eastAsia" w:hAnsi="宋体" w:cs="宋体"/>
                <w:bCs/>
                <w:sz w:val="24"/>
                <w:highlight w:val="none"/>
              </w:rPr>
              <w:t>依法缴纳税收和社会保障资金承诺函</w:t>
            </w:r>
          </w:p>
        </w:tc>
        <w:tc>
          <w:tcPr>
            <w:tcW w:w="426" w:type="pct"/>
            <w:tcBorders>
              <w:top w:val="single" w:color="auto" w:sz="4" w:space="0"/>
              <w:left w:val="single" w:color="auto" w:sz="4" w:space="0"/>
              <w:bottom w:val="single" w:color="auto" w:sz="4" w:space="0"/>
              <w:right w:val="single" w:color="auto" w:sz="4" w:space="0"/>
            </w:tcBorders>
            <w:noWrap/>
            <w:vAlign w:val="center"/>
          </w:tcPr>
          <w:p w14:paraId="515A69C2">
            <w:pPr>
              <w:spacing w:line="480" w:lineRule="exact"/>
              <w:rPr>
                <w:rFonts w:ascii="宋体" w:hAnsi="宋体" w:cs="宋体"/>
                <w:bCs/>
                <w:sz w:val="24"/>
                <w:highlight w:val="none"/>
              </w:rPr>
            </w:pPr>
          </w:p>
        </w:tc>
      </w:tr>
      <w:tr w14:paraId="0324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8" w:type="pct"/>
            <w:vMerge w:val="continue"/>
            <w:tcBorders>
              <w:left w:val="single" w:color="auto" w:sz="4" w:space="0"/>
              <w:right w:val="single" w:color="auto" w:sz="4" w:space="0"/>
            </w:tcBorders>
            <w:noWrap/>
            <w:vAlign w:val="center"/>
          </w:tcPr>
          <w:p w14:paraId="6C8484A4">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75821C0F">
            <w:pPr>
              <w:spacing w:line="480" w:lineRule="exact"/>
              <w:jc w:val="center"/>
              <w:rPr>
                <w:rFonts w:hint="eastAsia" w:ascii="宋体" w:hAnsi="宋体" w:eastAsia="宋体" w:cs="宋体"/>
                <w:bCs/>
                <w:sz w:val="24"/>
                <w:highlight w:val="none"/>
                <w:lang w:eastAsia="zh-CN"/>
              </w:rPr>
            </w:pPr>
            <w:r>
              <w:rPr>
                <w:rFonts w:hint="eastAsia" w:ascii="宋体" w:hAnsi="宋体" w:cs="宋体"/>
                <w:bCs/>
                <w:sz w:val="24"/>
                <w:highlight w:val="none"/>
                <w:lang w:val="en-US" w:eastAsia="zh-CN"/>
              </w:rPr>
              <w:t>7</w:t>
            </w:r>
          </w:p>
        </w:tc>
        <w:tc>
          <w:tcPr>
            <w:tcW w:w="3159" w:type="pct"/>
            <w:tcBorders>
              <w:top w:val="single" w:color="auto" w:sz="4" w:space="0"/>
              <w:left w:val="single" w:color="auto" w:sz="4" w:space="0"/>
              <w:bottom w:val="single" w:color="auto" w:sz="4" w:space="0"/>
              <w:right w:val="single" w:color="auto" w:sz="4" w:space="0"/>
            </w:tcBorders>
            <w:noWrap/>
            <w:vAlign w:val="center"/>
          </w:tcPr>
          <w:p w14:paraId="0078AE85">
            <w:pPr>
              <w:spacing w:line="480" w:lineRule="exact"/>
              <w:jc w:val="left"/>
              <w:rPr>
                <w:rFonts w:ascii="宋体" w:hAnsi="宋体" w:cs="宋体"/>
                <w:bCs/>
                <w:sz w:val="24"/>
                <w:highlight w:val="none"/>
              </w:rPr>
            </w:pPr>
            <w:r>
              <w:rPr>
                <w:rFonts w:hint="eastAsia" w:hAnsi="宋体" w:cs="宋体"/>
                <w:bCs/>
                <w:sz w:val="24"/>
                <w:highlight w:val="none"/>
              </w:rPr>
              <w:t>参加政府采购活动前3年内在经营活动中没有重大违法记录的书面声明</w:t>
            </w:r>
          </w:p>
        </w:tc>
        <w:tc>
          <w:tcPr>
            <w:tcW w:w="426" w:type="pct"/>
            <w:tcBorders>
              <w:top w:val="single" w:color="auto" w:sz="4" w:space="0"/>
              <w:left w:val="single" w:color="auto" w:sz="4" w:space="0"/>
              <w:bottom w:val="single" w:color="auto" w:sz="4" w:space="0"/>
              <w:right w:val="single" w:color="auto" w:sz="4" w:space="0"/>
            </w:tcBorders>
            <w:noWrap/>
            <w:vAlign w:val="center"/>
          </w:tcPr>
          <w:p w14:paraId="40A6F5F1">
            <w:pPr>
              <w:spacing w:line="480" w:lineRule="exact"/>
              <w:rPr>
                <w:rFonts w:ascii="宋体" w:hAnsi="宋体" w:cs="宋体"/>
                <w:bCs/>
                <w:sz w:val="24"/>
                <w:highlight w:val="none"/>
              </w:rPr>
            </w:pPr>
          </w:p>
        </w:tc>
      </w:tr>
      <w:tr w14:paraId="3FE24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8" w:type="pct"/>
            <w:vMerge w:val="continue"/>
            <w:tcBorders>
              <w:left w:val="single" w:color="auto" w:sz="4" w:space="0"/>
              <w:right w:val="single" w:color="auto" w:sz="4" w:space="0"/>
            </w:tcBorders>
            <w:noWrap/>
            <w:vAlign w:val="center"/>
          </w:tcPr>
          <w:p w14:paraId="157CFEC9">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1A2584C0">
            <w:pPr>
              <w:spacing w:line="480" w:lineRule="exact"/>
              <w:jc w:val="center"/>
              <w:rPr>
                <w:rFonts w:hint="eastAsia" w:ascii="宋体" w:hAnsi="宋体" w:cs="宋体"/>
                <w:bCs/>
                <w:sz w:val="24"/>
                <w:highlight w:val="none"/>
                <w:lang w:val="en-US" w:eastAsia="zh-CN"/>
              </w:rPr>
            </w:pPr>
            <w:r>
              <w:rPr>
                <w:rFonts w:hint="eastAsia" w:ascii="宋体" w:hAnsi="宋体" w:cs="宋体"/>
                <w:kern w:val="0"/>
                <w:position w:val="-2"/>
                <w:sz w:val="24"/>
                <w:highlight w:val="none"/>
              </w:rPr>
              <w:t>8</w:t>
            </w:r>
          </w:p>
        </w:tc>
        <w:tc>
          <w:tcPr>
            <w:tcW w:w="3159" w:type="pct"/>
            <w:tcBorders>
              <w:top w:val="single" w:color="auto" w:sz="4" w:space="0"/>
              <w:left w:val="single" w:color="auto" w:sz="4" w:space="0"/>
              <w:bottom w:val="single" w:color="auto" w:sz="4" w:space="0"/>
              <w:right w:val="single" w:color="auto" w:sz="4" w:space="0"/>
            </w:tcBorders>
            <w:noWrap/>
            <w:vAlign w:val="center"/>
          </w:tcPr>
          <w:p w14:paraId="5A23D645">
            <w:pPr>
              <w:spacing w:line="480" w:lineRule="exact"/>
              <w:jc w:val="left"/>
              <w:rPr>
                <w:rFonts w:hint="eastAsia" w:hAnsi="宋体" w:cs="宋体"/>
                <w:bCs/>
                <w:sz w:val="24"/>
                <w:highlight w:val="none"/>
              </w:rPr>
            </w:pPr>
            <w:r>
              <w:rPr>
                <w:rFonts w:hint="eastAsia" w:ascii="宋体" w:hAnsi="宋体" w:cs="宋体"/>
                <w:kern w:val="0"/>
                <w:position w:val="-2"/>
                <w:sz w:val="24"/>
                <w:highlight w:val="none"/>
              </w:rPr>
              <w:t>信用记录（由代理机构查询）</w:t>
            </w:r>
          </w:p>
        </w:tc>
        <w:tc>
          <w:tcPr>
            <w:tcW w:w="426" w:type="pct"/>
            <w:tcBorders>
              <w:top w:val="single" w:color="auto" w:sz="4" w:space="0"/>
              <w:left w:val="single" w:color="auto" w:sz="4" w:space="0"/>
              <w:bottom w:val="single" w:color="auto" w:sz="4" w:space="0"/>
              <w:right w:val="single" w:color="auto" w:sz="4" w:space="0"/>
            </w:tcBorders>
            <w:noWrap/>
            <w:vAlign w:val="center"/>
          </w:tcPr>
          <w:p w14:paraId="1E71290C">
            <w:pPr>
              <w:spacing w:line="480" w:lineRule="exact"/>
              <w:rPr>
                <w:rFonts w:ascii="宋体" w:hAnsi="宋体" w:cs="宋体"/>
                <w:bCs/>
                <w:sz w:val="24"/>
                <w:highlight w:val="none"/>
              </w:rPr>
            </w:pPr>
          </w:p>
        </w:tc>
      </w:tr>
      <w:tr w14:paraId="10BBE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8" w:type="pct"/>
            <w:vMerge w:val="continue"/>
            <w:tcBorders>
              <w:left w:val="single" w:color="auto" w:sz="4" w:space="0"/>
              <w:right w:val="single" w:color="auto" w:sz="4" w:space="0"/>
            </w:tcBorders>
            <w:noWrap/>
            <w:vAlign w:val="center"/>
          </w:tcPr>
          <w:p w14:paraId="7372040B">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358F82DA">
            <w:pPr>
              <w:spacing w:line="480" w:lineRule="exact"/>
              <w:jc w:val="center"/>
              <w:rPr>
                <w:rFonts w:hint="eastAsia" w:ascii="宋体" w:hAnsi="宋体" w:cs="宋体"/>
                <w:bCs/>
                <w:sz w:val="24"/>
                <w:highlight w:val="none"/>
                <w:lang w:val="en-US" w:eastAsia="zh-CN"/>
              </w:rPr>
            </w:pPr>
            <w:r>
              <w:rPr>
                <w:rFonts w:hint="eastAsia" w:ascii="宋体" w:hAnsi="宋体" w:cs="宋体"/>
                <w:kern w:val="0"/>
                <w:position w:val="-2"/>
                <w:sz w:val="24"/>
                <w:highlight w:val="none"/>
              </w:rPr>
              <w:t>9</w:t>
            </w:r>
          </w:p>
        </w:tc>
        <w:tc>
          <w:tcPr>
            <w:tcW w:w="3159" w:type="pct"/>
            <w:tcBorders>
              <w:top w:val="single" w:color="auto" w:sz="4" w:space="0"/>
              <w:left w:val="single" w:color="auto" w:sz="4" w:space="0"/>
              <w:bottom w:val="single" w:color="auto" w:sz="4" w:space="0"/>
              <w:right w:val="single" w:color="auto" w:sz="4" w:space="0"/>
            </w:tcBorders>
            <w:noWrap/>
            <w:vAlign w:val="center"/>
          </w:tcPr>
          <w:p w14:paraId="421C29AE">
            <w:pPr>
              <w:spacing w:line="480" w:lineRule="exact"/>
              <w:jc w:val="left"/>
              <w:rPr>
                <w:rFonts w:hint="eastAsia" w:hAnsi="宋体" w:cs="宋体"/>
                <w:bCs/>
                <w:sz w:val="24"/>
                <w:highlight w:val="none"/>
              </w:rPr>
            </w:pPr>
            <w:r>
              <w:rPr>
                <w:rFonts w:hint="eastAsia" w:ascii="宋体" w:hAnsi="宋体" w:cs="宋体"/>
                <w:kern w:val="0"/>
                <w:position w:val="-2"/>
                <w:sz w:val="24"/>
                <w:highlight w:val="none"/>
              </w:rPr>
              <w:t>供应商须知资料表中要求的供应商其他资格要求</w:t>
            </w:r>
          </w:p>
        </w:tc>
        <w:tc>
          <w:tcPr>
            <w:tcW w:w="426" w:type="pct"/>
            <w:tcBorders>
              <w:top w:val="single" w:color="auto" w:sz="4" w:space="0"/>
              <w:left w:val="single" w:color="auto" w:sz="4" w:space="0"/>
              <w:bottom w:val="single" w:color="auto" w:sz="4" w:space="0"/>
              <w:right w:val="single" w:color="auto" w:sz="4" w:space="0"/>
            </w:tcBorders>
            <w:noWrap/>
            <w:vAlign w:val="center"/>
          </w:tcPr>
          <w:p w14:paraId="2994A759">
            <w:pPr>
              <w:spacing w:line="480" w:lineRule="exact"/>
              <w:rPr>
                <w:rFonts w:ascii="宋体" w:hAnsi="宋体" w:cs="宋体"/>
                <w:bCs/>
                <w:sz w:val="24"/>
                <w:highlight w:val="none"/>
              </w:rPr>
            </w:pPr>
          </w:p>
        </w:tc>
      </w:tr>
      <w:tr w14:paraId="26653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58" w:type="pct"/>
            <w:vMerge w:val="continue"/>
            <w:tcBorders>
              <w:left w:val="single" w:color="auto" w:sz="4" w:space="0"/>
              <w:right w:val="single" w:color="auto" w:sz="4" w:space="0"/>
            </w:tcBorders>
            <w:noWrap/>
            <w:vAlign w:val="center"/>
          </w:tcPr>
          <w:p w14:paraId="0D78A01B">
            <w:pPr>
              <w:spacing w:line="480" w:lineRule="exact"/>
              <w:jc w:val="center"/>
              <w:rPr>
                <w:rFonts w:ascii="宋体" w:hAnsi="宋体" w:cs="宋体"/>
                <w:bCs/>
                <w:sz w:val="24"/>
                <w:highlight w:val="none"/>
              </w:rPr>
            </w:pPr>
          </w:p>
        </w:tc>
        <w:tc>
          <w:tcPr>
            <w:tcW w:w="756" w:type="pct"/>
            <w:tcBorders>
              <w:top w:val="single" w:color="auto" w:sz="4" w:space="0"/>
              <w:left w:val="single" w:color="auto" w:sz="4" w:space="0"/>
              <w:bottom w:val="single" w:color="auto" w:sz="4" w:space="0"/>
              <w:right w:val="single" w:color="auto" w:sz="4" w:space="0"/>
            </w:tcBorders>
            <w:noWrap/>
            <w:vAlign w:val="center"/>
          </w:tcPr>
          <w:p w14:paraId="7A6BCA8E">
            <w:pPr>
              <w:spacing w:line="480" w:lineRule="exact"/>
              <w:jc w:val="center"/>
              <w:rPr>
                <w:rFonts w:hint="eastAsia" w:ascii="宋体" w:hAnsi="宋体" w:cs="宋体"/>
                <w:bCs/>
                <w:sz w:val="24"/>
                <w:highlight w:val="none"/>
                <w:lang w:val="en-US" w:eastAsia="zh-CN"/>
              </w:rPr>
            </w:pPr>
            <w:r>
              <w:rPr>
                <w:rFonts w:hint="eastAsia" w:ascii="宋体" w:hAnsi="宋体" w:cs="宋体"/>
                <w:kern w:val="0"/>
                <w:position w:val="-2"/>
                <w:sz w:val="24"/>
                <w:highlight w:val="none"/>
              </w:rPr>
              <w:t>10</w:t>
            </w:r>
          </w:p>
        </w:tc>
        <w:tc>
          <w:tcPr>
            <w:tcW w:w="3159" w:type="pct"/>
            <w:tcBorders>
              <w:top w:val="single" w:color="auto" w:sz="4" w:space="0"/>
              <w:left w:val="single" w:color="auto" w:sz="4" w:space="0"/>
              <w:bottom w:val="single" w:color="auto" w:sz="4" w:space="0"/>
              <w:right w:val="single" w:color="auto" w:sz="4" w:space="0"/>
            </w:tcBorders>
            <w:noWrap/>
            <w:vAlign w:val="center"/>
          </w:tcPr>
          <w:p w14:paraId="70A0F433">
            <w:pPr>
              <w:spacing w:line="480" w:lineRule="exact"/>
              <w:jc w:val="left"/>
              <w:rPr>
                <w:rFonts w:hint="eastAsia" w:hAnsi="宋体" w:cs="宋体"/>
                <w:bCs/>
                <w:sz w:val="24"/>
                <w:highlight w:val="none"/>
              </w:rPr>
            </w:pPr>
            <w:r>
              <w:rPr>
                <w:rFonts w:hint="eastAsia" w:hAnsi="宋体" w:cs="宋体"/>
                <w:bCs/>
                <w:sz w:val="24"/>
                <w:highlight w:val="none"/>
              </w:rPr>
              <w:t>供应商反商业贿赂承诺书</w:t>
            </w:r>
          </w:p>
        </w:tc>
        <w:tc>
          <w:tcPr>
            <w:tcW w:w="426" w:type="pct"/>
            <w:tcBorders>
              <w:top w:val="single" w:color="auto" w:sz="4" w:space="0"/>
              <w:left w:val="single" w:color="auto" w:sz="4" w:space="0"/>
              <w:bottom w:val="single" w:color="auto" w:sz="4" w:space="0"/>
              <w:right w:val="single" w:color="auto" w:sz="4" w:space="0"/>
            </w:tcBorders>
            <w:noWrap/>
            <w:vAlign w:val="center"/>
          </w:tcPr>
          <w:p w14:paraId="3F1C3A35">
            <w:pPr>
              <w:spacing w:line="480" w:lineRule="exact"/>
              <w:rPr>
                <w:rFonts w:ascii="宋体" w:hAnsi="宋体" w:cs="宋体"/>
                <w:bCs/>
                <w:sz w:val="24"/>
                <w:highlight w:val="none"/>
              </w:rPr>
            </w:pPr>
          </w:p>
        </w:tc>
      </w:tr>
      <w:tr w14:paraId="67FCF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2B788869">
            <w:pPr>
              <w:spacing w:line="480" w:lineRule="exact"/>
              <w:jc w:val="center"/>
              <w:rPr>
                <w:rFonts w:ascii="宋体" w:hAnsi="宋体" w:cs="宋体"/>
                <w:bCs/>
                <w:sz w:val="24"/>
                <w:highlight w:val="none"/>
              </w:rPr>
            </w:pPr>
            <w:r>
              <w:rPr>
                <w:rFonts w:hint="eastAsia" w:ascii="宋体" w:hAnsi="宋体" w:cs="宋体"/>
                <w:bCs/>
                <w:sz w:val="24"/>
                <w:highlight w:val="none"/>
              </w:rPr>
              <w:t>以下为评分项目，请填写明确页码，以免遗漏评分材料。</w:t>
            </w:r>
          </w:p>
        </w:tc>
      </w:tr>
      <w:tr w14:paraId="1310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667A5A5E">
            <w:pPr>
              <w:spacing w:line="480" w:lineRule="exact"/>
              <w:jc w:val="center"/>
              <w:rPr>
                <w:rFonts w:ascii="宋体" w:hAnsi="宋体" w:cs="宋体"/>
                <w:bCs/>
                <w:sz w:val="24"/>
                <w:highlight w:val="none"/>
              </w:rPr>
            </w:pPr>
          </w:p>
        </w:tc>
      </w:tr>
      <w:tr w14:paraId="308B7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58" w:type="pct"/>
            <w:tcBorders>
              <w:left w:val="single" w:color="auto" w:sz="4" w:space="0"/>
              <w:bottom w:val="single" w:color="auto" w:sz="4" w:space="0"/>
              <w:right w:val="single" w:color="auto" w:sz="4" w:space="0"/>
            </w:tcBorders>
            <w:noWrap/>
            <w:vAlign w:val="center"/>
          </w:tcPr>
          <w:p w14:paraId="15804C53">
            <w:pPr>
              <w:spacing w:line="480" w:lineRule="exact"/>
              <w:jc w:val="center"/>
              <w:rPr>
                <w:rFonts w:ascii="宋体" w:hAnsi="宋体" w:cs="宋体"/>
                <w:bCs/>
                <w:sz w:val="24"/>
                <w:highlight w:val="none"/>
              </w:rPr>
            </w:pPr>
            <w:r>
              <w:rPr>
                <w:rFonts w:hint="eastAsia" w:ascii="宋体" w:hAnsi="宋体" w:cs="宋体"/>
                <w:bCs/>
                <w:sz w:val="24"/>
                <w:highlight w:val="none"/>
              </w:rPr>
              <w:t>评分项目</w:t>
            </w:r>
          </w:p>
        </w:tc>
        <w:tc>
          <w:tcPr>
            <w:tcW w:w="756" w:type="pct"/>
            <w:tcBorders>
              <w:left w:val="single" w:color="auto" w:sz="4" w:space="0"/>
              <w:bottom w:val="single" w:color="auto" w:sz="4" w:space="0"/>
              <w:right w:val="single" w:color="auto" w:sz="4" w:space="0"/>
            </w:tcBorders>
            <w:noWrap/>
            <w:vAlign w:val="center"/>
          </w:tcPr>
          <w:p w14:paraId="7936E7C6">
            <w:pPr>
              <w:spacing w:line="480" w:lineRule="exact"/>
              <w:jc w:val="center"/>
              <w:rPr>
                <w:rFonts w:ascii="宋体" w:hAnsi="宋体" w:cs="宋体"/>
                <w:bCs/>
                <w:sz w:val="24"/>
                <w:highlight w:val="none"/>
              </w:rPr>
            </w:pPr>
            <w:r>
              <w:rPr>
                <w:rFonts w:hint="eastAsia" w:ascii="宋体" w:hAnsi="宋体" w:cs="宋体"/>
                <w:bCs/>
                <w:sz w:val="24"/>
                <w:highlight w:val="none"/>
              </w:rPr>
              <w:t>分值</w:t>
            </w:r>
          </w:p>
        </w:tc>
        <w:tc>
          <w:tcPr>
            <w:tcW w:w="3159" w:type="pct"/>
            <w:tcBorders>
              <w:left w:val="single" w:color="auto" w:sz="4" w:space="0"/>
              <w:bottom w:val="single" w:color="auto" w:sz="4" w:space="0"/>
              <w:right w:val="single" w:color="auto" w:sz="4" w:space="0"/>
            </w:tcBorders>
            <w:noWrap/>
            <w:vAlign w:val="center"/>
          </w:tcPr>
          <w:p w14:paraId="3AB78F9F">
            <w:pPr>
              <w:spacing w:line="480" w:lineRule="exact"/>
              <w:jc w:val="center"/>
              <w:rPr>
                <w:rFonts w:ascii="宋体" w:hAnsi="宋体" w:cs="宋体"/>
                <w:bCs/>
                <w:sz w:val="24"/>
                <w:highlight w:val="none"/>
              </w:rPr>
            </w:pPr>
            <w:r>
              <w:rPr>
                <w:rFonts w:hint="eastAsia" w:ascii="宋体" w:hAnsi="宋体" w:cs="宋体"/>
                <w:bCs/>
                <w:sz w:val="24"/>
                <w:highlight w:val="none"/>
              </w:rPr>
              <w:t>评审内容及标准</w:t>
            </w:r>
          </w:p>
        </w:tc>
        <w:tc>
          <w:tcPr>
            <w:tcW w:w="426" w:type="pct"/>
            <w:tcBorders>
              <w:left w:val="single" w:color="auto" w:sz="4" w:space="0"/>
              <w:bottom w:val="single" w:color="auto" w:sz="4" w:space="0"/>
              <w:right w:val="single" w:color="auto" w:sz="4" w:space="0"/>
            </w:tcBorders>
            <w:noWrap/>
            <w:vAlign w:val="center"/>
          </w:tcPr>
          <w:p w14:paraId="71011F4B">
            <w:pPr>
              <w:spacing w:line="480" w:lineRule="exact"/>
              <w:jc w:val="center"/>
              <w:rPr>
                <w:rFonts w:ascii="宋体" w:hAnsi="宋体" w:cs="宋体"/>
                <w:bCs/>
                <w:sz w:val="24"/>
                <w:highlight w:val="none"/>
              </w:rPr>
            </w:pPr>
            <w:r>
              <w:rPr>
                <w:rFonts w:hint="eastAsia" w:ascii="宋体" w:hAnsi="宋体" w:cs="宋体"/>
                <w:bCs/>
                <w:sz w:val="24"/>
                <w:highlight w:val="none"/>
              </w:rPr>
              <w:t>对应</w:t>
            </w:r>
          </w:p>
          <w:p w14:paraId="018C0895">
            <w:pPr>
              <w:spacing w:line="480" w:lineRule="exact"/>
              <w:jc w:val="center"/>
              <w:rPr>
                <w:rFonts w:ascii="宋体" w:hAnsi="宋体" w:cs="宋体"/>
                <w:bCs/>
                <w:sz w:val="24"/>
                <w:highlight w:val="none"/>
              </w:rPr>
            </w:pPr>
            <w:r>
              <w:rPr>
                <w:rFonts w:hint="eastAsia" w:ascii="宋体" w:hAnsi="宋体" w:cs="宋体"/>
                <w:bCs/>
                <w:sz w:val="24"/>
                <w:highlight w:val="none"/>
              </w:rPr>
              <w:t>页码</w:t>
            </w:r>
          </w:p>
        </w:tc>
      </w:tr>
      <w:tr w14:paraId="79239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8" w:type="pct"/>
            <w:tcBorders>
              <w:top w:val="single" w:color="auto" w:sz="4" w:space="0"/>
              <w:left w:val="single" w:color="auto" w:sz="4" w:space="0"/>
              <w:right w:val="single" w:color="auto" w:sz="4" w:space="0"/>
            </w:tcBorders>
            <w:noWrap/>
            <w:vAlign w:val="center"/>
          </w:tcPr>
          <w:p w14:paraId="33307D82">
            <w:pPr>
              <w:widowControl/>
              <w:spacing w:line="480" w:lineRule="exact"/>
              <w:jc w:val="center"/>
              <w:rPr>
                <w:rFonts w:ascii="宋体" w:hAnsi="宋体" w:cs="宋体"/>
                <w:bCs/>
                <w:sz w:val="24"/>
                <w:highlight w:val="none"/>
              </w:rPr>
            </w:pPr>
            <w:r>
              <w:rPr>
                <w:rFonts w:hint="eastAsia" w:ascii="宋体" w:hAnsi="宋体" w:cs="宋体"/>
                <w:sz w:val="24"/>
                <w:highlight w:val="none"/>
              </w:rPr>
              <w:t>报价得分</w:t>
            </w:r>
          </w:p>
        </w:tc>
        <w:tc>
          <w:tcPr>
            <w:tcW w:w="756" w:type="pct"/>
            <w:tcBorders>
              <w:top w:val="single" w:color="auto" w:sz="4" w:space="0"/>
              <w:left w:val="single" w:color="auto" w:sz="4" w:space="0"/>
              <w:bottom w:val="single" w:color="auto" w:sz="4" w:space="0"/>
              <w:right w:val="single" w:color="auto" w:sz="4" w:space="0"/>
            </w:tcBorders>
            <w:noWrap/>
            <w:vAlign w:val="center"/>
          </w:tcPr>
          <w:p w14:paraId="184786F9">
            <w:pPr>
              <w:widowControl/>
              <w:spacing w:line="480" w:lineRule="exact"/>
              <w:jc w:val="center"/>
              <w:rPr>
                <w:rFonts w:ascii="宋体" w:hAnsi="宋体" w:cs="宋体"/>
                <w:bCs/>
                <w:sz w:val="24"/>
                <w:highlight w:val="none"/>
              </w:rPr>
            </w:pPr>
            <w:r>
              <w:rPr>
                <w:rFonts w:hint="eastAsia" w:ascii="宋体" w:hAnsi="宋体" w:cs="宋体"/>
                <w:sz w:val="24"/>
                <w:highlight w:val="none"/>
              </w:rPr>
              <w:t>10分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49E2BD1C">
            <w:pPr>
              <w:widowControl/>
              <w:spacing w:line="480" w:lineRule="exact"/>
              <w:ind w:firstLine="600" w:firstLineChars="250"/>
              <w:rPr>
                <w:rFonts w:ascii="宋体" w:hAnsi="宋体" w:cs="宋体"/>
                <w:sz w:val="24"/>
                <w:highlight w:val="none"/>
              </w:rPr>
            </w:pPr>
            <w:r>
              <w:rPr>
                <w:rFonts w:hint="eastAsia" w:ascii="宋体" w:hAnsi="宋体" w:cs="宋体"/>
                <w:sz w:val="24"/>
                <w:highlight w:val="none"/>
              </w:rPr>
              <w:t>以满足磋商文件要求且最终报价最低的报价为</w:t>
            </w:r>
            <w:r>
              <w:rPr>
                <w:rFonts w:hint="eastAsia" w:ascii="宋体" w:hAnsi="宋体" w:cs="宋体"/>
                <w:sz w:val="24"/>
                <w:highlight w:val="none"/>
                <w:lang w:eastAsia="zh-CN"/>
              </w:rPr>
              <w:t>评审基准价</w:t>
            </w:r>
            <w:r>
              <w:rPr>
                <w:rFonts w:hint="eastAsia" w:ascii="宋体" w:hAnsi="宋体" w:cs="宋体"/>
                <w:sz w:val="24"/>
                <w:highlight w:val="none"/>
              </w:rPr>
              <w:t>，其价格分为满分10分，其他供应商的价格分按照下列公式计算：报价得分=（</w:t>
            </w:r>
            <w:r>
              <w:rPr>
                <w:rFonts w:hint="eastAsia" w:ascii="宋体" w:hAnsi="宋体" w:cs="宋体"/>
                <w:sz w:val="24"/>
                <w:highlight w:val="none"/>
                <w:lang w:eastAsia="zh-CN"/>
              </w:rPr>
              <w:t>评审基准价</w:t>
            </w:r>
            <w:r>
              <w:rPr>
                <w:rFonts w:hint="eastAsia" w:ascii="宋体" w:hAnsi="宋体" w:cs="宋体"/>
                <w:sz w:val="24"/>
                <w:highlight w:val="none"/>
              </w:rPr>
              <w:t>/最后报价）×10。</w:t>
            </w:r>
          </w:p>
          <w:p w14:paraId="04694013">
            <w:pPr>
              <w:widowControl/>
              <w:spacing w:line="480" w:lineRule="exact"/>
              <w:ind w:firstLine="480" w:firstLineChars="200"/>
              <w:rPr>
                <w:rFonts w:ascii="宋体" w:hAnsi="宋体" w:cs="宋体"/>
                <w:bCs/>
                <w:sz w:val="24"/>
                <w:highlight w:val="none"/>
              </w:rPr>
            </w:pPr>
            <w:r>
              <w:rPr>
                <w:rFonts w:hint="eastAsia" w:ascii="宋体" w:hAnsi="宋体" w:cs="宋体"/>
                <w:sz w:val="24"/>
                <w:highlight w:val="none"/>
              </w:rPr>
              <w:t>说明：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c>
          <w:tcPr>
            <w:tcW w:w="426" w:type="pct"/>
            <w:tcBorders>
              <w:top w:val="single" w:color="auto" w:sz="4" w:space="0"/>
              <w:left w:val="single" w:color="auto" w:sz="4" w:space="0"/>
              <w:bottom w:val="single" w:color="auto" w:sz="4" w:space="0"/>
              <w:right w:val="single" w:color="auto" w:sz="4" w:space="0"/>
            </w:tcBorders>
            <w:noWrap/>
            <w:vAlign w:val="center"/>
          </w:tcPr>
          <w:p w14:paraId="3EB7E982">
            <w:pPr>
              <w:spacing w:line="480" w:lineRule="exact"/>
              <w:rPr>
                <w:rFonts w:ascii="宋体" w:hAnsi="宋体" w:cs="宋体"/>
                <w:bCs/>
                <w:sz w:val="24"/>
                <w:highlight w:val="none"/>
              </w:rPr>
            </w:pPr>
          </w:p>
        </w:tc>
      </w:tr>
      <w:tr w14:paraId="4C552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658" w:type="pct"/>
            <w:tcBorders>
              <w:left w:val="single" w:color="auto" w:sz="4" w:space="0"/>
              <w:right w:val="single" w:color="auto" w:sz="4" w:space="0"/>
            </w:tcBorders>
            <w:noWrap/>
            <w:vAlign w:val="center"/>
          </w:tcPr>
          <w:p w14:paraId="21EACC2E">
            <w:pPr>
              <w:widowControl/>
              <w:spacing w:line="480" w:lineRule="exact"/>
              <w:jc w:val="center"/>
              <w:rPr>
                <w:rFonts w:ascii="宋体" w:hAnsi="宋体" w:cs="宋体"/>
                <w:bCs/>
                <w:sz w:val="24"/>
                <w:highlight w:val="none"/>
              </w:rPr>
            </w:pPr>
            <w:r>
              <w:rPr>
                <w:rFonts w:hint="eastAsia" w:ascii="宋体" w:hAnsi="宋体" w:cs="宋体"/>
                <w:sz w:val="24"/>
                <w:szCs w:val="22"/>
                <w:highlight w:val="none"/>
              </w:rPr>
              <w:t>同类业绩</w:t>
            </w:r>
          </w:p>
        </w:tc>
        <w:tc>
          <w:tcPr>
            <w:tcW w:w="756" w:type="pct"/>
            <w:tcBorders>
              <w:top w:val="single" w:color="auto" w:sz="4" w:space="0"/>
              <w:left w:val="single" w:color="auto" w:sz="4" w:space="0"/>
              <w:bottom w:val="single" w:color="auto" w:sz="4" w:space="0"/>
              <w:right w:val="single" w:color="auto" w:sz="4" w:space="0"/>
            </w:tcBorders>
            <w:noWrap/>
            <w:vAlign w:val="center"/>
          </w:tcPr>
          <w:p w14:paraId="2AD9EF84">
            <w:pPr>
              <w:widowControl/>
              <w:spacing w:line="480" w:lineRule="exact"/>
              <w:jc w:val="center"/>
              <w:rPr>
                <w:rFonts w:ascii="宋体" w:hAnsi="宋体" w:cs="宋体"/>
                <w:bCs/>
                <w:sz w:val="24"/>
                <w:highlight w:val="none"/>
              </w:rPr>
            </w:pPr>
            <w:r>
              <w:rPr>
                <w:rFonts w:hint="eastAsia" w:ascii="宋体" w:hAnsi="宋体" w:cs="宋体"/>
                <w:sz w:val="24"/>
                <w:szCs w:val="22"/>
                <w:highlight w:val="none"/>
              </w:rPr>
              <w:t>5分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03ED21DC">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提供自2022年01月01日起至开标日（以合同签订时间为准）承揽的类似项目业绩，每提供1份得1分，最高得5分；</w:t>
            </w:r>
          </w:p>
          <w:p w14:paraId="17D472B6">
            <w:pPr>
              <w:widowControl/>
              <w:spacing w:line="480" w:lineRule="exact"/>
              <w:ind w:firstLine="480" w:firstLineChars="200"/>
              <w:rPr>
                <w:rFonts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cs="宋体"/>
                <w:b/>
                <w:bCs/>
                <w:spacing w:val="-2"/>
                <w:sz w:val="24"/>
                <w:highlight w:val="none"/>
              </w:rPr>
              <w:t>并提供合同和中标（成交）通知书原件现场查验。未按上述要求提供的业绩不予认可。</w:t>
            </w:r>
            <w:r>
              <w:rPr>
                <w:rFonts w:hint="eastAsia" w:ascii="宋体" w:hAnsi="宋体" w:cs="宋体"/>
                <w:sz w:val="24"/>
                <w:highlight w:val="none"/>
              </w:rPr>
              <w:t>时间以合同签订时间为准。</w:t>
            </w:r>
          </w:p>
          <w:p w14:paraId="2B1B34AC">
            <w:pPr>
              <w:widowControl/>
              <w:spacing w:line="480" w:lineRule="exact"/>
              <w:ind w:firstLine="480" w:firstLineChars="200"/>
              <w:rPr>
                <w:rFonts w:ascii="宋体" w:hAnsi="宋体" w:cs="宋体"/>
                <w:bCs/>
                <w:sz w:val="24"/>
                <w:highlight w:val="none"/>
              </w:rPr>
            </w:pPr>
            <w:r>
              <w:rPr>
                <w:rFonts w:hint="eastAsia" w:ascii="宋体" w:hAnsi="宋体" w:cs="宋体"/>
                <w:sz w:val="24"/>
                <w:highlight w:val="none"/>
              </w:rPr>
              <w:t>说明：以上参与评分的业绩，确定成交结果后将作为附件随成交公告一起发布，接受社会监督，一经发现存在弄虚造假情形，将按规定严肃处理。</w:t>
            </w:r>
          </w:p>
        </w:tc>
        <w:tc>
          <w:tcPr>
            <w:tcW w:w="426" w:type="pct"/>
            <w:tcBorders>
              <w:top w:val="single" w:color="auto" w:sz="4" w:space="0"/>
              <w:left w:val="single" w:color="auto" w:sz="4" w:space="0"/>
              <w:bottom w:val="single" w:color="auto" w:sz="4" w:space="0"/>
              <w:right w:val="single" w:color="auto" w:sz="4" w:space="0"/>
            </w:tcBorders>
            <w:noWrap/>
            <w:vAlign w:val="center"/>
          </w:tcPr>
          <w:p w14:paraId="7CEAAA89">
            <w:pPr>
              <w:topLinePunct/>
              <w:spacing w:line="480" w:lineRule="exact"/>
              <w:rPr>
                <w:rFonts w:ascii="宋体" w:hAnsi="宋体" w:cs="宋体"/>
                <w:bCs/>
                <w:sz w:val="24"/>
                <w:highlight w:val="none"/>
              </w:rPr>
            </w:pPr>
          </w:p>
        </w:tc>
      </w:tr>
      <w:tr w14:paraId="032C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658" w:type="pct"/>
            <w:tcBorders>
              <w:left w:val="single" w:color="auto" w:sz="4" w:space="0"/>
              <w:right w:val="single" w:color="auto" w:sz="4" w:space="0"/>
            </w:tcBorders>
            <w:noWrap/>
            <w:vAlign w:val="center"/>
          </w:tcPr>
          <w:p w14:paraId="38C82822">
            <w:pPr>
              <w:widowControl/>
              <w:spacing w:line="480" w:lineRule="exact"/>
              <w:rPr>
                <w:rFonts w:ascii="宋体" w:hAnsi="宋体" w:cs="宋体"/>
                <w:bCs/>
                <w:sz w:val="24"/>
                <w:highlight w:val="none"/>
              </w:rPr>
            </w:pPr>
            <w:r>
              <w:rPr>
                <w:rFonts w:hint="eastAsia" w:ascii="宋体" w:hAnsi="宋体" w:eastAsia="宋体" w:cs="宋体"/>
                <w:sz w:val="24"/>
                <w:highlight w:val="none"/>
              </w:rPr>
              <w:t>总体思路及目标</w:t>
            </w:r>
          </w:p>
        </w:tc>
        <w:tc>
          <w:tcPr>
            <w:tcW w:w="756" w:type="pct"/>
            <w:tcBorders>
              <w:top w:val="single" w:color="auto" w:sz="4" w:space="0"/>
              <w:left w:val="single" w:color="auto" w:sz="4" w:space="0"/>
              <w:bottom w:val="single" w:color="auto" w:sz="4" w:space="0"/>
              <w:right w:val="single" w:color="auto" w:sz="4" w:space="0"/>
            </w:tcBorders>
            <w:noWrap/>
            <w:vAlign w:val="center"/>
          </w:tcPr>
          <w:p w14:paraId="72DF66A0">
            <w:pPr>
              <w:widowControl/>
              <w:spacing w:line="480" w:lineRule="exact"/>
              <w:jc w:val="center"/>
              <w:rPr>
                <w:rFonts w:ascii="宋体" w:hAnsi="宋体" w:cs="宋体"/>
                <w:bCs/>
                <w:sz w:val="24"/>
                <w:highlight w:val="none"/>
              </w:rPr>
            </w:pPr>
            <w:r>
              <w:rPr>
                <w:rFonts w:hint="eastAsia" w:ascii="宋体" w:hAnsi="宋体" w:cs="宋体"/>
                <w:sz w:val="24"/>
                <w:highlight w:val="none"/>
                <w:lang w:val="en-US" w:eastAsia="zh-CN"/>
              </w:rPr>
              <w:t>10</w:t>
            </w:r>
            <w:r>
              <w:rPr>
                <w:rFonts w:hint="eastAsia" w:ascii="宋体" w:hAnsi="宋体" w:eastAsia="宋体" w:cs="宋体"/>
                <w:sz w:val="24"/>
                <w:highlight w:val="none"/>
              </w:rPr>
              <w:t>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400538EC">
            <w:pPr>
              <w:widowControl/>
              <w:spacing w:line="480" w:lineRule="exact"/>
              <w:ind w:firstLine="480" w:firstLineChars="200"/>
              <w:rPr>
                <w:rFonts w:ascii="宋体" w:hAnsi="宋体" w:cs="宋体"/>
                <w:bCs/>
                <w:sz w:val="24"/>
                <w:highlight w:val="none"/>
              </w:rPr>
            </w:pPr>
            <w:r>
              <w:rPr>
                <w:rFonts w:hint="eastAsia" w:ascii="宋体" w:hAnsi="宋体" w:eastAsia="宋体" w:cs="宋体"/>
                <w:sz w:val="24"/>
                <w:highlight w:val="none"/>
              </w:rPr>
              <w:t>根据供应商对本项目的认识和理解。供应商对本项目总体思路明确、</w:t>
            </w:r>
            <w:r>
              <w:rPr>
                <w:rFonts w:hint="eastAsia" w:ascii="宋体" w:hAnsi="宋体" w:eastAsia="宋体" w:cs="Times New Roman"/>
                <w:color w:val="auto"/>
                <w:kern w:val="2"/>
                <w:sz w:val="24"/>
                <w:szCs w:val="24"/>
                <w:highlight w:val="none"/>
                <w:lang w:val="en-US" w:eastAsia="zh-CN" w:bidi="ar-SA"/>
              </w:rPr>
              <w:t>分析透彻、理解深入、概括全面、</w:t>
            </w:r>
            <w:r>
              <w:rPr>
                <w:rFonts w:hint="eastAsia" w:ascii="宋体" w:hAnsi="宋体" w:eastAsia="宋体" w:cs="宋体"/>
                <w:sz w:val="24"/>
                <w:highlight w:val="none"/>
              </w:rPr>
              <w:t>目标完全符合</w:t>
            </w:r>
            <w:r>
              <w:rPr>
                <w:rFonts w:hint="eastAsia" w:ascii="宋体" w:hAnsi="宋体" w:eastAsia="宋体" w:cs="宋体"/>
                <w:sz w:val="24"/>
                <w:highlight w:val="none"/>
                <w:lang w:val="en-US" w:eastAsia="zh-CN"/>
              </w:rPr>
              <w:t>项目</w:t>
            </w:r>
            <w:r>
              <w:rPr>
                <w:rFonts w:hint="eastAsia" w:ascii="宋体" w:hAnsi="宋体" w:eastAsia="宋体" w:cs="宋体"/>
                <w:sz w:val="24"/>
                <w:highlight w:val="none"/>
              </w:rPr>
              <w:t>需求得</w:t>
            </w:r>
            <w:r>
              <w:rPr>
                <w:rFonts w:hint="eastAsia" w:ascii="宋体" w:hAnsi="宋体" w:cs="宋体"/>
                <w:sz w:val="24"/>
                <w:highlight w:val="none"/>
                <w:lang w:val="en-US" w:eastAsia="zh-CN"/>
              </w:rPr>
              <w:t>10</w:t>
            </w:r>
            <w:r>
              <w:rPr>
                <w:rFonts w:hint="eastAsia" w:ascii="宋体" w:hAnsi="宋体" w:eastAsia="宋体" w:cs="宋体"/>
                <w:sz w:val="24"/>
                <w:highlight w:val="none"/>
              </w:rPr>
              <w:t>分，每有一处不完善或劣势扣</w:t>
            </w:r>
            <w:r>
              <w:rPr>
                <w:rFonts w:hint="eastAsia" w:ascii="宋体" w:hAnsi="宋体" w:cs="宋体"/>
                <w:sz w:val="24"/>
                <w:highlight w:val="none"/>
                <w:lang w:val="en-US" w:eastAsia="zh-CN"/>
              </w:rPr>
              <w:t>1</w:t>
            </w:r>
            <w:r>
              <w:rPr>
                <w:rFonts w:hint="eastAsia" w:ascii="宋体" w:hAnsi="宋体" w:eastAsia="宋体" w:cs="宋体"/>
                <w:sz w:val="24"/>
                <w:highlight w:val="none"/>
              </w:rPr>
              <w:t>分，扣完为止。此条缺项不得分。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293051A4">
            <w:pPr>
              <w:pStyle w:val="9"/>
              <w:spacing w:before="0" w:line="480" w:lineRule="exact"/>
              <w:rPr>
                <w:rFonts w:cs="宋体"/>
                <w:bCs/>
                <w:highlight w:val="none"/>
              </w:rPr>
            </w:pPr>
          </w:p>
        </w:tc>
      </w:tr>
      <w:tr w14:paraId="286D2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58" w:type="pct"/>
            <w:tcBorders>
              <w:left w:val="single" w:color="auto" w:sz="4" w:space="0"/>
              <w:right w:val="single" w:color="auto" w:sz="4" w:space="0"/>
            </w:tcBorders>
            <w:noWrap/>
            <w:vAlign w:val="center"/>
          </w:tcPr>
          <w:p w14:paraId="6A700000">
            <w:pPr>
              <w:widowControl/>
              <w:spacing w:line="480" w:lineRule="exact"/>
              <w:jc w:val="center"/>
              <w:rPr>
                <w:rFonts w:ascii="宋体" w:hAnsi="宋体" w:cs="宋体"/>
                <w:bCs/>
                <w:sz w:val="24"/>
                <w:highlight w:val="none"/>
              </w:rPr>
            </w:pPr>
            <w:r>
              <w:rPr>
                <w:rFonts w:hint="eastAsia" w:ascii="宋体" w:hAnsi="宋体" w:cs="宋体"/>
                <w:sz w:val="24"/>
                <w:highlight w:val="none"/>
              </w:rPr>
              <w:t>服务方案</w:t>
            </w:r>
          </w:p>
        </w:tc>
        <w:tc>
          <w:tcPr>
            <w:tcW w:w="756" w:type="pct"/>
            <w:tcBorders>
              <w:top w:val="single" w:color="auto" w:sz="4" w:space="0"/>
              <w:left w:val="single" w:color="auto" w:sz="4" w:space="0"/>
              <w:bottom w:val="single" w:color="auto" w:sz="4" w:space="0"/>
              <w:right w:val="single" w:color="auto" w:sz="4" w:space="0"/>
            </w:tcBorders>
            <w:noWrap/>
            <w:vAlign w:val="center"/>
          </w:tcPr>
          <w:p w14:paraId="5EE20637">
            <w:pPr>
              <w:widowControl/>
              <w:spacing w:line="480" w:lineRule="exact"/>
              <w:jc w:val="center"/>
              <w:rPr>
                <w:rFonts w:ascii="宋体" w:hAnsi="宋体" w:cs="宋体"/>
                <w:bCs/>
                <w:sz w:val="24"/>
                <w:highlight w:val="none"/>
              </w:rPr>
            </w:pP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1FFBC85E">
            <w:pPr>
              <w:pStyle w:val="36"/>
              <w:spacing w:line="480" w:lineRule="exact"/>
              <w:ind w:firstLine="458" w:firstLineChars="191"/>
              <w:jc w:val="both"/>
              <w:rPr>
                <w:rFonts w:ascii="宋体" w:hAnsi="宋体" w:cs="宋体"/>
                <w:bCs/>
                <w:sz w:val="24"/>
                <w:highlight w:val="none"/>
              </w:rPr>
            </w:pPr>
            <w:r>
              <w:rPr>
                <w:rFonts w:hint="eastAsia" w:hAnsi="宋体" w:cs="宋体"/>
                <w:color w:val="auto"/>
                <w:szCs w:val="24"/>
                <w:highlight w:val="none"/>
              </w:rPr>
              <w:t>供应商应针对本项目提供详细完备的服务方案，</w:t>
            </w:r>
            <w:r>
              <w:rPr>
                <w:rFonts w:ascii="宋体" w:hAnsi="宋体" w:eastAsia="宋体" w:cs="宋体"/>
                <w:sz w:val="24"/>
                <w:szCs w:val="24"/>
                <w:highlight w:val="none"/>
              </w:rPr>
              <w:t>①总体</w:t>
            </w:r>
            <w:r>
              <w:rPr>
                <w:rFonts w:hint="eastAsia" w:hAnsi="宋体" w:cs="宋体"/>
                <w:sz w:val="24"/>
                <w:szCs w:val="24"/>
                <w:highlight w:val="none"/>
                <w:lang w:val="en-US" w:eastAsia="zh-CN"/>
              </w:rPr>
              <w:t>服务</w:t>
            </w:r>
            <w:r>
              <w:rPr>
                <w:rFonts w:ascii="宋体" w:hAnsi="宋体" w:eastAsia="宋体" w:cs="宋体"/>
                <w:sz w:val="24"/>
                <w:szCs w:val="24"/>
                <w:highlight w:val="none"/>
              </w:rPr>
              <w:t>方案，需具有切实可行的协调、解决和完成本项目的工作方法</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②业务流程</w:t>
            </w:r>
            <w:r>
              <w:rPr>
                <w:rFonts w:hint="eastAsia" w:ascii="宋体" w:hAnsi="宋体" w:eastAsia="宋体" w:cs="宋体"/>
                <w:sz w:val="24"/>
                <w:szCs w:val="24"/>
                <w:highlight w:val="none"/>
                <w:lang w:eastAsia="zh-CN"/>
              </w:rPr>
              <w:t>；</w:t>
            </w:r>
            <w:r>
              <w:rPr>
                <w:rFonts w:hint="eastAsia" w:hAnsi="宋体" w:cs="宋体"/>
                <w:sz w:val="24"/>
                <w:szCs w:val="24"/>
                <w:highlight w:val="none"/>
                <w:lang w:val="en-US" w:eastAsia="zh-CN"/>
              </w:rPr>
              <w:t>③</w:t>
            </w:r>
            <w:r>
              <w:rPr>
                <w:rFonts w:hint="eastAsia" w:hAnsi="宋体" w:cs="宋体"/>
                <w:color w:val="auto"/>
                <w:szCs w:val="24"/>
                <w:highlight w:val="none"/>
              </w:rPr>
              <w:t>工作标准与要求</w:t>
            </w:r>
            <w:r>
              <w:rPr>
                <w:rFonts w:hint="eastAsia" w:hAnsi="宋体" w:cs="宋体"/>
                <w:color w:val="auto"/>
                <w:szCs w:val="24"/>
                <w:highlight w:val="none"/>
                <w:lang w:eastAsia="zh-CN"/>
              </w:rPr>
              <w:t>；</w:t>
            </w:r>
            <w:r>
              <w:rPr>
                <w:rFonts w:hint="eastAsia" w:hAnsi="宋体" w:cs="宋体"/>
                <w:color w:val="auto"/>
                <w:szCs w:val="24"/>
                <w:highlight w:val="none"/>
                <w:lang w:val="en-US" w:eastAsia="zh-CN"/>
              </w:rPr>
              <w:t>④</w:t>
            </w:r>
            <w:r>
              <w:rPr>
                <w:rFonts w:hint="eastAsia" w:hAnsi="宋体" w:cs="宋体"/>
                <w:color w:val="auto"/>
                <w:szCs w:val="24"/>
                <w:highlight w:val="none"/>
              </w:rPr>
              <w:t>重难点分析及解决方案</w:t>
            </w:r>
            <w:r>
              <w:rPr>
                <w:rFonts w:hint="eastAsia" w:hAnsi="宋体" w:cs="宋体"/>
                <w:color w:val="auto"/>
                <w:szCs w:val="24"/>
                <w:highlight w:val="none"/>
                <w:lang w:eastAsia="zh-CN"/>
              </w:rPr>
              <w:t>；</w:t>
            </w:r>
            <w:r>
              <w:rPr>
                <w:rFonts w:hint="eastAsia" w:hAnsi="宋体" w:cs="宋体"/>
                <w:color w:val="auto"/>
                <w:szCs w:val="24"/>
                <w:highlight w:val="none"/>
                <w:lang w:val="en-US" w:eastAsia="zh-CN"/>
              </w:rPr>
              <w:t>⑤</w:t>
            </w:r>
            <w:r>
              <w:rPr>
                <w:rFonts w:hint="eastAsia" w:hAnsi="宋体" w:cs="宋体"/>
                <w:color w:val="auto"/>
                <w:szCs w:val="24"/>
                <w:highlight w:val="none"/>
              </w:rPr>
              <w:t>与相关部门的协调机制</w:t>
            </w:r>
            <w:r>
              <w:rPr>
                <w:rFonts w:hint="eastAsia" w:hAnsi="宋体" w:cs="宋体"/>
                <w:color w:val="auto"/>
                <w:szCs w:val="24"/>
                <w:highlight w:val="none"/>
                <w:lang w:eastAsia="zh-CN"/>
              </w:rPr>
              <w:t>；</w:t>
            </w:r>
            <w:r>
              <w:rPr>
                <w:rFonts w:hint="eastAsia" w:hAnsi="宋体" w:cs="宋体"/>
                <w:color w:val="auto"/>
                <w:szCs w:val="24"/>
                <w:highlight w:val="none"/>
                <w:lang w:val="en-US" w:eastAsia="zh-CN"/>
              </w:rPr>
              <w:t>⑥</w:t>
            </w:r>
            <w:r>
              <w:rPr>
                <w:rFonts w:ascii="宋体" w:hAnsi="宋体" w:eastAsia="宋体" w:cs="宋体"/>
                <w:sz w:val="24"/>
                <w:szCs w:val="24"/>
                <w:highlight w:val="none"/>
              </w:rPr>
              <w:t>成果归档</w:t>
            </w:r>
            <w:r>
              <w:rPr>
                <w:rFonts w:hint="eastAsia" w:hAnsi="宋体" w:cs="宋体"/>
                <w:color w:val="auto"/>
                <w:szCs w:val="24"/>
                <w:highlight w:val="none"/>
              </w:rPr>
              <w:t>等内容</w:t>
            </w:r>
            <w:r>
              <w:rPr>
                <w:rFonts w:hint="eastAsia" w:hAnsi="宋体" w:cs="宋体"/>
                <w:color w:val="auto"/>
                <w:szCs w:val="24"/>
                <w:highlight w:val="none"/>
                <w:lang w:eastAsia="zh-CN"/>
              </w:rPr>
              <w:t>；</w:t>
            </w:r>
            <w:r>
              <w:rPr>
                <w:rFonts w:ascii="宋体" w:hAnsi="宋体" w:eastAsia="宋体" w:cs="宋体"/>
                <w:sz w:val="24"/>
                <w:szCs w:val="24"/>
                <w:highlight w:val="none"/>
              </w:rPr>
              <w:t>每项最高得</w:t>
            </w:r>
            <w:r>
              <w:rPr>
                <w:rFonts w:hint="eastAsia" w:hAnsi="宋体" w:cs="宋体"/>
                <w:sz w:val="24"/>
                <w:szCs w:val="24"/>
                <w:highlight w:val="none"/>
                <w:lang w:val="en-US" w:eastAsia="zh-CN"/>
              </w:rPr>
              <w:t>5</w:t>
            </w:r>
            <w:r>
              <w:rPr>
                <w:rFonts w:ascii="宋体" w:hAnsi="宋体" w:eastAsia="宋体" w:cs="宋体"/>
                <w:sz w:val="24"/>
                <w:szCs w:val="24"/>
                <w:highlight w:val="none"/>
              </w:rPr>
              <w:t>分，满分30分</w:t>
            </w:r>
            <w:r>
              <w:rPr>
                <w:rFonts w:hint="eastAsia" w:hAnsi="宋体" w:cs="宋体"/>
                <w:sz w:val="24"/>
                <w:szCs w:val="24"/>
                <w:highlight w:val="none"/>
                <w:lang w:eastAsia="zh-CN"/>
              </w:rPr>
              <w:t>；</w:t>
            </w:r>
            <w:r>
              <w:rPr>
                <w:rFonts w:hint="eastAsia" w:hAnsi="宋体" w:cs="宋体"/>
                <w:sz w:val="24"/>
                <w:szCs w:val="24"/>
                <w:highlight w:val="none"/>
                <w:lang w:val="en-US" w:eastAsia="zh-CN"/>
              </w:rPr>
              <w:t>每缺一项扣5分，</w:t>
            </w:r>
            <w:r>
              <w:rPr>
                <w:rFonts w:ascii="宋体" w:hAnsi="宋体" w:eastAsia="宋体" w:cs="宋体"/>
                <w:sz w:val="24"/>
                <w:szCs w:val="24"/>
                <w:highlight w:val="none"/>
              </w:rPr>
              <w:t>每项存在一</w:t>
            </w:r>
            <w:r>
              <w:rPr>
                <w:rFonts w:hint="eastAsia" w:ascii="宋体" w:hAnsi="宋体" w:eastAsia="宋体" w:cs="宋体"/>
                <w:sz w:val="24"/>
                <w:highlight w:val="none"/>
              </w:rPr>
              <w:t>处不完善或劣势扣</w:t>
            </w:r>
            <w:r>
              <w:rPr>
                <w:rFonts w:hint="eastAsia" w:ascii="宋体" w:hAnsi="宋体" w:eastAsia="宋体" w:cs="宋体"/>
                <w:sz w:val="24"/>
                <w:highlight w:val="none"/>
                <w:lang w:val="en-US" w:eastAsia="zh-CN"/>
              </w:rPr>
              <w:t>0.5</w:t>
            </w:r>
            <w:r>
              <w:rPr>
                <w:rFonts w:hint="eastAsia" w:ascii="宋体" w:hAnsi="宋体" w:eastAsia="宋体" w:cs="宋体"/>
                <w:sz w:val="24"/>
                <w:highlight w:val="none"/>
              </w:rPr>
              <w:t>分</w:t>
            </w:r>
            <w:r>
              <w:rPr>
                <w:rFonts w:ascii="宋体" w:hAnsi="宋体" w:eastAsia="宋体" w:cs="宋体"/>
                <w:sz w:val="24"/>
                <w:szCs w:val="24"/>
                <w:highlight w:val="none"/>
              </w:rPr>
              <w:t>，扣完为止。</w:t>
            </w:r>
          </w:p>
        </w:tc>
        <w:tc>
          <w:tcPr>
            <w:tcW w:w="426" w:type="pct"/>
            <w:tcBorders>
              <w:top w:val="single" w:color="auto" w:sz="4" w:space="0"/>
              <w:left w:val="single" w:color="auto" w:sz="4" w:space="0"/>
              <w:bottom w:val="single" w:color="auto" w:sz="4" w:space="0"/>
              <w:right w:val="single" w:color="auto" w:sz="4" w:space="0"/>
            </w:tcBorders>
            <w:noWrap/>
            <w:vAlign w:val="center"/>
          </w:tcPr>
          <w:p w14:paraId="3311C92B">
            <w:pPr>
              <w:spacing w:line="480" w:lineRule="exact"/>
              <w:rPr>
                <w:rFonts w:ascii="宋体" w:hAnsi="宋体" w:cs="宋体"/>
                <w:bCs/>
                <w:sz w:val="24"/>
                <w:highlight w:val="none"/>
              </w:rPr>
            </w:pPr>
          </w:p>
        </w:tc>
      </w:tr>
      <w:tr w14:paraId="7E3B5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58" w:type="pct"/>
            <w:tcBorders>
              <w:left w:val="single" w:color="auto" w:sz="4" w:space="0"/>
              <w:right w:val="single" w:color="auto" w:sz="4" w:space="0"/>
            </w:tcBorders>
            <w:noWrap/>
            <w:vAlign w:val="center"/>
          </w:tcPr>
          <w:p w14:paraId="4F2E514F">
            <w:pPr>
              <w:spacing w:line="480" w:lineRule="exact"/>
              <w:jc w:val="center"/>
              <w:rPr>
                <w:rFonts w:ascii="宋体" w:hAnsi="宋体" w:cs="宋体"/>
                <w:sz w:val="24"/>
                <w:highlight w:val="none"/>
              </w:rPr>
            </w:pPr>
            <w:r>
              <w:rPr>
                <w:rFonts w:hint="eastAsia" w:ascii="宋体" w:hAnsi="宋体" w:cs="宋体"/>
                <w:sz w:val="24"/>
                <w:highlight w:val="none"/>
              </w:rPr>
              <w:t>人员配备</w:t>
            </w:r>
          </w:p>
        </w:tc>
        <w:tc>
          <w:tcPr>
            <w:tcW w:w="756" w:type="pct"/>
            <w:tcBorders>
              <w:top w:val="single" w:color="auto" w:sz="4" w:space="0"/>
              <w:left w:val="single" w:color="auto" w:sz="4" w:space="0"/>
              <w:bottom w:val="single" w:color="auto" w:sz="4" w:space="0"/>
              <w:right w:val="single" w:color="auto" w:sz="4" w:space="0"/>
            </w:tcBorders>
            <w:noWrap/>
            <w:vAlign w:val="center"/>
          </w:tcPr>
          <w:p w14:paraId="798BB0AF">
            <w:pPr>
              <w:widowControl/>
              <w:spacing w:line="480" w:lineRule="exact"/>
              <w:jc w:val="center"/>
              <w:rPr>
                <w:rFonts w:ascii="宋体" w:hAnsi="宋体" w:cs="宋体"/>
                <w:bCs/>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0</w:t>
            </w:r>
            <w:r>
              <w:rPr>
                <w:rFonts w:hint="eastAsia" w:ascii="宋体" w:hAnsi="宋体" w:cs="宋体"/>
                <w:sz w:val="24"/>
                <w:highlight w:val="none"/>
              </w:rPr>
              <w:t>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7003294B">
            <w:pPr>
              <w:widowControl/>
              <w:numPr>
                <w:ilvl w:val="0"/>
                <w:numId w:val="0"/>
              </w:numPr>
              <w:spacing w:line="480" w:lineRule="exact"/>
              <w:ind w:firstLine="480" w:firstLineChars="200"/>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1.拟投入项目负责人为高级职称且具有</w:t>
            </w:r>
            <w:r>
              <w:rPr>
                <w:rFonts w:hint="eastAsia" w:ascii="宋体" w:hAnsi="宋体" w:cs="宋体"/>
                <w:sz w:val="24"/>
                <w:highlight w:val="none"/>
                <w:lang w:val="en-US" w:eastAsia="zh-CN"/>
              </w:rPr>
              <w:t>注册会计师资格或一级造价工程师注册证书（或原造价工程师注册证书）</w:t>
            </w:r>
            <w:r>
              <w:rPr>
                <w:rFonts w:hint="eastAsia" w:ascii="宋体" w:hAnsi="宋体" w:eastAsia="宋体" w:cs="Times New Roman"/>
                <w:color w:val="auto"/>
                <w:kern w:val="2"/>
                <w:sz w:val="24"/>
                <w:szCs w:val="24"/>
                <w:highlight w:val="none"/>
                <w:lang w:val="en-US" w:eastAsia="zh-CN" w:bidi="ar-SA"/>
              </w:rPr>
              <w:t>的得</w:t>
            </w:r>
            <w:r>
              <w:rPr>
                <w:rFonts w:hint="eastAsia" w:ascii="宋体" w:hAnsi="宋体" w:cs="Times New Roman"/>
                <w:color w:val="auto"/>
                <w:kern w:val="2"/>
                <w:sz w:val="24"/>
                <w:szCs w:val="24"/>
                <w:highlight w:val="none"/>
                <w:lang w:val="en-US" w:eastAsia="zh-CN" w:bidi="ar-SA"/>
              </w:rPr>
              <w:t>2分</w:t>
            </w:r>
            <w:r>
              <w:rPr>
                <w:rFonts w:hint="eastAsia" w:ascii="宋体" w:hAnsi="宋体" w:eastAsia="宋体" w:cs="Times New Roman"/>
                <w:color w:val="auto"/>
                <w:kern w:val="2"/>
                <w:sz w:val="24"/>
                <w:szCs w:val="24"/>
                <w:highlight w:val="none"/>
                <w:lang w:val="en-US" w:eastAsia="zh-CN" w:bidi="ar-SA"/>
              </w:rPr>
              <w:t>。</w:t>
            </w:r>
          </w:p>
          <w:p w14:paraId="6461BA90">
            <w:pPr>
              <w:widowControl/>
              <w:numPr>
                <w:ilvl w:val="0"/>
                <w:numId w:val="0"/>
              </w:numPr>
              <w:spacing w:line="480" w:lineRule="exact"/>
              <w:ind w:firstLine="480" w:firstLineChars="200"/>
              <w:jc w:val="both"/>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2.满足本项目项目组人员配置要求</w:t>
            </w:r>
            <w:r>
              <w:rPr>
                <w:rFonts w:hint="eastAsia" w:ascii="宋体" w:hAnsi="宋体" w:cs="Times New Roman"/>
                <w:color w:val="auto"/>
                <w:kern w:val="2"/>
                <w:sz w:val="24"/>
                <w:szCs w:val="24"/>
                <w:highlight w:val="none"/>
                <w:lang w:val="en-US" w:eastAsia="zh-CN" w:bidi="ar-SA"/>
              </w:rPr>
              <w:t>人员之外</w:t>
            </w:r>
            <w:r>
              <w:rPr>
                <w:rFonts w:hint="eastAsia" w:ascii="宋体" w:hAnsi="宋体" w:eastAsia="宋体" w:cs="Times New Roman"/>
                <w:color w:val="auto"/>
                <w:kern w:val="2"/>
                <w:sz w:val="24"/>
                <w:szCs w:val="24"/>
                <w:highlight w:val="none"/>
                <w:lang w:val="en-US" w:eastAsia="zh-CN" w:bidi="ar-SA"/>
              </w:rPr>
              <w:t>，每增加一名注册会计师或注册造价师执业资格证书的加1分，最高得3分。（</w:t>
            </w:r>
            <w:r>
              <w:rPr>
                <w:rFonts w:hint="eastAsia" w:ascii="宋体" w:hAnsi="宋体" w:cs="宋体"/>
                <w:bCs/>
                <w:color w:val="auto"/>
                <w:sz w:val="24"/>
                <w:highlight w:val="none"/>
                <w:lang w:val="en-US" w:eastAsia="zh-CN"/>
              </w:rPr>
              <w:t>一人多证的，不重复计分</w:t>
            </w:r>
            <w:r>
              <w:rPr>
                <w:rFonts w:hint="eastAsia" w:ascii="宋体" w:hAnsi="宋体" w:eastAsia="宋体" w:cs="Times New Roman"/>
                <w:color w:val="auto"/>
                <w:kern w:val="2"/>
                <w:sz w:val="24"/>
                <w:szCs w:val="24"/>
                <w:highlight w:val="none"/>
                <w:lang w:val="en-US" w:eastAsia="zh-CN" w:bidi="ar-SA"/>
              </w:rPr>
              <w:t>）。</w:t>
            </w:r>
          </w:p>
          <w:p w14:paraId="68DAB53C">
            <w:pPr>
              <w:widowControl/>
              <w:spacing w:line="48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3.</w:t>
            </w:r>
            <w:r>
              <w:rPr>
                <w:rFonts w:ascii="宋体" w:hAnsi="宋体" w:cs="宋体"/>
                <w:sz w:val="24"/>
                <w:highlight w:val="none"/>
              </w:rPr>
              <w:t>根据供应商为本项目配备人员团队及其专业能力（</w:t>
            </w:r>
            <w:r>
              <w:rPr>
                <w:rFonts w:hint="eastAsia" w:ascii="宋体" w:hAnsi="宋体" w:cs="宋体"/>
                <w:sz w:val="24"/>
                <w:highlight w:val="none"/>
              </w:rPr>
              <w:t>综合考虑团队成员的工作经历、岗位证书、注册证书、职责分工等因素</w:t>
            </w:r>
            <w:r>
              <w:rPr>
                <w:rFonts w:ascii="宋体" w:hAnsi="宋体" w:cs="宋体"/>
                <w:sz w:val="24"/>
                <w:highlight w:val="none"/>
              </w:rPr>
              <w:t>）情况进行综合评审。人员职责分工明确、专业能力强、类似项目经验丰富的得</w:t>
            </w:r>
            <w:r>
              <w:rPr>
                <w:rFonts w:hint="eastAsia" w:ascii="宋体" w:hAnsi="宋体" w:cs="宋体"/>
                <w:sz w:val="24"/>
                <w:highlight w:val="none"/>
                <w:lang w:val="en-US" w:eastAsia="zh-CN"/>
              </w:rPr>
              <w:t>5</w:t>
            </w:r>
            <w:r>
              <w:rPr>
                <w:rFonts w:ascii="宋体" w:hAnsi="宋体" w:cs="宋体"/>
                <w:sz w:val="24"/>
                <w:highlight w:val="none"/>
              </w:rPr>
              <w:t>分；在此基础上</w:t>
            </w:r>
            <w:r>
              <w:rPr>
                <w:rFonts w:hint="eastAsia" w:ascii="宋体" w:hAnsi="宋体" w:cs="宋体"/>
                <w:sz w:val="24"/>
                <w:highlight w:val="none"/>
              </w:rPr>
              <w:t>每有一项不完善或劣势扣1分</w:t>
            </w:r>
            <w:r>
              <w:rPr>
                <w:rFonts w:ascii="宋体" w:hAnsi="宋体" w:cs="宋体"/>
                <w:sz w:val="24"/>
                <w:highlight w:val="none"/>
              </w:rPr>
              <w:t>，</w:t>
            </w:r>
            <w:r>
              <w:rPr>
                <w:rFonts w:hint="eastAsia" w:ascii="宋体" w:hAnsi="宋体" w:cs="宋体"/>
                <w:sz w:val="24"/>
                <w:highlight w:val="none"/>
              </w:rPr>
              <w:t>扣完为止，未提供不得分。</w:t>
            </w:r>
          </w:p>
          <w:p w14:paraId="31B1DA3A">
            <w:pPr>
              <w:pStyle w:val="14"/>
              <w:keepNext w:val="0"/>
              <w:keepLines w:val="0"/>
              <w:suppressLineNumbers w:val="0"/>
              <w:snapToGrid w:val="0"/>
              <w:spacing w:before="0" w:beforeAutospacing="0" w:after="0" w:afterAutospacing="0" w:line="480" w:lineRule="exact"/>
              <w:ind w:left="0" w:leftChars="0" w:right="0" w:rightChars="0" w:firstLine="480" w:firstLineChars="200"/>
              <w:rPr>
                <w:rFonts w:ascii="宋体" w:hAnsi="宋体" w:cs="宋体"/>
                <w:sz w:val="24"/>
                <w:highlight w:val="none"/>
              </w:rPr>
            </w:pPr>
            <w:r>
              <w:rPr>
                <w:rFonts w:hint="eastAsia" w:ascii="宋体" w:hAnsi="宋体" w:cs="宋体"/>
                <w:sz w:val="24"/>
                <w:highlight w:val="none"/>
                <w:lang w:val="en-US" w:eastAsia="zh-CN"/>
              </w:rPr>
              <w:t>注：</w:t>
            </w:r>
            <w:r>
              <w:rPr>
                <w:rFonts w:hint="eastAsia" w:hAnsi="宋体" w:cs="宋体"/>
                <w:sz w:val="24"/>
                <w:highlight w:val="none"/>
                <w:lang w:val="en-US" w:eastAsia="zh-CN"/>
              </w:rPr>
              <w:t>以上人员须为本单位正式人员（不包括退休返聘人员），提供证书复印件及</w:t>
            </w:r>
            <w:r>
              <w:rPr>
                <w:rFonts w:hint="eastAsia" w:ascii="宋体" w:hAnsi="宋体" w:eastAsia="宋体" w:cs="宋体"/>
                <w:color w:val="auto"/>
                <w:sz w:val="24"/>
                <w:szCs w:val="24"/>
                <w:highlight w:val="none"/>
              </w:rPr>
              <w:t>本单位近</w:t>
            </w:r>
            <w:r>
              <w:rPr>
                <w:rFonts w:hint="eastAsia" w:ascii="宋体" w:hAnsi="宋体" w:eastAsia="宋体" w:cs="宋体"/>
                <w:color w:val="auto"/>
                <w:sz w:val="24"/>
                <w:szCs w:val="24"/>
                <w:highlight w:val="none"/>
                <w:lang w:val="en-US" w:eastAsia="zh-CN"/>
              </w:rPr>
              <w:t>六个月</w:t>
            </w:r>
            <w:r>
              <w:rPr>
                <w:rFonts w:hint="eastAsia" w:ascii="宋体" w:hAnsi="宋体" w:eastAsia="宋体" w:cs="宋体"/>
                <w:color w:val="auto"/>
                <w:sz w:val="24"/>
                <w:szCs w:val="24"/>
                <w:highlight w:val="none"/>
              </w:rPr>
              <w:t>内至少三个月的社保缴纳证明社保缴纳证明材料</w:t>
            </w:r>
            <w:r>
              <w:rPr>
                <w:rFonts w:hint="eastAsia" w:ascii="宋体" w:hAnsi="宋体" w:eastAsia="宋体" w:cs="宋体"/>
                <w:color w:val="auto"/>
                <w:sz w:val="24"/>
                <w:szCs w:val="24"/>
                <w:highlight w:val="none"/>
                <w:lang w:eastAsia="zh-CN"/>
              </w:rPr>
              <w:t>（须体现缴纳单位、人员姓名、身份证号码及缴纳起止期限等信息）</w:t>
            </w:r>
            <w:r>
              <w:rPr>
                <w:rFonts w:hint="eastAsia" w:ascii="宋体" w:hAnsi="宋体" w:eastAsia="宋体" w:cs="宋体"/>
                <w:color w:val="auto"/>
                <w:sz w:val="24"/>
                <w:szCs w:val="24"/>
                <w:highlight w:val="none"/>
              </w:rPr>
              <w:t>。</w:t>
            </w:r>
          </w:p>
        </w:tc>
        <w:tc>
          <w:tcPr>
            <w:tcW w:w="426" w:type="pct"/>
            <w:tcBorders>
              <w:top w:val="single" w:color="auto" w:sz="4" w:space="0"/>
              <w:left w:val="single" w:color="auto" w:sz="4" w:space="0"/>
              <w:bottom w:val="single" w:color="auto" w:sz="4" w:space="0"/>
              <w:right w:val="single" w:color="auto" w:sz="4" w:space="0"/>
            </w:tcBorders>
            <w:noWrap/>
            <w:vAlign w:val="center"/>
          </w:tcPr>
          <w:p w14:paraId="6CA34EC2">
            <w:pPr>
              <w:spacing w:line="480" w:lineRule="exact"/>
              <w:rPr>
                <w:rFonts w:ascii="宋体" w:hAnsi="宋体" w:cs="宋体"/>
                <w:bCs/>
                <w:sz w:val="24"/>
                <w:highlight w:val="none"/>
              </w:rPr>
            </w:pPr>
          </w:p>
        </w:tc>
      </w:tr>
      <w:tr w14:paraId="032B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58" w:type="pct"/>
            <w:tcBorders>
              <w:left w:val="single" w:color="auto" w:sz="4" w:space="0"/>
              <w:right w:val="single" w:color="auto" w:sz="4" w:space="0"/>
            </w:tcBorders>
            <w:noWrap/>
            <w:vAlign w:val="center"/>
          </w:tcPr>
          <w:p w14:paraId="13B237A0">
            <w:pPr>
              <w:keepNext w:val="0"/>
              <w:keepLines w:val="0"/>
              <w:pageBreakBefore w:val="0"/>
              <w:widowControl/>
              <w:suppressLineNumbers w:val="0"/>
              <w:kinsoku/>
              <w:wordWrap/>
              <w:overflowPunct/>
              <w:topLinePunct w:val="0"/>
              <w:bidi w:val="0"/>
              <w:spacing w:line="480" w:lineRule="exact"/>
              <w:jc w:val="center"/>
              <w:textAlignment w:val="auto"/>
              <w:rPr>
                <w:rFonts w:ascii="宋体" w:hAnsi="宋体" w:cs="宋体"/>
                <w:bCs/>
                <w:sz w:val="24"/>
                <w:highlight w:val="none"/>
              </w:rPr>
            </w:pPr>
            <w:r>
              <w:rPr>
                <w:rFonts w:hint="eastAsia" w:ascii="宋体" w:hAnsi="宋体" w:eastAsia="宋体" w:cs="Times New Roman"/>
                <w:color w:val="auto"/>
                <w:kern w:val="2"/>
                <w:sz w:val="24"/>
                <w:szCs w:val="24"/>
                <w:highlight w:val="none"/>
                <w:lang w:val="en-US" w:eastAsia="zh-CN" w:bidi="ar-SA"/>
              </w:rPr>
              <w:t>服务质量保障措施</w:t>
            </w:r>
          </w:p>
        </w:tc>
        <w:tc>
          <w:tcPr>
            <w:tcW w:w="756" w:type="pct"/>
            <w:tcBorders>
              <w:top w:val="single" w:color="auto" w:sz="4" w:space="0"/>
              <w:left w:val="single" w:color="auto" w:sz="4" w:space="0"/>
              <w:bottom w:val="single" w:color="auto" w:sz="4" w:space="0"/>
              <w:right w:val="single" w:color="auto" w:sz="4" w:space="0"/>
            </w:tcBorders>
            <w:noWrap/>
            <w:vAlign w:val="center"/>
          </w:tcPr>
          <w:p w14:paraId="046DE875">
            <w:pPr>
              <w:spacing w:line="480" w:lineRule="exact"/>
              <w:jc w:val="center"/>
              <w:rPr>
                <w:rFonts w:ascii="宋体" w:hAnsi="宋体" w:cs="宋体"/>
                <w:bCs/>
                <w:sz w:val="24"/>
                <w:highlight w:val="none"/>
              </w:rPr>
            </w:pPr>
            <w:r>
              <w:rPr>
                <w:rFonts w:hint="eastAsia" w:ascii="宋体" w:hAnsi="宋体" w:eastAsia="宋体" w:cs="Times New Roman"/>
                <w:color w:val="auto"/>
                <w:kern w:val="2"/>
                <w:sz w:val="24"/>
                <w:szCs w:val="24"/>
                <w:highlight w:val="none"/>
                <w:lang w:val="en-US" w:eastAsia="zh-CN" w:bidi="ar-SA"/>
              </w:rPr>
              <w:t>10分</w:t>
            </w:r>
          </w:p>
        </w:tc>
        <w:tc>
          <w:tcPr>
            <w:tcW w:w="3159" w:type="pct"/>
            <w:tcBorders>
              <w:top w:val="single" w:color="auto" w:sz="4" w:space="0"/>
              <w:left w:val="single" w:color="auto" w:sz="4" w:space="0"/>
              <w:bottom w:val="single" w:color="auto" w:sz="4" w:space="0"/>
              <w:right w:val="single" w:color="auto" w:sz="4" w:space="0"/>
            </w:tcBorders>
            <w:noWrap/>
            <w:vAlign w:val="top"/>
          </w:tcPr>
          <w:p w14:paraId="2EB8D72D">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ascii="宋体" w:hAnsi="宋体" w:cs="宋体"/>
                <w:bCs/>
                <w:sz w:val="24"/>
                <w:highlight w:val="none"/>
              </w:rPr>
            </w:pPr>
            <w:r>
              <w:rPr>
                <w:rFonts w:hint="eastAsia" w:ascii="宋体" w:hAnsi="宋体" w:eastAsia="宋体" w:cs="Times New Roman"/>
                <w:color w:val="auto"/>
                <w:kern w:val="2"/>
                <w:sz w:val="24"/>
                <w:szCs w:val="24"/>
                <w:highlight w:val="none"/>
                <w:lang w:val="en-US" w:eastAsia="zh-CN" w:bidi="ar-SA"/>
              </w:rPr>
              <w:t>根据供应商提供的质量保障措施进行评分，措施完整、有针对性，控制性且能够充分保障服务质量的得10分，每存在一处不完善或有瑕疵的内容扣1分，扣完为止；缺项不得分。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1BDDE4AA">
            <w:pPr>
              <w:spacing w:line="480" w:lineRule="exact"/>
              <w:rPr>
                <w:rFonts w:ascii="宋体" w:hAnsi="宋体" w:cs="宋体"/>
                <w:bCs/>
                <w:sz w:val="24"/>
                <w:highlight w:val="none"/>
              </w:rPr>
            </w:pPr>
          </w:p>
        </w:tc>
      </w:tr>
      <w:tr w14:paraId="083E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58" w:type="pct"/>
            <w:tcBorders>
              <w:left w:val="single" w:color="auto" w:sz="4" w:space="0"/>
              <w:right w:val="single" w:color="auto" w:sz="4" w:space="0"/>
            </w:tcBorders>
            <w:noWrap/>
            <w:vAlign w:val="center"/>
          </w:tcPr>
          <w:p w14:paraId="0059678C">
            <w:pPr>
              <w:keepNext w:val="0"/>
              <w:keepLines w:val="0"/>
              <w:pageBreakBefore w:val="0"/>
              <w:widowControl/>
              <w:suppressLineNumbers w:val="0"/>
              <w:kinsoku/>
              <w:wordWrap/>
              <w:overflowPunct/>
              <w:topLinePunct w:val="0"/>
              <w:bidi w:val="0"/>
              <w:spacing w:line="480" w:lineRule="exact"/>
              <w:jc w:val="center"/>
              <w:textAlignment w:val="auto"/>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服务进度保障措施</w:t>
            </w:r>
          </w:p>
        </w:tc>
        <w:tc>
          <w:tcPr>
            <w:tcW w:w="756" w:type="pct"/>
            <w:tcBorders>
              <w:top w:val="single" w:color="auto" w:sz="4" w:space="0"/>
              <w:left w:val="single" w:color="auto" w:sz="4" w:space="0"/>
              <w:bottom w:val="single" w:color="auto" w:sz="4" w:space="0"/>
              <w:right w:val="single" w:color="auto" w:sz="4" w:space="0"/>
            </w:tcBorders>
            <w:noWrap/>
            <w:vAlign w:val="center"/>
          </w:tcPr>
          <w:p w14:paraId="0A00CFA2">
            <w:pPr>
              <w:spacing w:line="480" w:lineRule="exact"/>
              <w:jc w:val="center"/>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10分</w:t>
            </w:r>
          </w:p>
        </w:tc>
        <w:tc>
          <w:tcPr>
            <w:tcW w:w="3159" w:type="pct"/>
            <w:tcBorders>
              <w:top w:val="single" w:color="auto" w:sz="4" w:space="0"/>
              <w:left w:val="single" w:color="auto" w:sz="4" w:space="0"/>
              <w:bottom w:val="single" w:color="auto" w:sz="4" w:space="0"/>
              <w:right w:val="single" w:color="auto" w:sz="4" w:space="0"/>
            </w:tcBorders>
            <w:noWrap/>
            <w:vAlign w:val="top"/>
          </w:tcPr>
          <w:p w14:paraId="2A31867D">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ascii="宋体" w:hAnsi="宋体" w:cs="宋体"/>
                <w:sz w:val="24"/>
                <w:highlight w:val="none"/>
              </w:rPr>
            </w:pPr>
            <w:r>
              <w:rPr>
                <w:rFonts w:hint="eastAsia" w:ascii="宋体" w:hAnsi="宋体" w:eastAsia="宋体" w:cs="Times New Roman"/>
                <w:color w:val="auto"/>
                <w:kern w:val="2"/>
                <w:sz w:val="24"/>
                <w:szCs w:val="24"/>
                <w:highlight w:val="none"/>
                <w:lang w:val="en-US" w:eastAsia="zh-CN" w:bidi="ar-SA"/>
              </w:rPr>
              <w:t>根据供应商提供的进度保障措施进行评分，进度计划安排合理、符合项目要求及实际情况，能够有效保障服务进度</w:t>
            </w:r>
            <w:r>
              <w:rPr>
                <w:rFonts w:hint="eastAsia" w:ascii="宋体" w:hAnsi="宋体" w:cs="Times New Roman"/>
                <w:color w:val="auto"/>
                <w:kern w:val="2"/>
                <w:sz w:val="24"/>
                <w:szCs w:val="24"/>
                <w:highlight w:val="none"/>
                <w:lang w:val="en-US" w:eastAsia="zh-CN" w:bidi="ar-SA"/>
              </w:rPr>
              <w:t>和时效性</w:t>
            </w:r>
            <w:r>
              <w:rPr>
                <w:rFonts w:hint="eastAsia" w:ascii="宋体" w:hAnsi="宋体" w:eastAsia="宋体" w:cs="Times New Roman"/>
                <w:color w:val="auto"/>
                <w:kern w:val="2"/>
                <w:sz w:val="24"/>
                <w:szCs w:val="24"/>
                <w:highlight w:val="none"/>
                <w:lang w:val="en-US" w:eastAsia="zh-CN" w:bidi="ar-SA"/>
              </w:rPr>
              <w:t>的得10分，每存在一处不完善或有瑕疵的内容扣1分，扣完为止；缺项不得分。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6A742112">
            <w:pPr>
              <w:spacing w:line="480" w:lineRule="exact"/>
              <w:rPr>
                <w:rFonts w:ascii="宋体" w:hAnsi="宋体" w:cs="宋体"/>
                <w:bCs/>
                <w:sz w:val="24"/>
                <w:highlight w:val="none"/>
              </w:rPr>
            </w:pPr>
          </w:p>
        </w:tc>
      </w:tr>
      <w:tr w14:paraId="238FC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58" w:type="pct"/>
            <w:tcBorders>
              <w:left w:val="single" w:color="auto" w:sz="4" w:space="0"/>
              <w:right w:val="single" w:color="auto" w:sz="4" w:space="0"/>
            </w:tcBorders>
            <w:noWrap/>
            <w:vAlign w:val="center"/>
          </w:tcPr>
          <w:p w14:paraId="652AE1EE">
            <w:pPr>
              <w:keepNext w:val="0"/>
              <w:keepLines w:val="0"/>
              <w:pageBreakBefore w:val="0"/>
              <w:widowControl/>
              <w:suppressLineNumbers w:val="0"/>
              <w:kinsoku/>
              <w:wordWrap/>
              <w:overflowPunct/>
              <w:topLinePunct w:val="0"/>
              <w:bidi w:val="0"/>
              <w:spacing w:line="480" w:lineRule="exact"/>
              <w:jc w:val="center"/>
              <w:textAlignment w:val="auto"/>
              <w:rPr>
                <w:rFonts w:ascii="宋体" w:hAnsi="宋体" w:cs="宋体"/>
                <w:bCs/>
                <w:sz w:val="24"/>
                <w:highlight w:val="none"/>
              </w:rPr>
            </w:pPr>
            <w:r>
              <w:rPr>
                <w:rFonts w:hint="eastAsia" w:ascii="宋体" w:hAnsi="宋体" w:eastAsia="宋体" w:cs="Times New Roman"/>
                <w:color w:val="auto"/>
                <w:kern w:val="2"/>
                <w:sz w:val="24"/>
                <w:szCs w:val="24"/>
                <w:highlight w:val="none"/>
                <w:lang w:val="en-US" w:eastAsia="zh-CN" w:bidi="ar-SA"/>
              </w:rPr>
              <w:t>保密措施</w:t>
            </w:r>
          </w:p>
        </w:tc>
        <w:tc>
          <w:tcPr>
            <w:tcW w:w="756" w:type="pct"/>
            <w:tcBorders>
              <w:top w:val="single" w:color="auto" w:sz="4" w:space="0"/>
              <w:left w:val="single" w:color="auto" w:sz="4" w:space="0"/>
              <w:bottom w:val="single" w:color="auto" w:sz="4" w:space="0"/>
              <w:right w:val="single" w:color="auto" w:sz="4" w:space="0"/>
            </w:tcBorders>
            <w:noWrap/>
            <w:vAlign w:val="center"/>
          </w:tcPr>
          <w:p w14:paraId="526F1015">
            <w:pPr>
              <w:widowControl/>
              <w:spacing w:line="480" w:lineRule="exact"/>
              <w:jc w:val="center"/>
              <w:rPr>
                <w:rFonts w:ascii="宋体" w:hAnsi="宋体" w:cs="宋体"/>
                <w:bCs/>
                <w:sz w:val="24"/>
                <w:highlight w:val="none"/>
              </w:rPr>
            </w:pPr>
            <w:r>
              <w:rPr>
                <w:rFonts w:hint="eastAsia" w:ascii="宋体" w:hAnsi="宋体" w:cs="Times New Roman"/>
                <w:color w:val="auto"/>
                <w:kern w:val="2"/>
                <w:sz w:val="24"/>
                <w:szCs w:val="24"/>
                <w:highlight w:val="none"/>
                <w:lang w:val="en-US" w:eastAsia="zh-CN" w:bidi="ar-SA"/>
              </w:rPr>
              <w:t>10分</w:t>
            </w:r>
          </w:p>
        </w:tc>
        <w:tc>
          <w:tcPr>
            <w:tcW w:w="3159" w:type="pct"/>
            <w:tcBorders>
              <w:top w:val="single" w:color="auto" w:sz="4" w:space="0"/>
              <w:left w:val="single" w:color="auto" w:sz="4" w:space="0"/>
              <w:bottom w:val="single" w:color="auto" w:sz="4" w:space="0"/>
              <w:right w:val="single" w:color="auto" w:sz="4" w:space="0"/>
            </w:tcBorders>
            <w:noWrap/>
            <w:vAlign w:val="top"/>
          </w:tcPr>
          <w:p w14:paraId="58838CAE">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ascii="宋体" w:hAnsi="宋体" w:cs="宋体"/>
                <w:bCs/>
                <w:sz w:val="24"/>
                <w:highlight w:val="none"/>
              </w:rPr>
            </w:pPr>
            <w:r>
              <w:rPr>
                <w:rFonts w:hint="eastAsia" w:ascii="宋体" w:hAnsi="宋体" w:cs="Times New Roman"/>
                <w:color w:val="auto"/>
                <w:kern w:val="2"/>
                <w:sz w:val="24"/>
                <w:szCs w:val="24"/>
                <w:highlight w:val="none"/>
                <w:lang w:val="en-US" w:eastAsia="zh-CN" w:bidi="ar-SA"/>
              </w:rPr>
              <w:t>供应商针对本项目</w:t>
            </w:r>
            <w:r>
              <w:rPr>
                <w:rFonts w:hint="eastAsia" w:ascii="宋体" w:hAnsi="宋体" w:eastAsia="宋体" w:cs="Times New Roman"/>
                <w:color w:val="auto"/>
                <w:kern w:val="2"/>
                <w:sz w:val="24"/>
                <w:szCs w:val="24"/>
                <w:highlight w:val="none"/>
                <w:lang w:val="en-US" w:eastAsia="zh-CN" w:bidi="ar-SA"/>
              </w:rPr>
              <w:t>采购需求制定廉洁保密方案，明确保密范围，廉洁保密措施规范化、制度化，廉洁保密方案严谨周密，切实可行，对于泄密风险制定应对措施，并能根据法律法规变化和业务需求定期审查和更新保密政策</w:t>
            </w:r>
            <w:r>
              <w:rPr>
                <w:rFonts w:hint="eastAsia" w:ascii="宋体" w:hAnsi="宋体" w:cs="Times New Roman"/>
                <w:color w:val="auto"/>
                <w:kern w:val="2"/>
                <w:sz w:val="24"/>
                <w:szCs w:val="24"/>
                <w:highlight w:val="none"/>
                <w:lang w:val="en-US" w:eastAsia="zh-CN" w:bidi="ar-SA"/>
              </w:rPr>
              <w:t>的得10</w:t>
            </w:r>
            <w:r>
              <w:rPr>
                <w:rFonts w:hint="eastAsia" w:ascii="宋体" w:hAnsi="宋体" w:eastAsia="宋体" w:cs="Times New Roman"/>
                <w:color w:val="auto"/>
                <w:kern w:val="2"/>
                <w:sz w:val="24"/>
                <w:szCs w:val="24"/>
                <w:highlight w:val="none"/>
                <w:lang w:val="en-US" w:eastAsia="zh-CN" w:bidi="ar-SA"/>
              </w:rPr>
              <w:t>分，每存在一处不完善或有瑕疵的内容扣1分，扣完为止；缺项不得分。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6781B0AB">
            <w:pPr>
              <w:spacing w:line="480" w:lineRule="exact"/>
              <w:rPr>
                <w:rFonts w:ascii="宋体" w:hAnsi="宋体" w:cs="宋体"/>
                <w:bCs/>
                <w:sz w:val="24"/>
                <w:highlight w:val="none"/>
              </w:rPr>
            </w:pPr>
          </w:p>
        </w:tc>
      </w:tr>
      <w:tr w14:paraId="1027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658" w:type="pct"/>
            <w:tcBorders>
              <w:left w:val="single" w:color="auto" w:sz="4" w:space="0"/>
              <w:right w:val="single" w:color="auto" w:sz="4" w:space="0"/>
            </w:tcBorders>
            <w:noWrap/>
            <w:vAlign w:val="center"/>
          </w:tcPr>
          <w:p w14:paraId="6B04A3E3">
            <w:pPr>
              <w:spacing w:line="480" w:lineRule="exact"/>
              <w:jc w:val="center"/>
              <w:rPr>
                <w:rFonts w:ascii="宋体" w:hAnsi="宋体" w:cs="宋体"/>
                <w:bCs/>
                <w:sz w:val="24"/>
                <w:highlight w:val="none"/>
              </w:rPr>
            </w:pPr>
            <w:r>
              <w:rPr>
                <w:rFonts w:hint="eastAsia" w:ascii="宋体" w:hAnsi="宋体" w:cs="宋体"/>
                <w:sz w:val="24"/>
                <w:highlight w:val="none"/>
                <w:lang w:val="en-US" w:eastAsia="zh-CN"/>
              </w:rPr>
              <w:t>突发事件应急预案</w:t>
            </w:r>
          </w:p>
        </w:tc>
        <w:tc>
          <w:tcPr>
            <w:tcW w:w="756" w:type="pct"/>
            <w:tcBorders>
              <w:top w:val="single" w:color="auto" w:sz="4" w:space="0"/>
              <w:left w:val="single" w:color="auto" w:sz="4" w:space="0"/>
              <w:bottom w:val="single" w:color="auto" w:sz="4" w:space="0"/>
              <w:right w:val="single" w:color="auto" w:sz="4" w:space="0"/>
            </w:tcBorders>
            <w:noWrap/>
            <w:vAlign w:val="center"/>
          </w:tcPr>
          <w:p w14:paraId="254E873F">
            <w:pPr>
              <w:spacing w:line="480" w:lineRule="exact"/>
              <w:jc w:val="center"/>
              <w:rPr>
                <w:rFonts w:ascii="宋体" w:hAnsi="宋体" w:cs="宋体"/>
                <w:bCs/>
                <w:sz w:val="24"/>
                <w:highlight w:val="none"/>
              </w:rPr>
            </w:pPr>
            <w:r>
              <w:rPr>
                <w:rFonts w:hint="eastAsia" w:ascii="宋体" w:hAnsi="宋体" w:cs="宋体"/>
                <w:sz w:val="24"/>
                <w:highlight w:val="none"/>
                <w:lang w:val="en-US" w:eastAsia="zh-CN"/>
              </w:rPr>
              <w:t>5分</w:t>
            </w:r>
          </w:p>
        </w:tc>
        <w:tc>
          <w:tcPr>
            <w:tcW w:w="3159" w:type="pct"/>
            <w:tcBorders>
              <w:top w:val="single" w:color="auto" w:sz="4" w:space="0"/>
              <w:left w:val="single" w:color="auto" w:sz="4" w:space="0"/>
              <w:bottom w:val="single" w:color="auto" w:sz="4" w:space="0"/>
              <w:right w:val="single" w:color="auto" w:sz="4" w:space="0"/>
            </w:tcBorders>
            <w:noWrap/>
            <w:vAlign w:val="center"/>
          </w:tcPr>
          <w:p w14:paraId="1669D752">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ascii="宋体" w:hAnsi="宋体" w:cs="宋体"/>
                <w:bCs/>
                <w:sz w:val="24"/>
                <w:highlight w:val="none"/>
              </w:rPr>
            </w:pPr>
            <w:r>
              <w:rPr>
                <w:rFonts w:hint="eastAsia" w:ascii="宋体" w:hAnsi="宋体" w:cs="Times New Roman"/>
                <w:color w:val="auto"/>
                <w:kern w:val="2"/>
                <w:sz w:val="24"/>
                <w:szCs w:val="24"/>
                <w:highlight w:val="none"/>
                <w:lang w:val="en-US" w:eastAsia="zh-CN" w:bidi="ar-SA"/>
              </w:rPr>
              <w:t>根据供应商提供的针对本项目项实施过程中突发事件处理机制与预案进行综合评审，方案措施详细完整、</w:t>
            </w:r>
            <w:r>
              <w:rPr>
                <w:rFonts w:hint="eastAsia" w:ascii="宋体" w:hAnsi="宋体" w:cs="宋体"/>
                <w:i w:val="0"/>
                <w:iCs w:val="0"/>
                <w:color w:val="auto"/>
                <w:kern w:val="0"/>
                <w:sz w:val="24"/>
                <w:szCs w:val="24"/>
                <w:highlight w:val="none"/>
                <w:u w:val="none"/>
                <w:lang w:val="en-US" w:eastAsia="zh-CN" w:bidi="ar"/>
              </w:rPr>
              <w:t>有较强的</w:t>
            </w:r>
            <w:r>
              <w:rPr>
                <w:rFonts w:hint="eastAsia" w:ascii="宋体" w:hAnsi="宋体" w:eastAsia="宋体" w:cs="宋体"/>
                <w:i w:val="0"/>
                <w:iCs w:val="0"/>
                <w:color w:val="auto"/>
                <w:kern w:val="0"/>
                <w:sz w:val="24"/>
                <w:szCs w:val="24"/>
                <w:highlight w:val="none"/>
                <w:u w:val="none"/>
                <w:lang w:val="en-US" w:eastAsia="zh-CN" w:bidi="ar"/>
              </w:rPr>
              <w:t>解决问题能力，项目实施过程中所有可能出现的问题考虑全面，应急问题处理预案详细可操作</w:t>
            </w:r>
            <w:r>
              <w:rPr>
                <w:rFonts w:hint="eastAsia" w:ascii="宋体" w:hAnsi="宋体" w:cs="Times New Roman"/>
                <w:color w:val="auto"/>
                <w:kern w:val="2"/>
                <w:sz w:val="24"/>
                <w:szCs w:val="24"/>
                <w:highlight w:val="none"/>
                <w:lang w:val="en-US" w:eastAsia="zh-CN" w:bidi="ar-SA"/>
              </w:rPr>
              <w:t>得5分，每有一处不完善或劣势扣0.5分，扣完为止。此条缺项不得分。</w:t>
            </w:r>
          </w:p>
        </w:tc>
        <w:tc>
          <w:tcPr>
            <w:tcW w:w="426" w:type="pct"/>
            <w:tcBorders>
              <w:top w:val="single" w:color="auto" w:sz="4" w:space="0"/>
              <w:left w:val="single" w:color="auto" w:sz="4" w:space="0"/>
              <w:bottom w:val="single" w:color="auto" w:sz="4" w:space="0"/>
              <w:right w:val="single" w:color="auto" w:sz="4" w:space="0"/>
            </w:tcBorders>
            <w:noWrap/>
            <w:vAlign w:val="center"/>
          </w:tcPr>
          <w:p w14:paraId="2C6D8E67">
            <w:pPr>
              <w:spacing w:line="480" w:lineRule="exact"/>
              <w:rPr>
                <w:rFonts w:ascii="宋体" w:hAnsi="宋体" w:cs="宋体"/>
                <w:bCs/>
                <w:sz w:val="24"/>
                <w:highlight w:val="none"/>
              </w:rPr>
            </w:pPr>
          </w:p>
        </w:tc>
      </w:tr>
    </w:tbl>
    <w:p w14:paraId="2E0D02DD">
      <w:pPr>
        <w:pStyle w:val="45"/>
        <w:spacing w:line="480" w:lineRule="exact"/>
        <w:ind w:left="0" w:firstLine="0"/>
        <w:jc w:val="left"/>
        <w:rPr>
          <w:rFonts w:ascii="宋体" w:hAnsi="宋体" w:cs="宋体"/>
          <w:sz w:val="24"/>
          <w:highlight w:val="none"/>
        </w:rPr>
      </w:pPr>
      <w:r>
        <w:rPr>
          <w:rFonts w:hint="eastAsia" w:ascii="宋体" w:hAnsi="宋体" w:cs="宋体"/>
          <w:sz w:val="24"/>
          <w:highlight w:val="none"/>
        </w:rPr>
        <w:t>说明：该表的位置应封装在响应文件（响应文件）目录之前。</w:t>
      </w:r>
    </w:p>
    <w:p w14:paraId="1700CDE1">
      <w:pPr>
        <w:pStyle w:val="36"/>
        <w:rPr>
          <w:rFonts w:hAnsi="宋体" w:cs="宋体"/>
          <w:color w:val="auto"/>
          <w:szCs w:val="24"/>
          <w:highlight w:val="none"/>
        </w:rPr>
      </w:pPr>
    </w:p>
    <w:p w14:paraId="72D6C65C">
      <w:pPr>
        <w:rPr>
          <w:rFonts w:ascii="宋体" w:hAnsi="宋体" w:cs="宋体"/>
          <w:highlight w:val="none"/>
        </w:rPr>
      </w:pPr>
    </w:p>
    <w:p w14:paraId="0C113F9D">
      <w:pPr>
        <w:rPr>
          <w:highlight w:val="none"/>
        </w:rPr>
      </w:pPr>
      <w:r>
        <w:rPr>
          <w:highlight w:val="none"/>
        </w:rPr>
        <w:br w:type="page"/>
      </w:r>
    </w:p>
    <w:p w14:paraId="4F3C5A35">
      <w:pPr>
        <w:pStyle w:val="2"/>
        <w:rPr>
          <w:highlight w:val="none"/>
        </w:rPr>
      </w:pPr>
    </w:p>
    <w:p w14:paraId="4A76A93E">
      <w:pPr>
        <w:pStyle w:val="4"/>
        <w:numPr>
          <w:ilvl w:val="0"/>
          <w:numId w:val="0"/>
        </w:numPr>
        <w:spacing w:line="480" w:lineRule="exact"/>
        <w:jc w:val="center"/>
        <w:rPr>
          <w:rFonts w:ascii="宋体" w:hAnsi="宋体" w:cs="宋体"/>
          <w:highlight w:val="none"/>
        </w:rPr>
      </w:pPr>
      <w:bookmarkStart w:id="271" w:name="_Toc7206"/>
      <w:r>
        <w:rPr>
          <w:rFonts w:hint="eastAsia" w:ascii="宋体" w:hAnsi="宋体" w:cs="宋体"/>
          <w:highlight w:val="none"/>
          <w:lang w:val="en-US" w:eastAsia="zh-CN"/>
        </w:rPr>
        <w:t>三、</w:t>
      </w:r>
      <w:r>
        <w:rPr>
          <w:rFonts w:hint="eastAsia" w:ascii="宋体" w:hAnsi="宋体" w:cs="宋体"/>
          <w:highlight w:val="none"/>
        </w:rPr>
        <w:t>报价一览表</w:t>
      </w:r>
      <w:bookmarkEnd w:id="266"/>
      <w:bookmarkEnd w:id="267"/>
      <w:bookmarkEnd w:id="268"/>
      <w:bookmarkEnd w:id="271"/>
    </w:p>
    <w:p w14:paraId="7AA75066">
      <w:pPr>
        <w:ind w:left="372" w:leftChars="177"/>
        <w:rPr>
          <w:highlight w:val="none"/>
        </w:rPr>
      </w:pPr>
    </w:p>
    <w:p w14:paraId="60CB125A">
      <w:pPr>
        <w:pStyle w:val="9"/>
        <w:spacing w:before="0" w:line="500" w:lineRule="exact"/>
        <w:rPr>
          <w:rFonts w:hint="eastAsia" w:asciiTheme="minorEastAsia" w:hAnsiTheme="minorEastAsia" w:eastAsiaTheme="minorEastAsia" w:cstheme="minorEastAsia"/>
          <w:highlight w:val="none"/>
          <w:lang w:eastAsia="zh-CN"/>
        </w:rPr>
      </w:pPr>
      <w:bookmarkStart w:id="272" w:name="_Hlt520356241"/>
      <w:bookmarkEnd w:id="272"/>
      <w:bookmarkStart w:id="273" w:name="_Ref467988698"/>
      <w:bookmarkStart w:id="274" w:name="_Toc480942349"/>
      <w:bookmarkStart w:id="275" w:name="_Toc520356217"/>
      <w:bookmarkStart w:id="276" w:name="_Toc216582813"/>
      <w:r>
        <w:rPr>
          <w:rFonts w:hint="eastAsia" w:asciiTheme="minorEastAsia" w:hAnsiTheme="minorEastAsia" w:eastAsiaTheme="minorEastAsia" w:cstheme="minorEastAsia"/>
          <w:highlight w:val="none"/>
        </w:rPr>
        <w:t>项目名称：</w:t>
      </w:r>
      <w:r>
        <w:rPr>
          <w:rFonts w:hint="eastAsia" w:asciiTheme="minorEastAsia" w:hAnsiTheme="minorEastAsia" w:eastAsiaTheme="minorEastAsia" w:cstheme="minorEastAsia"/>
          <w:highlight w:val="none"/>
          <w:lang w:eastAsia="zh-CN"/>
        </w:rPr>
        <w:t>临沂大学2025年学校事业发展情况审计服务项目</w:t>
      </w:r>
    </w:p>
    <w:p w14:paraId="46C99B13">
      <w:pPr>
        <w:pStyle w:val="9"/>
        <w:spacing w:before="0" w:line="500" w:lineRule="exac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rPr>
        <w:t>项目编号：</w:t>
      </w:r>
      <w:r>
        <w:rPr>
          <w:rFonts w:hint="eastAsia" w:asciiTheme="minorEastAsia" w:hAnsiTheme="minorEastAsia" w:eastAsiaTheme="minorEastAsia" w:cstheme="minorEastAsia"/>
          <w:highlight w:val="none"/>
          <w:lang w:eastAsia="zh-CN"/>
        </w:rPr>
        <w:t>SDGP370000000202502006696</w:t>
      </w:r>
    </w:p>
    <w:p w14:paraId="7652B233">
      <w:pPr>
        <w:pStyle w:val="9"/>
        <w:spacing w:before="0"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项目包号：A</w:t>
      </w:r>
      <w:r>
        <w:rPr>
          <w:rFonts w:hint="eastAsia" w:asciiTheme="minorEastAsia" w:hAnsiTheme="minorEastAsia" w:eastAsiaTheme="minorEastAsia" w:cstheme="minorEastAsia"/>
          <w:highlight w:val="none"/>
          <w:lang w:val="en-US" w:eastAsia="zh-CN"/>
        </w:rPr>
        <w:t xml:space="preserve">                                                   单位：元</w:t>
      </w:r>
    </w:p>
    <w:tbl>
      <w:tblPr>
        <w:tblStyle w:val="28"/>
        <w:tblW w:w="88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6358"/>
      </w:tblGrid>
      <w:tr w14:paraId="0D84CC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2477" w:type="dxa"/>
            <w:vMerge w:val="restart"/>
            <w:tcBorders>
              <w:tl2br w:val="nil"/>
              <w:tr2bl w:val="nil"/>
            </w:tcBorders>
            <w:vAlign w:val="center"/>
          </w:tcPr>
          <w:p w14:paraId="3771BF0B">
            <w:pPr>
              <w:pStyle w:val="9"/>
              <w:spacing w:line="500" w:lineRule="exact"/>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rPr>
              <w:t>总价</w:t>
            </w:r>
          </w:p>
        </w:tc>
        <w:tc>
          <w:tcPr>
            <w:tcW w:w="6358" w:type="dxa"/>
            <w:tcBorders>
              <w:tl2br w:val="nil"/>
              <w:tr2bl w:val="nil"/>
            </w:tcBorders>
            <w:vAlign w:val="center"/>
          </w:tcPr>
          <w:p w14:paraId="48CC1141">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大写：</w:t>
            </w:r>
          </w:p>
        </w:tc>
      </w:tr>
      <w:tr w14:paraId="5B6D4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7" w:hRule="atLeast"/>
          <w:jc w:val="center"/>
        </w:trPr>
        <w:tc>
          <w:tcPr>
            <w:tcW w:w="2477" w:type="dxa"/>
            <w:vMerge w:val="continue"/>
            <w:tcBorders>
              <w:tl2br w:val="nil"/>
              <w:tr2bl w:val="nil"/>
            </w:tcBorders>
            <w:vAlign w:val="center"/>
          </w:tcPr>
          <w:p w14:paraId="37819D3F">
            <w:pPr>
              <w:pStyle w:val="9"/>
              <w:spacing w:line="500" w:lineRule="exact"/>
              <w:jc w:val="center"/>
              <w:rPr>
                <w:rFonts w:asciiTheme="minorEastAsia" w:hAnsiTheme="minorEastAsia" w:eastAsiaTheme="minorEastAsia" w:cstheme="minorEastAsia"/>
                <w:highlight w:val="none"/>
              </w:rPr>
            </w:pPr>
          </w:p>
        </w:tc>
        <w:tc>
          <w:tcPr>
            <w:tcW w:w="6358" w:type="dxa"/>
            <w:tcBorders>
              <w:tl2br w:val="nil"/>
              <w:tr2bl w:val="nil"/>
            </w:tcBorders>
            <w:vAlign w:val="center"/>
          </w:tcPr>
          <w:p w14:paraId="136E2288">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小写：</w:t>
            </w:r>
          </w:p>
        </w:tc>
      </w:tr>
      <w:tr w14:paraId="6543D6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tcBorders>
              <w:tl2br w:val="nil"/>
              <w:tr2bl w:val="nil"/>
            </w:tcBorders>
            <w:vAlign w:val="center"/>
          </w:tcPr>
          <w:p w14:paraId="31381B5F">
            <w:pPr>
              <w:pStyle w:val="9"/>
              <w:spacing w:line="500" w:lineRule="exact"/>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项目负责人</w:t>
            </w:r>
          </w:p>
        </w:tc>
        <w:tc>
          <w:tcPr>
            <w:tcW w:w="6358" w:type="dxa"/>
            <w:tcBorders>
              <w:tl2br w:val="nil"/>
              <w:tr2bl w:val="nil"/>
            </w:tcBorders>
            <w:vAlign w:val="center"/>
          </w:tcPr>
          <w:p w14:paraId="40F524D8">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姓名：</w:t>
            </w:r>
          </w:p>
          <w:p w14:paraId="24B8403F">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联系方式：</w:t>
            </w:r>
          </w:p>
        </w:tc>
      </w:tr>
      <w:tr w14:paraId="011EE5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8835" w:type="dxa"/>
            <w:gridSpan w:val="2"/>
            <w:tcBorders>
              <w:tl2br w:val="nil"/>
              <w:tr2bl w:val="nil"/>
            </w:tcBorders>
            <w:vAlign w:val="center"/>
          </w:tcPr>
          <w:p w14:paraId="6E413FD0">
            <w:pPr>
              <w:pStyle w:val="9"/>
              <w:spacing w:line="500" w:lineRule="exact"/>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交付日期(服务期限)：</w:t>
            </w:r>
          </w:p>
        </w:tc>
      </w:tr>
    </w:tbl>
    <w:p w14:paraId="1978D04E">
      <w:pPr>
        <w:tabs>
          <w:tab w:val="left" w:pos="567"/>
          <w:tab w:val="left" w:pos="1146"/>
          <w:tab w:val="left" w:pos="1719"/>
          <w:tab w:val="left" w:pos="2483"/>
        </w:tabs>
        <w:spacing w:line="480" w:lineRule="exact"/>
        <w:ind w:leftChars="-135" w:hanging="283" w:hangingChars="118"/>
        <w:rPr>
          <w:rFonts w:ascii="宋体" w:hAnsi="宋体" w:cs="宋体"/>
          <w:sz w:val="24"/>
          <w:szCs w:val="21"/>
          <w:highlight w:val="none"/>
        </w:rPr>
      </w:pPr>
      <w:r>
        <w:rPr>
          <w:rFonts w:hint="eastAsia" w:ascii="宋体" w:hAnsi="宋体" w:cs="宋体"/>
          <w:sz w:val="24"/>
          <w:szCs w:val="21"/>
          <w:highlight w:val="none"/>
        </w:rPr>
        <w:t>说明： 1、报价一览表中“总价”是指提供服务及货物的全部费用的报价。</w:t>
      </w:r>
    </w:p>
    <w:p w14:paraId="4B13B81E">
      <w:pPr>
        <w:tabs>
          <w:tab w:val="left" w:pos="567"/>
          <w:tab w:val="left" w:pos="1146"/>
          <w:tab w:val="left" w:pos="1719"/>
          <w:tab w:val="left" w:pos="2483"/>
        </w:tabs>
        <w:spacing w:line="480" w:lineRule="exact"/>
        <w:ind w:firstLine="600" w:firstLineChars="250"/>
        <w:rPr>
          <w:rFonts w:ascii="宋体" w:hAnsi="宋体" w:cs="宋体"/>
          <w:sz w:val="24"/>
          <w:highlight w:val="none"/>
        </w:rPr>
      </w:pPr>
      <w:r>
        <w:rPr>
          <w:rFonts w:hint="eastAsia" w:ascii="宋体" w:hAnsi="宋体" w:cs="宋体"/>
          <w:sz w:val="24"/>
          <w:szCs w:val="21"/>
          <w:highlight w:val="none"/>
        </w:rPr>
        <w:t>2、</w:t>
      </w:r>
      <w:r>
        <w:rPr>
          <w:rFonts w:hint="eastAsia" w:ascii="宋体" w:hAnsi="宋体" w:cs="宋体"/>
          <w:sz w:val="24"/>
          <w:highlight w:val="none"/>
        </w:rPr>
        <w:t>总价应和分项报价表的合计总价相一致。</w:t>
      </w:r>
    </w:p>
    <w:p w14:paraId="6F7C3DFE">
      <w:pPr>
        <w:tabs>
          <w:tab w:val="left" w:pos="567"/>
          <w:tab w:val="left" w:pos="1146"/>
          <w:tab w:val="left" w:pos="1719"/>
          <w:tab w:val="left" w:pos="2483"/>
        </w:tabs>
        <w:spacing w:line="480" w:lineRule="exact"/>
        <w:ind w:firstLine="600" w:firstLineChars="250"/>
        <w:rPr>
          <w:rFonts w:ascii="宋体" w:hAnsi="宋体" w:cs="宋体"/>
          <w:sz w:val="24"/>
          <w:szCs w:val="21"/>
          <w:highlight w:val="none"/>
        </w:rPr>
      </w:pPr>
      <w:r>
        <w:rPr>
          <w:rFonts w:hint="eastAsia" w:ascii="宋体" w:hAnsi="宋体" w:cs="宋体"/>
          <w:sz w:val="24"/>
          <w:highlight w:val="none"/>
        </w:rPr>
        <w:t>3、本表后附分项报价表。</w:t>
      </w:r>
    </w:p>
    <w:p w14:paraId="1F5A732D">
      <w:pPr>
        <w:pStyle w:val="14"/>
        <w:spacing w:line="480" w:lineRule="exact"/>
        <w:ind w:firstLine="480" w:firstLineChars="200"/>
        <w:rPr>
          <w:rFonts w:hAnsi="宋体" w:cs="宋体"/>
          <w:sz w:val="24"/>
          <w:szCs w:val="24"/>
          <w:highlight w:val="none"/>
        </w:rPr>
      </w:pPr>
    </w:p>
    <w:p w14:paraId="25A9D667">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67D4ECA2">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3B7A2CF3">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4980FC37">
      <w:pPr>
        <w:tabs>
          <w:tab w:val="left" w:pos="567"/>
          <w:tab w:val="left" w:pos="1146"/>
          <w:tab w:val="left" w:pos="1719"/>
          <w:tab w:val="left" w:pos="2483"/>
        </w:tabs>
        <w:spacing w:before="120" w:line="480" w:lineRule="exact"/>
        <w:ind w:left="377" w:leftChars="46" w:hanging="280" w:hangingChars="117"/>
        <w:rPr>
          <w:rFonts w:ascii="宋体" w:hAnsi="宋体" w:cs="宋体"/>
          <w:sz w:val="24"/>
          <w:szCs w:val="21"/>
          <w:highlight w:val="none"/>
        </w:rPr>
      </w:pPr>
    </w:p>
    <w:p w14:paraId="4F8EB48F">
      <w:pPr>
        <w:tabs>
          <w:tab w:val="left" w:pos="567"/>
          <w:tab w:val="left" w:pos="1146"/>
          <w:tab w:val="left" w:pos="1719"/>
          <w:tab w:val="left" w:pos="2483"/>
        </w:tabs>
        <w:spacing w:before="120" w:line="480" w:lineRule="exact"/>
        <w:ind w:left="377" w:leftChars="46" w:hanging="280" w:hangingChars="117"/>
        <w:rPr>
          <w:rFonts w:ascii="宋体" w:hAnsi="宋体" w:cs="宋体"/>
          <w:sz w:val="24"/>
          <w:szCs w:val="21"/>
          <w:highlight w:val="none"/>
        </w:rPr>
      </w:pPr>
    </w:p>
    <w:p w14:paraId="2C3C97B2">
      <w:pPr>
        <w:rPr>
          <w:rFonts w:hAnsi="宋体" w:cs="宋体"/>
          <w:sz w:val="24"/>
          <w:highlight w:val="none"/>
        </w:rPr>
      </w:pPr>
      <w:r>
        <w:rPr>
          <w:rFonts w:hint="eastAsia" w:hAnsi="宋体" w:cs="宋体"/>
          <w:sz w:val="24"/>
          <w:highlight w:val="none"/>
        </w:rPr>
        <w:br w:type="page"/>
      </w:r>
    </w:p>
    <w:p w14:paraId="7F24F9D5">
      <w:pPr>
        <w:pStyle w:val="14"/>
        <w:spacing w:line="480" w:lineRule="exact"/>
        <w:ind w:firstLine="480" w:firstLineChars="200"/>
        <w:rPr>
          <w:rFonts w:hAnsi="宋体" w:cs="宋体"/>
          <w:sz w:val="24"/>
          <w:szCs w:val="24"/>
          <w:highlight w:val="none"/>
        </w:rPr>
      </w:pPr>
    </w:p>
    <w:p w14:paraId="614B3470">
      <w:pPr>
        <w:pStyle w:val="4"/>
        <w:rPr>
          <w:rFonts w:ascii="宋体" w:hAnsi="宋体" w:cs="宋体"/>
          <w:sz w:val="24"/>
          <w:highlight w:val="none"/>
        </w:rPr>
      </w:pPr>
      <w:bookmarkStart w:id="277" w:name="_Toc23154"/>
      <w:bookmarkStart w:id="278" w:name="_Toc68259631"/>
      <w:bookmarkStart w:id="279" w:name="_Toc46235130"/>
      <w:bookmarkStart w:id="280" w:name="_Toc45562505"/>
      <w:r>
        <w:rPr>
          <w:rFonts w:hint="eastAsia" w:ascii="宋体" w:hAnsi="宋体" w:cs="宋体"/>
          <w:highlight w:val="none"/>
        </w:rPr>
        <w:t>四、资格证明文件</w:t>
      </w:r>
      <w:bookmarkEnd w:id="277"/>
      <w:bookmarkEnd w:id="278"/>
      <w:bookmarkEnd w:id="279"/>
      <w:bookmarkEnd w:id="280"/>
    </w:p>
    <w:p w14:paraId="0F1CFA2E">
      <w:pPr>
        <w:pStyle w:val="5"/>
        <w:spacing w:line="480" w:lineRule="exact"/>
        <w:rPr>
          <w:rFonts w:cs="宋体"/>
          <w:highlight w:val="none"/>
          <w:u w:val="none"/>
        </w:rPr>
      </w:pPr>
      <w:bookmarkStart w:id="281" w:name="_Toc46235131"/>
      <w:bookmarkStart w:id="282" w:name="_Toc518923109"/>
      <w:r>
        <w:rPr>
          <w:rFonts w:hint="eastAsia" w:cs="宋体"/>
          <w:highlight w:val="none"/>
          <w:u w:val="none"/>
          <w:lang w:val="en-US" w:eastAsia="zh-CN"/>
        </w:rPr>
        <w:t>1</w:t>
      </w:r>
      <w:r>
        <w:rPr>
          <w:rFonts w:hint="eastAsia" w:cs="宋体"/>
          <w:highlight w:val="none"/>
          <w:u w:val="none"/>
        </w:rPr>
        <w:t>.法人或者其他组织的营业执照等证明文件或自然人的身份证明</w:t>
      </w:r>
      <w:bookmarkEnd w:id="281"/>
      <w:bookmarkEnd w:id="282"/>
    </w:p>
    <w:p w14:paraId="39C50293">
      <w:pPr>
        <w:tabs>
          <w:tab w:val="left" w:pos="5580"/>
        </w:tabs>
        <w:spacing w:line="480" w:lineRule="exact"/>
        <w:rPr>
          <w:rFonts w:ascii="宋体" w:hAnsi="宋体" w:cs="宋体"/>
          <w:sz w:val="24"/>
          <w:szCs w:val="20"/>
          <w:highlight w:val="none"/>
        </w:rPr>
      </w:pPr>
      <w:r>
        <w:rPr>
          <w:rFonts w:hint="eastAsia" w:ascii="宋体" w:hAnsi="宋体" w:cs="宋体"/>
          <w:sz w:val="24"/>
          <w:szCs w:val="20"/>
          <w:highlight w:val="none"/>
        </w:rPr>
        <w:t>说明：1.提供有效的营业执照等证明文件复印件。</w:t>
      </w:r>
    </w:p>
    <w:p w14:paraId="43468A97">
      <w:pPr>
        <w:tabs>
          <w:tab w:val="left" w:pos="5580"/>
        </w:tabs>
        <w:spacing w:line="480" w:lineRule="exact"/>
        <w:ind w:firstLine="720" w:firstLineChars="300"/>
        <w:rPr>
          <w:rFonts w:ascii="宋体" w:hAnsi="宋体" w:cs="宋体"/>
          <w:sz w:val="24"/>
          <w:szCs w:val="20"/>
          <w:highlight w:val="none"/>
        </w:rPr>
      </w:pPr>
      <w:r>
        <w:rPr>
          <w:rFonts w:hint="eastAsia" w:ascii="宋体" w:hAnsi="宋体" w:cs="宋体"/>
          <w:sz w:val="24"/>
          <w:szCs w:val="20"/>
          <w:highlight w:val="none"/>
        </w:rPr>
        <w:t>2. 供应商为自然人的，应提供身份证明的复印件。</w:t>
      </w:r>
    </w:p>
    <w:p w14:paraId="61591891">
      <w:pPr>
        <w:tabs>
          <w:tab w:val="left" w:pos="5580"/>
        </w:tabs>
        <w:spacing w:line="480" w:lineRule="exact"/>
        <w:ind w:firstLine="720" w:firstLineChars="300"/>
        <w:rPr>
          <w:rFonts w:hint="eastAsia" w:ascii="宋体" w:hAnsi="宋体" w:cs="宋体"/>
          <w:sz w:val="24"/>
          <w:szCs w:val="20"/>
          <w:highlight w:val="none"/>
        </w:rPr>
      </w:pPr>
      <w:r>
        <w:rPr>
          <w:rFonts w:hint="eastAsia" w:ascii="宋体" w:hAnsi="宋体" w:cs="宋体"/>
          <w:sz w:val="24"/>
          <w:szCs w:val="20"/>
          <w:highlight w:val="none"/>
        </w:rPr>
        <w:t>3.联合体响应文件应提供联合体各方满足以上要求的证明文件。</w:t>
      </w:r>
    </w:p>
    <w:p w14:paraId="66536492">
      <w:pPr>
        <w:tabs>
          <w:tab w:val="left" w:pos="5580"/>
        </w:tabs>
        <w:spacing w:line="480" w:lineRule="exact"/>
        <w:ind w:firstLine="720" w:firstLineChars="300"/>
        <w:rPr>
          <w:rFonts w:hint="eastAsia" w:ascii="宋体" w:hAnsi="宋体" w:cs="宋体"/>
          <w:sz w:val="24"/>
          <w:szCs w:val="20"/>
          <w:highlight w:val="none"/>
        </w:rPr>
      </w:pPr>
    </w:p>
    <w:p w14:paraId="10F65208">
      <w:pPr>
        <w:pStyle w:val="5"/>
        <w:spacing w:line="480" w:lineRule="exact"/>
        <w:rPr>
          <w:rFonts w:cs="宋体"/>
          <w:highlight w:val="none"/>
          <w:u w:val="none"/>
        </w:rPr>
      </w:pPr>
      <w:bookmarkStart w:id="283" w:name="_Toc2583670"/>
      <w:bookmarkStart w:id="284" w:name="_Toc46235132"/>
      <w:bookmarkStart w:id="285" w:name="_Toc518923110"/>
      <w:r>
        <w:rPr>
          <w:rFonts w:hint="eastAsia" w:cs="宋体"/>
          <w:highlight w:val="none"/>
          <w:u w:val="none"/>
          <w:lang w:val="en-US" w:eastAsia="zh-CN"/>
        </w:rPr>
        <w:t>2</w:t>
      </w:r>
      <w:r>
        <w:rPr>
          <w:rFonts w:hint="eastAsia" w:cs="宋体"/>
          <w:highlight w:val="none"/>
          <w:u w:val="none"/>
        </w:rPr>
        <w:t>.法定代表人或负责人身份证明书</w:t>
      </w:r>
      <w:bookmarkEnd w:id="283"/>
      <w:bookmarkEnd w:id="284"/>
    </w:p>
    <w:p w14:paraId="22D24C74">
      <w:pPr>
        <w:tabs>
          <w:tab w:val="left" w:pos="5580"/>
        </w:tabs>
        <w:spacing w:line="480" w:lineRule="exact"/>
        <w:ind w:left="1100" w:leftChars="-29" w:hanging="1161"/>
        <w:rPr>
          <w:rFonts w:ascii="宋体" w:hAnsi="宋体" w:cs="宋体"/>
          <w:sz w:val="24"/>
          <w:szCs w:val="20"/>
          <w:highlight w:val="none"/>
        </w:rPr>
      </w:pPr>
      <w:r>
        <w:rPr>
          <w:rFonts w:hint="eastAsia" w:ascii="宋体" w:hAnsi="宋体" w:cs="宋体"/>
          <w:sz w:val="24"/>
          <w:szCs w:val="20"/>
          <w:highlight w:val="none"/>
        </w:rPr>
        <w:t>致：临沂市沂蒙国际招标有限公司：</w:t>
      </w:r>
    </w:p>
    <w:p w14:paraId="4A32135C">
      <w:pPr>
        <w:tabs>
          <w:tab w:val="left" w:pos="5580"/>
        </w:tabs>
        <w:spacing w:line="480" w:lineRule="exact"/>
        <w:ind w:left="-113" w:leftChars="-54" w:firstLine="480" w:firstLineChars="200"/>
        <w:rPr>
          <w:rFonts w:ascii="宋体" w:hAnsi="宋体" w:cs="宋体"/>
          <w:sz w:val="24"/>
          <w:szCs w:val="20"/>
          <w:highlight w:val="none"/>
        </w:rPr>
      </w:pPr>
      <w:r>
        <w:rPr>
          <w:rFonts w:hint="eastAsia" w:ascii="宋体" w:hAnsi="宋体" w:cs="宋体"/>
          <w:sz w:val="24"/>
          <w:szCs w:val="20"/>
          <w:highlight w:val="none"/>
        </w:rPr>
        <w:t>（姓名、性别、年龄、身份证号码）在我单位任（董事长、总经理等）职务，是我单位的法定代表人/负责人。</w:t>
      </w:r>
    </w:p>
    <w:p w14:paraId="6B0FC9A2">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特此证明。</w:t>
      </w:r>
    </w:p>
    <w:p w14:paraId="1206538D">
      <w:pPr>
        <w:spacing w:line="480" w:lineRule="exact"/>
        <w:rPr>
          <w:rFonts w:ascii="宋体" w:hAnsi="宋体" w:cs="宋体"/>
          <w:sz w:val="24"/>
          <w:highlight w:val="none"/>
        </w:rPr>
      </w:pPr>
    </w:p>
    <w:p w14:paraId="636103A6">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供应商（盖公章）：</w:t>
      </w:r>
    </w:p>
    <w:p w14:paraId="6980A93A">
      <w:pPr>
        <w:tabs>
          <w:tab w:val="left" w:pos="5580"/>
        </w:tabs>
        <w:spacing w:line="480" w:lineRule="exact"/>
        <w:ind w:firstLine="360" w:firstLineChars="150"/>
        <w:rPr>
          <w:rFonts w:ascii="宋体" w:hAnsi="宋体" w:cs="宋体"/>
          <w:sz w:val="24"/>
          <w:szCs w:val="20"/>
          <w:highlight w:val="none"/>
        </w:rPr>
      </w:pPr>
    </w:p>
    <w:p w14:paraId="5D1DB31F">
      <w:pPr>
        <w:pStyle w:val="5"/>
        <w:spacing w:line="480" w:lineRule="exact"/>
        <w:rPr>
          <w:rFonts w:cs="宋体"/>
          <w:highlight w:val="none"/>
          <w:u w:val="none"/>
        </w:rPr>
      </w:pPr>
      <w:bookmarkStart w:id="286" w:name="_Toc46235133"/>
      <w:r>
        <w:rPr>
          <w:rFonts w:hint="eastAsia" w:cs="宋体"/>
          <w:highlight w:val="none"/>
          <w:u w:val="none"/>
          <w:lang w:val="en-US" w:eastAsia="zh-CN"/>
        </w:rPr>
        <w:t>3</w:t>
      </w:r>
      <w:r>
        <w:rPr>
          <w:rFonts w:hint="eastAsia" w:cs="宋体"/>
          <w:highlight w:val="none"/>
          <w:u w:val="none"/>
        </w:rPr>
        <w:t>.法定代表人或负责人授权书</w:t>
      </w:r>
      <w:bookmarkEnd w:id="285"/>
      <w:bookmarkEnd w:id="286"/>
    </w:p>
    <w:p w14:paraId="630E3F7F">
      <w:pPr>
        <w:tabs>
          <w:tab w:val="left" w:pos="5580"/>
        </w:tabs>
        <w:spacing w:line="480" w:lineRule="exact"/>
        <w:ind w:firstLine="480"/>
        <w:rPr>
          <w:rFonts w:ascii="宋体" w:hAnsi="宋体" w:cs="宋体"/>
          <w:sz w:val="24"/>
          <w:szCs w:val="20"/>
          <w:highlight w:val="none"/>
        </w:rPr>
      </w:pPr>
      <w:r>
        <w:rPr>
          <w:rFonts w:hint="eastAsia" w:ascii="宋体" w:hAnsi="宋体" w:cs="宋体"/>
          <w:sz w:val="24"/>
          <w:szCs w:val="20"/>
          <w:highlight w:val="none"/>
        </w:rPr>
        <w:t>本授权书声明：注册于（国家或地区的名称）的（</w:t>
      </w:r>
      <w:r>
        <w:rPr>
          <w:rFonts w:hint="eastAsia" w:ascii="宋体" w:hAnsi="宋体" w:cs="宋体"/>
          <w:i/>
          <w:sz w:val="24"/>
          <w:szCs w:val="20"/>
          <w:highlight w:val="none"/>
        </w:rPr>
        <w:t>供应商</w:t>
      </w:r>
      <w:r>
        <w:rPr>
          <w:rFonts w:hint="eastAsia" w:ascii="宋体" w:hAnsi="宋体" w:cs="宋体"/>
          <w:sz w:val="24"/>
          <w:szCs w:val="20"/>
          <w:highlight w:val="none"/>
        </w:rPr>
        <w:t>）的在下面签字的（</w:t>
      </w:r>
      <w:r>
        <w:rPr>
          <w:rFonts w:hint="eastAsia" w:ascii="宋体" w:hAnsi="宋体" w:cs="宋体"/>
          <w:i/>
          <w:sz w:val="24"/>
          <w:szCs w:val="20"/>
          <w:highlight w:val="none"/>
        </w:rPr>
        <w:t>法定代表人</w:t>
      </w:r>
      <w:r>
        <w:rPr>
          <w:rFonts w:hint="eastAsia" w:ascii="宋体" w:hAnsi="宋体" w:cs="宋体"/>
          <w:sz w:val="24"/>
          <w:szCs w:val="20"/>
          <w:highlight w:val="none"/>
        </w:rPr>
        <w:t>/负责人</w:t>
      </w:r>
      <w:r>
        <w:rPr>
          <w:rFonts w:hint="eastAsia" w:ascii="宋体" w:hAnsi="宋体" w:cs="宋体"/>
          <w:i/>
          <w:sz w:val="24"/>
          <w:szCs w:val="20"/>
          <w:highlight w:val="none"/>
        </w:rPr>
        <w:t>姓名、职务</w:t>
      </w:r>
      <w:r>
        <w:rPr>
          <w:rFonts w:hint="eastAsia" w:ascii="宋体" w:hAnsi="宋体" w:cs="宋体"/>
          <w:sz w:val="24"/>
          <w:szCs w:val="20"/>
          <w:highlight w:val="none"/>
        </w:rPr>
        <w:t>）代表我单位授权（</w:t>
      </w:r>
      <w:r>
        <w:rPr>
          <w:rFonts w:hint="eastAsia" w:ascii="宋体" w:hAnsi="宋体" w:cs="宋体"/>
          <w:i/>
          <w:sz w:val="24"/>
          <w:szCs w:val="20"/>
          <w:highlight w:val="none"/>
        </w:rPr>
        <w:t>单位名称</w:t>
      </w:r>
      <w:r>
        <w:rPr>
          <w:rFonts w:hint="eastAsia" w:ascii="宋体" w:hAnsi="宋体" w:cs="宋体"/>
          <w:sz w:val="24"/>
          <w:szCs w:val="20"/>
          <w:highlight w:val="none"/>
        </w:rPr>
        <w:t>）的在下面签字的（</w:t>
      </w:r>
      <w:r>
        <w:rPr>
          <w:rFonts w:hint="eastAsia" w:ascii="宋体" w:hAnsi="宋体" w:cs="宋体"/>
          <w:i/>
          <w:sz w:val="24"/>
          <w:szCs w:val="20"/>
          <w:highlight w:val="none"/>
        </w:rPr>
        <w:t>被授权人的姓名、职务</w:t>
      </w:r>
      <w:r>
        <w:rPr>
          <w:rFonts w:hint="eastAsia" w:ascii="宋体" w:hAnsi="宋体" w:cs="宋体"/>
          <w:sz w:val="24"/>
          <w:szCs w:val="20"/>
          <w:highlight w:val="none"/>
        </w:rPr>
        <w:t>）为我单位的合法代理人，就（</w:t>
      </w:r>
      <w:r>
        <w:rPr>
          <w:rFonts w:hint="eastAsia" w:ascii="宋体" w:hAnsi="宋体" w:cs="宋体"/>
          <w:i/>
          <w:sz w:val="24"/>
          <w:szCs w:val="20"/>
          <w:highlight w:val="none"/>
        </w:rPr>
        <w:t>项目名称</w:t>
      </w:r>
      <w:r>
        <w:rPr>
          <w:rFonts w:hint="eastAsia" w:ascii="宋体" w:hAnsi="宋体" w:cs="宋体"/>
          <w:sz w:val="24"/>
          <w:szCs w:val="20"/>
          <w:highlight w:val="none"/>
        </w:rPr>
        <w:t>）的（</w:t>
      </w:r>
      <w:r>
        <w:rPr>
          <w:rFonts w:hint="eastAsia" w:ascii="宋体" w:hAnsi="宋体" w:cs="宋体"/>
          <w:i/>
          <w:sz w:val="24"/>
          <w:szCs w:val="20"/>
          <w:highlight w:val="none"/>
        </w:rPr>
        <w:t>包号</w:t>
      </w:r>
      <w:r>
        <w:rPr>
          <w:rFonts w:hint="eastAsia" w:ascii="宋体" w:hAnsi="宋体" w:cs="宋体"/>
          <w:sz w:val="24"/>
          <w:szCs w:val="20"/>
          <w:highlight w:val="none"/>
        </w:rPr>
        <w:t>）响应文件，以我单位名义处理一切与之有关的事务。</w:t>
      </w:r>
      <w:r>
        <w:rPr>
          <w:rFonts w:hint="eastAsia" w:ascii="宋体" w:hAnsi="宋体" w:cs="宋体"/>
          <w:sz w:val="24"/>
          <w:szCs w:val="20"/>
          <w:highlight w:val="none"/>
        </w:rPr>
        <w:cr/>
      </w:r>
      <w:r>
        <w:rPr>
          <w:rFonts w:hint="eastAsia" w:ascii="宋体" w:hAnsi="宋体" w:cs="宋体"/>
          <w:sz w:val="24"/>
          <w:szCs w:val="20"/>
          <w:highlight w:val="none"/>
        </w:rPr>
        <w:t>　　</w:t>
      </w:r>
    </w:p>
    <w:p w14:paraId="104FEF93">
      <w:pPr>
        <w:tabs>
          <w:tab w:val="left" w:pos="5580"/>
        </w:tabs>
        <w:spacing w:line="480" w:lineRule="exact"/>
        <w:ind w:left="1853" w:leftChars="342" w:hanging="1135" w:hangingChars="473"/>
        <w:rPr>
          <w:rFonts w:ascii="宋体" w:hAnsi="宋体" w:cs="宋体"/>
          <w:sz w:val="24"/>
          <w:szCs w:val="20"/>
          <w:highlight w:val="none"/>
        </w:rPr>
      </w:pPr>
      <w:r>
        <w:rPr>
          <w:rFonts w:hint="eastAsia" w:ascii="宋体" w:hAnsi="宋体" w:cs="宋体"/>
          <w:sz w:val="24"/>
          <w:szCs w:val="20"/>
          <w:highlight w:val="none"/>
        </w:rPr>
        <w:t>本授权书于  年  月  日签字生效,特此声明。</w:t>
      </w:r>
      <w:r>
        <w:rPr>
          <w:rFonts w:hint="eastAsia" w:ascii="宋体" w:hAnsi="宋体" w:cs="宋体"/>
          <w:sz w:val="24"/>
          <w:szCs w:val="20"/>
          <w:highlight w:val="none"/>
        </w:rPr>
        <w:cr/>
      </w:r>
      <w:r>
        <w:rPr>
          <w:rFonts w:hint="eastAsia" w:ascii="宋体" w:hAnsi="宋体" w:cs="宋体"/>
          <w:b/>
          <w:bCs/>
          <w:sz w:val="24"/>
          <w:szCs w:val="20"/>
          <w:highlight w:val="none"/>
        </w:rPr>
        <w:t>（附授权代表身份证和本单位个人社保缴纳证明）</w:t>
      </w:r>
    </w:p>
    <w:p w14:paraId="0CF5AD4E">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 xml:space="preserve">       供应商（盖单位公章）：</w:t>
      </w:r>
    </w:p>
    <w:p w14:paraId="3B78D6B7">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法定代表人/负责人(签字或盖章)：</w:t>
      </w:r>
    </w:p>
    <w:p w14:paraId="0F4730D9">
      <w:pPr>
        <w:tabs>
          <w:tab w:val="left" w:pos="5580"/>
        </w:tabs>
        <w:spacing w:line="480" w:lineRule="exact"/>
        <w:ind w:left="-540" w:leftChars="-257" w:firstLine="900" w:firstLineChars="375"/>
        <w:rPr>
          <w:rFonts w:ascii="宋体" w:hAnsi="宋体" w:cs="宋体"/>
          <w:sz w:val="24"/>
          <w:szCs w:val="20"/>
          <w:highlight w:val="none"/>
        </w:rPr>
      </w:pPr>
      <w:r>
        <w:rPr>
          <w:rFonts w:hint="eastAsia" w:ascii="宋体" w:hAnsi="宋体" w:cs="宋体"/>
          <w:sz w:val="24"/>
          <w:szCs w:val="20"/>
          <w:highlight w:val="none"/>
        </w:rPr>
        <w:t>法定代表人/负责人身份证号码：</w:t>
      </w:r>
    </w:p>
    <w:p w14:paraId="09CCA8BB">
      <w:pPr>
        <w:tabs>
          <w:tab w:val="left" w:pos="5580"/>
        </w:tabs>
        <w:spacing w:line="480" w:lineRule="exact"/>
        <w:ind w:firstLine="360" w:firstLineChars="150"/>
        <w:rPr>
          <w:rFonts w:ascii="宋体" w:hAnsi="宋体" w:cs="宋体"/>
          <w:sz w:val="24"/>
          <w:szCs w:val="20"/>
          <w:highlight w:val="none"/>
        </w:rPr>
      </w:pPr>
      <w:r>
        <w:rPr>
          <w:rFonts w:hint="eastAsia" w:ascii="宋体" w:hAnsi="宋体" w:cs="宋体"/>
          <w:sz w:val="24"/>
          <w:szCs w:val="20"/>
          <w:highlight w:val="none"/>
        </w:rPr>
        <w:t>委托代理人身份证号码：</w:t>
      </w:r>
    </w:p>
    <w:p w14:paraId="7CEF7F0A">
      <w:pPr>
        <w:pStyle w:val="5"/>
        <w:spacing w:line="480" w:lineRule="exact"/>
        <w:rPr>
          <w:rFonts w:cs="宋体"/>
          <w:highlight w:val="none"/>
          <w:u w:val="none"/>
        </w:rPr>
      </w:pPr>
      <w:bookmarkStart w:id="287" w:name="_Toc46235134"/>
      <w:r>
        <w:rPr>
          <w:rFonts w:hint="eastAsia" w:cs="宋体"/>
          <w:highlight w:val="none"/>
          <w:u w:val="none"/>
          <w:lang w:val="en-US" w:eastAsia="zh-CN"/>
        </w:rPr>
        <w:t>4</w:t>
      </w:r>
      <w:r>
        <w:rPr>
          <w:rFonts w:hint="eastAsia" w:cs="宋体"/>
          <w:highlight w:val="none"/>
          <w:u w:val="none"/>
        </w:rPr>
        <w:t>.具有良好的商业信誉和健全的财务会计制度的</w:t>
      </w:r>
      <w:bookmarkEnd w:id="287"/>
      <w:r>
        <w:rPr>
          <w:rFonts w:hint="eastAsia" w:cs="宋体"/>
          <w:highlight w:val="none"/>
          <w:u w:val="none"/>
        </w:rPr>
        <w:t>证明文件</w:t>
      </w:r>
    </w:p>
    <w:p w14:paraId="518FEE89">
      <w:pPr>
        <w:tabs>
          <w:tab w:val="left" w:pos="5580"/>
        </w:tabs>
        <w:spacing w:line="480" w:lineRule="exact"/>
        <w:ind w:left="1080" w:leftChars="257" w:hanging="540"/>
        <w:rPr>
          <w:rFonts w:ascii="宋体" w:hAnsi="宋体" w:cs="宋体"/>
          <w:sz w:val="24"/>
          <w:highlight w:val="none"/>
        </w:rPr>
      </w:pPr>
      <w:r>
        <w:rPr>
          <w:rFonts w:hint="eastAsia" w:ascii="宋体" w:hAnsi="宋体" w:cs="宋体"/>
          <w:sz w:val="24"/>
          <w:highlight w:val="none"/>
        </w:rPr>
        <w:t>说明：</w:t>
      </w:r>
    </w:p>
    <w:p w14:paraId="3B3494DA">
      <w:pPr>
        <w:tabs>
          <w:tab w:val="left" w:pos="5580"/>
        </w:tabs>
        <w:spacing w:line="480" w:lineRule="exact"/>
        <w:ind w:firstLine="480" w:firstLineChars="200"/>
        <w:rPr>
          <w:rFonts w:ascii="宋体" w:hAnsi="宋体" w:cs="宋体"/>
          <w:bCs/>
          <w:sz w:val="24"/>
          <w:highlight w:val="none"/>
        </w:rPr>
      </w:pPr>
      <w:bookmarkStart w:id="288" w:name="_Toc518923111"/>
      <w:r>
        <w:rPr>
          <w:rFonts w:hint="eastAsia" w:ascii="宋体" w:hAnsi="宋体" w:cs="宋体"/>
          <w:sz w:val="24"/>
          <w:highlight w:val="none"/>
        </w:rPr>
        <w:t>1.如提供本单位上年度（2024年度）经会计师事务所出具的审计报告复印件，须加盖</w:t>
      </w:r>
      <w:r>
        <w:rPr>
          <w:rFonts w:hint="eastAsia" w:ascii="宋体" w:hAnsi="宋体" w:cs="宋体"/>
          <w:bCs/>
          <w:sz w:val="24"/>
          <w:highlight w:val="none"/>
        </w:rPr>
        <w:t>本单位章。</w:t>
      </w:r>
    </w:p>
    <w:p w14:paraId="1CF9C58F">
      <w:pPr>
        <w:tabs>
          <w:tab w:val="left" w:pos="5580"/>
        </w:tabs>
        <w:spacing w:line="480" w:lineRule="exact"/>
        <w:ind w:firstLine="480" w:firstLineChars="200"/>
        <w:rPr>
          <w:rFonts w:ascii="宋体" w:hAnsi="宋体" w:cs="宋体"/>
          <w:sz w:val="24"/>
          <w:highlight w:val="none"/>
        </w:rPr>
      </w:pPr>
      <w:r>
        <w:rPr>
          <w:rFonts w:hint="eastAsia" w:ascii="宋体" w:hAnsi="宋体" w:cs="宋体"/>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71331492">
      <w:pPr>
        <w:tabs>
          <w:tab w:val="left" w:pos="5580"/>
        </w:tabs>
        <w:spacing w:line="480" w:lineRule="exact"/>
        <w:ind w:firstLine="480" w:firstLineChars="200"/>
        <w:rPr>
          <w:rFonts w:ascii="宋体" w:hAnsi="宋体" w:cs="宋体"/>
          <w:sz w:val="24"/>
          <w:highlight w:val="none"/>
        </w:rPr>
      </w:pPr>
      <w:r>
        <w:rPr>
          <w:rFonts w:hint="eastAsia" w:ascii="宋体" w:hAnsi="宋体" w:cs="宋体"/>
          <w:sz w:val="24"/>
          <w:highlight w:val="none"/>
        </w:rPr>
        <w:t>3.如果是联合体响应文件，联合体各方均需提供上述证明。</w:t>
      </w:r>
    </w:p>
    <w:p w14:paraId="71F277AE">
      <w:pPr>
        <w:tabs>
          <w:tab w:val="left" w:pos="5580"/>
        </w:tabs>
        <w:spacing w:line="480" w:lineRule="exact"/>
        <w:ind w:firstLine="480" w:firstLineChars="200"/>
        <w:rPr>
          <w:rFonts w:ascii="宋体" w:hAnsi="宋体" w:cs="宋体"/>
          <w:sz w:val="24"/>
          <w:highlight w:val="none"/>
        </w:rPr>
      </w:pPr>
      <w:r>
        <w:rPr>
          <w:rFonts w:hint="eastAsia" w:ascii="宋体" w:hAnsi="宋体" w:cs="宋体"/>
          <w:sz w:val="24"/>
          <w:highlight w:val="none"/>
        </w:rPr>
        <w:t>4.如采用合格的磋商担保函的，可提供磋商担保函复印件替代。</w:t>
      </w:r>
    </w:p>
    <w:p w14:paraId="5F08E6A9">
      <w:pPr>
        <w:tabs>
          <w:tab w:val="left" w:pos="5580"/>
        </w:tabs>
        <w:wordWrap w:val="0"/>
        <w:spacing w:line="520" w:lineRule="exact"/>
        <w:ind w:firstLine="480" w:firstLineChars="200"/>
        <w:rPr>
          <w:rFonts w:ascii="宋体" w:hAnsi="宋体"/>
          <w:sz w:val="24"/>
          <w:highlight w:val="none"/>
        </w:rPr>
      </w:pPr>
      <w:r>
        <w:rPr>
          <w:rFonts w:hint="eastAsia" w:ascii="宋体" w:hAnsi="宋体"/>
          <w:sz w:val="24"/>
          <w:highlight w:val="none"/>
        </w:rPr>
        <w:t>5.如采用承诺方式的，承诺函格式下载地址：</w:t>
      </w:r>
      <w:r>
        <w:rPr>
          <w:highlight w:val="none"/>
        </w:rPr>
        <w:fldChar w:fldCharType="begin"/>
      </w:r>
      <w:r>
        <w:rPr>
          <w:highlight w:val="none"/>
        </w:rPr>
        <w:instrText xml:space="preserve"> HYPERLINK "http://www.ymzb.com/news/?1868.html。" </w:instrText>
      </w:r>
      <w:r>
        <w:rPr>
          <w:highlight w:val="none"/>
        </w:rPr>
        <w:fldChar w:fldCharType="separate"/>
      </w:r>
      <w:r>
        <w:rPr>
          <w:rStyle w:val="34"/>
          <w:rFonts w:hint="eastAsia" w:ascii="宋体" w:hAnsi="宋体"/>
          <w:color w:val="auto"/>
          <w:sz w:val="24"/>
          <w:highlight w:val="none"/>
        </w:rPr>
        <w:t>http://www.ymzb.com/news/?1868.html。</w:t>
      </w:r>
      <w:r>
        <w:rPr>
          <w:rStyle w:val="34"/>
          <w:rFonts w:hint="eastAsia" w:ascii="宋体" w:hAnsi="宋体"/>
          <w:color w:val="auto"/>
          <w:sz w:val="24"/>
          <w:highlight w:val="none"/>
        </w:rPr>
        <w:fldChar w:fldCharType="end"/>
      </w:r>
    </w:p>
    <w:p w14:paraId="729741FB">
      <w:pPr>
        <w:pStyle w:val="2"/>
        <w:rPr>
          <w:highlight w:val="none"/>
        </w:rPr>
      </w:pPr>
    </w:p>
    <w:p w14:paraId="5A221565">
      <w:pPr>
        <w:pStyle w:val="5"/>
        <w:spacing w:line="480" w:lineRule="exact"/>
        <w:rPr>
          <w:rFonts w:cs="宋体"/>
          <w:highlight w:val="none"/>
          <w:u w:val="none"/>
        </w:rPr>
      </w:pPr>
      <w:bookmarkStart w:id="289" w:name="_Toc46235135"/>
      <w:r>
        <w:rPr>
          <w:rFonts w:hint="eastAsia" w:cs="宋体"/>
          <w:highlight w:val="none"/>
          <w:u w:val="none"/>
          <w:lang w:val="en-US" w:eastAsia="zh-CN"/>
        </w:rPr>
        <w:t>5</w:t>
      </w:r>
      <w:r>
        <w:rPr>
          <w:rFonts w:hint="eastAsia" w:cs="宋体"/>
          <w:highlight w:val="none"/>
          <w:u w:val="none"/>
        </w:rPr>
        <w:t>.</w:t>
      </w:r>
      <w:bookmarkEnd w:id="289"/>
      <w:r>
        <w:rPr>
          <w:rFonts w:hint="eastAsia" w:cs="宋体"/>
          <w:highlight w:val="none"/>
          <w:u w:val="none"/>
        </w:rPr>
        <w:t>依法缴纳税收和社会保障资金承诺函</w:t>
      </w:r>
    </w:p>
    <w:p w14:paraId="76B6B12D">
      <w:pPr>
        <w:spacing w:line="271" w:lineRule="auto"/>
        <w:rPr>
          <w:rFonts w:ascii="仿宋"/>
          <w:highlight w:val="none"/>
        </w:rPr>
      </w:pPr>
    </w:p>
    <w:p w14:paraId="04215221">
      <w:pPr>
        <w:spacing w:line="480" w:lineRule="exact"/>
        <w:rPr>
          <w:rFonts w:ascii="宋体" w:hAnsi="宋体" w:cs="宋体"/>
          <w:sz w:val="24"/>
          <w:highlight w:val="none"/>
        </w:rPr>
      </w:pPr>
      <w:r>
        <w:rPr>
          <w:rFonts w:hint="eastAsia" w:ascii="宋体" w:hAnsi="宋体" w:cs="宋体"/>
          <w:sz w:val="24"/>
          <w:highlight w:val="none"/>
        </w:rPr>
        <w:t>致 临沂大学/临沂市沂蒙国际招标有限公司:</w:t>
      </w:r>
    </w:p>
    <w:p w14:paraId="60FF5A5E">
      <w:pPr>
        <w:spacing w:line="480" w:lineRule="exact"/>
        <w:ind w:firstLine="480" w:firstLineChars="200"/>
        <w:rPr>
          <w:rFonts w:ascii="宋体" w:hAnsi="宋体" w:cs="宋体"/>
          <w:sz w:val="24"/>
          <w:highlight w:val="none"/>
        </w:rPr>
      </w:pPr>
      <w:r>
        <w:rPr>
          <w:rFonts w:hint="eastAsia" w:ascii="宋体" w:hAnsi="宋体" w:cs="宋体"/>
          <w:sz w:val="24"/>
          <w:highlight w:val="none"/>
        </w:rPr>
        <w:t>我方在参加</w:t>
      </w:r>
      <w:r>
        <w:rPr>
          <w:rFonts w:hint="eastAsia" w:ascii="宋体" w:hAnsi="宋体" w:cs="宋体"/>
          <w:i/>
          <w:iCs/>
          <w:sz w:val="24"/>
          <w:highlight w:val="none"/>
        </w:rPr>
        <w:t>项目名称(项目编号、包号)</w:t>
      </w:r>
      <w:r>
        <w:rPr>
          <w:rFonts w:hint="eastAsia" w:ascii="宋体" w:hAnsi="宋体" w:cs="宋体"/>
          <w:sz w:val="24"/>
          <w:highlight w:val="none"/>
        </w:rPr>
        <w:t>政府采购活动前，已依法缴纳税收和社会保障资金，符合《中华人民共和国政府采购法实施条例》第十七条第一款第二项规定和磋商文件关于缴纳税收和社会保障资金的资格要求。</w:t>
      </w:r>
    </w:p>
    <w:p w14:paraId="3F73582A">
      <w:pPr>
        <w:spacing w:line="480" w:lineRule="exact"/>
        <w:ind w:firstLine="480" w:firstLineChars="200"/>
        <w:rPr>
          <w:rFonts w:ascii="宋体" w:hAnsi="宋体" w:cs="宋体"/>
          <w:sz w:val="24"/>
          <w:highlight w:val="none"/>
        </w:rPr>
      </w:pPr>
      <w:r>
        <w:rPr>
          <w:rFonts w:hint="eastAsia" w:ascii="宋体" w:hAnsi="宋体" w:cs="宋体"/>
          <w:sz w:val="24"/>
          <w:highlight w:val="none"/>
        </w:rPr>
        <w:t>特此承诺。</w:t>
      </w:r>
    </w:p>
    <w:p w14:paraId="3FC6E811">
      <w:pPr>
        <w:spacing w:line="480" w:lineRule="exact"/>
        <w:ind w:firstLine="480" w:firstLineChars="200"/>
        <w:rPr>
          <w:rFonts w:ascii="宋体" w:hAnsi="宋体" w:cs="宋体"/>
          <w:sz w:val="24"/>
          <w:highlight w:val="none"/>
        </w:rPr>
      </w:pPr>
      <w:r>
        <w:rPr>
          <w:rFonts w:hint="eastAsia" w:ascii="宋体" w:hAnsi="宋体" w:cs="宋体"/>
          <w:sz w:val="24"/>
          <w:highlight w:val="none"/>
        </w:rPr>
        <w:t>我方对上述承诺真实性、合法性、有效性负责，如有虚假承诺，依法承担相应责任并接受处罚。</w:t>
      </w:r>
    </w:p>
    <w:p w14:paraId="55AED644">
      <w:pPr>
        <w:spacing w:line="480" w:lineRule="exact"/>
        <w:ind w:firstLine="4620" w:firstLineChars="1925"/>
        <w:rPr>
          <w:rFonts w:ascii="宋体" w:hAnsi="宋体" w:cs="宋体"/>
          <w:sz w:val="24"/>
          <w:highlight w:val="none"/>
        </w:rPr>
      </w:pPr>
      <w:r>
        <w:rPr>
          <w:rFonts w:hint="eastAsia" w:ascii="宋体" w:hAnsi="宋体" w:cs="宋体"/>
          <w:sz w:val="24"/>
          <w:highlight w:val="none"/>
        </w:rPr>
        <w:t xml:space="preserve">供应商全称: (盖公司公章) </w:t>
      </w:r>
    </w:p>
    <w:p w14:paraId="4E7F4672">
      <w:pPr>
        <w:spacing w:line="480" w:lineRule="exact"/>
        <w:ind w:firstLine="4620" w:firstLineChars="1925"/>
        <w:rPr>
          <w:rFonts w:hint="eastAsia" w:ascii="宋体" w:hAnsi="宋体" w:cs="宋体"/>
          <w:sz w:val="24"/>
          <w:highlight w:val="none"/>
        </w:rPr>
      </w:pPr>
      <w:r>
        <w:rPr>
          <w:rFonts w:hint="eastAsia" w:ascii="宋体" w:hAnsi="宋体" w:cs="宋体"/>
          <w:sz w:val="24"/>
          <w:highlight w:val="none"/>
        </w:rPr>
        <w:t xml:space="preserve"> 年  月  日</w:t>
      </w:r>
    </w:p>
    <w:p w14:paraId="6210586C">
      <w:pPr>
        <w:spacing w:line="480" w:lineRule="exact"/>
        <w:ind w:firstLine="4620" w:firstLineChars="1925"/>
        <w:rPr>
          <w:rFonts w:hint="eastAsia" w:ascii="宋体" w:hAnsi="宋体" w:cs="宋体"/>
          <w:sz w:val="24"/>
          <w:highlight w:val="none"/>
        </w:rPr>
      </w:pPr>
    </w:p>
    <w:p w14:paraId="105B5011">
      <w:pPr>
        <w:pStyle w:val="5"/>
        <w:spacing w:line="480" w:lineRule="exact"/>
        <w:rPr>
          <w:rFonts w:cs="宋体"/>
          <w:highlight w:val="none"/>
          <w:u w:val="none"/>
        </w:rPr>
      </w:pPr>
      <w:bookmarkStart w:id="290" w:name="_Toc518923112"/>
      <w:bookmarkStart w:id="291" w:name="_Toc46235136"/>
      <w:r>
        <w:rPr>
          <w:rFonts w:hint="eastAsia" w:cs="宋体"/>
          <w:highlight w:val="none"/>
          <w:u w:val="none"/>
          <w:lang w:val="en-US" w:eastAsia="zh-CN"/>
        </w:rPr>
        <w:t>6</w:t>
      </w:r>
      <w:r>
        <w:rPr>
          <w:rFonts w:hint="eastAsia" w:cs="宋体"/>
          <w:highlight w:val="none"/>
          <w:u w:val="none"/>
        </w:rPr>
        <w:t>.参加政府采购活动前3年内</w:t>
      </w:r>
      <w:bookmarkEnd w:id="290"/>
      <w:bookmarkStart w:id="292" w:name="_Toc518923113"/>
      <w:r>
        <w:rPr>
          <w:rFonts w:hint="eastAsia" w:cs="宋体"/>
          <w:highlight w:val="none"/>
          <w:u w:val="none"/>
        </w:rPr>
        <w:t>在经营活动中没有重大违法记录的</w:t>
      </w:r>
      <w:bookmarkEnd w:id="292"/>
      <w:r>
        <w:rPr>
          <w:rFonts w:hint="eastAsia" w:cs="宋体"/>
          <w:highlight w:val="none"/>
          <w:u w:val="none"/>
        </w:rPr>
        <w:t>书面声明</w:t>
      </w:r>
      <w:bookmarkEnd w:id="291"/>
    </w:p>
    <w:p w14:paraId="4E070CC7">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本单位郑重声明：</w:t>
      </w:r>
    </w:p>
    <w:p w14:paraId="06AD2F88">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我单位在参加采购活动前三年内在经营活动中没有《政府采购法》第二十二条第一款第(五)项所称重大违法记录，包括：</w:t>
      </w:r>
    </w:p>
    <w:p w14:paraId="5F3C46FC">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我单位或者其法定代表人、董事、监事、高级管理人员未因经营活动中的违法行为受到刑事处罚或者责令停产停业、吊销许可证或者执照、较大数额罚款等行政处罚。</w:t>
      </w:r>
    </w:p>
    <w:p w14:paraId="02450518">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特此声明！</w:t>
      </w:r>
    </w:p>
    <w:p w14:paraId="1C437AFC">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24713B21">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6E471ECD">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6FF713D5">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说明：1供应商应按照相关法规规定如实作出说明。</w:t>
      </w:r>
    </w:p>
    <w:p w14:paraId="3D9FC121">
      <w:pPr>
        <w:pStyle w:val="14"/>
        <w:tabs>
          <w:tab w:val="left" w:pos="5580"/>
        </w:tabs>
        <w:spacing w:line="480" w:lineRule="exact"/>
        <w:ind w:left="645" w:leftChars="307" w:firstLine="600" w:firstLineChars="250"/>
        <w:rPr>
          <w:rFonts w:hAnsi="宋体" w:cs="宋体"/>
          <w:sz w:val="24"/>
          <w:highlight w:val="none"/>
        </w:rPr>
      </w:pPr>
      <w:r>
        <w:rPr>
          <w:rFonts w:hint="eastAsia" w:hAnsi="宋体" w:cs="宋体"/>
          <w:sz w:val="24"/>
          <w:highlight w:val="none"/>
        </w:rPr>
        <w:t>2．按照磋商文件的规定加盖本单位章（自然人投标的无需盖章，需要签字）。</w:t>
      </w:r>
    </w:p>
    <w:p w14:paraId="63C20A5F">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 xml:space="preserve">      3.如果是联合体响应文件，联合体各方均需提供上述证明。</w:t>
      </w:r>
    </w:p>
    <w:p w14:paraId="04E71D37">
      <w:pPr>
        <w:rPr>
          <w:highlight w:val="none"/>
        </w:rPr>
      </w:pPr>
      <w:bookmarkStart w:id="293" w:name="_Toc518923114"/>
    </w:p>
    <w:p w14:paraId="2BCE8A97">
      <w:pPr>
        <w:pStyle w:val="5"/>
        <w:spacing w:line="480" w:lineRule="exact"/>
        <w:rPr>
          <w:rFonts w:cs="宋体"/>
          <w:highlight w:val="none"/>
          <w:u w:val="none"/>
        </w:rPr>
      </w:pPr>
      <w:bookmarkStart w:id="294" w:name="_Toc46235137"/>
      <w:r>
        <w:rPr>
          <w:rFonts w:hint="eastAsia" w:cs="宋体"/>
          <w:highlight w:val="none"/>
          <w:u w:val="none"/>
          <w:lang w:val="en-US" w:eastAsia="zh-CN"/>
        </w:rPr>
        <w:t>7</w:t>
      </w:r>
      <w:r>
        <w:rPr>
          <w:rFonts w:hint="eastAsia" w:cs="宋体"/>
          <w:highlight w:val="none"/>
          <w:u w:val="none"/>
        </w:rPr>
        <w:t>.</w:t>
      </w:r>
      <w:bookmarkEnd w:id="293"/>
      <w:bookmarkEnd w:id="294"/>
      <w:r>
        <w:rPr>
          <w:rFonts w:hint="eastAsia" w:cs="宋体"/>
          <w:highlight w:val="none"/>
          <w:u w:val="none"/>
        </w:rPr>
        <w:t>供应商反商业贿赂承诺书</w:t>
      </w:r>
    </w:p>
    <w:bookmarkEnd w:id="288"/>
    <w:p w14:paraId="042CEE0B">
      <w:pPr>
        <w:pStyle w:val="9"/>
        <w:autoSpaceDE w:val="0"/>
        <w:autoSpaceDN w:val="0"/>
        <w:adjustRightInd w:val="0"/>
        <w:snapToGrid w:val="0"/>
        <w:spacing w:before="0" w:line="440" w:lineRule="exact"/>
        <w:ind w:left="-420" w:leftChars="-200" w:right="-470" w:rightChars="-224" w:firstLine="439" w:firstLineChars="183"/>
        <w:rPr>
          <w:highlight w:val="none"/>
        </w:rPr>
      </w:pPr>
      <w:bookmarkStart w:id="295" w:name="_Toc518923115"/>
      <w:r>
        <w:rPr>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4B38DE34">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一、认真学习并遵守国家相关的法律、法规及社会公德，树立质量为本的理念，诚实守信，依法参与政府采购活动，</w:t>
      </w:r>
      <w:r>
        <w:rPr>
          <w:rFonts w:hint="eastAsia"/>
          <w:highlight w:val="none"/>
        </w:rPr>
        <w:t>坚决杜绝</w:t>
      </w:r>
      <w:r>
        <w:rPr>
          <w:highlight w:val="none"/>
        </w:rPr>
        <w:t>不正当交易行为。</w:t>
      </w:r>
    </w:p>
    <w:p w14:paraId="01509757">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二、在政府采购活动中，自觉遵守政府采购的法律法规，依法依规进行政府采购项目</w:t>
      </w:r>
      <w:r>
        <w:rPr>
          <w:rFonts w:hint="eastAsia"/>
          <w:highlight w:val="none"/>
        </w:rPr>
        <w:t>的</w:t>
      </w:r>
      <w:r>
        <w:rPr>
          <w:highlight w:val="none"/>
        </w:rPr>
        <w:t>投标及公平交易</w:t>
      </w:r>
      <w:r>
        <w:rPr>
          <w:rFonts w:hint="eastAsia"/>
          <w:highlight w:val="none"/>
        </w:rPr>
        <w:t>行为</w:t>
      </w:r>
      <w:r>
        <w:rPr>
          <w:highlight w:val="none"/>
        </w:rPr>
        <w:t>，</w:t>
      </w:r>
      <w:r>
        <w:rPr>
          <w:rFonts w:hint="eastAsia"/>
          <w:highlight w:val="none"/>
        </w:rPr>
        <w:t>树</w:t>
      </w:r>
      <w:r>
        <w:rPr>
          <w:highlight w:val="none"/>
        </w:rPr>
        <w:t>立投标诚信、价格诚信、合同诚信、履约诚信、服务诚信等</w:t>
      </w:r>
      <w:r>
        <w:rPr>
          <w:rFonts w:hint="eastAsia"/>
          <w:highlight w:val="none"/>
        </w:rPr>
        <w:t>企业</w:t>
      </w:r>
      <w:r>
        <w:rPr>
          <w:highlight w:val="none"/>
        </w:rPr>
        <w:t>诚信体系。</w:t>
      </w:r>
    </w:p>
    <w:p w14:paraId="3B3C5CA6">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三、</w:t>
      </w:r>
      <w:r>
        <w:rPr>
          <w:rFonts w:hint="eastAsia"/>
          <w:highlight w:val="none"/>
        </w:rPr>
        <w:t>杜绝</w:t>
      </w:r>
      <w:r>
        <w:rPr>
          <w:highlight w:val="none"/>
        </w:rPr>
        <w:t>弄虚作假，骗取政府采购供应商资格；</w:t>
      </w:r>
      <w:r>
        <w:rPr>
          <w:rFonts w:hint="eastAsia"/>
          <w:highlight w:val="none"/>
        </w:rPr>
        <w:t>杜绝</w:t>
      </w:r>
      <w:r>
        <w:rPr>
          <w:highlight w:val="none"/>
        </w:rPr>
        <w:t>提供虚假资质文件谋取中标或成交；</w:t>
      </w:r>
      <w:r>
        <w:rPr>
          <w:rFonts w:hint="eastAsia"/>
          <w:highlight w:val="none"/>
        </w:rPr>
        <w:t>杜绝</w:t>
      </w:r>
      <w:r>
        <w:rPr>
          <w:highlight w:val="none"/>
        </w:rPr>
        <w:t>出</w:t>
      </w:r>
      <w:r>
        <w:rPr>
          <w:rFonts w:hint="eastAsia"/>
          <w:highlight w:val="none"/>
        </w:rPr>
        <w:t>借</w:t>
      </w:r>
      <w:r>
        <w:rPr>
          <w:highlight w:val="none"/>
        </w:rPr>
        <w:t>、转让、出卖资质（资格）证书；</w:t>
      </w:r>
      <w:r>
        <w:rPr>
          <w:rFonts w:hint="eastAsia"/>
          <w:highlight w:val="none"/>
        </w:rPr>
        <w:t>杜绝</w:t>
      </w:r>
      <w:r>
        <w:rPr>
          <w:highlight w:val="none"/>
        </w:rPr>
        <w:t>他人以本企业名义承接或承揽政府采购业务。</w:t>
      </w:r>
    </w:p>
    <w:p w14:paraId="19687681">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四、</w:t>
      </w:r>
      <w:r>
        <w:rPr>
          <w:rFonts w:hint="eastAsia"/>
          <w:highlight w:val="none"/>
        </w:rPr>
        <w:t>杜绝</w:t>
      </w:r>
      <w:r>
        <w:rPr>
          <w:highlight w:val="none"/>
        </w:rPr>
        <w:t>采取</w:t>
      </w:r>
      <w:r>
        <w:rPr>
          <w:rFonts w:hint="eastAsia"/>
          <w:highlight w:val="none"/>
        </w:rPr>
        <w:t>或参与</w:t>
      </w:r>
      <w:r>
        <w:rPr>
          <w:highlight w:val="none"/>
        </w:rPr>
        <w:t>“围标、陪标</w:t>
      </w:r>
      <w:r>
        <w:rPr>
          <w:rFonts w:hint="eastAsia"/>
          <w:highlight w:val="none"/>
        </w:rPr>
        <w:t>、串标</w:t>
      </w:r>
      <w:r>
        <w:rPr>
          <w:highlight w:val="none"/>
        </w:rPr>
        <w:t>”等</w:t>
      </w:r>
      <w:r>
        <w:rPr>
          <w:rFonts w:hint="eastAsia"/>
          <w:highlight w:val="none"/>
        </w:rPr>
        <w:t>违法行为</w:t>
      </w:r>
      <w:r>
        <w:rPr>
          <w:highlight w:val="none"/>
        </w:rPr>
        <w:t>获得政府采购订单；</w:t>
      </w:r>
      <w:r>
        <w:rPr>
          <w:rFonts w:hint="eastAsia"/>
          <w:highlight w:val="none"/>
        </w:rPr>
        <w:t>杜绝</w:t>
      </w:r>
      <w:r>
        <w:rPr>
          <w:highlight w:val="none"/>
        </w:rPr>
        <w:t>采取不正当手段诋毁、排挤其他供应商参与竞争。</w:t>
      </w:r>
    </w:p>
    <w:p w14:paraId="4633294D">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五、在政府采购活动中，</w:t>
      </w:r>
      <w:r>
        <w:rPr>
          <w:rFonts w:hint="eastAsia"/>
          <w:highlight w:val="none"/>
        </w:rPr>
        <w:t>承诺</w:t>
      </w:r>
      <w:r>
        <w:rPr>
          <w:highlight w:val="none"/>
        </w:rPr>
        <w:t>不与采购人、采购代理机构及其工作人员和其他供应商串通，损害国家利益、社会公共利益和其他相关人的合法权益。</w:t>
      </w:r>
    </w:p>
    <w:p w14:paraId="406202DF">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六、</w:t>
      </w:r>
      <w:r>
        <w:rPr>
          <w:rFonts w:hint="eastAsia"/>
          <w:highlight w:val="none"/>
        </w:rPr>
        <w:t>杜绝</w:t>
      </w:r>
      <w:r>
        <w:rPr>
          <w:highlight w:val="none"/>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0D3459D6">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七、按规定与采购人签订政府采购合同，并严格按合同履约，为采购人提供符合质量标准规定的货物、工程和服务，不销售</w:t>
      </w:r>
      <w:r>
        <w:rPr>
          <w:rFonts w:hint="eastAsia"/>
          <w:highlight w:val="none"/>
        </w:rPr>
        <w:t>假冒</w:t>
      </w:r>
      <w:r>
        <w:rPr>
          <w:highlight w:val="none"/>
        </w:rPr>
        <w:t>、走私货物；不擅自变更或终止、转让、转包政府采购合同；主动配合政府采购项目的验收工作。</w:t>
      </w:r>
    </w:p>
    <w:p w14:paraId="2A7614ED">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八、自觉接受政府采购监管部门的监督管理，积极配合检查和调查，并如实反映情况和提供材料。</w:t>
      </w:r>
    </w:p>
    <w:p w14:paraId="44AED8A0">
      <w:pPr>
        <w:pStyle w:val="9"/>
        <w:autoSpaceDE w:val="0"/>
        <w:autoSpaceDN w:val="0"/>
        <w:adjustRightInd w:val="0"/>
        <w:snapToGrid w:val="0"/>
        <w:spacing w:before="0" w:line="440" w:lineRule="exact"/>
        <w:ind w:left="-420" w:leftChars="-200" w:right="-470" w:rightChars="-224" w:firstLine="439" w:firstLineChars="183"/>
        <w:rPr>
          <w:highlight w:val="none"/>
        </w:rPr>
      </w:pPr>
      <w:r>
        <w:rPr>
          <w:highlight w:val="none"/>
        </w:rPr>
        <w:t>我们将严格遵守上述承诺事项，自愿接受主管（监管）部门和社会各方面的监督， 如有违反，自愿接受执法执纪机关和监督管理部门的处理。</w:t>
      </w:r>
    </w:p>
    <w:p w14:paraId="0A7BA68B">
      <w:pPr>
        <w:pStyle w:val="9"/>
        <w:autoSpaceDE w:val="0"/>
        <w:autoSpaceDN w:val="0"/>
        <w:adjustRightInd w:val="0"/>
        <w:snapToGrid w:val="0"/>
        <w:spacing w:before="0" w:line="440" w:lineRule="exact"/>
        <w:ind w:left="-420" w:leftChars="-200" w:right="-470" w:rightChars="-224" w:firstLine="439" w:firstLineChars="183"/>
        <w:rPr>
          <w:highlight w:val="none"/>
        </w:rPr>
      </w:pPr>
    </w:p>
    <w:p w14:paraId="7394B3DC">
      <w:pPr>
        <w:pStyle w:val="9"/>
        <w:autoSpaceDE w:val="0"/>
        <w:autoSpaceDN w:val="0"/>
        <w:adjustRightInd w:val="0"/>
        <w:snapToGrid w:val="0"/>
        <w:spacing w:before="0" w:line="440" w:lineRule="exact"/>
        <w:ind w:right="-470" w:rightChars="-224" w:firstLine="2400" w:firstLineChars="1000"/>
        <w:rPr>
          <w:highlight w:val="none"/>
        </w:rPr>
      </w:pPr>
      <w:r>
        <w:rPr>
          <w:highlight w:val="none"/>
        </w:rPr>
        <w:t>承诺单位（公章）：</w:t>
      </w:r>
    </w:p>
    <w:p w14:paraId="35F45C94">
      <w:pPr>
        <w:pStyle w:val="9"/>
        <w:autoSpaceDE w:val="0"/>
        <w:autoSpaceDN w:val="0"/>
        <w:adjustRightInd w:val="0"/>
        <w:snapToGrid w:val="0"/>
        <w:spacing w:before="0" w:line="440" w:lineRule="exact"/>
        <w:ind w:right="-470" w:rightChars="-224" w:firstLine="1680" w:firstLineChars="700"/>
        <w:rPr>
          <w:highlight w:val="none"/>
        </w:rPr>
      </w:pPr>
      <w:r>
        <w:rPr>
          <w:highlight w:val="none"/>
        </w:rPr>
        <w:t>法定代表人或委托代理人：</w:t>
      </w:r>
    </w:p>
    <w:p w14:paraId="48BACD31">
      <w:pPr>
        <w:autoSpaceDE w:val="0"/>
        <w:autoSpaceDN w:val="0"/>
        <w:adjustRightInd w:val="0"/>
        <w:snapToGrid w:val="0"/>
        <w:spacing w:line="440" w:lineRule="exact"/>
        <w:ind w:left="-420" w:leftChars="-200" w:right="-470" w:rightChars="-224" w:firstLine="6885" w:firstLineChars="3279"/>
        <w:rPr>
          <w:highlight w:val="none"/>
        </w:rPr>
      </w:pPr>
      <w:r>
        <w:rPr>
          <w:highlight w:val="none"/>
        </w:rPr>
        <w:t>年</w:t>
      </w:r>
      <w:r>
        <w:rPr>
          <w:highlight w:val="none"/>
        </w:rPr>
        <w:tab/>
      </w:r>
      <w:r>
        <w:rPr>
          <w:rFonts w:hint="eastAsia"/>
          <w:highlight w:val="none"/>
        </w:rPr>
        <w:t xml:space="preserve">  </w:t>
      </w:r>
      <w:r>
        <w:rPr>
          <w:highlight w:val="none"/>
        </w:rPr>
        <w:t>月</w:t>
      </w:r>
      <w:r>
        <w:rPr>
          <w:rFonts w:hint="eastAsia"/>
          <w:highlight w:val="none"/>
        </w:rPr>
        <w:t xml:space="preserve">   </w:t>
      </w:r>
      <w:r>
        <w:rPr>
          <w:highlight w:val="none"/>
        </w:rPr>
        <w:t>日</w:t>
      </w:r>
    </w:p>
    <w:p w14:paraId="1E7C155C">
      <w:pPr>
        <w:pStyle w:val="5"/>
        <w:spacing w:line="600" w:lineRule="exact"/>
        <w:rPr>
          <w:highlight w:val="none"/>
          <w:u w:val="none"/>
        </w:rPr>
      </w:pPr>
      <w:bookmarkStart w:id="296" w:name="_Toc46136865"/>
      <w:bookmarkStart w:id="297" w:name="_Toc46238282"/>
      <w:r>
        <w:rPr>
          <w:rFonts w:hint="eastAsia"/>
          <w:highlight w:val="none"/>
          <w:u w:val="none"/>
          <w:lang w:val="en-US" w:eastAsia="zh-CN"/>
        </w:rPr>
        <w:t>8.</w:t>
      </w:r>
      <w:r>
        <w:rPr>
          <w:rFonts w:hint="eastAsia"/>
          <w:highlight w:val="none"/>
          <w:u w:val="none"/>
        </w:rPr>
        <w:t>落实政府采购政策需满足的资格要求</w:t>
      </w:r>
    </w:p>
    <w:p w14:paraId="385BDD64">
      <w:pPr>
        <w:pStyle w:val="5"/>
        <w:spacing w:before="120" w:line="600" w:lineRule="exact"/>
        <w:rPr>
          <w:highlight w:val="none"/>
          <w:u w:val="none"/>
        </w:rPr>
      </w:pPr>
      <w:bookmarkStart w:id="298" w:name="_Toc28869"/>
      <w:bookmarkStart w:id="299" w:name="_Toc60669161"/>
      <w:r>
        <w:rPr>
          <w:rFonts w:hint="eastAsia"/>
          <w:highlight w:val="none"/>
          <w:u w:val="none"/>
          <w:lang w:val="en-US" w:eastAsia="zh-CN"/>
        </w:rPr>
        <w:t>8.1</w:t>
      </w:r>
      <w:r>
        <w:rPr>
          <w:rFonts w:hint="eastAsia"/>
          <w:highlight w:val="none"/>
          <w:u w:val="none"/>
        </w:rPr>
        <w:t>中小企业声明函</w:t>
      </w:r>
      <w:bookmarkEnd w:id="298"/>
      <w:bookmarkEnd w:id="299"/>
    </w:p>
    <w:p w14:paraId="30456FDF">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本公司（联合体） 郑重声明，根据《政府采购促进中小企业发展管理办  法》 （财库 ﹝2020﹞ 46号） 的规定，本公司（联合体） 参加（单位名称） 的（项目名称） 采购活动，工程的施工单位全部为符合政策要求的中小企业 或者： 服务全部由符合政策要求的中小企业承接）。相关企业（含联合体中的 中小企业、签订分包意向协议的中小企业） 的具体情况如下：</w:t>
      </w:r>
    </w:p>
    <w:p w14:paraId="3C76C545">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1.（标的名称），属于</w:t>
      </w:r>
      <w:r>
        <w:rPr>
          <w:rFonts w:hint="eastAsia" w:ascii="宋体" w:hAnsi="宋体" w:cs="宋体"/>
          <w:sz w:val="24"/>
          <w:highlight w:val="none"/>
        </w:rPr>
        <w:t>租赁和商务服务业</w:t>
      </w:r>
      <w:r>
        <w:rPr>
          <w:rFonts w:ascii="宋体" w:hAnsi="宋体" w:cs="宋体"/>
          <w:sz w:val="24"/>
          <w:highlight w:val="none"/>
        </w:rPr>
        <w:t>；承建（承接）企业为（企业名称）， 从业人员</w:t>
      </w:r>
      <w:r>
        <w:rPr>
          <w:rFonts w:ascii="宋体" w:hAnsi="宋体" w:cs="宋体"/>
          <w:sz w:val="24"/>
          <w:highlight w:val="none"/>
          <w:u w:val="single"/>
        </w:rPr>
        <w:t xml:space="preserve">   </w:t>
      </w:r>
      <w:r>
        <w:rPr>
          <w:rFonts w:ascii="宋体" w:hAnsi="宋体" w:cs="宋体"/>
          <w:sz w:val="24"/>
          <w:highlight w:val="none"/>
        </w:rPr>
        <w:t>人，营业收入为</w:t>
      </w:r>
      <w:r>
        <w:rPr>
          <w:rFonts w:ascii="宋体" w:hAnsi="宋体" w:cs="宋体"/>
          <w:sz w:val="24"/>
          <w:highlight w:val="none"/>
          <w:u w:val="single"/>
        </w:rPr>
        <w:t xml:space="preserve">   </w:t>
      </w:r>
      <w:r>
        <w:rPr>
          <w:rFonts w:ascii="宋体" w:hAnsi="宋体" w:cs="宋体"/>
          <w:sz w:val="24"/>
          <w:highlight w:val="none"/>
        </w:rPr>
        <w:t>万元，资产总额为</w:t>
      </w:r>
      <w:r>
        <w:rPr>
          <w:rFonts w:ascii="宋体" w:hAnsi="宋体" w:cs="宋体"/>
          <w:sz w:val="24"/>
          <w:highlight w:val="none"/>
          <w:u w:val="single"/>
        </w:rPr>
        <w:t xml:space="preserve">   </w:t>
      </w:r>
      <w:r>
        <w:rPr>
          <w:rFonts w:ascii="宋体" w:hAnsi="宋体" w:cs="宋体"/>
          <w:sz w:val="24"/>
          <w:highlight w:val="none"/>
        </w:rPr>
        <w:t>万元，属于（中型 企业、小型企业、微型企业） ；</w:t>
      </w:r>
    </w:p>
    <w:p w14:paraId="32F23393">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以上企业，不属于大企业的分支机构，不存在控股股东为大企业的情形，</w:t>
      </w:r>
    </w:p>
    <w:p w14:paraId="2640F334">
      <w:pPr>
        <w:tabs>
          <w:tab w:val="left" w:pos="146"/>
        </w:tabs>
        <w:spacing w:line="460" w:lineRule="exact"/>
        <w:ind w:right="260"/>
        <w:rPr>
          <w:rFonts w:ascii="宋体" w:hAnsi="宋体" w:cs="宋体"/>
          <w:sz w:val="24"/>
          <w:highlight w:val="none"/>
        </w:rPr>
      </w:pPr>
      <w:r>
        <w:rPr>
          <w:rFonts w:ascii="宋体" w:hAnsi="宋体" w:cs="宋体"/>
          <w:sz w:val="24"/>
          <w:highlight w:val="none"/>
        </w:rPr>
        <w:t>也不存在与大企业的负责人为同一人的情形。</w:t>
      </w:r>
    </w:p>
    <w:p w14:paraId="572617D9">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本企业对上述声明内容的真实性负责。如有虚假，将依法承担相应责任。</w:t>
      </w:r>
    </w:p>
    <w:p w14:paraId="0CE91375">
      <w:pPr>
        <w:spacing w:line="460" w:lineRule="exact"/>
        <w:rPr>
          <w:rFonts w:ascii="宋体"/>
          <w:highlight w:val="none"/>
        </w:rPr>
      </w:pPr>
    </w:p>
    <w:p w14:paraId="5D6CD3F0">
      <w:pPr>
        <w:spacing w:line="460" w:lineRule="exact"/>
        <w:rPr>
          <w:rFonts w:ascii="宋体"/>
          <w:highlight w:val="none"/>
        </w:rPr>
      </w:pPr>
    </w:p>
    <w:p w14:paraId="22EF7687">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企业名称（盖章） ：</w:t>
      </w:r>
    </w:p>
    <w:p w14:paraId="722CCF62">
      <w:pPr>
        <w:tabs>
          <w:tab w:val="left" w:pos="146"/>
        </w:tabs>
        <w:spacing w:line="460" w:lineRule="exact"/>
        <w:ind w:left="11" w:right="260" w:firstLine="490"/>
        <w:rPr>
          <w:rFonts w:ascii="宋体" w:hAnsi="宋体" w:cs="宋体"/>
          <w:sz w:val="24"/>
          <w:highlight w:val="none"/>
        </w:rPr>
      </w:pPr>
      <w:r>
        <w:rPr>
          <w:rFonts w:ascii="宋体" w:hAnsi="宋体" w:cs="宋体"/>
          <w:sz w:val="24"/>
          <w:highlight w:val="none"/>
        </w:rPr>
        <w:t>日期：</w:t>
      </w:r>
    </w:p>
    <w:p w14:paraId="74486051">
      <w:pPr>
        <w:pStyle w:val="36"/>
        <w:spacing w:line="480" w:lineRule="exact"/>
        <w:rPr>
          <w:rFonts w:hAnsi="宋体" w:cs="宋体"/>
          <w:color w:val="auto"/>
          <w:highlight w:val="none"/>
        </w:rPr>
      </w:pPr>
    </w:p>
    <w:p w14:paraId="1F9BA708">
      <w:pPr>
        <w:pStyle w:val="36"/>
        <w:spacing w:line="480" w:lineRule="exact"/>
        <w:rPr>
          <w:rFonts w:hAnsi="宋体" w:cs="宋体"/>
          <w:color w:val="auto"/>
          <w:sz w:val="21"/>
          <w:szCs w:val="21"/>
          <w:highlight w:val="none"/>
        </w:rPr>
      </w:pPr>
      <w:r>
        <w:rPr>
          <w:rFonts w:hint="eastAsia" w:hAnsi="宋体" w:cs="宋体"/>
          <w:color w:val="auto"/>
          <w:sz w:val="21"/>
          <w:szCs w:val="21"/>
          <w:highlight w:val="none"/>
        </w:rPr>
        <w:t>填写说明：</w:t>
      </w:r>
    </w:p>
    <w:p w14:paraId="3C08B2B5">
      <w:pPr>
        <w:pStyle w:val="36"/>
        <w:spacing w:line="480" w:lineRule="exact"/>
        <w:ind w:firstLine="420" w:firstLineChars="200"/>
        <w:rPr>
          <w:rFonts w:hAnsi="宋体" w:cs="宋体"/>
          <w:color w:val="auto"/>
          <w:sz w:val="21"/>
          <w:szCs w:val="21"/>
          <w:highlight w:val="none"/>
          <w:lang w:val="zh-CN"/>
        </w:rPr>
      </w:pPr>
      <w:r>
        <w:rPr>
          <w:rFonts w:hint="eastAsia" w:hAnsi="宋体" w:cs="宋体"/>
          <w:color w:val="auto"/>
          <w:sz w:val="21"/>
          <w:szCs w:val="21"/>
          <w:highlight w:val="none"/>
        </w:rPr>
        <w:t>1、从</w:t>
      </w:r>
      <w:r>
        <w:rPr>
          <w:rFonts w:hint="eastAsia" w:hAnsi="宋体" w:cs="宋体"/>
          <w:color w:val="auto"/>
          <w:sz w:val="21"/>
          <w:szCs w:val="21"/>
          <w:highlight w:val="none"/>
          <w:lang w:val="zh-CN"/>
        </w:rPr>
        <w:t>业人员、营业收入、资产总额填报上一年度数据，无上一年度数据的新成立企业可不填报；</w:t>
      </w:r>
    </w:p>
    <w:p w14:paraId="3F396B87">
      <w:pPr>
        <w:pStyle w:val="36"/>
        <w:spacing w:line="480" w:lineRule="exact"/>
        <w:ind w:firstLine="420" w:firstLineChars="200"/>
        <w:rPr>
          <w:rFonts w:hAnsi="宋体" w:cs="宋体"/>
          <w:color w:val="auto"/>
          <w:sz w:val="21"/>
          <w:szCs w:val="21"/>
          <w:highlight w:val="none"/>
        </w:rPr>
      </w:pPr>
      <w:r>
        <w:rPr>
          <w:rFonts w:hint="eastAsia" w:hAnsi="宋体" w:cs="宋体"/>
          <w:color w:val="auto"/>
          <w:sz w:val="21"/>
          <w:szCs w:val="21"/>
          <w:highlight w:val="none"/>
        </w:rPr>
        <w:t>2、企业类型认定标准：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8557B00">
      <w:pPr>
        <w:pStyle w:val="36"/>
        <w:wordWrap w:val="0"/>
        <w:spacing w:line="480" w:lineRule="exact"/>
        <w:ind w:firstLine="420" w:firstLineChars="200"/>
        <w:rPr>
          <w:rFonts w:hAnsi="宋体" w:cs="宋体"/>
          <w:color w:val="auto"/>
          <w:sz w:val="21"/>
          <w:szCs w:val="21"/>
          <w:highlight w:val="none"/>
        </w:rPr>
      </w:pPr>
      <w:r>
        <w:rPr>
          <w:rFonts w:hint="eastAsia" w:hAnsi="宋体" w:cs="宋体"/>
          <w:color w:val="auto"/>
          <w:sz w:val="21"/>
          <w:szCs w:val="21"/>
          <w:highlight w:val="none"/>
        </w:rPr>
        <w:t xml:space="preserve"> 3、为了保证企业类型自我认定的准确性，供应商可通过国务院客户端小程序自行测试企业类型；登录国务院客户端小程序——企业——涉企查询更多——中小企业规模类型自测。</w:t>
      </w:r>
    </w:p>
    <w:p w14:paraId="5A117457">
      <w:pPr>
        <w:pStyle w:val="5"/>
        <w:spacing w:line="600" w:lineRule="exact"/>
        <w:rPr>
          <w:highlight w:val="none"/>
          <w:u w:val="none"/>
        </w:rPr>
      </w:pPr>
      <w:r>
        <w:rPr>
          <w:rFonts w:hint="eastAsia"/>
          <w:highlight w:val="none"/>
          <w:u w:val="none"/>
          <w:lang w:val="en-US" w:eastAsia="zh-CN"/>
        </w:rPr>
        <w:t xml:space="preserve">8.2 </w:t>
      </w:r>
      <w:r>
        <w:rPr>
          <w:rFonts w:hint="eastAsia"/>
          <w:highlight w:val="none"/>
          <w:u w:val="none"/>
        </w:rPr>
        <w:t>残疾人福利性单位声明函（如果是请提供）</w:t>
      </w:r>
    </w:p>
    <w:p w14:paraId="6E532490">
      <w:pPr>
        <w:spacing w:line="480" w:lineRule="exact"/>
        <w:ind w:firstLine="567"/>
        <w:rPr>
          <w:rFonts w:ascii="宋体" w:hAnsi="宋体" w:cs="宋体"/>
          <w:kern w:val="0"/>
          <w:sz w:val="24"/>
          <w:szCs w:val="20"/>
          <w:highlight w:val="none"/>
        </w:rPr>
      </w:pPr>
      <w:r>
        <w:rPr>
          <w:rFonts w:hint="eastAsia" w:ascii="宋体" w:hAnsi="宋体" w:cs="宋体"/>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6814F624">
      <w:pPr>
        <w:spacing w:line="480" w:lineRule="exact"/>
        <w:ind w:left="1080" w:leftChars="257" w:hanging="540"/>
        <w:rPr>
          <w:rFonts w:ascii="宋体" w:hAnsi="宋体" w:cs="宋体"/>
          <w:kern w:val="0"/>
          <w:sz w:val="24"/>
          <w:szCs w:val="20"/>
          <w:highlight w:val="none"/>
        </w:rPr>
      </w:pPr>
      <w:r>
        <w:rPr>
          <w:rFonts w:hint="eastAsia" w:ascii="宋体" w:hAnsi="宋体" w:cs="宋体"/>
          <w:kern w:val="0"/>
          <w:sz w:val="24"/>
          <w:szCs w:val="20"/>
          <w:highlight w:val="none"/>
        </w:rPr>
        <w:t>本单位对上述声明的真实性负责。如有虚假，将依法承担相应责任。</w:t>
      </w:r>
    </w:p>
    <w:p w14:paraId="70A81E8F">
      <w:pPr>
        <w:pStyle w:val="5"/>
        <w:spacing w:line="600" w:lineRule="exact"/>
        <w:rPr>
          <w:rFonts w:cs="宋体"/>
          <w:highlight w:val="none"/>
          <w:u w:val="none"/>
        </w:rPr>
      </w:pPr>
      <w:r>
        <w:rPr>
          <w:rFonts w:hint="eastAsia"/>
          <w:highlight w:val="none"/>
          <w:u w:val="none"/>
          <w:lang w:val="en-US" w:eastAsia="zh-CN"/>
        </w:rPr>
        <w:t>8.3</w:t>
      </w:r>
      <w:r>
        <w:rPr>
          <w:rFonts w:hint="eastAsia"/>
          <w:highlight w:val="none"/>
          <w:u w:val="none"/>
        </w:rPr>
        <w:t>省级以上监狱管理局、戒毒管理局（含新疆生产建设兵团） 出具的属于监狱企业的证明文件复印件（如果是请提供）</w:t>
      </w:r>
    </w:p>
    <w:bookmarkEnd w:id="296"/>
    <w:bookmarkEnd w:id="297"/>
    <w:p w14:paraId="69724F76">
      <w:pPr>
        <w:rPr>
          <w:highlight w:val="none"/>
        </w:rPr>
      </w:pPr>
      <w:r>
        <w:rPr>
          <w:highlight w:val="none"/>
        </w:rPr>
        <w:br w:type="page"/>
      </w:r>
    </w:p>
    <w:p w14:paraId="23BC22E1">
      <w:pPr>
        <w:autoSpaceDE w:val="0"/>
        <w:autoSpaceDN w:val="0"/>
        <w:adjustRightInd w:val="0"/>
        <w:snapToGrid w:val="0"/>
        <w:spacing w:line="440" w:lineRule="exact"/>
        <w:ind w:left="-420" w:leftChars="-200" w:right="-470" w:rightChars="-224" w:firstLine="6885" w:firstLineChars="3279"/>
        <w:rPr>
          <w:highlight w:val="none"/>
        </w:rPr>
      </w:pPr>
    </w:p>
    <w:p w14:paraId="745D749E">
      <w:pPr>
        <w:pStyle w:val="4"/>
        <w:spacing w:line="480" w:lineRule="exact"/>
        <w:ind w:left="722" w:hanging="722" w:hangingChars="257"/>
        <w:rPr>
          <w:rFonts w:ascii="宋体" w:hAnsi="宋体" w:cs="宋体"/>
          <w:highlight w:val="none"/>
        </w:rPr>
      </w:pPr>
      <w:bookmarkStart w:id="300" w:name="_Toc68259632"/>
      <w:bookmarkStart w:id="301" w:name="_Toc6115"/>
      <w:bookmarkStart w:id="302" w:name="_Toc46235139"/>
      <w:r>
        <w:rPr>
          <w:rFonts w:hint="eastAsia" w:ascii="宋体" w:hAnsi="宋体" w:cs="宋体"/>
          <w:highlight w:val="none"/>
        </w:rPr>
        <w:t>五、商务及技术文件</w:t>
      </w:r>
      <w:bookmarkEnd w:id="295"/>
      <w:bookmarkEnd w:id="300"/>
      <w:bookmarkEnd w:id="301"/>
      <w:bookmarkEnd w:id="302"/>
    </w:p>
    <w:p w14:paraId="2CF3FB67">
      <w:pPr>
        <w:pStyle w:val="5"/>
        <w:spacing w:line="480" w:lineRule="exact"/>
        <w:rPr>
          <w:rFonts w:cs="宋体"/>
          <w:highlight w:val="none"/>
          <w:u w:val="none"/>
        </w:rPr>
      </w:pPr>
      <w:bookmarkStart w:id="303" w:name="_Hlt520355504"/>
      <w:bookmarkEnd w:id="303"/>
      <w:bookmarkStart w:id="304" w:name="_Toc46235140"/>
      <w:bookmarkStart w:id="305" w:name="_Toc518923116"/>
      <w:r>
        <w:rPr>
          <w:rFonts w:hint="eastAsia" w:cs="宋体"/>
          <w:highlight w:val="none"/>
          <w:u w:val="none"/>
          <w:lang w:val="en-US" w:eastAsia="zh-CN"/>
        </w:rPr>
        <w:t>9</w:t>
      </w:r>
      <w:r>
        <w:rPr>
          <w:rFonts w:hint="eastAsia" w:cs="宋体"/>
          <w:highlight w:val="none"/>
          <w:u w:val="none"/>
        </w:rPr>
        <w:t>.响应文件</w:t>
      </w:r>
      <w:bookmarkEnd w:id="273"/>
      <w:bookmarkEnd w:id="274"/>
      <w:r>
        <w:rPr>
          <w:rFonts w:hint="eastAsia" w:cs="宋体"/>
          <w:highlight w:val="none"/>
          <w:u w:val="none"/>
        </w:rPr>
        <w:t>书</w:t>
      </w:r>
      <w:bookmarkEnd w:id="275"/>
      <w:bookmarkEnd w:id="276"/>
      <w:bookmarkEnd w:id="304"/>
      <w:bookmarkEnd w:id="305"/>
    </w:p>
    <w:p w14:paraId="7CFBB287">
      <w:pPr>
        <w:tabs>
          <w:tab w:val="left" w:pos="5580"/>
        </w:tabs>
        <w:spacing w:line="480" w:lineRule="exact"/>
        <w:ind w:left="1080" w:hanging="1080"/>
        <w:rPr>
          <w:rFonts w:ascii="宋体" w:hAnsi="宋体" w:cs="宋体"/>
          <w:sz w:val="24"/>
          <w:highlight w:val="none"/>
        </w:rPr>
      </w:pPr>
      <w:r>
        <w:rPr>
          <w:rFonts w:hint="eastAsia" w:ascii="宋体" w:hAnsi="宋体" w:cs="宋体"/>
          <w:sz w:val="24"/>
          <w:highlight w:val="none"/>
        </w:rPr>
        <w:t>致：</w:t>
      </w:r>
      <w:r>
        <w:rPr>
          <w:rFonts w:hint="eastAsia" w:ascii="宋体" w:hAnsi="宋体" w:cs="宋体"/>
          <w:sz w:val="24"/>
          <w:szCs w:val="20"/>
          <w:highlight w:val="none"/>
        </w:rPr>
        <w:t>临沂市沂蒙国际招标有限公司</w:t>
      </w:r>
    </w:p>
    <w:p w14:paraId="323C3714">
      <w:pPr>
        <w:tabs>
          <w:tab w:val="left" w:pos="5580"/>
        </w:tabs>
        <w:spacing w:line="480" w:lineRule="exact"/>
        <w:ind w:left="2" w:leftChars="1" w:firstLine="480" w:firstLineChars="200"/>
        <w:rPr>
          <w:rFonts w:ascii="宋体" w:hAnsi="宋体" w:cs="宋体"/>
          <w:sz w:val="24"/>
          <w:szCs w:val="20"/>
          <w:highlight w:val="none"/>
        </w:rPr>
      </w:pPr>
      <w:r>
        <w:rPr>
          <w:rFonts w:hint="eastAsia" w:ascii="宋体" w:hAnsi="宋体" w:cs="宋体"/>
          <w:sz w:val="24"/>
          <w:szCs w:val="20"/>
          <w:highlight w:val="none"/>
        </w:rPr>
        <w:t>根据贵方(</w:t>
      </w:r>
      <w:r>
        <w:rPr>
          <w:rFonts w:hint="eastAsia" w:ascii="宋体" w:hAnsi="宋体" w:cs="宋体"/>
          <w:i/>
          <w:sz w:val="24"/>
          <w:szCs w:val="20"/>
          <w:highlight w:val="none"/>
        </w:rPr>
        <w:t>项目名称</w:t>
      </w:r>
      <w:r>
        <w:rPr>
          <w:rFonts w:hint="eastAsia" w:ascii="宋体" w:hAnsi="宋体" w:cs="宋体"/>
          <w:sz w:val="24"/>
          <w:szCs w:val="20"/>
          <w:highlight w:val="none"/>
        </w:rPr>
        <w:t>)项目的响应文件邀请(</w:t>
      </w:r>
      <w:r>
        <w:rPr>
          <w:rFonts w:hint="eastAsia" w:ascii="宋体" w:hAnsi="宋体" w:cs="宋体"/>
          <w:i/>
          <w:sz w:val="24"/>
          <w:szCs w:val="20"/>
          <w:highlight w:val="none"/>
        </w:rPr>
        <w:t>项目编号</w:t>
      </w:r>
      <w:r>
        <w:rPr>
          <w:rFonts w:hint="eastAsia" w:ascii="宋体" w:hAnsi="宋体" w:cs="宋体"/>
          <w:sz w:val="24"/>
          <w:szCs w:val="20"/>
          <w:highlight w:val="none"/>
        </w:rPr>
        <w:t>),签字代表(</w:t>
      </w:r>
      <w:r>
        <w:rPr>
          <w:rFonts w:hint="eastAsia" w:ascii="宋体" w:hAnsi="宋体" w:cs="宋体"/>
          <w:i/>
          <w:sz w:val="24"/>
          <w:szCs w:val="20"/>
          <w:highlight w:val="none"/>
        </w:rPr>
        <w:t>姓名、职务</w:t>
      </w:r>
      <w:r>
        <w:rPr>
          <w:rFonts w:hint="eastAsia" w:ascii="宋体" w:hAnsi="宋体" w:cs="宋体"/>
          <w:sz w:val="24"/>
          <w:szCs w:val="20"/>
          <w:highlight w:val="none"/>
        </w:rPr>
        <w:t>)经正式授权并代表供应商（</w:t>
      </w:r>
      <w:r>
        <w:rPr>
          <w:rFonts w:hint="eastAsia" w:ascii="宋体" w:hAnsi="宋体" w:cs="宋体"/>
          <w:i/>
          <w:sz w:val="24"/>
          <w:szCs w:val="20"/>
          <w:highlight w:val="none"/>
        </w:rPr>
        <w:t>名称、地址</w:t>
      </w:r>
      <w:r>
        <w:rPr>
          <w:rFonts w:hint="eastAsia" w:ascii="宋体" w:hAnsi="宋体" w:cs="宋体"/>
          <w:sz w:val="24"/>
          <w:szCs w:val="20"/>
          <w:highlight w:val="none"/>
        </w:rPr>
        <w:t>）据此，签字代表宣布同意如下：</w:t>
      </w:r>
    </w:p>
    <w:p w14:paraId="318F5830">
      <w:pPr>
        <w:pStyle w:val="14"/>
        <w:tabs>
          <w:tab w:val="left" w:pos="720"/>
          <w:tab w:val="left" w:pos="900"/>
        </w:tabs>
        <w:spacing w:line="480" w:lineRule="exact"/>
        <w:ind w:firstLine="420" w:firstLineChars="175"/>
        <w:rPr>
          <w:rFonts w:hAnsi="宋体" w:cs="宋体"/>
          <w:sz w:val="24"/>
          <w:highlight w:val="none"/>
        </w:rPr>
      </w:pPr>
      <w:r>
        <w:rPr>
          <w:rFonts w:hint="eastAsia" w:hAnsi="宋体" w:cs="宋体"/>
          <w:sz w:val="24"/>
          <w:highlight w:val="none"/>
        </w:rPr>
        <w:t>（1）附报价价格表中规定的应提供服务的总价详见报价一览表，均由我公司承担。</w:t>
      </w:r>
    </w:p>
    <w:p w14:paraId="3E842641">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（2）本响应文件有效期为自响应文件截止之日起</w:t>
      </w:r>
      <w:r>
        <w:rPr>
          <w:rFonts w:hint="eastAsia" w:ascii="宋体" w:hAnsi="宋体" w:cs="宋体"/>
          <w:sz w:val="24"/>
          <w:szCs w:val="20"/>
          <w:highlight w:val="none"/>
          <w:u w:val="single"/>
        </w:rPr>
        <w:t xml:space="preserve"> 90 </w:t>
      </w:r>
      <w:r>
        <w:rPr>
          <w:rFonts w:hint="eastAsia" w:ascii="宋体" w:hAnsi="宋体" w:cs="宋体"/>
          <w:sz w:val="24"/>
          <w:szCs w:val="20"/>
          <w:highlight w:val="none"/>
        </w:rPr>
        <w:t>个日历日。</w:t>
      </w:r>
    </w:p>
    <w:p w14:paraId="56A0C28D">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（3）联合体中的大中型企业和其他自然人、法人或者其他组织，与联合体中的小型、微型企业之间/（存在、不存在）投资关系（如果联合体的话）。</w:t>
      </w:r>
    </w:p>
    <w:p w14:paraId="657E046E">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（4）已详细审查全部竞争性磋商文件，包括所有补充通知（如果有的话），完全理解并同意放弃对这方面有不明、误解和质疑的权力。</w:t>
      </w:r>
    </w:p>
    <w:p w14:paraId="29783F2F">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（5）我方不是为本项目提供整体设计、规范编制或者项目管理、监理、检测等服务的供应商，我方不是采购代理机构的附属机构。</w:t>
      </w:r>
    </w:p>
    <w:p w14:paraId="405A85D5">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（6）按照贵方可能要求，提供与其响应文件有关的一切数据或资料，完全理解贵方不一定接受最低价的响应文件或收到的任何响应文件。</w:t>
      </w:r>
    </w:p>
    <w:p w14:paraId="59D8FBD2">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（7）我方保证所提供宣传内容、方案不侵犯他人知识产权，否则，由此产生的一切法律责任由我方承担。</w:t>
      </w:r>
    </w:p>
    <w:p w14:paraId="15CEDD86">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（8）在领取成交通知书的同时按磋商文件规定的形式，向贵方一次性支付成交服务费。</w:t>
      </w:r>
    </w:p>
    <w:p w14:paraId="05F3F21F">
      <w:pPr>
        <w:tabs>
          <w:tab w:val="left" w:pos="5580"/>
        </w:tabs>
        <w:spacing w:line="480" w:lineRule="exact"/>
        <w:ind w:firstLine="420" w:firstLineChars="175"/>
        <w:rPr>
          <w:rFonts w:ascii="宋体" w:hAnsi="宋体" w:cs="宋体"/>
          <w:sz w:val="24"/>
          <w:szCs w:val="20"/>
          <w:highlight w:val="none"/>
        </w:rPr>
      </w:pPr>
      <w:r>
        <w:rPr>
          <w:rFonts w:hint="eastAsia" w:ascii="宋体" w:hAnsi="宋体" w:cs="宋体"/>
          <w:sz w:val="24"/>
          <w:szCs w:val="20"/>
          <w:highlight w:val="none"/>
        </w:rPr>
        <w:t>（9） 按照竞争性磋商文件的规定履行合同责任和义务。</w:t>
      </w:r>
    </w:p>
    <w:p w14:paraId="3155CBCC">
      <w:pPr>
        <w:tabs>
          <w:tab w:val="left" w:pos="5580"/>
        </w:tabs>
        <w:spacing w:line="480" w:lineRule="exact"/>
        <w:ind w:left="359" w:leftChars="68" w:hanging="216" w:hangingChars="90"/>
        <w:rPr>
          <w:rFonts w:ascii="宋体" w:hAnsi="宋体" w:cs="宋体"/>
          <w:sz w:val="24"/>
          <w:szCs w:val="20"/>
          <w:highlight w:val="none"/>
        </w:rPr>
      </w:pPr>
      <w:r>
        <w:rPr>
          <w:rFonts w:hint="eastAsia" w:ascii="宋体" w:hAnsi="宋体" w:cs="宋体"/>
          <w:sz w:val="24"/>
          <w:szCs w:val="20"/>
          <w:highlight w:val="none"/>
        </w:rPr>
        <w:t>与本响应文件有关的一切正式往来信函请寄：</w:t>
      </w:r>
    </w:p>
    <w:p w14:paraId="4407A5FF">
      <w:pPr>
        <w:tabs>
          <w:tab w:val="left" w:pos="5580"/>
        </w:tabs>
        <w:spacing w:line="480" w:lineRule="exact"/>
        <w:ind w:left="1080" w:leftChars="257" w:hanging="540"/>
        <w:rPr>
          <w:rFonts w:ascii="宋体" w:hAnsi="宋体" w:cs="宋体"/>
          <w:sz w:val="24"/>
          <w:szCs w:val="20"/>
          <w:highlight w:val="none"/>
        </w:rPr>
      </w:pPr>
      <w:r>
        <w:rPr>
          <w:rFonts w:hint="eastAsia" w:ascii="宋体" w:hAnsi="宋体" w:cs="宋体"/>
          <w:sz w:val="24"/>
          <w:szCs w:val="20"/>
          <w:highlight w:val="none"/>
        </w:rPr>
        <w:t>地址：     传真：</w:t>
      </w:r>
    </w:p>
    <w:p w14:paraId="7A03E418">
      <w:pPr>
        <w:tabs>
          <w:tab w:val="left" w:pos="5580"/>
        </w:tabs>
        <w:spacing w:line="480" w:lineRule="exact"/>
        <w:ind w:left="1080" w:leftChars="257" w:hanging="540"/>
        <w:rPr>
          <w:rFonts w:ascii="宋体" w:hAnsi="宋体" w:cs="宋体"/>
          <w:b/>
          <w:sz w:val="24"/>
          <w:szCs w:val="20"/>
          <w:highlight w:val="none"/>
        </w:rPr>
      </w:pPr>
      <w:r>
        <w:rPr>
          <w:rFonts w:hint="eastAsia" w:ascii="宋体" w:hAnsi="宋体" w:cs="宋体"/>
          <w:sz w:val="24"/>
          <w:szCs w:val="20"/>
          <w:highlight w:val="none"/>
        </w:rPr>
        <w:t>电话：     电子函件：</w:t>
      </w:r>
    </w:p>
    <w:p w14:paraId="60DA3EAB">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法定代表人或其委托代理人签字：-----------------</w:t>
      </w:r>
    </w:p>
    <w:p w14:paraId="36086C9B">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供应商名称（全称）：-----------------</w:t>
      </w:r>
    </w:p>
    <w:p w14:paraId="5DA3D4B8">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 xml:space="preserve">供应商开户银行（全称）：　　　　　　 </w:t>
      </w:r>
    </w:p>
    <w:p w14:paraId="45D67285">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供应商银行帐号：　　　　　　　　 　　</w:t>
      </w:r>
    </w:p>
    <w:p w14:paraId="5DA278C5">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供应商单位章：-------------------------</w:t>
      </w:r>
    </w:p>
    <w:p w14:paraId="4CBD0DCA">
      <w:pPr>
        <w:pStyle w:val="14"/>
        <w:tabs>
          <w:tab w:val="left" w:pos="5580"/>
        </w:tabs>
        <w:spacing w:line="480" w:lineRule="exact"/>
        <w:ind w:left="1080" w:leftChars="257" w:hanging="540"/>
        <w:rPr>
          <w:rFonts w:hAnsi="宋体" w:cs="宋体"/>
          <w:sz w:val="24"/>
          <w:highlight w:val="none"/>
        </w:rPr>
      </w:pPr>
      <w:r>
        <w:rPr>
          <w:rFonts w:hint="eastAsia" w:hAnsi="宋体" w:cs="宋体"/>
          <w:sz w:val="24"/>
          <w:highlight w:val="none"/>
        </w:rPr>
        <w:t>日期：------------------------------</w:t>
      </w:r>
    </w:p>
    <w:p w14:paraId="5EE3187C">
      <w:pPr>
        <w:pStyle w:val="5"/>
        <w:spacing w:line="480" w:lineRule="exact"/>
        <w:rPr>
          <w:rFonts w:cs="宋体"/>
          <w:highlight w:val="none"/>
          <w:u w:val="none"/>
        </w:rPr>
      </w:pPr>
      <w:bookmarkStart w:id="306" w:name="_Hlt520356243"/>
      <w:bookmarkEnd w:id="306"/>
      <w:bookmarkStart w:id="307" w:name="_Hlt520355938"/>
      <w:bookmarkEnd w:id="307"/>
      <w:bookmarkStart w:id="308" w:name="_Toc46238288"/>
      <w:bookmarkStart w:id="309" w:name="_Toc46136871"/>
      <w:bookmarkStart w:id="310" w:name="_Toc518923122"/>
      <w:r>
        <w:rPr>
          <w:rFonts w:hint="eastAsia" w:cs="宋体"/>
          <w:highlight w:val="none"/>
          <w:u w:val="none"/>
          <w:lang w:val="en-US" w:eastAsia="zh-CN"/>
        </w:rPr>
        <w:t>10</w:t>
      </w:r>
      <w:r>
        <w:rPr>
          <w:rFonts w:hint="eastAsia" w:cs="宋体"/>
          <w:highlight w:val="none"/>
          <w:u w:val="none"/>
        </w:rPr>
        <w:t>.分项报价表</w:t>
      </w:r>
    </w:p>
    <w:p w14:paraId="32E4CDCA">
      <w:pPr>
        <w:spacing w:line="600" w:lineRule="exact"/>
        <w:jc w:val="left"/>
        <w:rPr>
          <w:rFonts w:ascii="宋体" w:hAnsi="宋体"/>
          <w:sz w:val="24"/>
          <w:highlight w:val="none"/>
        </w:rPr>
      </w:pPr>
      <w:r>
        <w:rPr>
          <w:rFonts w:hint="eastAsia" w:ascii="宋体" w:hAnsi="宋体"/>
          <w:sz w:val="24"/>
          <w:highlight w:val="none"/>
        </w:rPr>
        <w:t>项目编号、包号</w:t>
      </w:r>
      <w:r>
        <w:rPr>
          <w:rFonts w:ascii="宋体" w:hAnsi="宋体"/>
          <w:sz w:val="24"/>
          <w:highlight w:val="none"/>
        </w:rPr>
        <w:t xml:space="preserve">: </w:t>
      </w:r>
      <w:r>
        <w:rPr>
          <w:rFonts w:hint="eastAsia" w:ascii="宋体" w:hAnsi="宋体"/>
          <w:sz w:val="24"/>
          <w:highlight w:val="none"/>
        </w:rPr>
        <w:t>　　报价单位：人民币元</w:t>
      </w:r>
    </w:p>
    <w:tbl>
      <w:tblPr>
        <w:tblStyle w:val="28"/>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5"/>
        <w:gridCol w:w="1412"/>
        <w:gridCol w:w="1041"/>
        <w:gridCol w:w="1024"/>
        <w:gridCol w:w="2037"/>
        <w:gridCol w:w="2091"/>
      </w:tblGrid>
      <w:tr w14:paraId="0FCE0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895" w:type="dxa"/>
            <w:vAlign w:val="center"/>
          </w:tcPr>
          <w:p w14:paraId="54D8AB76">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编号</w:t>
            </w:r>
          </w:p>
        </w:tc>
        <w:tc>
          <w:tcPr>
            <w:tcW w:w="1412" w:type="dxa"/>
            <w:vAlign w:val="center"/>
          </w:tcPr>
          <w:p w14:paraId="266C95FD">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服务</w:t>
            </w:r>
            <w:r>
              <w:rPr>
                <w:rFonts w:hint="eastAsia" w:ascii="宋体" w:hAnsi="宋体" w:cs="宋体"/>
                <w:kern w:val="0"/>
                <w:position w:val="-2"/>
                <w:sz w:val="24"/>
                <w:highlight w:val="none"/>
                <w:lang w:eastAsia="en-US"/>
              </w:rPr>
              <w:t>名称</w:t>
            </w:r>
          </w:p>
        </w:tc>
        <w:tc>
          <w:tcPr>
            <w:tcW w:w="1041" w:type="dxa"/>
            <w:vAlign w:val="center"/>
          </w:tcPr>
          <w:p w14:paraId="2A5CB2BB">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数量</w:t>
            </w:r>
          </w:p>
        </w:tc>
        <w:tc>
          <w:tcPr>
            <w:tcW w:w="1024" w:type="dxa"/>
            <w:vAlign w:val="center"/>
          </w:tcPr>
          <w:p w14:paraId="3053D703">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单位</w:t>
            </w:r>
          </w:p>
        </w:tc>
        <w:tc>
          <w:tcPr>
            <w:tcW w:w="2037" w:type="dxa"/>
            <w:vAlign w:val="center"/>
          </w:tcPr>
          <w:p w14:paraId="4F4E7D33">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单价</w:t>
            </w:r>
          </w:p>
        </w:tc>
        <w:tc>
          <w:tcPr>
            <w:tcW w:w="2091" w:type="dxa"/>
            <w:vAlign w:val="center"/>
          </w:tcPr>
          <w:p w14:paraId="2FE31BF1">
            <w:pPr>
              <w:spacing w:line="480" w:lineRule="exact"/>
              <w:ind w:left="124" w:right="-23"/>
              <w:jc w:val="center"/>
              <w:rPr>
                <w:rFonts w:ascii="宋体" w:hAnsi="宋体" w:cs="宋体"/>
                <w:kern w:val="0"/>
                <w:position w:val="-2"/>
                <w:sz w:val="24"/>
                <w:highlight w:val="none"/>
                <w:lang w:eastAsia="en-US"/>
              </w:rPr>
            </w:pPr>
            <w:r>
              <w:rPr>
                <w:rFonts w:hint="eastAsia" w:ascii="宋体" w:hAnsi="宋体" w:cs="宋体"/>
                <w:kern w:val="0"/>
                <w:position w:val="-2"/>
                <w:sz w:val="24"/>
                <w:highlight w:val="none"/>
                <w:lang w:eastAsia="en-US"/>
              </w:rPr>
              <w:t>合价</w:t>
            </w:r>
          </w:p>
        </w:tc>
      </w:tr>
      <w:tr w14:paraId="2AEED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895" w:type="dxa"/>
            <w:vAlign w:val="center"/>
          </w:tcPr>
          <w:p w14:paraId="4F527370">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1.1</w:t>
            </w:r>
          </w:p>
        </w:tc>
        <w:tc>
          <w:tcPr>
            <w:tcW w:w="1412" w:type="dxa"/>
            <w:vAlign w:val="center"/>
          </w:tcPr>
          <w:p w14:paraId="40D05F99">
            <w:pPr>
              <w:spacing w:line="480" w:lineRule="exact"/>
              <w:ind w:left="124" w:right="-23"/>
              <w:jc w:val="center"/>
              <w:rPr>
                <w:rFonts w:ascii="宋体" w:hAnsi="宋体" w:cs="宋体"/>
                <w:kern w:val="0"/>
                <w:position w:val="-2"/>
                <w:sz w:val="24"/>
                <w:highlight w:val="none"/>
              </w:rPr>
            </w:pPr>
          </w:p>
        </w:tc>
        <w:tc>
          <w:tcPr>
            <w:tcW w:w="1041" w:type="dxa"/>
            <w:vAlign w:val="center"/>
          </w:tcPr>
          <w:p w14:paraId="6BC841E8">
            <w:pPr>
              <w:spacing w:line="480" w:lineRule="exact"/>
              <w:ind w:right="-23"/>
              <w:jc w:val="center"/>
              <w:rPr>
                <w:rFonts w:ascii="宋体" w:hAnsi="宋体" w:cs="宋体"/>
                <w:kern w:val="0"/>
                <w:position w:val="-2"/>
                <w:sz w:val="24"/>
                <w:highlight w:val="none"/>
              </w:rPr>
            </w:pPr>
          </w:p>
        </w:tc>
        <w:tc>
          <w:tcPr>
            <w:tcW w:w="1024" w:type="dxa"/>
            <w:vAlign w:val="center"/>
          </w:tcPr>
          <w:p w14:paraId="0EFCD237">
            <w:pPr>
              <w:spacing w:line="480" w:lineRule="exact"/>
              <w:ind w:right="-23"/>
              <w:jc w:val="center"/>
              <w:rPr>
                <w:rFonts w:ascii="宋体" w:hAnsi="宋体" w:cs="宋体"/>
                <w:kern w:val="0"/>
                <w:position w:val="-2"/>
                <w:sz w:val="24"/>
                <w:highlight w:val="none"/>
              </w:rPr>
            </w:pPr>
          </w:p>
        </w:tc>
        <w:tc>
          <w:tcPr>
            <w:tcW w:w="2037" w:type="dxa"/>
            <w:vAlign w:val="center"/>
          </w:tcPr>
          <w:p w14:paraId="1276144C">
            <w:pPr>
              <w:spacing w:line="480" w:lineRule="exact"/>
              <w:ind w:left="124" w:right="-23"/>
              <w:jc w:val="center"/>
              <w:rPr>
                <w:rFonts w:ascii="宋体" w:hAnsi="宋体" w:cs="宋体"/>
                <w:kern w:val="0"/>
                <w:position w:val="-2"/>
                <w:sz w:val="24"/>
                <w:highlight w:val="none"/>
              </w:rPr>
            </w:pPr>
          </w:p>
        </w:tc>
        <w:tc>
          <w:tcPr>
            <w:tcW w:w="2091" w:type="dxa"/>
            <w:vAlign w:val="center"/>
          </w:tcPr>
          <w:p w14:paraId="05157517">
            <w:pPr>
              <w:spacing w:line="480" w:lineRule="exact"/>
              <w:ind w:right="-23"/>
              <w:jc w:val="center"/>
              <w:rPr>
                <w:rFonts w:ascii="宋体" w:hAnsi="宋体" w:cs="宋体"/>
                <w:kern w:val="0"/>
                <w:position w:val="-2"/>
                <w:sz w:val="24"/>
                <w:highlight w:val="none"/>
              </w:rPr>
            </w:pPr>
          </w:p>
        </w:tc>
      </w:tr>
      <w:tr w14:paraId="3B0E4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95" w:type="dxa"/>
            <w:vAlign w:val="center"/>
          </w:tcPr>
          <w:p w14:paraId="76B531C7">
            <w:pPr>
              <w:spacing w:line="480" w:lineRule="exact"/>
              <w:ind w:left="124" w:right="-23"/>
              <w:jc w:val="center"/>
              <w:rPr>
                <w:rFonts w:ascii="宋体" w:hAnsi="宋体" w:cs="宋体"/>
                <w:kern w:val="0"/>
                <w:position w:val="-2"/>
                <w:sz w:val="24"/>
                <w:highlight w:val="none"/>
              </w:rPr>
            </w:pPr>
            <w:r>
              <w:rPr>
                <w:rFonts w:hint="eastAsia" w:ascii="宋体" w:hAnsi="宋体" w:cs="宋体"/>
                <w:kern w:val="0"/>
                <w:position w:val="-2"/>
                <w:sz w:val="24"/>
                <w:highlight w:val="none"/>
              </w:rPr>
              <w:t>1.2</w:t>
            </w:r>
          </w:p>
        </w:tc>
        <w:tc>
          <w:tcPr>
            <w:tcW w:w="1412" w:type="dxa"/>
            <w:vAlign w:val="center"/>
          </w:tcPr>
          <w:p w14:paraId="12E075A1">
            <w:pPr>
              <w:spacing w:line="480" w:lineRule="exact"/>
              <w:ind w:left="124" w:right="-23"/>
              <w:jc w:val="center"/>
              <w:rPr>
                <w:rFonts w:ascii="宋体" w:hAnsi="宋体" w:cs="宋体"/>
                <w:kern w:val="0"/>
                <w:position w:val="-2"/>
                <w:sz w:val="24"/>
                <w:highlight w:val="none"/>
                <w:lang w:eastAsia="en-US"/>
              </w:rPr>
            </w:pPr>
          </w:p>
        </w:tc>
        <w:tc>
          <w:tcPr>
            <w:tcW w:w="1041" w:type="dxa"/>
            <w:vAlign w:val="center"/>
          </w:tcPr>
          <w:p w14:paraId="489A210E">
            <w:pPr>
              <w:spacing w:line="480" w:lineRule="exact"/>
              <w:ind w:left="124" w:right="-23"/>
              <w:jc w:val="center"/>
              <w:rPr>
                <w:rFonts w:ascii="宋体" w:hAnsi="宋体" w:cs="宋体"/>
                <w:kern w:val="0"/>
                <w:position w:val="-2"/>
                <w:sz w:val="24"/>
                <w:highlight w:val="none"/>
              </w:rPr>
            </w:pPr>
          </w:p>
        </w:tc>
        <w:tc>
          <w:tcPr>
            <w:tcW w:w="1024" w:type="dxa"/>
            <w:vAlign w:val="center"/>
          </w:tcPr>
          <w:p w14:paraId="2DD13977">
            <w:pPr>
              <w:spacing w:line="480" w:lineRule="exact"/>
              <w:ind w:right="-23"/>
              <w:jc w:val="center"/>
              <w:rPr>
                <w:rFonts w:ascii="宋体" w:hAnsi="宋体" w:cs="宋体"/>
                <w:kern w:val="0"/>
                <w:position w:val="-2"/>
                <w:sz w:val="24"/>
                <w:highlight w:val="none"/>
              </w:rPr>
            </w:pPr>
          </w:p>
        </w:tc>
        <w:tc>
          <w:tcPr>
            <w:tcW w:w="2037" w:type="dxa"/>
            <w:vAlign w:val="center"/>
          </w:tcPr>
          <w:p w14:paraId="56672EB3">
            <w:pPr>
              <w:spacing w:line="480" w:lineRule="exact"/>
              <w:ind w:right="-23"/>
              <w:jc w:val="center"/>
              <w:rPr>
                <w:rFonts w:ascii="宋体" w:hAnsi="宋体" w:cs="宋体"/>
                <w:kern w:val="0"/>
                <w:position w:val="-2"/>
                <w:sz w:val="24"/>
                <w:highlight w:val="none"/>
              </w:rPr>
            </w:pPr>
          </w:p>
        </w:tc>
        <w:tc>
          <w:tcPr>
            <w:tcW w:w="2091" w:type="dxa"/>
            <w:vAlign w:val="center"/>
          </w:tcPr>
          <w:p w14:paraId="1DC480B9">
            <w:pPr>
              <w:spacing w:line="480" w:lineRule="exact"/>
              <w:ind w:right="-23"/>
              <w:jc w:val="center"/>
              <w:rPr>
                <w:rFonts w:ascii="宋体" w:hAnsi="宋体" w:cs="宋体"/>
                <w:kern w:val="0"/>
                <w:position w:val="-2"/>
                <w:sz w:val="24"/>
                <w:highlight w:val="none"/>
              </w:rPr>
            </w:pPr>
          </w:p>
        </w:tc>
      </w:tr>
    </w:tbl>
    <w:p w14:paraId="24364179">
      <w:pPr>
        <w:pStyle w:val="14"/>
        <w:spacing w:line="480" w:lineRule="exact"/>
        <w:ind w:firstLine="480" w:firstLineChars="200"/>
        <w:rPr>
          <w:rFonts w:hAnsi="宋体"/>
          <w:sz w:val="24"/>
          <w:highlight w:val="none"/>
        </w:rPr>
      </w:pPr>
      <w:r>
        <w:rPr>
          <w:rFonts w:hint="eastAsia" w:hAnsi="宋体"/>
          <w:sz w:val="24"/>
          <w:highlight w:val="none"/>
        </w:rPr>
        <w:t>说明：1.如果按分项报价计算的结果与总价不一致,以分项报价为准修正总价。</w:t>
      </w:r>
    </w:p>
    <w:p w14:paraId="04FC966F">
      <w:pPr>
        <w:pStyle w:val="14"/>
        <w:spacing w:line="480" w:lineRule="exact"/>
        <w:ind w:firstLine="480" w:firstLineChars="200"/>
        <w:rPr>
          <w:rFonts w:hAnsi="宋体"/>
          <w:sz w:val="24"/>
          <w:highlight w:val="none"/>
        </w:rPr>
      </w:pPr>
      <w:r>
        <w:rPr>
          <w:rFonts w:hint="eastAsia" w:hAnsi="宋体"/>
          <w:sz w:val="24"/>
          <w:highlight w:val="none"/>
        </w:rPr>
        <w:t>2.上述各项的详细分项报价，可另页描述。</w:t>
      </w:r>
    </w:p>
    <w:p w14:paraId="246183F2">
      <w:pPr>
        <w:pStyle w:val="14"/>
        <w:spacing w:line="480" w:lineRule="exact"/>
        <w:ind w:firstLine="480" w:firstLineChars="200"/>
        <w:rPr>
          <w:rFonts w:hAnsi="宋体"/>
          <w:sz w:val="24"/>
          <w:highlight w:val="none"/>
        </w:rPr>
      </w:pPr>
      <w:r>
        <w:rPr>
          <w:rFonts w:hint="eastAsia" w:hAnsi="宋体"/>
          <w:sz w:val="24"/>
          <w:highlight w:val="none"/>
        </w:rPr>
        <w:t xml:space="preserve">3.如果开标一览表（报价表）内容与投标文件中明细表内容不一致的，以开标一览表（报价表）内容为准。 </w:t>
      </w:r>
    </w:p>
    <w:p w14:paraId="6C6ABFE2">
      <w:pPr>
        <w:pStyle w:val="14"/>
        <w:spacing w:line="480" w:lineRule="exact"/>
        <w:ind w:firstLine="480" w:firstLineChars="200"/>
        <w:rPr>
          <w:rFonts w:hAnsi="宋体"/>
          <w:sz w:val="24"/>
          <w:highlight w:val="none"/>
        </w:rPr>
      </w:pPr>
    </w:p>
    <w:p w14:paraId="6089F583">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1C72D850">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0BC2150C">
      <w:pPr>
        <w:pStyle w:val="14"/>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0AB97F68">
      <w:pPr>
        <w:rPr>
          <w:rFonts w:hAnsi="宋体" w:cs="宋体"/>
          <w:highlight w:val="none"/>
        </w:rPr>
      </w:pPr>
      <w:r>
        <w:rPr>
          <w:rFonts w:hint="eastAsia" w:hAnsi="宋体" w:cs="宋体"/>
          <w:highlight w:val="none"/>
        </w:rPr>
        <w:br w:type="page"/>
      </w:r>
    </w:p>
    <w:p w14:paraId="0A6B0349">
      <w:pPr>
        <w:pStyle w:val="5"/>
        <w:rPr>
          <w:rFonts w:cs="宋体"/>
          <w:highlight w:val="none"/>
          <w:u w:val="none"/>
        </w:rPr>
      </w:pPr>
      <w:bookmarkStart w:id="311" w:name="_Toc16133"/>
      <w:r>
        <w:rPr>
          <w:rFonts w:hint="eastAsia" w:cs="宋体"/>
          <w:highlight w:val="none"/>
          <w:u w:val="none"/>
        </w:rPr>
        <w:t>1</w:t>
      </w:r>
      <w:r>
        <w:rPr>
          <w:rFonts w:hint="eastAsia" w:cs="宋体"/>
          <w:highlight w:val="none"/>
          <w:u w:val="none"/>
          <w:lang w:val="en-US" w:eastAsia="zh-CN"/>
        </w:rPr>
        <w:t>1</w:t>
      </w:r>
      <w:r>
        <w:rPr>
          <w:rFonts w:hint="eastAsia" w:cs="宋体"/>
          <w:highlight w:val="none"/>
          <w:u w:val="none"/>
        </w:rPr>
        <w:t>. 案例一览表</w:t>
      </w:r>
      <w:bookmarkEnd w:id="311"/>
    </w:p>
    <w:p w14:paraId="44E0017E">
      <w:pPr>
        <w:spacing w:line="360" w:lineRule="auto"/>
        <w:ind w:right="187"/>
        <w:jc w:val="center"/>
        <w:rPr>
          <w:rFonts w:ascii="宋体" w:hAnsi="宋体" w:cs="宋体"/>
          <w:kern w:val="0"/>
          <w:sz w:val="28"/>
          <w:szCs w:val="28"/>
          <w:highlight w:val="none"/>
        </w:rPr>
      </w:pPr>
      <w:r>
        <w:rPr>
          <w:rFonts w:hint="eastAsia" w:ascii="宋体" w:hAnsi="宋体" w:cs="宋体"/>
          <w:kern w:val="0"/>
          <w:sz w:val="28"/>
          <w:szCs w:val="28"/>
          <w:highlight w:val="none"/>
        </w:rPr>
        <w:t>案例一览表及合同复印件</w:t>
      </w:r>
    </w:p>
    <w:tbl>
      <w:tblPr>
        <w:tblStyle w:val="28"/>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6DD33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vAlign w:val="center"/>
          </w:tcPr>
          <w:p w14:paraId="29A4B63B">
            <w:pPr>
              <w:spacing w:line="360" w:lineRule="exact"/>
              <w:jc w:val="center"/>
              <w:rPr>
                <w:rFonts w:ascii="宋体" w:hAnsi="宋体" w:cs="宋体"/>
                <w:kern w:val="0"/>
                <w:sz w:val="24"/>
                <w:highlight w:val="none"/>
              </w:rPr>
            </w:pPr>
            <w:r>
              <w:rPr>
                <w:rFonts w:hint="eastAsia" w:ascii="宋体" w:hAnsi="宋体" w:cs="宋体"/>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vAlign w:val="center"/>
          </w:tcPr>
          <w:p w14:paraId="4938B804">
            <w:pPr>
              <w:spacing w:line="360" w:lineRule="exact"/>
              <w:jc w:val="center"/>
              <w:rPr>
                <w:rFonts w:ascii="宋体" w:hAnsi="宋体" w:cs="宋体"/>
                <w:kern w:val="0"/>
                <w:sz w:val="24"/>
                <w:highlight w:val="none"/>
              </w:rPr>
            </w:pPr>
            <w:r>
              <w:rPr>
                <w:rFonts w:hint="eastAsia" w:ascii="宋体" w:hAnsi="宋体" w:cs="宋体"/>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vAlign w:val="center"/>
          </w:tcPr>
          <w:p w14:paraId="2455880E">
            <w:pPr>
              <w:spacing w:line="360" w:lineRule="exact"/>
              <w:jc w:val="center"/>
              <w:rPr>
                <w:rFonts w:ascii="宋体" w:hAnsi="宋体" w:cs="宋体"/>
                <w:kern w:val="0"/>
                <w:sz w:val="24"/>
                <w:highlight w:val="none"/>
              </w:rPr>
            </w:pPr>
            <w:r>
              <w:rPr>
                <w:rFonts w:hint="eastAsia" w:ascii="宋体" w:hAnsi="宋体" w:cs="宋体"/>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vAlign w:val="center"/>
          </w:tcPr>
          <w:p w14:paraId="661E24AA">
            <w:pPr>
              <w:spacing w:line="360" w:lineRule="exact"/>
              <w:jc w:val="center"/>
              <w:rPr>
                <w:rFonts w:ascii="宋体" w:hAnsi="宋体" w:cs="宋体"/>
                <w:kern w:val="0"/>
                <w:sz w:val="24"/>
                <w:highlight w:val="none"/>
              </w:rPr>
            </w:pPr>
            <w:r>
              <w:rPr>
                <w:rFonts w:hint="eastAsia" w:ascii="宋体" w:hAnsi="宋体" w:cs="宋体"/>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vAlign w:val="center"/>
          </w:tcPr>
          <w:p w14:paraId="291E77F5">
            <w:pPr>
              <w:spacing w:line="360" w:lineRule="exact"/>
              <w:jc w:val="center"/>
              <w:rPr>
                <w:rFonts w:ascii="宋体" w:hAnsi="宋体" w:cs="宋体"/>
                <w:kern w:val="0"/>
                <w:sz w:val="24"/>
                <w:highlight w:val="none"/>
              </w:rPr>
            </w:pPr>
            <w:r>
              <w:rPr>
                <w:rFonts w:hint="eastAsia" w:ascii="宋体" w:hAnsi="宋体" w:cs="宋体"/>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vAlign w:val="center"/>
          </w:tcPr>
          <w:p w14:paraId="011E1343">
            <w:pPr>
              <w:spacing w:line="360" w:lineRule="exact"/>
              <w:jc w:val="center"/>
              <w:rPr>
                <w:rFonts w:ascii="宋体" w:hAnsi="宋体" w:cs="宋体"/>
                <w:kern w:val="0"/>
                <w:sz w:val="24"/>
                <w:highlight w:val="none"/>
              </w:rPr>
            </w:pPr>
            <w:r>
              <w:rPr>
                <w:rFonts w:hint="eastAsia" w:ascii="宋体" w:hAnsi="宋体" w:cs="宋体"/>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vAlign w:val="center"/>
          </w:tcPr>
          <w:p w14:paraId="7C1A9A0A">
            <w:pPr>
              <w:spacing w:line="360" w:lineRule="exact"/>
              <w:jc w:val="center"/>
              <w:rPr>
                <w:rFonts w:ascii="宋体" w:hAnsi="宋体" w:cs="宋体"/>
                <w:kern w:val="0"/>
                <w:sz w:val="24"/>
                <w:highlight w:val="none"/>
              </w:rPr>
            </w:pPr>
            <w:r>
              <w:rPr>
                <w:rFonts w:hint="eastAsia" w:ascii="宋体" w:hAnsi="宋体" w:cs="宋体"/>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vAlign w:val="center"/>
          </w:tcPr>
          <w:p w14:paraId="4C830130">
            <w:pPr>
              <w:spacing w:line="360" w:lineRule="exact"/>
              <w:jc w:val="center"/>
              <w:rPr>
                <w:rFonts w:ascii="宋体" w:hAnsi="宋体" w:cs="宋体"/>
                <w:kern w:val="0"/>
                <w:sz w:val="24"/>
                <w:highlight w:val="none"/>
              </w:rPr>
            </w:pPr>
            <w:r>
              <w:rPr>
                <w:rFonts w:hint="eastAsia" w:ascii="宋体" w:hAnsi="宋体" w:cs="宋体"/>
                <w:kern w:val="0"/>
                <w:sz w:val="24"/>
                <w:highlight w:val="none"/>
              </w:rPr>
              <w:t>合同复印件等证明材料</w:t>
            </w:r>
          </w:p>
        </w:tc>
      </w:tr>
      <w:tr w14:paraId="07F64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3CA153DA">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vAlign w:val="center"/>
          </w:tcPr>
          <w:p w14:paraId="09732A06">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192E75F2">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1AF3634F">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74B4216E">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1345DD13">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7B7EBA6B">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739396A2">
            <w:pPr>
              <w:spacing w:line="360" w:lineRule="exact"/>
              <w:jc w:val="center"/>
              <w:rPr>
                <w:rFonts w:ascii="宋体" w:hAnsi="宋体" w:cs="宋体"/>
                <w:b/>
                <w:kern w:val="0"/>
                <w:szCs w:val="21"/>
                <w:highlight w:val="none"/>
              </w:rPr>
            </w:pPr>
          </w:p>
        </w:tc>
      </w:tr>
      <w:tr w14:paraId="23FC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6127E00E">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vAlign w:val="center"/>
          </w:tcPr>
          <w:p w14:paraId="5E35604E">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3BB6A523">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2DA02B1E">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6C01B74B">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5D49D6D6">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6F25AA6E">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6836C98C">
            <w:pPr>
              <w:spacing w:line="360" w:lineRule="exact"/>
              <w:jc w:val="center"/>
              <w:rPr>
                <w:rFonts w:ascii="宋体" w:hAnsi="宋体" w:cs="宋体"/>
                <w:b/>
                <w:kern w:val="0"/>
                <w:szCs w:val="21"/>
                <w:highlight w:val="none"/>
              </w:rPr>
            </w:pPr>
          </w:p>
        </w:tc>
      </w:tr>
      <w:tr w14:paraId="3A96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0995A2FD">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vAlign w:val="center"/>
          </w:tcPr>
          <w:p w14:paraId="0D52739D">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56E2F98D">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5ACCA298">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502B229F">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7F8C4DF6">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6ABEA678">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06F4EFDF">
            <w:pPr>
              <w:spacing w:line="360" w:lineRule="exact"/>
              <w:jc w:val="center"/>
              <w:rPr>
                <w:rFonts w:ascii="宋体" w:hAnsi="宋体" w:cs="宋体"/>
                <w:b/>
                <w:kern w:val="0"/>
                <w:szCs w:val="21"/>
                <w:highlight w:val="none"/>
              </w:rPr>
            </w:pPr>
          </w:p>
        </w:tc>
      </w:tr>
      <w:tr w14:paraId="0816D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vAlign w:val="center"/>
          </w:tcPr>
          <w:p w14:paraId="006637D5">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vAlign w:val="center"/>
          </w:tcPr>
          <w:p w14:paraId="52379AE4">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vAlign w:val="center"/>
          </w:tcPr>
          <w:p w14:paraId="6FFBDA64">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vAlign w:val="center"/>
          </w:tcPr>
          <w:p w14:paraId="04D7F23B">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vAlign w:val="center"/>
          </w:tcPr>
          <w:p w14:paraId="0AC51921">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tcPr>
          <w:p w14:paraId="1490A6B2">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vAlign w:val="center"/>
          </w:tcPr>
          <w:p w14:paraId="762D3D58">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tcPr>
          <w:p w14:paraId="39E7D276">
            <w:pPr>
              <w:spacing w:line="360" w:lineRule="exact"/>
              <w:jc w:val="center"/>
              <w:rPr>
                <w:rFonts w:ascii="宋体" w:hAnsi="宋体" w:cs="宋体"/>
                <w:b/>
                <w:kern w:val="0"/>
                <w:szCs w:val="21"/>
                <w:highlight w:val="none"/>
              </w:rPr>
            </w:pPr>
          </w:p>
        </w:tc>
      </w:tr>
    </w:tbl>
    <w:p w14:paraId="633F0170">
      <w:pPr>
        <w:spacing w:line="360" w:lineRule="auto"/>
        <w:ind w:right="187" w:firstLine="480" w:firstLineChars="200"/>
        <w:jc w:val="left"/>
        <w:rPr>
          <w:rFonts w:ascii="宋体" w:hAnsi="宋体" w:cs="宋体"/>
          <w:sz w:val="24"/>
          <w:highlight w:val="none"/>
        </w:rPr>
      </w:pPr>
      <w:r>
        <w:rPr>
          <w:rFonts w:hint="eastAsia" w:ascii="宋体" w:hAnsi="宋体" w:cs="宋体"/>
          <w:sz w:val="24"/>
          <w:highlight w:val="none"/>
        </w:rPr>
        <w:t>说明：（1）以上合同案例须真实有效，相关内容在中标（成交）公告中予以公示。</w:t>
      </w:r>
    </w:p>
    <w:p w14:paraId="3888E3BA">
      <w:pPr>
        <w:spacing w:line="360" w:lineRule="auto"/>
        <w:ind w:right="187" w:firstLine="840" w:firstLineChars="350"/>
        <w:jc w:val="left"/>
        <w:rPr>
          <w:rFonts w:ascii="宋体" w:hAnsi="宋体" w:cs="宋体"/>
          <w:sz w:val="24"/>
          <w:highlight w:val="none"/>
        </w:rPr>
      </w:pPr>
      <w:r>
        <w:rPr>
          <w:rFonts w:hint="eastAsia" w:ascii="宋体" w:hAnsi="宋体" w:cs="宋体"/>
          <w:sz w:val="24"/>
          <w:highlight w:val="none"/>
        </w:rPr>
        <w:t xml:space="preserve">(2) </w:t>
      </w:r>
      <w:r>
        <w:rPr>
          <w:rFonts w:hint="eastAsia" w:ascii="宋体" w:hAnsi="宋体" w:cs="宋体"/>
          <w:kern w:val="0"/>
          <w:sz w:val="24"/>
          <w:highlight w:val="none"/>
        </w:rPr>
        <w:t>提供</w:t>
      </w:r>
      <w:r>
        <w:rPr>
          <w:rFonts w:hint="eastAsia" w:ascii="宋体" w:hAnsi="宋体" w:cs="宋体"/>
          <w:sz w:val="24"/>
          <w:highlight w:val="none"/>
        </w:rPr>
        <w:t>提交2022年1月1日以来</w:t>
      </w:r>
      <w:r>
        <w:rPr>
          <w:rFonts w:hint="eastAsia" w:ascii="宋体" w:hAnsi="宋体" w:cs="宋体"/>
          <w:kern w:val="0"/>
          <w:sz w:val="24"/>
          <w:highlight w:val="none"/>
        </w:rPr>
        <w:t>的同类项目业绩证明材料。</w:t>
      </w:r>
    </w:p>
    <w:p w14:paraId="23AFB6D9">
      <w:pPr>
        <w:spacing w:line="440" w:lineRule="exact"/>
        <w:rPr>
          <w:rFonts w:ascii="宋体" w:hAnsi="宋体"/>
          <w:sz w:val="24"/>
          <w:highlight w:val="none"/>
        </w:rPr>
      </w:pPr>
    </w:p>
    <w:p w14:paraId="4142765E">
      <w:pPr>
        <w:spacing w:line="440" w:lineRule="exact"/>
        <w:rPr>
          <w:rFonts w:ascii="宋体" w:hAnsi="宋体"/>
          <w:sz w:val="24"/>
          <w:highlight w:val="none"/>
        </w:rPr>
      </w:pPr>
      <w:r>
        <w:rPr>
          <w:rFonts w:hint="eastAsia" w:ascii="宋体" w:hAnsi="宋体"/>
          <w:sz w:val="24"/>
          <w:highlight w:val="none"/>
        </w:rPr>
        <w:t>供应商名称：（公章）</w:t>
      </w:r>
    </w:p>
    <w:p w14:paraId="102E209B">
      <w:pPr>
        <w:spacing w:line="440" w:lineRule="exact"/>
        <w:rPr>
          <w:rFonts w:ascii="宋体" w:hAnsi="宋体"/>
          <w:sz w:val="24"/>
          <w:highlight w:val="none"/>
        </w:rPr>
      </w:pPr>
      <w:r>
        <w:rPr>
          <w:rFonts w:hint="eastAsia" w:ascii="宋体" w:hAnsi="宋体"/>
          <w:sz w:val="24"/>
          <w:highlight w:val="none"/>
        </w:rPr>
        <w:t>法定代表人或报价人全权代表：（签字或盖章）</w:t>
      </w:r>
    </w:p>
    <w:p w14:paraId="2A044F81">
      <w:pPr>
        <w:spacing w:line="440" w:lineRule="exact"/>
        <w:rPr>
          <w:rFonts w:ascii="宋体" w:hAnsi="宋体"/>
          <w:sz w:val="24"/>
          <w:highlight w:val="none"/>
        </w:rPr>
      </w:pPr>
      <w:r>
        <w:rPr>
          <w:rFonts w:hint="eastAsia" w:ascii="宋体" w:hAnsi="宋体"/>
          <w:sz w:val="24"/>
          <w:highlight w:val="none"/>
        </w:rPr>
        <w:t>日  期：    年  月  日</w:t>
      </w:r>
    </w:p>
    <w:p w14:paraId="23075DC1">
      <w:pPr>
        <w:pStyle w:val="5"/>
        <w:spacing w:line="480" w:lineRule="exact"/>
        <w:rPr>
          <w:rFonts w:cs="宋体"/>
          <w:highlight w:val="none"/>
          <w:u w:val="none"/>
        </w:rPr>
      </w:pPr>
      <w:r>
        <w:rPr>
          <w:rFonts w:hint="eastAsia" w:cs="宋体"/>
          <w:highlight w:val="none"/>
          <w:u w:val="none"/>
        </w:rPr>
        <w:t>1</w:t>
      </w:r>
      <w:r>
        <w:rPr>
          <w:rFonts w:hint="eastAsia" w:cs="宋体"/>
          <w:highlight w:val="none"/>
          <w:u w:val="none"/>
          <w:lang w:val="en-US" w:eastAsia="zh-CN"/>
        </w:rPr>
        <w:t>2</w:t>
      </w:r>
      <w:r>
        <w:rPr>
          <w:rFonts w:hint="eastAsia" w:cs="宋体"/>
          <w:highlight w:val="none"/>
          <w:u w:val="none"/>
        </w:rPr>
        <w:t>.技术评审文件</w:t>
      </w:r>
      <w:bookmarkEnd w:id="308"/>
      <w:bookmarkEnd w:id="309"/>
    </w:p>
    <w:p w14:paraId="34E6DE21">
      <w:pPr>
        <w:spacing w:line="480" w:lineRule="exact"/>
        <w:jc w:val="left"/>
        <w:rPr>
          <w:rFonts w:ascii="宋体" w:hAnsi="宋体" w:cs="宋体"/>
          <w:kern w:val="0"/>
          <w:sz w:val="24"/>
          <w:szCs w:val="22"/>
          <w:highlight w:val="none"/>
        </w:rPr>
      </w:pPr>
      <w:r>
        <w:rPr>
          <w:rFonts w:hint="eastAsia" w:ascii="宋体" w:hAnsi="宋体" w:cs="宋体"/>
          <w:kern w:val="0"/>
          <w:sz w:val="24"/>
          <w:szCs w:val="22"/>
          <w:highlight w:val="none"/>
        </w:rPr>
        <w:t>技术部分评分中要求的相关技术文件。</w:t>
      </w:r>
    </w:p>
    <w:p w14:paraId="7640FA72">
      <w:pPr>
        <w:pStyle w:val="5"/>
        <w:spacing w:line="480" w:lineRule="exact"/>
        <w:rPr>
          <w:rFonts w:cs="宋体"/>
          <w:highlight w:val="none"/>
          <w:u w:val="none"/>
        </w:rPr>
      </w:pPr>
      <w:bookmarkStart w:id="312" w:name="_Toc46238290"/>
      <w:bookmarkStart w:id="313" w:name="_Toc46136873"/>
      <w:r>
        <w:rPr>
          <w:rFonts w:hint="eastAsia" w:cs="宋体"/>
          <w:highlight w:val="none"/>
          <w:u w:val="none"/>
        </w:rPr>
        <w:t>1</w:t>
      </w:r>
      <w:r>
        <w:rPr>
          <w:rFonts w:hint="eastAsia" w:cs="宋体"/>
          <w:highlight w:val="none"/>
          <w:u w:val="none"/>
          <w:lang w:val="en-US" w:eastAsia="zh-CN"/>
        </w:rPr>
        <w:t>3</w:t>
      </w:r>
      <w:r>
        <w:rPr>
          <w:rFonts w:hint="eastAsia" w:cs="宋体"/>
          <w:highlight w:val="none"/>
          <w:u w:val="none"/>
        </w:rPr>
        <w:t>.其他用于评分的证明材料</w:t>
      </w:r>
      <w:bookmarkEnd w:id="312"/>
      <w:bookmarkEnd w:id="313"/>
    </w:p>
    <w:p w14:paraId="58BFD4B1">
      <w:pPr>
        <w:spacing w:line="480" w:lineRule="exact"/>
        <w:jc w:val="left"/>
        <w:rPr>
          <w:rFonts w:ascii="宋体" w:hAnsi="宋体" w:cs="宋体"/>
          <w:kern w:val="0"/>
          <w:sz w:val="24"/>
          <w:szCs w:val="22"/>
          <w:highlight w:val="none"/>
        </w:rPr>
      </w:pPr>
      <w:r>
        <w:rPr>
          <w:rFonts w:hint="eastAsia" w:ascii="宋体" w:hAnsi="宋体" w:cs="宋体"/>
          <w:kern w:val="0"/>
          <w:sz w:val="24"/>
          <w:szCs w:val="22"/>
          <w:highlight w:val="none"/>
        </w:rPr>
        <w:t>评分中要求的相关文件。</w:t>
      </w:r>
    </w:p>
    <w:p w14:paraId="5B5C5CD5">
      <w:pPr>
        <w:pStyle w:val="5"/>
        <w:spacing w:line="480" w:lineRule="exact"/>
        <w:rPr>
          <w:rFonts w:cs="宋体"/>
          <w:highlight w:val="none"/>
          <w:u w:val="none"/>
        </w:rPr>
      </w:pPr>
      <w:bookmarkStart w:id="314" w:name="_Toc46136874"/>
      <w:bookmarkStart w:id="315" w:name="_Toc46238291"/>
      <w:r>
        <w:rPr>
          <w:rFonts w:hint="eastAsia" w:cs="宋体"/>
          <w:highlight w:val="none"/>
          <w:u w:val="none"/>
        </w:rPr>
        <w:t>1</w:t>
      </w:r>
      <w:r>
        <w:rPr>
          <w:rFonts w:hint="eastAsia" w:cs="宋体"/>
          <w:highlight w:val="none"/>
          <w:u w:val="none"/>
          <w:lang w:val="en-US" w:eastAsia="zh-CN"/>
        </w:rPr>
        <w:t>4</w:t>
      </w:r>
      <w:r>
        <w:rPr>
          <w:rFonts w:hint="eastAsia" w:cs="宋体"/>
          <w:highlight w:val="none"/>
          <w:u w:val="none"/>
        </w:rPr>
        <w:t>.</w:t>
      </w:r>
      <w:bookmarkEnd w:id="314"/>
      <w:bookmarkEnd w:id="315"/>
      <w:bookmarkStart w:id="316" w:name="_Toc46238292"/>
      <w:bookmarkStart w:id="317" w:name="_Toc46136875"/>
      <w:r>
        <w:rPr>
          <w:rFonts w:hint="eastAsia" w:cs="宋体"/>
          <w:highlight w:val="none"/>
          <w:u w:val="none"/>
        </w:rPr>
        <w:t>供应商关联单位的说明</w:t>
      </w:r>
      <w:bookmarkEnd w:id="310"/>
      <w:bookmarkEnd w:id="316"/>
      <w:bookmarkEnd w:id="317"/>
    </w:p>
    <w:p w14:paraId="43992CE9">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说明：供应商应当如实披露与本单位存在下列关联关系的单位名称：</w:t>
      </w:r>
    </w:p>
    <w:p w14:paraId="55C1A37E">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（1）与供应商单位负责人为同一人的其他单位；</w:t>
      </w:r>
    </w:p>
    <w:p w14:paraId="098617FC">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 xml:space="preserve"> （2）与供应商存在直接控股、管理关系的其他单位。</w:t>
      </w:r>
    </w:p>
    <w:p w14:paraId="232F07FC">
      <w:pPr>
        <w:pStyle w:val="5"/>
        <w:spacing w:line="480" w:lineRule="exact"/>
        <w:rPr>
          <w:rFonts w:cs="宋体"/>
          <w:highlight w:val="none"/>
          <w:u w:val="none"/>
        </w:rPr>
      </w:pPr>
      <w:bookmarkStart w:id="318" w:name="_Toc46238293"/>
      <w:bookmarkStart w:id="319" w:name="_Toc46136876"/>
      <w:bookmarkStart w:id="320" w:name="_Toc45562528"/>
      <w:r>
        <w:rPr>
          <w:rFonts w:hint="eastAsia" w:cs="宋体"/>
          <w:highlight w:val="none"/>
          <w:u w:val="none"/>
        </w:rPr>
        <w:t>1</w:t>
      </w:r>
      <w:r>
        <w:rPr>
          <w:rFonts w:hint="eastAsia" w:cs="宋体"/>
          <w:highlight w:val="none"/>
          <w:u w:val="none"/>
          <w:lang w:val="en-US" w:eastAsia="zh-CN"/>
        </w:rPr>
        <w:t>5</w:t>
      </w:r>
      <w:r>
        <w:rPr>
          <w:rFonts w:hint="eastAsia" w:cs="宋体"/>
          <w:highlight w:val="none"/>
          <w:u w:val="none"/>
        </w:rPr>
        <w:t>.</w:t>
      </w:r>
      <w:bookmarkEnd w:id="318"/>
      <w:bookmarkEnd w:id="319"/>
      <w:bookmarkEnd w:id="320"/>
      <w:bookmarkStart w:id="321" w:name="_Toc17771"/>
      <w:r>
        <w:rPr>
          <w:rFonts w:hint="eastAsia" w:cs="宋体"/>
          <w:highlight w:val="none"/>
          <w:u w:val="none"/>
        </w:rPr>
        <w:t>服务团队人员</w:t>
      </w:r>
      <w:bookmarkEnd w:id="321"/>
    </w:p>
    <w:p w14:paraId="682505FC">
      <w:pPr>
        <w:spacing w:line="500" w:lineRule="exact"/>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拟投入服务人员配备表</w:t>
      </w:r>
    </w:p>
    <w:tbl>
      <w:tblPr>
        <w:tblStyle w:val="28"/>
        <w:tblW w:w="10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654"/>
        <w:gridCol w:w="233"/>
        <w:gridCol w:w="14"/>
        <w:gridCol w:w="913"/>
        <w:gridCol w:w="1130"/>
        <w:gridCol w:w="2165"/>
        <w:gridCol w:w="2327"/>
        <w:gridCol w:w="1826"/>
      </w:tblGrid>
      <w:tr w14:paraId="756D6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461" w:type="dxa"/>
            <w:gridSpan w:val="2"/>
            <w:vAlign w:val="center"/>
          </w:tcPr>
          <w:p w14:paraId="42D9FDCD">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单位名称</w:t>
            </w:r>
          </w:p>
        </w:tc>
        <w:tc>
          <w:tcPr>
            <w:tcW w:w="8608" w:type="dxa"/>
            <w:gridSpan w:val="7"/>
            <w:vAlign w:val="center"/>
          </w:tcPr>
          <w:p w14:paraId="134F7319">
            <w:pPr>
              <w:spacing w:line="500" w:lineRule="exact"/>
              <w:rPr>
                <w:rFonts w:asciiTheme="minorEastAsia" w:hAnsiTheme="minorEastAsia" w:eastAsiaTheme="minorEastAsia" w:cstheme="minorEastAsia"/>
                <w:sz w:val="24"/>
                <w:highlight w:val="none"/>
              </w:rPr>
            </w:pPr>
          </w:p>
        </w:tc>
      </w:tr>
      <w:tr w14:paraId="3F7EA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9" w:hRule="atLeast"/>
          <w:jc w:val="center"/>
        </w:trPr>
        <w:tc>
          <w:tcPr>
            <w:tcW w:w="10069" w:type="dxa"/>
            <w:gridSpan w:val="9"/>
            <w:vAlign w:val="center"/>
          </w:tcPr>
          <w:p w14:paraId="6045A10E">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项目负责人</w:t>
            </w:r>
          </w:p>
        </w:tc>
      </w:tr>
      <w:tr w14:paraId="1DFAA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807" w:type="dxa"/>
            <w:vAlign w:val="center"/>
          </w:tcPr>
          <w:p w14:paraId="1EACC62A">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p>
        </w:tc>
        <w:tc>
          <w:tcPr>
            <w:tcW w:w="887" w:type="dxa"/>
            <w:gridSpan w:val="2"/>
            <w:vAlign w:val="center"/>
          </w:tcPr>
          <w:p w14:paraId="58D5346D">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性别</w:t>
            </w:r>
          </w:p>
        </w:tc>
        <w:tc>
          <w:tcPr>
            <w:tcW w:w="927" w:type="dxa"/>
            <w:gridSpan w:val="2"/>
            <w:vAlign w:val="center"/>
          </w:tcPr>
          <w:p w14:paraId="4E1462C6">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年龄</w:t>
            </w:r>
          </w:p>
        </w:tc>
        <w:tc>
          <w:tcPr>
            <w:tcW w:w="1130" w:type="dxa"/>
            <w:vAlign w:val="center"/>
          </w:tcPr>
          <w:p w14:paraId="677B6191">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职务</w:t>
            </w:r>
          </w:p>
        </w:tc>
        <w:tc>
          <w:tcPr>
            <w:tcW w:w="2165" w:type="dxa"/>
            <w:vAlign w:val="center"/>
          </w:tcPr>
          <w:p w14:paraId="5D25FD25">
            <w:pPr>
              <w:spacing w:line="500" w:lineRule="exact"/>
              <w:jc w:val="center"/>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rPr>
              <w:t>执业资格</w:t>
            </w:r>
            <w:r>
              <w:rPr>
                <w:rFonts w:hint="eastAsia" w:asciiTheme="minorEastAsia" w:hAnsiTheme="minorEastAsia" w:eastAsiaTheme="minorEastAsia" w:cstheme="minorEastAsia"/>
                <w:sz w:val="24"/>
                <w:highlight w:val="none"/>
                <w:lang w:eastAsia="zh-CN"/>
              </w:rPr>
              <w:t>、</w:t>
            </w:r>
            <w:r>
              <w:rPr>
                <w:rFonts w:hint="eastAsia" w:asciiTheme="minorEastAsia" w:hAnsiTheme="minorEastAsia" w:eastAsiaTheme="minorEastAsia" w:cstheme="minorEastAsia"/>
                <w:sz w:val="24"/>
                <w:highlight w:val="none"/>
                <w:lang w:val="en-US" w:eastAsia="zh-CN"/>
              </w:rPr>
              <w:t>职称</w:t>
            </w:r>
          </w:p>
        </w:tc>
        <w:tc>
          <w:tcPr>
            <w:tcW w:w="2327" w:type="dxa"/>
            <w:vAlign w:val="center"/>
          </w:tcPr>
          <w:p w14:paraId="6AC6B922">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工作年限</w:t>
            </w:r>
          </w:p>
        </w:tc>
        <w:tc>
          <w:tcPr>
            <w:tcW w:w="1826" w:type="dxa"/>
            <w:vAlign w:val="center"/>
          </w:tcPr>
          <w:p w14:paraId="7B492F22">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手机号码</w:t>
            </w:r>
          </w:p>
        </w:tc>
      </w:tr>
      <w:tr w14:paraId="72769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2A44665C">
            <w:pPr>
              <w:spacing w:line="500" w:lineRule="exact"/>
              <w:jc w:val="center"/>
              <w:rPr>
                <w:rFonts w:asciiTheme="minorEastAsia" w:hAnsiTheme="minorEastAsia" w:eastAsiaTheme="minorEastAsia" w:cstheme="minorEastAsia"/>
                <w:sz w:val="24"/>
                <w:highlight w:val="none"/>
              </w:rPr>
            </w:pPr>
          </w:p>
        </w:tc>
        <w:tc>
          <w:tcPr>
            <w:tcW w:w="887" w:type="dxa"/>
            <w:gridSpan w:val="2"/>
            <w:vAlign w:val="center"/>
          </w:tcPr>
          <w:p w14:paraId="0A05DF16">
            <w:pPr>
              <w:spacing w:line="500" w:lineRule="exact"/>
              <w:jc w:val="center"/>
              <w:rPr>
                <w:rFonts w:asciiTheme="minorEastAsia" w:hAnsiTheme="minorEastAsia" w:eastAsiaTheme="minorEastAsia" w:cstheme="minorEastAsia"/>
                <w:sz w:val="24"/>
                <w:highlight w:val="none"/>
              </w:rPr>
            </w:pPr>
          </w:p>
        </w:tc>
        <w:tc>
          <w:tcPr>
            <w:tcW w:w="927" w:type="dxa"/>
            <w:gridSpan w:val="2"/>
            <w:vAlign w:val="center"/>
          </w:tcPr>
          <w:p w14:paraId="53FD7000">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1EF110F8">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49F32C2F">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063947C8">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6D648CD7">
            <w:pPr>
              <w:spacing w:line="500" w:lineRule="exact"/>
              <w:jc w:val="center"/>
              <w:rPr>
                <w:rFonts w:asciiTheme="minorEastAsia" w:hAnsiTheme="minorEastAsia" w:eastAsiaTheme="minorEastAsia" w:cstheme="minorEastAsia"/>
                <w:sz w:val="24"/>
                <w:highlight w:val="none"/>
              </w:rPr>
            </w:pPr>
          </w:p>
        </w:tc>
      </w:tr>
      <w:tr w14:paraId="45A2A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0069" w:type="dxa"/>
            <w:gridSpan w:val="9"/>
            <w:vAlign w:val="center"/>
          </w:tcPr>
          <w:p w14:paraId="664FEFCD">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主要服务人员</w:t>
            </w:r>
          </w:p>
        </w:tc>
      </w:tr>
      <w:tr w14:paraId="68B89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807" w:type="dxa"/>
            <w:vAlign w:val="center"/>
          </w:tcPr>
          <w:p w14:paraId="62FAB96B">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p>
        </w:tc>
        <w:tc>
          <w:tcPr>
            <w:tcW w:w="901" w:type="dxa"/>
            <w:gridSpan w:val="3"/>
            <w:vAlign w:val="center"/>
          </w:tcPr>
          <w:p w14:paraId="72F325F8">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性别</w:t>
            </w:r>
          </w:p>
        </w:tc>
        <w:tc>
          <w:tcPr>
            <w:tcW w:w="913" w:type="dxa"/>
            <w:vAlign w:val="center"/>
          </w:tcPr>
          <w:p w14:paraId="40088EA4">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年龄</w:t>
            </w:r>
          </w:p>
        </w:tc>
        <w:tc>
          <w:tcPr>
            <w:tcW w:w="1130" w:type="dxa"/>
            <w:vAlign w:val="center"/>
          </w:tcPr>
          <w:p w14:paraId="3B1377E3">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职务</w:t>
            </w:r>
          </w:p>
        </w:tc>
        <w:tc>
          <w:tcPr>
            <w:tcW w:w="2165" w:type="dxa"/>
            <w:vAlign w:val="center"/>
          </w:tcPr>
          <w:p w14:paraId="145FC255">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执业资格或职称</w:t>
            </w:r>
          </w:p>
        </w:tc>
        <w:tc>
          <w:tcPr>
            <w:tcW w:w="2327" w:type="dxa"/>
            <w:vAlign w:val="center"/>
          </w:tcPr>
          <w:p w14:paraId="10F0D5BA">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工作年限</w:t>
            </w:r>
          </w:p>
        </w:tc>
        <w:tc>
          <w:tcPr>
            <w:tcW w:w="1826" w:type="dxa"/>
            <w:vAlign w:val="center"/>
          </w:tcPr>
          <w:p w14:paraId="7E338AEC">
            <w:pPr>
              <w:spacing w:line="5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手机号码</w:t>
            </w:r>
          </w:p>
        </w:tc>
      </w:tr>
      <w:tr w14:paraId="1E048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02B72B95">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59F19574">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4C4FC2E9">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712B0A70">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41DCBE32">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5CCA21C1">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20CD9E52">
            <w:pPr>
              <w:spacing w:line="500" w:lineRule="exact"/>
              <w:jc w:val="center"/>
              <w:rPr>
                <w:rFonts w:asciiTheme="minorEastAsia" w:hAnsiTheme="minorEastAsia" w:eastAsiaTheme="minorEastAsia" w:cstheme="minorEastAsia"/>
                <w:sz w:val="24"/>
                <w:highlight w:val="none"/>
              </w:rPr>
            </w:pPr>
          </w:p>
        </w:tc>
      </w:tr>
      <w:tr w14:paraId="554F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540097DD">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48A8B333">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53A74D26">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78ED4A56">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4F44E8EA">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2134FEA6">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7BB442BC">
            <w:pPr>
              <w:spacing w:line="500" w:lineRule="exact"/>
              <w:jc w:val="center"/>
              <w:rPr>
                <w:rFonts w:asciiTheme="minorEastAsia" w:hAnsiTheme="minorEastAsia" w:eastAsiaTheme="minorEastAsia" w:cstheme="minorEastAsia"/>
                <w:sz w:val="24"/>
                <w:highlight w:val="none"/>
              </w:rPr>
            </w:pPr>
          </w:p>
        </w:tc>
      </w:tr>
      <w:tr w14:paraId="7842A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6AF8EF42">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07967AAB">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7EAB18D5">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4D6CC16D">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24B0C096">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38EF6D9B">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0D03F5C9">
            <w:pPr>
              <w:spacing w:line="500" w:lineRule="exact"/>
              <w:jc w:val="center"/>
              <w:rPr>
                <w:rFonts w:asciiTheme="minorEastAsia" w:hAnsiTheme="minorEastAsia" w:eastAsiaTheme="minorEastAsia" w:cstheme="minorEastAsia"/>
                <w:sz w:val="24"/>
                <w:highlight w:val="none"/>
              </w:rPr>
            </w:pPr>
          </w:p>
        </w:tc>
      </w:tr>
      <w:tr w14:paraId="4F89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3D087440">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56117F95">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4AD0F127">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44EE1C05">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569BB32A">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7BA23732">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6151CF68">
            <w:pPr>
              <w:spacing w:line="500" w:lineRule="exact"/>
              <w:jc w:val="center"/>
              <w:rPr>
                <w:rFonts w:asciiTheme="minorEastAsia" w:hAnsiTheme="minorEastAsia" w:eastAsiaTheme="minorEastAsia" w:cstheme="minorEastAsia"/>
                <w:sz w:val="24"/>
                <w:highlight w:val="none"/>
              </w:rPr>
            </w:pPr>
          </w:p>
        </w:tc>
      </w:tr>
      <w:tr w14:paraId="506DA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07" w:type="dxa"/>
            <w:vAlign w:val="center"/>
          </w:tcPr>
          <w:p w14:paraId="4D7042D0">
            <w:pPr>
              <w:spacing w:line="500" w:lineRule="exact"/>
              <w:jc w:val="center"/>
              <w:rPr>
                <w:rFonts w:asciiTheme="minorEastAsia" w:hAnsiTheme="minorEastAsia" w:eastAsiaTheme="minorEastAsia" w:cstheme="minorEastAsia"/>
                <w:sz w:val="24"/>
                <w:highlight w:val="none"/>
              </w:rPr>
            </w:pPr>
          </w:p>
        </w:tc>
        <w:tc>
          <w:tcPr>
            <w:tcW w:w="901" w:type="dxa"/>
            <w:gridSpan w:val="3"/>
            <w:vAlign w:val="center"/>
          </w:tcPr>
          <w:p w14:paraId="687A6AFF">
            <w:pPr>
              <w:spacing w:line="500" w:lineRule="exact"/>
              <w:jc w:val="center"/>
              <w:rPr>
                <w:rFonts w:asciiTheme="minorEastAsia" w:hAnsiTheme="minorEastAsia" w:eastAsiaTheme="minorEastAsia" w:cstheme="minorEastAsia"/>
                <w:sz w:val="24"/>
                <w:highlight w:val="none"/>
              </w:rPr>
            </w:pPr>
          </w:p>
        </w:tc>
        <w:tc>
          <w:tcPr>
            <w:tcW w:w="913" w:type="dxa"/>
            <w:vAlign w:val="center"/>
          </w:tcPr>
          <w:p w14:paraId="594925AC">
            <w:pPr>
              <w:spacing w:line="500" w:lineRule="exact"/>
              <w:jc w:val="center"/>
              <w:rPr>
                <w:rFonts w:asciiTheme="minorEastAsia" w:hAnsiTheme="minorEastAsia" w:eastAsiaTheme="minorEastAsia" w:cstheme="minorEastAsia"/>
                <w:sz w:val="24"/>
                <w:highlight w:val="none"/>
              </w:rPr>
            </w:pPr>
          </w:p>
        </w:tc>
        <w:tc>
          <w:tcPr>
            <w:tcW w:w="1130" w:type="dxa"/>
            <w:vAlign w:val="center"/>
          </w:tcPr>
          <w:p w14:paraId="599EF52C">
            <w:pPr>
              <w:spacing w:line="500" w:lineRule="exact"/>
              <w:jc w:val="center"/>
              <w:rPr>
                <w:rFonts w:asciiTheme="minorEastAsia" w:hAnsiTheme="minorEastAsia" w:eastAsiaTheme="minorEastAsia" w:cstheme="minorEastAsia"/>
                <w:sz w:val="24"/>
                <w:highlight w:val="none"/>
              </w:rPr>
            </w:pPr>
          </w:p>
        </w:tc>
        <w:tc>
          <w:tcPr>
            <w:tcW w:w="2165" w:type="dxa"/>
            <w:vAlign w:val="center"/>
          </w:tcPr>
          <w:p w14:paraId="6D6A3D49">
            <w:pPr>
              <w:spacing w:line="500" w:lineRule="exact"/>
              <w:jc w:val="center"/>
              <w:rPr>
                <w:rFonts w:asciiTheme="minorEastAsia" w:hAnsiTheme="minorEastAsia" w:eastAsiaTheme="minorEastAsia" w:cstheme="minorEastAsia"/>
                <w:sz w:val="24"/>
                <w:highlight w:val="none"/>
              </w:rPr>
            </w:pPr>
          </w:p>
        </w:tc>
        <w:tc>
          <w:tcPr>
            <w:tcW w:w="2327" w:type="dxa"/>
            <w:vAlign w:val="center"/>
          </w:tcPr>
          <w:p w14:paraId="3DA51903">
            <w:pPr>
              <w:spacing w:line="500" w:lineRule="exact"/>
              <w:jc w:val="center"/>
              <w:rPr>
                <w:rFonts w:asciiTheme="minorEastAsia" w:hAnsiTheme="minorEastAsia" w:eastAsiaTheme="minorEastAsia" w:cstheme="minorEastAsia"/>
                <w:sz w:val="24"/>
                <w:highlight w:val="none"/>
              </w:rPr>
            </w:pPr>
          </w:p>
        </w:tc>
        <w:tc>
          <w:tcPr>
            <w:tcW w:w="1826" w:type="dxa"/>
            <w:vAlign w:val="center"/>
          </w:tcPr>
          <w:p w14:paraId="091BE22D">
            <w:pPr>
              <w:spacing w:line="500" w:lineRule="exact"/>
              <w:jc w:val="center"/>
              <w:rPr>
                <w:rFonts w:asciiTheme="minorEastAsia" w:hAnsiTheme="minorEastAsia" w:eastAsiaTheme="minorEastAsia" w:cstheme="minorEastAsia"/>
                <w:sz w:val="24"/>
                <w:highlight w:val="none"/>
              </w:rPr>
            </w:pPr>
          </w:p>
        </w:tc>
      </w:tr>
    </w:tbl>
    <w:p w14:paraId="6260541B">
      <w:pPr>
        <w:spacing w:line="500" w:lineRule="exac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注：供应商申明所提供的资料真实有效，如有虚假将承担相关法律责任。</w:t>
      </w:r>
    </w:p>
    <w:p w14:paraId="507E37D0">
      <w:pPr>
        <w:adjustRightInd w:val="0"/>
        <w:snapToGrid w:val="0"/>
        <w:spacing w:line="500" w:lineRule="exact"/>
        <w:ind w:left="210" w:leftChars="100" w:firstLine="297" w:firstLineChars="124"/>
        <w:rPr>
          <w:rFonts w:asciiTheme="minorEastAsia" w:hAnsiTheme="minorEastAsia" w:eastAsiaTheme="minorEastAsia" w:cstheme="minorEastAsia"/>
          <w:sz w:val="24"/>
          <w:highlight w:val="none"/>
        </w:rPr>
      </w:pPr>
    </w:p>
    <w:p w14:paraId="07306597">
      <w:pPr>
        <w:spacing w:line="5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供应商名称：（公章）</w:t>
      </w:r>
    </w:p>
    <w:p w14:paraId="362B143F">
      <w:pPr>
        <w:spacing w:line="5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法定代表人或供应商全权代表：（签字或盖章）</w:t>
      </w:r>
    </w:p>
    <w:p w14:paraId="5B414194">
      <w:pPr>
        <w:spacing w:line="50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    年  月  日</w:t>
      </w:r>
    </w:p>
    <w:p w14:paraId="7FBBC919">
      <w:pPr>
        <w:pStyle w:val="5"/>
        <w:spacing w:line="480" w:lineRule="exact"/>
        <w:rPr>
          <w:rFonts w:cs="宋体"/>
          <w:highlight w:val="none"/>
          <w:u w:val="none"/>
        </w:rPr>
      </w:pPr>
      <w:r>
        <w:rPr>
          <w:rFonts w:hint="eastAsia" w:cs="宋体"/>
          <w:highlight w:val="none"/>
          <w:u w:val="none"/>
        </w:rPr>
        <w:t>1</w:t>
      </w:r>
      <w:r>
        <w:rPr>
          <w:rFonts w:hint="eastAsia" w:cs="宋体"/>
          <w:highlight w:val="none"/>
          <w:u w:val="none"/>
          <w:lang w:val="en-US" w:eastAsia="zh-CN"/>
        </w:rPr>
        <w:t>6</w:t>
      </w:r>
      <w:r>
        <w:rPr>
          <w:rFonts w:hint="eastAsia" w:cs="宋体"/>
          <w:highlight w:val="none"/>
          <w:u w:val="none"/>
        </w:rPr>
        <w:t>.其它材料</w:t>
      </w:r>
    </w:p>
    <w:p w14:paraId="0EA67DB1">
      <w:pPr>
        <w:pStyle w:val="3"/>
        <w:rPr>
          <w:highlight w:val="none"/>
        </w:rPr>
      </w:pPr>
      <w:r>
        <w:rPr>
          <w:rFonts w:hint="eastAsia"/>
          <w:i/>
          <w:highlight w:val="none"/>
        </w:rPr>
        <w:br w:type="page"/>
      </w:r>
      <w:bookmarkStart w:id="322" w:name="_Toc68259633"/>
      <w:bookmarkStart w:id="323" w:name="_Toc3391"/>
      <w:r>
        <w:rPr>
          <w:rFonts w:hint="eastAsia"/>
          <w:highlight w:val="none"/>
        </w:rPr>
        <w:t>第7章  政府采购合同格式</w:t>
      </w:r>
      <w:bookmarkEnd w:id="322"/>
      <w:bookmarkEnd w:id="323"/>
    </w:p>
    <w:p w14:paraId="0B432E37">
      <w:pPr>
        <w:spacing w:line="360" w:lineRule="auto"/>
        <w:ind w:right="187"/>
        <w:jc w:val="left"/>
        <w:rPr>
          <w:rFonts w:ascii="宋体" w:hAnsi="宋体" w:cs="宋体"/>
          <w:sz w:val="24"/>
          <w:highlight w:val="none"/>
        </w:rPr>
      </w:pPr>
      <w:r>
        <w:rPr>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p>
    <w:tbl>
      <w:tblPr>
        <w:tblStyle w:val="28"/>
        <w:tblpPr w:leftFromText="180" w:rightFromText="180" w:vertAnchor="page" w:horzAnchor="page" w:tblpX="6190" w:tblpY="2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41"/>
      </w:tblGrid>
      <w:tr w14:paraId="14A9B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vAlign w:val="center"/>
          </w:tcPr>
          <w:p w14:paraId="1057A4FC">
            <w:pPr>
              <w:jc w:val="center"/>
              <w:rPr>
                <w:sz w:val="28"/>
                <w:szCs w:val="28"/>
                <w:highlight w:val="none"/>
              </w:rPr>
            </w:pPr>
            <w:r>
              <w:rPr>
                <w:rFonts w:hint="eastAsia"/>
                <w:b/>
                <w:bCs/>
                <w:sz w:val="28"/>
                <w:szCs w:val="28"/>
                <w:highlight w:val="none"/>
              </w:rPr>
              <w:t>备案编号</w:t>
            </w:r>
          </w:p>
        </w:tc>
        <w:tc>
          <w:tcPr>
            <w:tcW w:w="3441" w:type="dxa"/>
            <w:tcBorders>
              <w:top w:val="single" w:color="auto" w:sz="4" w:space="0"/>
              <w:left w:val="single" w:color="auto" w:sz="4" w:space="0"/>
              <w:bottom w:val="single" w:color="auto" w:sz="4" w:space="0"/>
              <w:right w:val="single" w:color="auto" w:sz="4" w:space="0"/>
            </w:tcBorders>
            <w:vAlign w:val="center"/>
          </w:tcPr>
          <w:p w14:paraId="07AE0D6B">
            <w:pPr>
              <w:jc w:val="center"/>
              <w:rPr>
                <w:sz w:val="32"/>
                <w:szCs w:val="32"/>
                <w:highlight w:val="none"/>
              </w:rPr>
            </w:pPr>
          </w:p>
        </w:tc>
      </w:tr>
    </w:tbl>
    <w:p w14:paraId="7BC8CC12">
      <w:pPr>
        <w:jc w:val="left"/>
        <w:rPr>
          <w:b/>
          <w:bCs/>
          <w:sz w:val="32"/>
          <w:szCs w:val="32"/>
          <w:highlight w:val="none"/>
        </w:rPr>
      </w:pPr>
      <w:r>
        <w:rPr>
          <w:rFonts w:hint="eastAsia"/>
          <w:b/>
          <w:bCs/>
          <w:sz w:val="32"/>
          <w:szCs w:val="32"/>
          <w:highlight w:val="none"/>
        </w:rPr>
        <w:t>临沂大学合同</w:t>
      </w:r>
    </w:p>
    <w:p w14:paraId="78477B72">
      <w:pPr>
        <w:rPr>
          <w:b/>
          <w:bCs/>
          <w:sz w:val="32"/>
          <w:szCs w:val="32"/>
          <w:highlight w:val="none"/>
        </w:rPr>
      </w:pPr>
    </w:p>
    <w:p w14:paraId="237E645B">
      <w:pPr>
        <w:snapToGrid w:val="0"/>
        <w:jc w:val="center"/>
        <w:rPr>
          <w:sz w:val="72"/>
          <w:szCs w:val="72"/>
          <w:highlight w:val="none"/>
        </w:rPr>
      </w:pPr>
      <w:r>
        <w:rPr>
          <w:rFonts w:hint="eastAsia" w:ascii="黑体" w:eastAsia="黑体"/>
          <w:b/>
          <w:bCs/>
          <w:sz w:val="72"/>
          <w:szCs w:val="72"/>
          <w:highlight w:val="none"/>
        </w:rPr>
        <w:t>采 购 合 同</w:t>
      </w:r>
    </w:p>
    <w:p w14:paraId="47E8EBEC">
      <w:pPr>
        <w:snapToGrid w:val="0"/>
        <w:jc w:val="center"/>
        <w:rPr>
          <w:highlight w:val="none"/>
        </w:rPr>
      </w:pPr>
      <w:r>
        <w:rPr>
          <w:highlight w:val="none"/>
        </w:rPr>
        <w:t> </w:t>
      </w:r>
    </w:p>
    <w:p w14:paraId="3EA948A2">
      <w:pPr>
        <w:snapToGrid w:val="0"/>
        <w:jc w:val="center"/>
        <w:rPr>
          <w:highlight w:val="none"/>
        </w:rPr>
      </w:pPr>
    </w:p>
    <w:p w14:paraId="51B7EE38">
      <w:pPr>
        <w:snapToGrid w:val="0"/>
        <w:jc w:val="center"/>
        <w:rPr>
          <w:highlight w:val="none"/>
        </w:rPr>
      </w:pPr>
      <w:r>
        <w:rPr>
          <w:highlight w:val="none"/>
        </w:rPr>
        <w:t> </w:t>
      </w:r>
    </w:p>
    <w:p w14:paraId="1F19B7C1">
      <w:pPr>
        <w:snapToGrid w:val="0"/>
        <w:rPr>
          <w:highlight w:val="none"/>
        </w:rPr>
      </w:pPr>
    </w:p>
    <w:p w14:paraId="337EF018">
      <w:pPr>
        <w:snapToGrid w:val="0"/>
        <w:rPr>
          <w:highlight w:val="none"/>
        </w:rPr>
      </w:pPr>
    </w:p>
    <w:p w14:paraId="5E894F17">
      <w:pPr>
        <w:snapToGrid w:val="0"/>
        <w:spacing w:before="312"/>
        <w:ind w:firstLine="1269" w:firstLineChars="395"/>
        <w:rPr>
          <w:rStyle w:val="31"/>
          <w:highlight w:val="none"/>
        </w:rPr>
      </w:pPr>
      <w:r>
        <w:rPr>
          <w:rStyle w:val="31"/>
          <w:rFonts w:hint="eastAsia" w:ascii="黑体" w:eastAsia="黑体"/>
          <w:sz w:val="32"/>
          <w:szCs w:val="32"/>
          <w:highlight w:val="none"/>
        </w:rPr>
        <w:t>项目名称:</w:t>
      </w:r>
      <w:r>
        <w:rPr>
          <w:rFonts w:ascii="ˎ̥" w:hAnsi="ˎ̥" w:cs="宋体"/>
          <w:bCs/>
          <w:sz w:val="32"/>
          <w:szCs w:val="32"/>
          <w:highlight w:val="none"/>
        </w:rPr>
        <w:t xml:space="preserve"> </w:t>
      </w:r>
      <w:r>
        <w:rPr>
          <w:rStyle w:val="31"/>
          <w:rFonts w:hint="eastAsia" w:ascii="黑体" w:eastAsia="黑体"/>
          <w:sz w:val="32"/>
          <w:szCs w:val="32"/>
          <w:highlight w:val="none"/>
        </w:rPr>
        <w:t xml:space="preserve">                             </w:t>
      </w:r>
    </w:p>
    <w:p w14:paraId="5D04B5B9">
      <w:pPr>
        <w:snapToGrid w:val="0"/>
        <w:spacing w:before="312"/>
        <w:ind w:firstLine="1269" w:firstLineChars="395"/>
        <w:rPr>
          <w:rFonts w:ascii="宋体" w:hAnsi="宋体" w:eastAsia="黑体"/>
          <w:sz w:val="24"/>
          <w:highlight w:val="none"/>
        </w:rPr>
      </w:pPr>
      <w:r>
        <w:rPr>
          <w:rStyle w:val="31"/>
          <w:rFonts w:hint="eastAsia" w:ascii="黑体" w:eastAsia="黑体"/>
          <w:sz w:val="32"/>
          <w:szCs w:val="32"/>
          <w:highlight w:val="none"/>
        </w:rPr>
        <w:t xml:space="preserve">合同名称：                              </w:t>
      </w:r>
    </w:p>
    <w:p w14:paraId="3C0FACE1">
      <w:pPr>
        <w:snapToGrid w:val="0"/>
        <w:spacing w:before="312"/>
        <w:ind w:firstLine="1269" w:firstLineChars="395"/>
        <w:rPr>
          <w:rStyle w:val="31"/>
          <w:highlight w:val="none"/>
        </w:rPr>
      </w:pPr>
      <w:r>
        <w:rPr>
          <w:rStyle w:val="31"/>
          <w:rFonts w:hint="eastAsia" w:ascii="黑体" w:eastAsia="黑体"/>
          <w:sz w:val="32"/>
          <w:szCs w:val="32"/>
          <w:highlight w:val="none"/>
        </w:rPr>
        <w:t>项目编号</w:t>
      </w:r>
      <w:r>
        <w:rPr>
          <w:b/>
          <w:bCs/>
          <w:sz w:val="32"/>
          <w:szCs w:val="32"/>
          <w:highlight w:val="none"/>
        </w:rPr>
        <w:t>:</w:t>
      </w:r>
      <w:r>
        <w:rPr>
          <w:rFonts w:hint="eastAsia"/>
          <w:b/>
          <w:bCs/>
          <w:sz w:val="32"/>
          <w:szCs w:val="32"/>
          <w:highlight w:val="none"/>
        </w:rPr>
        <w:t xml:space="preserve">  </w:t>
      </w:r>
      <w:r>
        <w:rPr>
          <w:rStyle w:val="31"/>
          <w:rFonts w:hint="eastAsia" w:ascii="黑体" w:eastAsia="黑体"/>
          <w:sz w:val="32"/>
          <w:szCs w:val="32"/>
          <w:highlight w:val="none"/>
        </w:rPr>
        <w:t xml:space="preserve">                             </w:t>
      </w:r>
    </w:p>
    <w:p w14:paraId="78BDB7DB">
      <w:pPr>
        <w:snapToGrid w:val="0"/>
        <w:jc w:val="center"/>
        <w:rPr>
          <w:sz w:val="32"/>
          <w:szCs w:val="32"/>
          <w:highlight w:val="none"/>
        </w:rPr>
      </w:pPr>
      <w:r>
        <w:rPr>
          <w:sz w:val="32"/>
          <w:szCs w:val="32"/>
          <w:highlight w:val="none"/>
        </w:rPr>
        <w:t> </w:t>
      </w:r>
    </w:p>
    <w:p w14:paraId="076781AE">
      <w:pPr>
        <w:snapToGrid w:val="0"/>
        <w:jc w:val="center"/>
        <w:rPr>
          <w:sz w:val="32"/>
          <w:szCs w:val="32"/>
          <w:highlight w:val="none"/>
        </w:rPr>
      </w:pPr>
      <w:r>
        <w:rPr>
          <w:sz w:val="32"/>
          <w:szCs w:val="32"/>
          <w:highlight w:val="none"/>
        </w:rPr>
        <w:t>  </w:t>
      </w:r>
    </w:p>
    <w:p w14:paraId="7C4CB68D">
      <w:pPr>
        <w:snapToGrid w:val="0"/>
        <w:jc w:val="center"/>
        <w:rPr>
          <w:sz w:val="32"/>
          <w:szCs w:val="32"/>
          <w:highlight w:val="none"/>
        </w:rPr>
      </w:pPr>
    </w:p>
    <w:p w14:paraId="50273D9C">
      <w:pPr>
        <w:snapToGrid w:val="0"/>
        <w:jc w:val="center"/>
        <w:rPr>
          <w:sz w:val="32"/>
          <w:szCs w:val="32"/>
          <w:highlight w:val="none"/>
        </w:rPr>
      </w:pPr>
    </w:p>
    <w:p w14:paraId="32BE972A">
      <w:pPr>
        <w:snapToGrid w:val="0"/>
        <w:spacing w:line="360" w:lineRule="auto"/>
        <w:ind w:firstLine="1275" w:firstLineChars="397"/>
        <w:rPr>
          <w:bCs/>
          <w:sz w:val="32"/>
          <w:szCs w:val="32"/>
          <w:highlight w:val="none"/>
        </w:rPr>
      </w:pPr>
      <w:r>
        <w:rPr>
          <w:rFonts w:hint="eastAsia" w:ascii="黑体" w:eastAsia="黑体"/>
          <w:b/>
          <w:bCs/>
          <w:sz w:val="32"/>
          <w:szCs w:val="32"/>
          <w:highlight w:val="none"/>
        </w:rPr>
        <w:t xml:space="preserve">甲  </w:t>
      </w:r>
      <w:r>
        <w:rPr>
          <w:b/>
          <w:bCs/>
          <w:sz w:val="32"/>
          <w:szCs w:val="32"/>
          <w:highlight w:val="none"/>
        </w:rPr>
        <w:t xml:space="preserve"> </w:t>
      </w:r>
      <w:r>
        <w:rPr>
          <w:rFonts w:hint="eastAsia" w:ascii="黑体" w:eastAsia="黑体"/>
          <w:b/>
          <w:bCs/>
          <w:sz w:val="32"/>
          <w:szCs w:val="32"/>
          <w:highlight w:val="none"/>
        </w:rPr>
        <w:t>方</w:t>
      </w:r>
      <w:r>
        <w:rPr>
          <w:b/>
          <w:bCs/>
          <w:sz w:val="32"/>
          <w:szCs w:val="32"/>
          <w:highlight w:val="none"/>
        </w:rPr>
        <w:t>:</w:t>
      </w:r>
      <w:r>
        <w:rPr>
          <w:rFonts w:hint="eastAsia" w:ascii="宋体" w:hAnsi="宋体"/>
          <w:bCs/>
          <w:sz w:val="32"/>
          <w:szCs w:val="32"/>
          <w:highlight w:val="none"/>
        </w:rPr>
        <w:t xml:space="preserve">  </w:t>
      </w:r>
      <w:r>
        <w:rPr>
          <w:rFonts w:ascii="宋体" w:hAnsi="宋体"/>
          <w:bCs/>
          <w:sz w:val="32"/>
          <w:szCs w:val="32"/>
          <w:highlight w:val="none"/>
        </w:rPr>
        <w:t xml:space="preserve">         </w:t>
      </w:r>
      <w:r>
        <w:rPr>
          <w:rFonts w:hint="eastAsia"/>
          <w:b/>
          <w:bCs/>
          <w:sz w:val="32"/>
          <w:szCs w:val="32"/>
          <w:highlight w:val="none"/>
        </w:rPr>
        <w:t>临沂大学</w:t>
      </w:r>
      <w:r>
        <w:rPr>
          <w:bCs/>
          <w:sz w:val="32"/>
          <w:szCs w:val="32"/>
          <w:highlight w:val="none"/>
        </w:rPr>
        <w:t xml:space="preserve">              </w:t>
      </w:r>
    </w:p>
    <w:p w14:paraId="36ED0C47">
      <w:pPr>
        <w:spacing w:line="360" w:lineRule="auto"/>
        <w:ind w:firstLine="1272" w:firstLineChars="396"/>
        <w:rPr>
          <w:rFonts w:ascii="宋体" w:hAnsi="宋体"/>
          <w:b/>
          <w:bCs/>
          <w:sz w:val="32"/>
          <w:szCs w:val="32"/>
          <w:highlight w:val="none"/>
        </w:rPr>
      </w:pPr>
      <w:r>
        <w:rPr>
          <w:rFonts w:hint="eastAsia" w:ascii="黑体" w:eastAsia="黑体"/>
          <w:b/>
          <w:bCs/>
          <w:sz w:val="32"/>
          <w:szCs w:val="32"/>
          <w:highlight w:val="none"/>
        </w:rPr>
        <w:t>乙   方</w:t>
      </w:r>
      <w:r>
        <w:rPr>
          <w:b/>
          <w:bCs/>
          <w:sz w:val="32"/>
          <w:szCs w:val="32"/>
          <w:highlight w:val="none"/>
        </w:rPr>
        <w:t>:</w:t>
      </w:r>
      <w:r>
        <w:rPr>
          <w:rFonts w:hint="eastAsia" w:ascii="宋体"/>
          <w:bCs/>
          <w:sz w:val="32"/>
          <w:szCs w:val="32"/>
          <w:highlight w:val="none"/>
        </w:rPr>
        <w:t xml:space="preserve"> </w:t>
      </w:r>
      <w:r>
        <w:rPr>
          <w:rFonts w:ascii="宋体"/>
          <w:bCs/>
          <w:sz w:val="32"/>
          <w:szCs w:val="32"/>
          <w:highlight w:val="none"/>
        </w:rPr>
        <w:t xml:space="preserve">    </w:t>
      </w:r>
      <w:r>
        <w:rPr>
          <w:rFonts w:hint="eastAsia"/>
          <w:b/>
          <w:bCs/>
          <w:sz w:val="32"/>
          <w:szCs w:val="32"/>
          <w:highlight w:val="none"/>
        </w:rPr>
        <w:t xml:space="preserve">                            </w:t>
      </w:r>
    </w:p>
    <w:p w14:paraId="2AD4D69D">
      <w:pPr>
        <w:spacing w:line="700" w:lineRule="atLeast"/>
        <w:ind w:firstLine="1272" w:firstLineChars="396"/>
        <w:rPr>
          <w:rStyle w:val="31"/>
          <w:sz w:val="32"/>
          <w:szCs w:val="32"/>
          <w:highlight w:val="none"/>
        </w:rPr>
      </w:pPr>
      <w:r>
        <w:rPr>
          <w:rStyle w:val="31"/>
          <w:rFonts w:hint="eastAsia" w:ascii="黑体" w:eastAsia="黑体"/>
          <w:sz w:val="32"/>
          <w:szCs w:val="32"/>
          <w:highlight w:val="none"/>
        </w:rPr>
        <w:t>招标代理机构：</w:t>
      </w:r>
      <w:r>
        <w:rPr>
          <w:rFonts w:hint="eastAsia"/>
          <w:b/>
          <w:bCs/>
          <w:sz w:val="32"/>
          <w:szCs w:val="32"/>
          <w:highlight w:val="none"/>
        </w:rPr>
        <w:t>临沂市沂蒙国际招标有限公司</w:t>
      </w:r>
      <w:r>
        <w:rPr>
          <w:rStyle w:val="31"/>
          <w:rFonts w:hint="eastAsia"/>
          <w:sz w:val="32"/>
          <w:szCs w:val="32"/>
          <w:highlight w:val="none"/>
        </w:rPr>
        <w:t xml:space="preserve"> </w:t>
      </w:r>
    </w:p>
    <w:p w14:paraId="338485C9">
      <w:pPr>
        <w:spacing w:line="700" w:lineRule="atLeast"/>
        <w:ind w:firstLine="630" w:firstLineChars="196"/>
        <w:rPr>
          <w:rStyle w:val="31"/>
          <w:sz w:val="32"/>
          <w:szCs w:val="32"/>
          <w:highlight w:val="none"/>
        </w:rPr>
      </w:pPr>
    </w:p>
    <w:p w14:paraId="0E116826">
      <w:pPr>
        <w:spacing w:line="320" w:lineRule="atLeast"/>
        <w:ind w:firstLine="1285" w:firstLineChars="400"/>
        <w:rPr>
          <w:b/>
          <w:bCs/>
          <w:sz w:val="32"/>
          <w:szCs w:val="32"/>
          <w:highlight w:val="none"/>
        </w:rPr>
      </w:pPr>
      <w:r>
        <w:rPr>
          <w:rFonts w:hint="eastAsia"/>
          <w:b/>
          <w:bCs/>
          <w:sz w:val="32"/>
          <w:szCs w:val="32"/>
          <w:highlight w:val="none"/>
        </w:rPr>
        <w:t xml:space="preserve">签订地点： </w:t>
      </w:r>
      <w:r>
        <w:rPr>
          <w:b/>
          <w:bCs/>
          <w:sz w:val="32"/>
          <w:szCs w:val="32"/>
          <w:highlight w:val="none"/>
        </w:rPr>
        <w:t xml:space="preserve">       </w:t>
      </w:r>
      <w:r>
        <w:rPr>
          <w:rFonts w:hint="eastAsia"/>
          <w:b/>
          <w:bCs/>
          <w:sz w:val="32"/>
          <w:szCs w:val="32"/>
          <w:highlight w:val="none"/>
        </w:rPr>
        <w:t>临沂大学</w:t>
      </w:r>
    </w:p>
    <w:p w14:paraId="373D78E4">
      <w:pPr>
        <w:spacing w:line="320" w:lineRule="atLeast"/>
        <w:ind w:firstLine="1285" w:firstLineChars="400"/>
        <w:rPr>
          <w:b/>
          <w:bCs/>
          <w:sz w:val="32"/>
          <w:szCs w:val="32"/>
          <w:highlight w:val="none"/>
        </w:rPr>
      </w:pPr>
      <w:r>
        <w:rPr>
          <w:rFonts w:hint="eastAsia"/>
          <w:b/>
          <w:bCs/>
          <w:sz w:val="32"/>
          <w:szCs w:val="32"/>
          <w:highlight w:val="none"/>
        </w:rPr>
        <w:t xml:space="preserve">签订时间：2025年 </w:t>
      </w:r>
      <w:r>
        <w:rPr>
          <w:b/>
          <w:bCs/>
          <w:sz w:val="32"/>
          <w:szCs w:val="32"/>
          <w:highlight w:val="none"/>
        </w:rPr>
        <w:t xml:space="preserve">    </w:t>
      </w:r>
      <w:r>
        <w:rPr>
          <w:rFonts w:hint="eastAsia"/>
          <w:b/>
          <w:bCs/>
          <w:sz w:val="32"/>
          <w:szCs w:val="32"/>
          <w:highlight w:val="none"/>
        </w:rPr>
        <w:t xml:space="preserve">月 </w:t>
      </w:r>
      <w:r>
        <w:rPr>
          <w:b/>
          <w:bCs/>
          <w:sz w:val="32"/>
          <w:szCs w:val="32"/>
          <w:highlight w:val="none"/>
        </w:rPr>
        <w:t xml:space="preserve">   </w:t>
      </w:r>
      <w:r>
        <w:rPr>
          <w:rFonts w:hint="eastAsia"/>
          <w:b/>
          <w:bCs/>
          <w:sz w:val="32"/>
          <w:szCs w:val="32"/>
          <w:highlight w:val="none"/>
        </w:rPr>
        <w:t xml:space="preserve"> 日</w:t>
      </w:r>
    </w:p>
    <w:p w14:paraId="14CE7186">
      <w:pPr>
        <w:spacing w:line="480" w:lineRule="exact"/>
        <w:jc w:val="center"/>
        <w:rPr>
          <w:rFonts w:ascii="宋体" w:hAnsi="宋体" w:cs="宋体"/>
          <w:sz w:val="24"/>
          <w:highlight w:val="none"/>
        </w:rPr>
      </w:pPr>
      <w:r>
        <w:rPr>
          <w:rFonts w:hint="eastAsia" w:ascii="宋体" w:hAnsi="宋体" w:cs="宋体"/>
          <w:sz w:val="24"/>
          <w:highlight w:val="none"/>
        </w:rPr>
        <w:t>（此合同仅供参考。以最终采购人与成交供应商签定的合同条款为准进行公示，最终签定合同的主要条款不能与竞争性磋商文件冲突）</w:t>
      </w:r>
    </w:p>
    <w:p w14:paraId="27158A6B">
      <w:pPr>
        <w:pStyle w:val="36"/>
        <w:rPr>
          <w:rFonts w:hAnsi="宋体" w:cs="宋体"/>
          <w:color w:val="auto"/>
          <w:highlight w:val="none"/>
        </w:rPr>
      </w:pPr>
    </w:p>
    <w:p w14:paraId="08638A82">
      <w:pPr>
        <w:spacing w:line="360" w:lineRule="auto"/>
        <w:ind w:firstLine="480" w:firstLineChars="200"/>
        <w:rPr>
          <w:rFonts w:ascii="宋体" w:cs="宋体"/>
          <w:sz w:val="24"/>
          <w:highlight w:val="none"/>
          <w:u w:val="single"/>
        </w:rPr>
      </w:pPr>
      <w:r>
        <w:rPr>
          <w:rFonts w:hint="eastAsia" w:ascii="宋体" w:hAnsi="宋体" w:cs="宋体"/>
          <w:sz w:val="24"/>
          <w:highlight w:val="none"/>
        </w:rPr>
        <w:t>采购人全称（甲方）：</w:t>
      </w:r>
      <w:r>
        <w:rPr>
          <w:rFonts w:ascii="宋体" w:hAnsi="宋体" w:cs="宋体"/>
          <w:sz w:val="24"/>
          <w:highlight w:val="none"/>
          <w:u w:val="single"/>
        </w:rPr>
        <w:t xml:space="preserve"> </w:t>
      </w:r>
      <w:bookmarkStart w:id="324" w:name="unitName_1"/>
      <w:r>
        <w:rPr>
          <w:rFonts w:ascii="宋体" w:hAnsi="宋体" w:cs="宋体"/>
          <w:sz w:val="24"/>
          <w:highlight w:val="none"/>
          <w:u w:val="single"/>
        </w:rPr>
        <w:t>临沂大学</w:t>
      </w:r>
      <w:bookmarkEnd w:id="324"/>
      <w:r>
        <w:rPr>
          <w:rFonts w:ascii="宋体" w:hAnsi="宋体" w:cs="宋体"/>
          <w:sz w:val="24"/>
          <w:highlight w:val="none"/>
          <w:u w:val="single"/>
        </w:rPr>
        <w:t xml:space="preserve"> </w:t>
      </w:r>
    </w:p>
    <w:p w14:paraId="4C320251">
      <w:pPr>
        <w:spacing w:line="360" w:lineRule="auto"/>
        <w:ind w:firstLine="480" w:firstLineChars="200"/>
        <w:rPr>
          <w:rFonts w:ascii="宋体" w:cs="宋体"/>
          <w:sz w:val="24"/>
          <w:highlight w:val="none"/>
        </w:rPr>
      </w:pPr>
      <w:r>
        <w:rPr>
          <w:rFonts w:hint="eastAsia" w:ascii="宋体" w:hAnsi="宋体" w:cs="宋体"/>
          <w:sz w:val="24"/>
          <w:highlight w:val="none"/>
        </w:rPr>
        <w:t>供应商全称（乙方）：</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ascii="宋体" w:hAnsi="宋体" w:cs="宋体"/>
          <w:sz w:val="24"/>
          <w:highlight w:val="none"/>
          <w:u w:val="single"/>
        </w:rPr>
        <w:t xml:space="preserve">  </w:t>
      </w:r>
    </w:p>
    <w:p w14:paraId="1D5C98A6">
      <w:pPr>
        <w:widowControl/>
        <w:spacing w:line="360" w:lineRule="auto"/>
        <w:ind w:firstLine="480" w:firstLineChars="200"/>
        <w:jc w:val="left"/>
        <w:rPr>
          <w:rFonts w:ascii="宋体" w:hAnsi="宋体" w:cs="宋体"/>
          <w:sz w:val="24"/>
          <w:highlight w:val="none"/>
          <w:u w:val="single"/>
        </w:rPr>
      </w:pPr>
      <w:r>
        <w:rPr>
          <w:rFonts w:hint="eastAsia" w:ascii="宋体" w:hAnsi="宋体" w:cs="宋体"/>
          <w:sz w:val="24"/>
          <w:highlight w:val="none"/>
        </w:rPr>
        <w:t>根据《中华人民共和国民法典》、《中华人民共和国产品质量法》及其他有关法律法规，双方经过友好协商，本着诚实守信、互惠互利的原则，就</w:t>
      </w:r>
      <w:r>
        <w:rPr>
          <w:rFonts w:ascii="宋体" w:hAnsi="宋体" w:cs="宋体"/>
          <w:sz w:val="24"/>
          <w:highlight w:val="none"/>
          <w:u w:val="single"/>
        </w:rPr>
        <w:t xml:space="preserve"> </w:t>
      </w:r>
      <w:r>
        <w:rPr>
          <w:rFonts w:hint="eastAsia" w:ascii="宋体" w:hAnsi="宋体" w:cs="宋体"/>
          <w:sz w:val="24"/>
          <w:highlight w:val="none"/>
          <w:u w:val="single"/>
        </w:rPr>
        <w:t xml:space="preserve">      </w:t>
      </w:r>
    </w:p>
    <w:p w14:paraId="3E59D6FB">
      <w:pPr>
        <w:widowControl/>
        <w:spacing w:line="360" w:lineRule="auto"/>
        <w:jc w:val="left"/>
        <w:rPr>
          <w:rFonts w:ascii="宋体" w:cs="仿宋_GB2312"/>
          <w:kern w:val="0"/>
          <w:sz w:val="24"/>
          <w:highlight w:val="none"/>
        </w:rPr>
      </w:pP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rPr>
        <w:t>项目</w:t>
      </w:r>
      <w:r>
        <w:rPr>
          <w:rFonts w:ascii="宋体" w:hAnsi="宋体" w:cs="宋体"/>
          <w:sz w:val="24"/>
          <w:highlight w:val="none"/>
          <w:u w:val="single"/>
        </w:rPr>
        <w:t xml:space="preserve"> </w:t>
      </w:r>
      <w:r>
        <w:rPr>
          <w:rFonts w:hint="eastAsia" w:ascii="宋体" w:hAnsi="宋体" w:cs="宋体"/>
          <w:sz w:val="24"/>
          <w:highlight w:val="none"/>
          <w:u w:val="single"/>
        </w:rPr>
        <w:t>(         )</w:t>
      </w:r>
      <w:r>
        <w:rPr>
          <w:rFonts w:ascii="宋体" w:hAnsi="宋体" w:cs="宋体"/>
          <w:sz w:val="24"/>
          <w:highlight w:val="none"/>
          <w:u w:val="single"/>
        </w:rPr>
        <w:t xml:space="preserve"> </w:t>
      </w:r>
      <w:r>
        <w:rPr>
          <w:rFonts w:hint="eastAsia" w:ascii="宋体" w:hAnsi="宋体" w:cs="宋体"/>
          <w:sz w:val="24"/>
          <w:highlight w:val="none"/>
        </w:rPr>
        <w:t>采购与供应事宜签订本合同条款，</w:t>
      </w:r>
      <w:r>
        <w:rPr>
          <w:rFonts w:hint="eastAsia" w:ascii="宋体" w:hAnsi="宋体" w:cs="仿宋_GB2312"/>
          <w:kern w:val="0"/>
          <w:sz w:val="24"/>
          <w:highlight w:val="none"/>
        </w:rPr>
        <w:t>共同达成如下协议：</w:t>
      </w:r>
    </w:p>
    <w:p w14:paraId="7B68B08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一、项目概况</w:t>
      </w:r>
    </w:p>
    <w:p w14:paraId="3F228A3F">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1.项目名称：</w:t>
      </w:r>
      <w:r>
        <w:rPr>
          <w:rFonts w:hint="eastAsia" w:ascii="宋体" w:hAnsi="宋体" w:cs="宋体"/>
          <w:kern w:val="0"/>
          <w:sz w:val="24"/>
          <w:highlight w:val="none"/>
          <w:u w:val="single"/>
        </w:rPr>
        <w:t></w:t>
      </w:r>
      <w:bookmarkStart w:id="325" w:name="projectName_2"/>
      <w:r>
        <w:rPr>
          <w:rFonts w:hint="eastAsia" w:ascii="宋体" w:hAnsi="宋体" w:cs="宋体"/>
          <w:kern w:val="0"/>
          <w:sz w:val="24"/>
          <w:highlight w:val="none"/>
          <w:u w:val="single"/>
        </w:rPr>
        <w:t xml:space="preserve">                       项目</w:t>
      </w:r>
      <w:bookmarkEnd w:id="325"/>
      <w:r>
        <w:rPr>
          <w:rFonts w:hint="eastAsia" w:ascii="宋体" w:hAnsi="宋体" w:cs="宋体"/>
          <w:b/>
          <w:bCs/>
          <w:kern w:val="0"/>
          <w:sz w:val="24"/>
          <w:highlight w:val="none"/>
          <w:u w:val="single"/>
        </w:rPr>
        <w:t>（预算  万）</w:t>
      </w:r>
      <w:r>
        <w:rPr>
          <w:rFonts w:hint="eastAsia" w:ascii="宋体" w:hAnsi="宋体" w:cs="宋体"/>
          <w:kern w:val="0"/>
          <w:sz w:val="24"/>
          <w:highlight w:val="none"/>
          <w:u w:val="single"/>
        </w:rPr>
        <w:t xml:space="preserve"> 。</w:t>
      </w:r>
    </w:p>
    <w:p w14:paraId="0F78D52E">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2.</w:t>
      </w:r>
      <w:r>
        <w:rPr>
          <w:rFonts w:hint="eastAsia" w:ascii="宋体" w:hAnsi="宋体" w:cs="宋体"/>
          <w:sz w:val="24"/>
          <w:highlight w:val="none"/>
        </w:rPr>
        <w:t>服务</w:t>
      </w:r>
      <w:r>
        <w:rPr>
          <w:rFonts w:hint="eastAsia" w:ascii="宋体" w:hAnsi="宋体" w:cs="宋体"/>
          <w:kern w:val="0"/>
          <w:sz w:val="24"/>
          <w:highlight w:val="none"/>
        </w:rPr>
        <w:t>地点：</w:t>
      </w:r>
      <w:r>
        <w:rPr>
          <w:rFonts w:hint="eastAsia" w:ascii="宋体" w:hAnsi="宋体" w:cs="宋体"/>
          <w:kern w:val="0"/>
          <w:sz w:val="24"/>
          <w:highlight w:val="none"/>
          <w:u w:val="single"/>
        </w:rPr>
        <w:t></w:t>
      </w:r>
      <w:bookmarkStart w:id="326" w:name="deliveryPlace"/>
      <w:r>
        <w:rPr>
          <w:rFonts w:hint="eastAsia" w:ascii="宋体" w:hAnsi="宋体" w:cs="宋体"/>
          <w:kern w:val="0"/>
          <w:sz w:val="24"/>
          <w:highlight w:val="none"/>
          <w:u w:val="single"/>
        </w:rPr>
        <w:t>临沂大学指定地点</w:t>
      </w:r>
      <w:bookmarkEnd w:id="326"/>
      <w:r>
        <w:rPr>
          <w:rFonts w:hint="eastAsia" w:ascii="宋体" w:hAnsi="宋体" w:cs="宋体"/>
          <w:kern w:val="0"/>
          <w:sz w:val="24"/>
          <w:highlight w:val="none"/>
          <w:u w:val="single"/>
        </w:rPr>
        <w:t xml:space="preserve"> 。</w:t>
      </w:r>
    </w:p>
    <w:p w14:paraId="343AAA53">
      <w:pPr>
        <w:widowControl/>
        <w:spacing w:line="360" w:lineRule="auto"/>
        <w:ind w:firstLine="480" w:firstLineChars="200"/>
        <w:jc w:val="left"/>
        <w:rPr>
          <w:rFonts w:ascii="宋体" w:hAnsi="宋体" w:cs="宋体"/>
          <w:kern w:val="0"/>
          <w:sz w:val="24"/>
          <w:highlight w:val="none"/>
          <w:u w:val="single"/>
        </w:rPr>
      </w:pPr>
      <w:r>
        <w:rPr>
          <w:rFonts w:hint="eastAsia" w:ascii="宋体" w:hAnsi="宋体" w:cs="宋体"/>
          <w:kern w:val="0"/>
          <w:sz w:val="24"/>
          <w:highlight w:val="none"/>
        </w:rPr>
        <w:t>3.</w:t>
      </w:r>
      <w:r>
        <w:rPr>
          <w:rFonts w:hint="eastAsia" w:ascii="宋体" w:hAnsi="宋体" w:cs="宋体"/>
          <w:sz w:val="24"/>
          <w:highlight w:val="none"/>
        </w:rPr>
        <w:t>服务内容和范围</w:t>
      </w:r>
      <w:r>
        <w:rPr>
          <w:rFonts w:hint="eastAsia" w:ascii="宋体" w:hAnsi="宋体" w:cs="宋体"/>
          <w:kern w:val="0"/>
          <w:sz w:val="24"/>
          <w:highlight w:val="none"/>
        </w:rPr>
        <w:t xml:space="preserve">：               </w:t>
      </w:r>
      <w:r>
        <w:rPr>
          <w:rFonts w:hint="eastAsia" w:ascii="宋体" w:hAnsi="宋体" w:cs="宋体"/>
          <w:kern w:val="0"/>
          <w:sz w:val="24"/>
          <w:highlight w:val="none"/>
          <w:u w:val="single"/>
        </w:rPr>
        <w:t xml:space="preserve"> 。</w:t>
      </w:r>
    </w:p>
    <w:p w14:paraId="37B7A440">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二、</w:t>
      </w:r>
      <w:r>
        <w:rPr>
          <w:rFonts w:hint="eastAsia" w:ascii="宋体" w:hAnsi="宋体" w:cs="宋体"/>
          <w:sz w:val="24"/>
          <w:highlight w:val="none"/>
        </w:rPr>
        <w:t>服务期限</w:t>
      </w:r>
    </w:p>
    <w:p w14:paraId="69415F7B">
      <w:pPr>
        <w:widowControl/>
        <w:spacing w:line="360" w:lineRule="auto"/>
        <w:ind w:firstLine="720" w:firstLineChars="300"/>
        <w:jc w:val="left"/>
        <w:rPr>
          <w:rFonts w:ascii="宋体" w:hAnsi="宋体" w:cs="宋体"/>
          <w:kern w:val="0"/>
          <w:sz w:val="24"/>
          <w:highlight w:val="none"/>
        </w:rPr>
      </w:pPr>
      <w:r>
        <w:rPr>
          <w:rFonts w:hint="eastAsia" w:ascii="宋体" w:hAnsi="宋体" w:cs="宋体"/>
          <w:kern w:val="0"/>
          <w:sz w:val="24"/>
          <w:highlight w:val="none"/>
        </w:rPr>
        <w:t>________________________________________。</w:t>
      </w:r>
    </w:p>
    <w:p w14:paraId="2E4A2DB5">
      <w:pPr>
        <w:widowControl/>
        <w:spacing w:line="360" w:lineRule="auto"/>
        <w:ind w:firstLine="480" w:firstLineChars="200"/>
        <w:jc w:val="left"/>
        <w:rPr>
          <w:rFonts w:ascii="宋体" w:hAnsi="宋体" w:cs="宋体"/>
          <w:kern w:val="0"/>
          <w:sz w:val="24"/>
          <w:highlight w:val="none"/>
        </w:rPr>
      </w:pPr>
      <w:r>
        <w:rPr>
          <w:rFonts w:hint="eastAsia" w:ascii="宋体" w:hAnsi="宋体" w:cs="宋体"/>
          <w:kern w:val="0"/>
          <w:sz w:val="24"/>
          <w:highlight w:val="none"/>
        </w:rPr>
        <w:t>三、</w:t>
      </w:r>
      <w:r>
        <w:rPr>
          <w:rFonts w:hint="eastAsia" w:ascii="宋体" w:hAnsi="宋体" w:cs="宋体"/>
          <w:sz w:val="24"/>
          <w:highlight w:val="none"/>
        </w:rPr>
        <w:t>服务</w:t>
      </w:r>
      <w:r>
        <w:rPr>
          <w:rFonts w:hint="eastAsia" w:ascii="宋体" w:hAnsi="宋体" w:cs="宋体"/>
          <w:kern w:val="0"/>
          <w:sz w:val="24"/>
          <w:highlight w:val="none"/>
        </w:rPr>
        <w:t>标准</w:t>
      </w:r>
    </w:p>
    <w:p w14:paraId="51920DD8">
      <w:pPr>
        <w:spacing w:line="360" w:lineRule="auto"/>
        <w:ind w:firstLine="480" w:firstLineChars="200"/>
        <w:rPr>
          <w:rFonts w:ascii="宋体" w:hAnsi="宋体" w:cs="宋体"/>
          <w:sz w:val="24"/>
          <w:highlight w:val="none"/>
        </w:rPr>
      </w:pPr>
      <w:r>
        <w:rPr>
          <w:rFonts w:hint="eastAsia" w:ascii="宋体" w:hAnsi="宋体" w:cs="宋体"/>
          <w:sz w:val="24"/>
          <w:highlight w:val="none"/>
        </w:rPr>
        <w:t>符合</w:t>
      </w:r>
      <w:r>
        <w:rPr>
          <w:rFonts w:hint="eastAsia" w:ascii="宋体" w:hAnsi="宋体" w:cs="宋体"/>
          <w:sz w:val="24"/>
          <w:highlight w:val="none"/>
          <w:u w:val="single"/>
        </w:rPr>
        <w:t></w:t>
      </w:r>
      <w:r>
        <w:rPr>
          <w:rFonts w:hint="eastAsia" w:ascii="宋体" w:hAnsi="宋体" w:cs="宋体"/>
          <w:sz w:val="24"/>
          <w:highlight w:val="none"/>
        </w:rPr>
        <w:t>标准。</w:t>
      </w:r>
    </w:p>
    <w:p w14:paraId="35C1B4F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四、签约合同价与合同价格形式</w:t>
      </w:r>
      <w:r>
        <w:rPr>
          <w:rFonts w:ascii="宋体" w:cs="仿宋_GB2312"/>
          <w:kern w:val="0"/>
          <w:sz w:val="24"/>
          <w:highlight w:val="none"/>
        </w:rPr>
        <w:tab/>
      </w:r>
    </w:p>
    <w:p w14:paraId="50F472B2">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签约合同价为：</w:t>
      </w:r>
    </w:p>
    <w:p w14:paraId="665EE63F">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人民币（大写）</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 xml:space="preserve">                       </w:t>
      </w:r>
      <w:r>
        <w:rPr>
          <w:rFonts w:hint="eastAsia" w:ascii="宋体" w:hAnsi="宋体" w:cs="仿宋_GB2312"/>
          <w:kern w:val="0"/>
          <w:sz w:val="24"/>
          <w:highlight w:val="none"/>
        </w:rPr>
        <w:t>；</w:t>
      </w:r>
    </w:p>
    <w:p w14:paraId="1F5B5773">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2.</w:t>
      </w:r>
      <w:r>
        <w:rPr>
          <w:rFonts w:hint="eastAsia" w:ascii="宋体" w:hAnsi="宋体" w:cs="仿宋_GB2312"/>
          <w:kern w:val="0"/>
          <w:sz w:val="24"/>
          <w:highlight w:val="none"/>
        </w:rPr>
        <w:t>合同价格形式：</w:t>
      </w:r>
      <w:r>
        <w:rPr>
          <w:rFonts w:hint="eastAsia" w:ascii="宋体" w:hAnsi="宋体" w:cs="仿宋_GB2312"/>
          <w:kern w:val="0"/>
          <w:sz w:val="24"/>
          <w:highlight w:val="none"/>
          <w:u w:val="single"/>
        </w:rPr>
        <w:t>              。</w:t>
      </w:r>
    </w:p>
    <w:p w14:paraId="5F07DEC1">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五、项目经理</w:t>
      </w:r>
    </w:p>
    <w:p w14:paraId="57FD5BD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供应商项目经理：</w:t>
      </w:r>
      <w:r>
        <w:rPr>
          <w:rFonts w:hint="eastAsia" w:ascii="宋体" w:hAnsi="宋体" w:cs="仿宋_GB2312"/>
          <w:kern w:val="0"/>
          <w:sz w:val="24"/>
          <w:highlight w:val="none"/>
          <w:u w:val="single"/>
        </w:rPr>
        <w:t xml:space="preserve">           </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2795FFD8">
      <w:pPr>
        <w:spacing w:line="360" w:lineRule="auto"/>
        <w:ind w:firstLine="480" w:firstLineChars="200"/>
        <w:rPr>
          <w:rFonts w:ascii="宋体" w:hAnsi="宋体" w:cs="宋体"/>
          <w:sz w:val="24"/>
          <w:highlight w:val="none"/>
        </w:rPr>
      </w:pPr>
      <w:r>
        <w:rPr>
          <w:rFonts w:hint="eastAsia" w:ascii="宋体" w:hAnsi="宋体" w:cs="宋体"/>
          <w:sz w:val="24"/>
          <w:highlight w:val="none"/>
        </w:rPr>
        <w:t>六、资金来源</w:t>
      </w:r>
    </w:p>
    <w:p w14:paraId="4840ECCA">
      <w:pPr>
        <w:spacing w:line="360" w:lineRule="auto"/>
        <w:ind w:firstLine="480" w:firstLineChars="200"/>
        <w:rPr>
          <w:rFonts w:ascii="宋体" w:hAnsi="宋体" w:cs="宋体"/>
          <w:sz w:val="24"/>
          <w:highlight w:val="none"/>
          <w:u w:val="single"/>
        </w:rPr>
      </w:pPr>
      <w:r>
        <w:rPr>
          <w:rFonts w:hint="eastAsia" w:ascii="宋体" w:hAnsi="宋体" w:cs="宋体"/>
          <w:sz w:val="24"/>
          <w:highlight w:val="none"/>
        </w:rPr>
        <w:t>预算内资金</w:t>
      </w:r>
      <w:r>
        <w:rPr>
          <w:rFonts w:hint="eastAsia" w:ascii="宋体" w:hAnsi="宋体" w:cs="宋体"/>
          <w:sz w:val="24"/>
          <w:highlight w:val="none"/>
          <w:u w:val="single"/>
        </w:rPr>
        <w:t xml:space="preserve">      </w:t>
      </w:r>
      <w:r>
        <w:rPr>
          <w:rFonts w:hint="eastAsia" w:ascii="宋体" w:hAnsi="宋体" w:cs="宋体"/>
          <w:sz w:val="24"/>
          <w:highlight w:val="none"/>
        </w:rPr>
        <w:t>元；财政专户资金：</w:t>
      </w:r>
      <w:r>
        <w:rPr>
          <w:rFonts w:hint="eastAsia" w:ascii="宋体" w:hAnsi="宋体" w:cs="宋体"/>
          <w:sz w:val="24"/>
          <w:highlight w:val="none"/>
          <w:u w:val="single"/>
        </w:rPr>
        <w:t xml:space="preserve">            </w:t>
      </w:r>
      <w:r>
        <w:rPr>
          <w:rFonts w:hint="eastAsia" w:ascii="宋体" w:hAnsi="宋体" w:cs="宋体"/>
          <w:sz w:val="24"/>
          <w:highlight w:val="none"/>
        </w:rPr>
        <w:t>元；自筹资金：</w:t>
      </w:r>
      <w:r>
        <w:rPr>
          <w:rFonts w:hint="eastAsia" w:ascii="宋体" w:hAnsi="宋体" w:cs="宋体"/>
          <w:sz w:val="24"/>
          <w:highlight w:val="none"/>
          <w:u w:val="single"/>
        </w:rPr>
        <w:t xml:space="preserve">    </w:t>
      </w:r>
      <w:r>
        <w:rPr>
          <w:rFonts w:hint="eastAsia" w:ascii="宋体" w:hAnsi="宋体" w:cs="宋体"/>
          <w:sz w:val="24"/>
          <w:highlight w:val="none"/>
        </w:rPr>
        <w:t xml:space="preserve">元。   </w:t>
      </w:r>
    </w:p>
    <w:p w14:paraId="554BD8F8">
      <w:pPr>
        <w:spacing w:line="360" w:lineRule="auto"/>
        <w:rPr>
          <w:rFonts w:ascii="宋体" w:hAnsi="宋体" w:cs="宋体"/>
          <w:sz w:val="24"/>
          <w:highlight w:val="none"/>
        </w:rPr>
      </w:pPr>
      <w:r>
        <w:rPr>
          <w:rFonts w:hint="eastAsia" w:ascii="宋体" w:hAnsi="宋体" w:cs="宋体"/>
          <w:sz w:val="24"/>
          <w:highlight w:val="none"/>
        </w:rPr>
        <w:t xml:space="preserve">    七、付款方式</w:t>
      </w:r>
    </w:p>
    <w:p w14:paraId="02296F2D">
      <w:pPr>
        <w:spacing w:line="360" w:lineRule="auto"/>
        <w:ind w:firstLine="480" w:firstLineChars="200"/>
        <w:rPr>
          <w:rFonts w:ascii="宋体" w:hAnsi="宋体" w:cs="宋体"/>
          <w:sz w:val="24"/>
          <w:highlight w:val="none"/>
        </w:rPr>
      </w:pPr>
      <w:r>
        <w:rPr>
          <w:rFonts w:ascii="宋体" w:hAnsi="宋体" w:cs="宋体"/>
          <w:sz w:val="24"/>
          <w:highlight w:val="none"/>
        </w:rPr>
        <w:t>1.合同签订前，成交供应商须向采购人指定的账户交纳合同金额的5%作为履约保证金。</w:t>
      </w:r>
    </w:p>
    <w:p w14:paraId="3C95DB0E">
      <w:pPr>
        <w:spacing w:line="360" w:lineRule="auto"/>
        <w:ind w:firstLine="480" w:firstLineChars="200"/>
        <w:rPr>
          <w:rFonts w:ascii="宋体" w:hAnsi="宋体" w:cs="宋体"/>
          <w:sz w:val="24"/>
          <w:highlight w:val="none"/>
        </w:rPr>
      </w:pPr>
      <w:r>
        <w:rPr>
          <w:rFonts w:ascii="宋体" w:hAnsi="宋体" w:cs="宋体"/>
          <w:sz w:val="24"/>
          <w:highlight w:val="none"/>
        </w:rPr>
        <w:t>2.</w:t>
      </w:r>
      <w:r>
        <w:rPr>
          <w:rFonts w:hint="eastAsia" w:ascii="宋体" w:hAnsi="宋体" w:cs="宋体"/>
          <w:sz w:val="24"/>
          <w:highlight w:val="none"/>
        </w:rPr>
        <w:t>采购人于合同签订生效且具备实施条件后5个工作日内支付预付款，预付款比例为合同金额的30％。</w:t>
      </w:r>
    </w:p>
    <w:p w14:paraId="237E8633">
      <w:pPr>
        <w:spacing w:line="360" w:lineRule="auto"/>
        <w:ind w:firstLine="480" w:firstLineChars="200"/>
        <w:rPr>
          <w:rFonts w:ascii="宋体" w:hAnsi="宋体" w:cs="宋体"/>
          <w:sz w:val="24"/>
          <w:highlight w:val="none"/>
        </w:rPr>
      </w:pPr>
      <w:r>
        <w:rPr>
          <w:rFonts w:hint="eastAsia" w:ascii="宋体" w:hAnsi="宋体" w:cs="宋体"/>
          <w:sz w:val="24"/>
          <w:highlight w:val="none"/>
        </w:rPr>
        <w:t>项目供货安装完毕</w:t>
      </w:r>
      <w:r>
        <w:rPr>
          <w:rFonts w:ascii="宋体" w:hAnsi="宋体" w:cs="宋体"/>
          <w:sz w:val="24"/>
          <w:highlight w:val="none"/>
        </w:rPr>
        <w:t>且经验收合格</w:t>
      </w:r>
      <w:r>
        <w:rPr>
          <w:rFonts w:hint="eastAsia" w:ascii="宋体" w:hAnsi="宋体" w:cs="宋体"/>
          <w:sz w:val="24"/>
          <w:highlight w:val="none"/>
        </w:rPr>
        <w:t>后，</w:t>
      </w:r>
      <w:r>
        <w:rPr>
          <w:rFonts w:ascii="宋体" w:hAnsi="宋体" w:cs="宋体"/>
          <w:sz w:val="24"/>
          <w:highlight w:val="none"/>
        </w:rPr>
        <w:t>无质量问题，支付</w:t>
      </w:r>
      <w:r>
        <w:rPr>
          <w:rFonts w:hint="eastAsia" w:ascii="宋体" w:hAnsi="宋体" w:cs="宋体"/>
          <w:sz w:val="24"/>
          <w:highlight w:val="none"/>
        </w:rPr>
        <w:t>至</w:t>
      </w:r>
      <w:r>
        <w:rPr>
          <w:rFonts w:ascii="宋体" w:hAnsi="宋体" w:cs="宋体"/>
          <w:sz w:val="24"/>
          <w:highlight w:val="none"/>
        </w:rPr>
        <w:t>合同金额100%货款</w:t>
      </w:r>
      <w:r>
        <w:rPr>
          <w:rFonts w:hint="eastAsia" w:ascii="宋体" w:hAnsi="宋体" w:cs="宋体"/>
          <w:sz w:val="24"/>
          <w:highlight w:val="none"/>
        </w:rPr>
        <w:t>（扣除30%预付款）</w:t>
      </w:r>
      <w:r>
        <w:rPr>
          <w:rFonts w:ascii="宋体" w:hAnsi="宋体" w:cs="宋体"/>
          <w:sz w:val="24"/>
          <w:highlight w:val="none"/>
        </w:rPr>
        <w:t>。项目验收合格</w:t>
      </w:r>
      <w:r>
        <w:rPr>
          <w:rFonts w:hint="eastAsia" w:ascii="宋体" w:hAnsi="宋体" w:cs="宋体"/>
          <w:sz w:val="24"/>
          <w:highlight w:val="none"/>
        </w:rPr>
        <w:t>后，</w:t>
      </w:r>
      <w:r>
        <w:rPr>
          <w:rFonts w:ascii="宋体" w:hAnsi="宋体" w:cs="宋体"/>
          <w:sz w:val="24"/>
          <w:highlight w:val="none"/>
        </w:rPr>
        <w:t>履约保证金一次性无息退还。</w:t>
      </w:r>
    </w:p>
    <w:p w14:paraId="49F995CA">
      <w:pPr>
        <w:spacing w:line="360" w:lineRule="auto"/>
        <w:ind w:firstLine="480" w:firstLineChars="200"/>
        <w:rPr>
          <w:rFonts w:ascii="宋体" w:hAnsi="宋体" w:cs="宋体"/>
          <w:sz w:val="24"/>
          <w:highlight w:val="none"/>
        </w:rPr>
      </w:pPr>
      <w:r>
        <w:rPr>
          <w:rFonts w:ascii="宋体" w:hAnsi="宋体" w:cs="宋体"/>
          <w:sz w:val="24"/>
          <w:highlight w:val="none"/>
        </w:rPr>
        <w:t>3.成交供应商未按要求缴纳履约保证金的，视为放弃成交。</w:t>
      </w:r>
    </w:p>
    <w:p w14:paraId="52042807">
      <w:pPr>
        <w:spacing w:line="360" w:lineRule="auto"/>
        <w:ind w:firstLine="480" w:firstLineChars="200"/>
        <w:rPr>
          <w:rFonts w:ascii="宋体" w:hAnsi="宋体" w:cs="宋体"/>
          <w:sz w:val="24"/>
          <w:highlight w:val="none"/>
        </w:rPr>
      </w:pPr>
      <w:r>
        <w:rPr>
          <w:rFonts w:ascii="宋体" w:hAnsi="宋体" w:cs="宋体"/>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3CBB27B9">
      <w:pPr>
        <w:spacing w:line="360" w:lineRule="auto"/>
        <w:ind w:firstLine="480" w:firstLineChars="200"/>
        <w:rPr>
          <w:rFonts w:ascii="宋体" w:hAnsi="宋体" w:cs="宋体"/>
          <w:sz w:val="24"/>
          <w:highlight w:val="none"/>
        </w:rPr>
      </w:pPr>
      <w:r>
        <w:rPr>
          <w:rFonts w:ascii="宋体" w:hAnsi="宋体" w:cs="宋体"/>
          <w:sz w:val="24"/>
          <w:highlight w:val="none"/>
        </w:rPr>
        <w:t>5.履约保证金缴纳账号</w:t>
      </w:r>
    </w:p>
    <w:p w14:paraId="71A32540">
      <w:pPr>
        <w:spacing w:line="360" w:lineRule="auto"/>
        <w:ind w:firstLine="480" w:firstLineChars="200"/>
        <w:rPr>
          <w:rFonts w:ascii="宋体" w:hAnsi="宋体" w:cs="宋体"/>
          <w:sz w:val="24"/>
          <w:highlight w:val="none"/>
        </w:rPr>
      </w:pPr>
      <w:r>
        <w:rPr>
          <w:rFonts w:hint="eastAsia" w:ascii="宋体" w:hAnsi="宋体" w:cs="宋体"/>
          <w:sz w:val="24"/>
          <w:highlight w:val="none"/>
        </w:rPr>
        <w:t>户名：临沂大学</w:t>
      </w:r>
    </w:p>
    <w:p w14:paraId="4D120C84">
      <w:pPr>
        <w:spacing w:line="360" w:lineRule="auto"/>
        <w:ind w:firstLine="480" w:firstLineChars="200"/>
        <w:rPr>
          <w:rFonts w:ascii="宋体" w:hAnsi="宋体" w:cs="宋体"/>
          <w:sz w:val="24"/>
          <w:highlight w:val="none"/>
        </w:rPr>
      </w:pPr>
      <w:r>
        <w:rPr>
          <w:rFonts w:hint="eastAsia" w:ascii="宋体" w:hAnsi="宋体" w:cs="宋体"/>
          <w:sz w:val="24"/>
          <w:highlight w:val="none"/>
        </w:rPr>
        <w:t>账号：</w:t>
      </w:r>
      <w:r>
        <w:rPr>
          <w:rFonts w:ascii="宋体" w:hAnsi="宋体" w:cs="宋体"/>
          <w:sz w:val="24"/>
          <w:highlight w:val="none"/>
        </w:rPr>
        <w:t>218243959980</w:t>
      </w:r>
    </w:p>
    <w:p w14:paraId="7B310025">
      <w:pPr>
        <w:spacing w:line="360" w:lineRule="auto"/>
        <w:ind w:firstLine="480" w:firstLineChars="200"/>
        <w:rPr>
          <w:rFonts w:ascii="宋体" w:hAnsi="宋体" w:cs="宋体"/>
          <w:sz w:val="24"/>
          <w:highlight w:val="none"/>
        </w:rPr>
      </w:pPr>
      <w:r>
        <w:rPr>
          <w:rFonts w:hint="eastAsia" w:ascii="宋体" w:hAnsi="宋体" w:cs="宋体"/>
          <w:sz w:val="24"/>
          <w:highlight w:val="none"/>
        </w:rPr>
        <w:t>银行：中国银行临沂兰山支行</w:t>
      </w:r>
    </w:p>
    <w:p w14:paraId="37FEA134">
      <w:pPr>
        <w:spacing w:line="360" w:lineRule="auto"/>
        <w:ind w:firstLine="480" w:firstLineChars="200"/>
        <w:rPr>
          <w:rFonts w:ascii="宋体" w:hAnsi="宋体" w:cs="宋体"/>
          <w:sz w:val="24"/>
          <w:highlight w:val="none"/>
        </w:rPr>
      </w:pPr>
      <w:r>
        <w:rPr>
          <w:rFonts w:hint="eastAsia" w:ascii="宋体" w:hAnsi="宋体" w:cs="宋体"/>
          <w:sz w:val="24"/>
          <w:highlight w:val="none"/>
        </w:rPr>
        <w:t>行号（银行联行号）：</w:t>
      </w:r>
      <w:r>
        <w:rPr>
          <w:rFonts w:ascii="宋体" w:hAnsi="宋体" w:cs="宋体"/>
          <w:sz w:val="24"/>
          <w:highlight w:val="none"/>
        </w:rPr>
        <w:t>104473000078</w:t>
      </w:r>
    </w:p>
    <w:p w14:paraId="11D5AB75">
      <w:pPr>
        <w:spacing w:line="360" w:lineRule="auto"/>
        <w:ind w:firstLine="480" w:firstLineChars="200"/>
        <w:rPr>
          <w:rFonts w:ascii="宋体" w:hAnsi="宋体" w:cs="宋体"/>
          <w:sz w:val="24"/>
          <w:highlight w:val="none"/>
        </w:rPr>
      </w:pPr>
      <w:r>
        <w:rPr>
          <w:rFonts w:hint="eastAsia" w:ascii="宋体" w:hAnsi="宋体" w:cs="宋体"/>
          <w:sz w:val="24"/>
          <w:highlight w:val="none"/>
        </w:rPr>
        <w:t>社会信用代码（税号）：</w:t>
      </w:r>
      <w:r>
        <w:rPr>
          <w:rFonts w:ascii="宋体" w:hAnsi="宋体" w:cs="宋体"/>
          <w:sz w:val="24"/>
          <w:highlight w:val="none"/>
        </w:rPr>
        <w:t>12370000495184322F</w:t>
      </w:r>
    </w:p>
    <w:p w14:paraId="79D92D51">
      <w:pPr>
        <w:spacing w:line="360" w:lineRule="auto"/>
        <w:ind w:firstLine="480" w:firstLineChars="200"/>
        <w:rPr>
          <w:rFonts w:ascii="宋体" w:hAnsi="宋体" w:cs="宋体"/>
          <w:sz w:val="24"/>
          <w:highlight w:val="none"/>
          <w:u w:val="single"/>
        </w:rPr>
      </w:pPr>
      <w:r>
        <w:rPr>
          <w:rFonts w:ascii="宋体" w:hAnsi="宋体" w:cs="宋体"/>
          <w:sz w:val="24"/>
          <w:highlight w:val="none"/>
        </w:rPr>
        <w:t>保证金缴纳后，请联系0539-</w:t>
      </w:r>
      <w:r>
        <w:rPr>
          <w:rFonts w:hint="eastAsia" w:ascii="宋体" w:hAnsi="宋体" w:cs="宋体"/>
          <w:sz w:val="24"/>
          <w:highlight w:val="none"/>
        </w:rPr>
        <w:t>7258283</w:t>
      </w:r>
      <w:r>
        <w:rPr>
          <w:rFonts w:ascii="宋体" w:hAnsi="宋体" w:cs="宋体"/>
          <w:sz w:val="24"/>
          <w:highlight w:val="none"/>
        </w:rPr>
        <w:t>确认。</w:t>
      </w:r>
    </w:p>
    <w:p w14:paraId="1ED6B00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八、合同文件构成</w:t>
      </w:r>
    </w:p>
    <w:p w14:paraId="05A8B781">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本合同与下列文件一起构成合同文件：</w:t>
      </w:r>
    </w:p>
    <w:p w14:paraId="263A9E5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1</w:t>
      </w:r>
      <w:r>
        <w:rPr>
          <w:rFonts w:hint="eastAsia" w:ascii="宋体" w:hAnsi="宋体" w:cs="仿宋_GB2312"/>
          <w:kern w:val="0"/>
          <w:sz w:val="24"/>
          <w:highlight w:val="none"/>
        </w:rPr>
        <w:t>）中标或成交通知书；</w:t>
      </w:r>
    </w:p>
    <w:p w14:paraId="33A7A699">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2</w:t>
      </w:r>
      <w:r>
        <w:rPr>
          <w:rFonts w:hint="eastAsia" w:ascii="宋体" w:hAnsi="宋体" w:cs="仿宋_GB2312"/>
          <w:kern w:val="0"/>
          <w:sz w:val="24"/>
          <w:highlight w:val="none"/>
        </w:rPr>
        <w:t>）投标函及其附录；</w:t>
      </w:r>
      <w:r>
        <w:rPr>
          <w:rFonts w:ascii="宋体" w:hAnsi="宋体" w:cs="仿宋_GB2312"/>
          <w:kern w:val="0"/>
          <w:sz w:val="24"/>
          <w:highlight w:val="none"/>
        </w:rPr>
        <w:t xml:space="preserve"> </w:t>
      </w:r>
    </w:p>
    <w:p w14:paraId="157922D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3</w:t>
      </w:r>
      <w:r>
        <w:rPr>
          <w:rFonts w:hint="eastAsia" w:ascii="宋体" w:hAnsi="宋体" w:cs="仿宋_GB2312"/>
          <w:kern w:val="0"/>
          <w:sz w:val="24"/>
          <w:highlight w:val="none"/>
        </w:rPr>
        <w:t>）本合同条款及附表、附件；</w:t>
      </w:r>
    </w:p>
    <w:p w14:paraId="75D448A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4</w:t>
      </w:r>
      <w:r>
        <w:rPr>
          <w:rFonts w:hint="eastAsia" w:ascii="宋体" w:hAnsi="宋体" w:cs="仿宋_GB2312"/>
          <w:kern w:val="0"/>
          <w:sz w:val="24"/>
          <w:highlight w:val="none"/>
        </w:rPr>
        <w:t>）采购文件（技术标准和要求）；</w:t>
      </w:r>
    </w:p>
    <w:p w14:paraId="13FB9B2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5</w:t>
      </w:r>
      <w:r>
        <w:rPr>
          <w:rFonts w:hint="eastAsia" w:ascii="宋体" w:hAnsi="宋体" w:cs="仿宋_GB2312"/>
          <w:kern w:val="0"/>
          <w:sz w:val="24"/>
          <w:highlight w:val="none"/>
        </w:rPr>
        <w:t>）图纸（如果有）；</w:t>
      </w:r>
    </w:p>
    <w:p w14:paraId="5AE3FEC6">
      <w:pPr>
        <w:widowControl/>
        <w:spacing w:line="360" w:lineRule="auto"/>
        <w:ind w:firstLine="480" w:firstLineChars="200"/>
        <w:jc w:val="left"/>
        <w:rPr>
          <w:rFonts w:ascii="宋体" w:hAns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6</w:t>
      </w:r>
      <w:r>
        <w:rPr>
          <w:rFonts w:hint="eastAsia" w:ascii="宋体" w:hAnsi="宋体" w:cs="仿宋_GB2312"/>
          <w:kern w:val="0"/>
          <w:sz w:val="24"/>
          <w:highlight w:val="none"/>
        </w:rPr>
        <w:t>）供货清单及最终报价表；</w:t>
      </w:r>
    </w:p>
    <w:p w14:paraId="78AE4BC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w:t>
      </w:r>
      <w:r>
        <w:rPr>
          <w:rFonts w:ascii="宋体" w:hAnsi="宋体" w:cs="仿宋_GB2312"/>
          <w:kern w:val="0"/>
          <w:sz w:val="24"/>
          <w:highlight w:val="none"/>
        </w:rPr>
        <w:t>7</w:t>
      </w:r>
      <w:r>
        <w:rPr>
          <w:rFonts w:hint="eastAsia" w:ascii="宋体" w:hAnsi="宋体" w:cs="仿宋_GB2312"/>
          <w:kern w:val="0"/>
          <w:sz w:val="24"/>
          <w:highlight w:val="none"/>
        </w:rPr>
        <w:t>）其他合同文件（含中标方在评审过程中有关澄清、说明、补正及承诺文件）。</w:t>
      </w:r>
    </w:p>
    <w:p w14:paraId="3C35BDE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在合同订立及履行过程中形成的与合同有关的文件均构成合同文件组成部分。</w:t>
      </w:r>
    </w:p>
    <w:p w14:paraId="1E00F1D9">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72952567">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九、承诺</w:t>
      </w:r>
    </w:p>
    <w:p w14:paraId="61A7F962">
      <w:pPr>
        <w:spacing w:line="360" w:lineRule="auto"/>
        <w:ind w:firstLine="480" w:firstLineChars="200"/>
        <w:rPr>
          <w:rFonts w:ascii="宋体" w:cs="仿宋_GB2312"/>
          <w:sz w:val="24"/>
          <w:highlight w:val="none"/>
        </w:rPr>
      </w:pPr>
      <w:r>
        <w:rPr>
          <w:rFonts w:ascii="宋体" w:hAnsi="宋体" w:cs="仿宋_GB2312"/>
          <w:sz w:val="24"/>
          <w:highlight w:val="none"/>
        </w:rPr>
        <w:t>1.</w:t>
      </w:r>
      <w:r>
        <w:rPr>
          <w:rFonts w:hint="eastAsia" w:ascii="宋体" w:hAnsi="宋体" w:cs="仿宋_GB2312"/>
          <w:sz w:val="24"/>
          <w:highlight w:val="none"/>
        </w:rPr>
        <w:t>采购人承诺按照法律规定履行项目审批手续、筹集项目资金并按照合同约定的期限和方式支付合同价款。</w:t>
      </w:r>
    </w:p>
    <w:p w14:paraId="054295FA">
      <w:pPr>
        <w:spacing w:line="360" w:lineRule="auto"/>
        <w:ind w:firstLine="480" w:firstLineChars="200"/>
        <w:rPr>
          <w:rFonts w:ascii="宋体" w:cs="仿宋_GB2312"/>
          <w:sz w:val="24"/>
          <w:highlight w:val="none"/>
        </w:rPr>
      </w:pPr>
      <w:r>
        <w:rPr>
          <w:rFonts w:ascii="宋体" w:hAnsi="宋体" w:cs="仿宋_GB2312"/>
          <w:sz w:val="24"/>
          <w:highlight w:val="none"/>
        </w:rPr>
        <w:t>2.</w:t>
      </w:r>
      <w:r>
        <w:rPr>
          <w:rFonts w:hint="eastAsia" w:ascii="宋体" w:hAnsi="宋体" w:cs="仿宋_GB2312"/>
          <w:sz w:val="24"/>
          <w:highlight w:val="none"/>
        </w:rPr>
        <w:t>供应商承诺按照法律规定及合同约定开展服务工作，确保服务质量和效率，不进行转包及违法分包，并在缺陷责任期及保修期内承担相应的责任。</w:t>
      </w:r>
    </w:p>
    <w:p w14:paraId="29091F14">
      <w:pPr>
        <w:widowControl/>
        <w:spacing w:line="360" w:lineRule="auto"/>
        <w:ind w:firstLine="480" w:firstLineChars="200"/>
        <w:jc w:val="left"/>
        <w:rPr>
          <w:rFonts w:ascii="宋体" w:cs="仿宋_GB2312"/>
          <w:kern w:val="0"/>
          <w:sz w:val="24"/>
          <w:highlight w:val="none"/>
        </w:rPr>
      </w:pPr>
      <w:r>
        <w:rPr>
          <w:rFonts w:ascii="宋体" w:hAnsi="宋体" w:cs="仿宋_GB2312"/>
          <w:sz w:val="24"/>
          <w:highlight w:val="none"/>
        </w:rPr>
        <w:t>3.</w:t>
      </w:r>
      <w:r>
        <w:rPr>
          <w:rFonts w:hint="eastAsia" w:ascii="宋体" w:hAnsi="宋体" w:cs="仿宋_GB2312"/>
          <w:sz w:val="24"/>
          <w:highlight w:val="none"/>
        </w:rPr>
        <w:t>采购人和供应商通过招投标形式签订合同的，双方理解并承诺不再就同一项目另行签订与合同实质性内容相背离的协议。</w:t>
      </w:r>
    </w:p>
    <w:p w14:paraId="084E1FD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十、签订时间</w:t>
      </w:r>
    </w:p>
    <w:p w14:paraId="4D7CF98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本合同于</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 xml:space="preserve">                 </w:t>
      </w:r>
      <w:r>
        <w:rPr>
          <w:rFonts w:hint="eastAsia" w:ascii="宋体" w:hAnsi="宋体" w:cs="仿宋_GB2312"/>
          <w:kern w:val="0"/>
          <w:sz w:val="24"/>
          <w:highlight w:val="none"/>
        </w:rPr>
        <w:t>签订。</w:t>
      </w:r>
    </w:p>
    <w:p w14:paraId="4D22E3E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十一、签订地点</w:t>
      </w:r>
    </w:p>
    <w:p w14:paraId="78F6B3E7">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本合同在</w:t>
      </w:r>
      <w:r>
        <w:rPr>
          <w:rFonts w:ascii="宋体" w:hAnsi="宋体" w:cs="仿宋_GB2312"/>
          <w:kern w:val="0"/>
          <w:sz w:val="24"/>
          <w:highlight w:val="none"/>
          <w:u w:val="single"/>
        </w:rPr>
        <w:t xml:space="preserve"> </w:t>
      </w:r>
      <w:bookmarkStart w:id="327" w:name="makeContractAddr"/>
      <w:r>
        <w:rPr>
          <w:rFonts w:ascii="宋体" w:hAnsi="宋体" w:cs="仿宋_GB2312"/>
          <w:kern w:val="0"/>
          <w:sz w:val="24"/>
          <w:highlight w:val="none"/>
          <w:u w:val="single"/>
        </w:rPr>
        <w:t>临沂大学</w:t>
      </w:r>
      <w:bookmarkEnd w:id="327"/>
      <w:r>
        <w:rPr>
          <w:rFonts w:ascii="宋体" w:hAnsi="宋体" w:cs="仿宋_GB2312"/>
          <w:kern w:val="0"/>
          <w:sz w:val="24"/>
          <w:highlight w:val="none"/>
          <w:u w:val="single"/>
        </w:rPr>
        <w:t xml:space="preserve"> </w:t>
      </w:r>
      <w:r>
        <w:rPr>
          <w:rFonts w:hint="eastAsia" w:ascii="宋体" w:hAnsi="宋体" w:cs="仿宋_GB2312"/>
          <w:kern w:val="0"/>
          <w:sz w:val="24"/>
          <w:highlight w:val="none"/>
        </w:rPr>
        <w:t>签订。</w:t>
      </w:r>
    </w:p>
    <w:p w14:paraId="447F8A9E">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十二、补充协议</w:t>
      </w:r>
    </w:p>
    <w:p w14:paraId="695C97CE">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合同未尽事宜，合同当事人另行签订补充协议，补充协议是合同的组成部分。</w:t>
      </w:r>
    </w:p>
    <w:p w14:paraId="54A3C9F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十三、合同生效</w:t>
      </w:r>
    </w:p>
    <w:p w14:paraId="771401A3">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本合同自</w:t>
      </w:r>
      <w:r>
        <w:rPr>
          <w:rFonts w:hint="eastAsia" w:ascii="宋体" w:hAnsi="宋体" w:cs="仿宋_GB2312"/>
          <w:kern w:val="0"/>
          <w:sz w:val="24"/>
          <w:highlight w:val="none"/>
          <w:u w:val="single"/>
        </w:rPr>
        <w:t>甲乙双方签字盖章</w:t>
      </w:r>
      <w:r>
        <w:rPr>
          <w:rFonts w:hint="eastAsia" w:ascii="宋体" w:cs="仿宋_GB2312"/>
          <w:kern w:val="0"/>
          <w:sz w:val="24"/>
          <w:highlight w:val="none"/>
          <w:u w:val="single"/>
        </w:rPr>
        <w:t>且供应商提交履约保证金</w:t>
      </w:r>
      <w:r>
        <w:rPr>
          <w:rFonts w:hint="eastAsia" w:ascii="宋体" w:hAnsi="宋体" w:cs="仿宋_GB2312"/>
          <w:kern w:val="0"/>
          <w:sz w:val="24"/>
          <w:highlight w:val="none"/>
          <w:u w:val="single"/>
        </w:rPr>
        <w:t>后</w:t>
      </w:r>
      <w:r>
        <w:rPr>
          <w:rFonts w:hint="eastAsia" w:ascii="宋体" w:hAnsi="宋体" w:cs="仿宋_GB2312"/>
          <w:kern w:val="0"/>
          <w:sz w:val="24"/>
          <w:highlight w:val="none"/>
        </w:rPr>
        <w:t>生效。</w:t>
      </w:r>
    </w:p>
    <w:p w14:paraId="2AEA5D0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十四、合同份数</w:t>
      </w:r>
    </w:p>
    <w:p w14:paraId="5A0B8878">
      <w:pPr>
        <w:widowControl/>
        <w:spacing w:line="360" w:lineRule="auto"/>
        <w:ind w:firstLine="480" w:firstLineChars="200"/>
        <w:jc w:val="left"/>
        <w:rPr>
          <w:rFonts w:ascii="宋体" w:hAnsi="宋体" w:cs="仿宋_GB2312"/>
          <w:kern w:val="0"/>
          <w:sz w:val="24"/>
          <w:highlight w:val="none"/>
        </w:rPr>
      </w:pPr>
      <w:r>
        <w:rPr>
          <w:rFonts w:hint="eastAsia" w:ascii="宋体" w:hAnsi="宋体" w:cs="仿宋_GB2312"/>
          <w:kern w:val="0"/>
          <w:sz w:val="24"/>
          <w:highlight w:val="none"/>
        </w:rPr>
        <w:t>本合同一式五份，均具有同等法律效力，采购人执三份，供应商执一份，代理机构一份。</w:t>
      </w:r>
    </w:p>
    <w:p w14:paraId="01E8221C">
      <w:pPr>
        <w:pStyle w:val="77"/>
        <w:rPr>
          <w:rFonts w:hint="default"/>
          <w:color w:val="auto"/>
          <w:highlight w:val="none"/>
        </w:rPr>
      </w:pPr>
    </w:p>
    <w:p w14:paraId="6577BA26">
      <w:pPr>
        <w:pStyle w:val="9"/>
        <w:rPr>
          <w:highlight w:val="none"/>
        </w:rPr>
      </w:pPr>
    </w:p>
    <w:tbl>
      <w:tblPr>
        <w:tblStyle w:val="29"/>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70E9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42" w:hRule="atLeast"/>
        </w:trPr>
        <w:tc>
          <w:tcPr>
            <w:tcW w:w="4575" w:type="dxa"/>
            <w:vAlign w:val="center"/>
          </w:tcPr>
          <w:p w14:paraId="4212CBE8">
            <w:pPr>
              <w:pStyle w:val="9"/>
              <w:rPr>
                <w:rFonts w:cs="宋体"/>
                <w:highlight w:val="none"/>
              </w:rPr>
            </w:pPr>
            <w:r>
              <w:rPr>
                <w:rFonts w:hint="eastAsia" w:cs="宋体"/>
                <w:highlight w:val="none"/>
              </w:rPr>
              <w:t>采购人：(公章)</w:t>
            </w:r>
            <w:r>
              <w:rPr>
                <w:rFonts w:cs="仿宋_GB2312"/>
                <w:highlight w:val="none"/>
              </w:rPr>
              <w:t>临沂大学</w:t>
            </w:r>
          </w:p>
        </w:tc>
        <w:tc>
          <w:tcPr>
            <w:tcW w:w="240" w:type="dxa"/>
            <w:vAlign w:val="center"/>
          </w:tcPr>
          <w:p w14:paraId="1DEDA697">
            <w:pPr>
              <w:spacing w:line="360" w:lineRule="auto"/>
              <w:ind w:left="-2" w:leftChars="-1"/>
              <w:rPr>
                <w:rFonts w:ascii="宋体" w:hAnsi="宋体" w:cs="宋体"/>
                <w:sz w:val="24"/>
                <w:highlight w:val="none"/>
              </w:rPr>
            </w:pPr>
          </w:p>
        </w:tc>
        <w:tc>
          <w:tcPr>
            <w:tcW w:w="5203" w:type="dxa"/>
            <w:vAlign w:val="center"/>
          </w:tcPr>
          <w:p w14:paraId="23A3F3DC">
            <w:pPr>
              <w:spacing w:line="360" w:lineRule="auto"/>
              <w:ind w:left="-2" w:leftChars="-1"/>
              <w:rPr>
                <w:rFonts w:ascii="宋体" w:hAnsi="宋体" w:cs="宋体"/>
                <w:sz w:val="24"/>
                <w:highlight w:val="none"/>
              </w:rPr>
            </w:pPr>
            <w:r>
              <w:rPr>
                <w:rFonts w:hint="eastAsia" w:ascii="宋体" w:hAnsi="宋体" w:cs="宋体"/>
                <w:sz w:val="24"/>
                <w:highlight w:val="none"/>
              </w:rPr>
              <w:t xml:space="preserve">供应商：(公章)                      </w:t>
            </w:r>
          </w:p>
        </w:tc>
      </w:tr>
      <w:tr w14:paraId="1F2CC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5E08FFC6">
            <w:pPr>
              <w:pStyle w:val="9"/>
              <w:rPr>
                <w:rFonts w:cs="宋体"/>
                <w:highlight w:val="none"/>
              </w:rPr>
            </w:pPr>
            <w:r>
              <w:rPr>
                <w:rFonts w:hint="eastAsia" w:cs="宋体"/>
                <w:highlight w:val="none"/>
              </w:rPr>
              <w:t>法定代表人或其委托代理人：</w:t>
            </w:r>
          </w:p>
          <w:p w14:paraId="66F5BD13">
            <w:pPr>
              <w:pStyle w:val="9"/>
              <w:rPr>
                <w:rFonts w:cs="宋体"/>
                <w:highlight w:val="none"/>
              </w:rPr>
            </w:pPr>
            <w:r>
              <w:rPr>
                <w:rFonts w:hint="eastAsia" w:cs="宋体"/>
                <w:highlight w:val="none"/>
              </w:rPr>
              <w:t>（签字或签章）</w:t>
            </w:r>
          </w:p>
        </w:tc>
        <w:tc>
          <w:tcPr>
            <w:tcW w:w="240" w:type="dxa"/>
            <w:vAlign w:val="center"/>
          </w:tcPr>
          <w:p w14:paraId="0FCCB66B">
            <w:pPr>
              <w:spacing w:line="360" w:lineRule="auto"/>
              <w:ind w:left="-2" w:leftChars="-1"/>
              <w:rPr>
                <w:rFonts w:ascii="宋体" w:hAnsi="宋体" w:cs="宋体"/>
                <w:sz w:val="24"/>
                <w:highlight w:val="none"/>
              </w:rPr>
            </w:pPr>
          </w:p>
        </w:tc>
        <w:tc>
          <w:tcPr>
            <w:tcW w:w="5203" w:type="dxa"/>
            <w:vAlign w:val="center"/>
          </w:tcPr>
          <w:p w14:paraId="2D4063BA">
            <w:pPr>
              <w:pStyle w:val="9"/>
              <w:rPr>
                <w:rFonts w:cs="宋体"/>
                <w:highlight w:val="none"/>
              </w:rPr>
            </w:pPr>
            <w:r>
              <w:rPr>
                <w:rFonts w:hint="eastAsia" w:cs="宋体"/>
                <w:highlight w:val="none"/>
              </w:rPr>
              <w:t>法定代表人或其委托代理人：</w:t>
            </w:r>
          </w:p>
          <w:p w14:paraId="13266014">
            <w:pPr>
              <w:rPr>
                <w:rFonts w:ascii="宋体" w:hAnsi="宋体" w:cs="宋体"/>
                <w:sz w:val="24"/>
                <w:highlight w:val="none"/>
              </w:rPr>
            </w:pPr>
            <w:r>
              <w:rPr>
                <w:rFonts w:hint="eastAsia" w:ascii="宋体" w:hAnsi="宋体" w:cs="宋体"/>
                <w:sz w:val="24"/>
                <w:highlight w:val="none"/>
              </w:rPr>
              <w:t>（签字或签章）</w:t>
            </w:r>
          </w:p>
        </w:tc>
      </w:tr>
      <w:tr w14:paraId="497A5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02771567">
            <w:pPr>
              <w:pStyle w:val="9"/>
              <w:rPr>
                <w:rFonts w:cs="宋体"/>
                <w:highlight w:val="none"/>
              </w:rPr>
            </w:pPr>
            <w:r>
              <w:rPr>
                <w:rFonts w:hint="eastAsia" w:cs="宋体"/>
                <w:highlight w:val="none"/>
              </w:rPr>
              <w:t xml:space="preserve">地址： </w:t>
            </w:r>
            <w:bookmarkStart w:id="328" w:name="unitAddress"/>
            <w:r>
              <w:rPr>
                <w:rFonts w:hint="eastAsia" w:cs="宋体"/>
                <w:highlight w:val="none"/>
              </w:rPr>
              <w:t>山东省临沂市双岭路中段</w:t>
            </w:r>
            <w:bookmarkEnd w:id="328"/>
          </w:p>
        </w:tc>
        <w:tc>
          <w:tcPr>
            <w:tcW w:w="240" w:type="dxa"/>
            <w:vAlign w:val="center"/>
          </w:tcPr>
          <w:p w14:paraId="11773DAA">
            <w:pPr>
              <w:pStyle w:val="9"/>
              <w:rPr>
                <w:rFonts w:cs="宋体"/>
                <w:highlight w:val="none"/>
              </w:rPr>
            </w:pPr>
          </w:p>
        </w:tc>
        <w:tc>
          <w:tcPr>
            <w:tcW w:w="5203" w:type="dxa"/>
            <w:vAlign w:val="center"/>
          </w:tcPr>
          <w:p w14:paraId="35296F12">
            <w:pPr>
              <w:pStyle w:val="9"/>
              <w:rPr>
                <w:rFonts w:cs="宋体"/>
                <w:highlight w:val="none"/>
              </w:rPr>
            </w:pPr>
            <w:r>
              <w:rPr>
                <w:rFonts w:hint="eastAsia" w:cs="宋体"/>
                <w:highlight w:val="none"/>
              </w:rPr>
              <w:t xml:space="preserve">地址：                             </w:t>
            </w:r>
          </w:p>
        </w:tc>
      </w:tr>
      <w:tr w14:paraId="154A9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14:paraId="3096020D">
            <w:pPr>
              <w:pStyle w:val="9"/>
              <w:rPr>
                <w:rFonts w:cs="宋体"/>
                <w:highlight w:val="none"/>
              </w:rPr>
            </w:pPr>
            <w:r>
              <w:rPr>
                <w:rFonts w:hint="eastAsia" w:cs="宋体"/>
                <w:highlight w:val="none"/>
              </w:rPr>
              <w:t>电 话：</w:t>
            </w:r>
            <w:r>
              <w:rPr>
                <w:rFonts w:hint="eastAsia" w:cs="仿宋_GB2312"/>
                <w:highlight w:val="none"/>
              </w:rPr>
              <w:t>0539-7258756</w:t>
            </w:r>
          </w:p>
        </w:tc>
        <w:tc>
          <w:tcPr>
            <w:tcW w:w="240" w:type="dxa"/>
            <w:vAlign w:val="center"/>
          </w:tcPr>
          <w:p w14:paraId="51A654FE">
            <w:pPr>
              <w:pStyle w:val="9"/>
              <w:rPr>
                <w:rFonts w:cs="宋体"/>
                <w:highlight w:val="none"/>
              </w:rPr>
            </w:pPr>
          </w:p>
        </w:tc>
        <w:tc>
          <w:tcPr>
            <w:tcW w:w="5203" w:type="dxa"/>
            <w:vAlign w:val="center"/>
          </w:tcPr>
          <w:p w14:paraId="5D54706C">
            <w:pPr>
              <w:pStyle w:val="9"/>
              <w:rPr>
                <w:rFonts w:cs="宋体"/>
                <w:highlight w:val="none"/>
              </w:rPr>
            </w:pPr>
            <w:r>
              <w:rPr>
                <w:rFonts w:hint="eastAsia" w:cs="宋体"/>
                <w:highlight w:val="none"/>
              </w:rPr>
              <w:t xml:space="preserve">电 话：               </w:t>
            </w:r>
          </w:p>
        </w:tc>
      </w:tr>
      <w:tr w14:paraId="089E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vAlign w:val="center"/>
          </w:tcPr>
          <w:p w14:paraId="3025C37F">
            <w:pPr>
              <w:pStyle w:val="9"/>
              <w:rPr>
                <w:rFonts w:cs="宋体"/>
                <w:highlight w:val="none"/>
              </w:rPr>
            </w:pPr>
            <w:r>
              <w:rPr>
                <w:rFonts w:hint="eastAsia" w:cs="宋体"/>
                <w:highlight w:val="none"/>
              </w:rPr>
              <w:t>开户银行：中国银行临沂兰山支行</w:t>
            </w:r>
          </w:p>
        </w:tc>
        <w:tc>
          <w:tcPr>
            <w:tcW w:w="240" w:type="dxa"/>
            <w:vAlign w:val="center"/>
          </w:tcPr>
          <w:p w14:paraId="76E78B9E">
            <w:pPr>
              <w:pStyle w:val="9"/>
              <w:rPr>
                <w:rFonts w:cs="宋体"/>
                <w:highlight w:val="none"/>
              </w:rPr>
            </w:pPr>
          </w:p>
        </w:tc>
        <w:tc>
          <w:tcPr>
            <w:tcW w:w="5203" w:type="dxa"/>
            <w:vAlign w:val="center"/>
          </w:tcPr>
          <w:p w14:paraId="20CFEDD9">
            <w:pPr>
              <w:pStyle w:val="9"/>
              <w:rPr>
                <w:rFonts w:cs="宋体"/>
                <w:highlight w:val="none"/>
              </w:rPr>
            </w:pPr>
            <w:r>
              <w:rPr>
                <w:rFonts w:hint="eastAsia" w:cs="宋体"/>
                <w:highlight w:val="none"/>
              </w:rPr>
              <w:t xml:space="preserve">开户银行：               </w:t>
            </w:r>
          </w:p>
        </w:tc>
      </w:tr>
      <w:tr w14:paraId="0D549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046112F">
            <w:pPr>
              <w:pStyle w:val="9"/>
              <w:rPr>
                <w:rFonts w:cs="宋体"/>
                <w:highlight w:val="none"/>
              </w:rPr>
            </w:pPr>
            <w:r>
              <w:rPr>
                <w:rFonts w:hint="eastAsia" w:cs="宋体"/>
                <w:highlight w:val="none"/>
              </w:rPr>
              <w:t>账号：</w:t>
            </w:r>
            <w:r>
              <w:rPr>
                <w:rFonts w:cs="宋体"/>
                <w:highlight w:val="none"/>
              </w:rPr>
              <w:t>218243959980</w:t>
            </w:r>
          </w:p>
        </w:tc>
        <w:tc>
          <w:tcPr>
            <w:tcW w:w="240" w:type="dxa"/>
            <w:vAlign w:val="center"/>
          </w:tcPr>
          <w:p w14:paraId="298EF6A4">
            <w:pPr>
              <w:pStyle w:val="9"/>
              <w:rPr>
                <w:rFonts w:cs="宋体"/>
                <w:highlight w:val="none"/>
              </w:rPr>
            </w:pPr>
          </w:p>
        </w:tc>
        <w:tc>
          <w:tcPr>
            <w:tcW w:w="5203" w:type="dxa"/>
            <w:vAlign w:val="center"/>
          </w:tcPr>
          <w:p w14:paraId="378D230D">
            <w:pPr>
              <w:pStyle w:val="9"/>
              <w:rPr>
                <w:rFonts w:cs="宋体"/>
                <w:highlight w:val="none"/>
              </w:rPr>
            </w:pPr>
            <w:r>
              <w:rPr>
                <w:rFonts w:hint="eastAsia" w:cs="宋体"/>
                <w:highlight w:val="none"/>
              </w:rPr>
              <w:t xml:space="preserve">账号：                  </w:t>
            </w:r>
          </w:p>
        </w:tc>
      </w:tr>
      <w:tr w14:paraId="24F0C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D6C60E0">
            <w:pPr>
              <w:pStyle w:val="9"/>
              <w:rPr>
                <w:rFonts w:cs="宋体"/>
                <w:highlight w:val="none"/>
              </w:rPr>
            </w:pPr>
            <w:r>
              <w:rPr>
                <w:rFonts w:hint="eastAsia" w:cs="宋体"/>
                <w:highlight w:val="none"/>
              </w:rPr>
              <w:t>邮政编码：</w:t>
            </w:r>
          </w:p>
        </w:tc>
        <w:tc>
          <w:tcPr>
            <w:tcW w:w="240" w:type="dxa"/>
            <w:vAlign w:val="center"/>
          </w:tcPr>
          <w:p w14:paraId="2CADCFFE">
            <w:pPr>
              <w:pStyle w:val="9"/>
              <w:rPr>
                <w:rFonts w:cs="宋体"/>
                <w:highlight w:val="none"/>
              </w:rPr>
            </w:pPr>
          </w:p>
        </w:tc>
        <w:tc>
          <w:tcPr>
            <w:tcW w:w="5203" w:type="dxa"/>
            <w:vAlign w:val="center"/>
          </w:tcPr>
          <w:p w14:paraId="78AE30E6">
            <w:pPr>
              <w:pStyle w:val="9"/>
              <w:rPr>
                <w:rFonts w:cs="宋体"/>
                <w:highlight w:val="none"/>
              </w:rPr>
            </w:pPr>
            <w:r>
              <w:rPr>
                <w:rFonts w:hint="eastAsia" w:cs="宋体"/>
                <w:highlight w:val="none"/>
              </w:rPr>
              <w:t>邮政编码：</w:t>
            </w:r>
          </w:p>
        </w:tc>
      </w:tr>
    </w:tbl>
    <w:p w14:paraId="677001C4">
      <w:pPr>
        <w:widowControl/>
        <w:jc w:val="left"/>
        <w:rPr>
          <w:rFonts w:ascii="宋体" w:cs="宋体"/>
          <w:sz w:val="24"/>
          <w:highlight w:val="none"/>
        </w:rPr>
      </w:pPr>
    </w:p>
    <w:p w14:paraId="38CEA8C6">
      <w:pPr>
        <w:widowControl/>
        <w:jc w:val="left"/>
        <w:rPr>
          <w:rFonts w:ascii="宋体" w:cs="宋体"/>
          <w:sz w:val="24"/>
          <w:highlight w:val="none"/>
        </w:rPr>
      </w:pPr>
    </w:p>
    <w:p w14:paraId="4655A687">
      <w:pPr>
        <w:pStyle w:val="9"/>
        <w:rPr>
          <w:highlight w:val="none"/>
        </w:rPr>
      </w:pPr>
    </w:p>
    <w:p w14:paraId="25214968">
      <w:pPr>
        <w:pStyle w:val="9"/>
        <w:rPr>
          <w:highlight w:val="none"/>
        </w:rPr>
      </w:pPr>
    </w:p>
    <w:p w14:paraId="17133439">
      <w:pPr>
        <w:spacing w:line="360" w:lineRule="auto"/>
        <w:jc w:val="center"/>
        <w:rPr>
          <w:rFonts w:ascii="宋体" w:cs="宋体"/>
          <w:sz w:val="24"/>
          <w:highlight w:val="none"/>
        </w:rPr>
      </w:pPr>
      <w:r>
        <w:rPr>
          <w:rFonts w:hint="eastAsia" w:ascii="宋体" w:hAnsi="宋体" w:cs="宋体"/>
          <w:sz w:val="24"/>
          <w:highlight w:val="none"/>
        </w:rPr>
        <w:t>合同条款</w:t>
      </w:r>
    </w:p>
    <w:p w14:paraId="76FB79C0">
      <w:pPr>
        <w:pStyle w:val="24"/>
        <w:adjustRightInd w:val="0"/>
        <w:snapToGrid w:val="0"/>
        <w:spacing w:before="0" w:beforeAutospacing="0" w:after="0" w:afterAutospacing="0" w:line="360" w:lineRule="auto"/>
        <w:rPr>
          <w:highlight w:val="none"/>
        </w:rPr>
      </w:pPr>
      <w:r>
        <w:rPr>
          <w:rFonts w:hint="eastAsia"/>
          <w:highlight w:val="none"/>
        </w:rPr>
        <w:t>第一条</w:t>
      </w:r>
      <w:r>
        <w:rPr>
          <w:highlight w:val="none"/>
        </w:rPr>
        <w:t xml:space="preserve"> </w:t>
      </w:r>
      <w:r>
        <w:rPr>
          <w:rFonts w:hint="eastAsia"/>
          <w:highlight w:val="none"/>
        </w:rPr>
        <w:t>合同内容</w:t>
      </w:r>
    </w:p>
    <w:p w14:paraId="72C88694">
      <w:pPr>
        <w:pStyle w:val="24"/>
        <w:adjustRightInd w:val="0"/>
        <w:snapToGrid w:val="0"/>
        <w:spacing w:before="0" w:beforeAutospacing="0" w:after="0" w:afterAutospacing="0" w:line="360" w:lineRule="auto"/>
        <w:rPr>
          <w:rFonts w:cs="仿宋"/>
          <w:highlight w:val="none"/>
        </w:rPr>
      </w:pPr>
      <w:r>
        <w:rPr>
          <w:rFonts w:hint="eastAsia"/>
          <w:highlight w:val="none"/>
        </w:rPr>
        <w:t>　　</w:t>
      </w:r>
      <w:r>
        <w:rPr>
          <w:highlight w:val="none"/>
        </w:rPr>
        <w:t xml:space="preserve">1.1 </w:t>
      </w:r>
      <w:r>
        <w:rPr>
          <w:rFonts w:hint="eastAsia"/>
          <w:highlight w:val="none"/>
        </w:rPr>
        <w:t>采购人委托供应商实施提供本项服务工作，供应商承诺提供并完成此项服务工作。</w:t>
      </w:r>
    </w:p>
    <w:p w14:paraId="72BE575C">
      <w:pPr>
        <w:adjustRightInd w:val="0"/>
        <w:snapToGrid w:val="0"/>
        <w:spacing w:line="360" w:lineRule="auto"/>
        <w:ind w:firstLine="480" w:firstLineChars="200"/>
        <w:rPr>
          <w:rFonts w:ascii="宋体" w:cs="仿宋"/>
          <w:sz w:val="24"/>
          <w:highlight w:val="none"/>
        </w:rPr>
      </w:pPr>
      <w:r>
        <w:rPr>
          <w:rFonts w:ascii="宋体" w:hAnsi="宋体" w:cs="仿宋"/>
          <w:sz w:val="24"/>
          <w:highlight w:val="none"/>
        </w:rPr>
        <w:t>1.2</w:t>
      </w:r>
      <w:r>
        <w:rPr>
          <w:rFonts w:hint="eastAsia" w:ascii="宋体" w:hAnsi="宋体" w:cs="仿宋"/>
          <w:sz w:val="24"/>
          <w:highlight w:val="none"/>
        </w:rPr>
        <w:t>服务阶段：</w:t>
      </w:r>
      <w:r>
        <w:rPr>
          <w:rFonts w:ascii="宋体" w:hAnsi="宋体" w:cs="仿宋"/>
          <w:sz w:val="24"/>
          <w:highlight w:val="none"/>
          <w:u w:val="single"/>
        </w:rPr>
        <w:t xml:space="preserve">                         </w:t>
      </w:r>
      <w:r>
        <w:rPr>
          <w:rFonts w:hint="eastAsia" w:ascii="宋体" w:hAnsi="宋体" w:cs="仿宋"/>
          <w:sz w:val="24"/>
          <w:highlight w:val="none"/>
          <w:u w:val="single"/>
        </w:rPr>
        <w:t>。</w:t>
      </w:r>
    </w:p>
    <w:p w14:paraId="5F32C821">
      <w:pPr>
        <w:adjustRightInd w:val="0"/>
        <w:snapToGrid w:val="0"/>
        <w:spacing w:line="360" w:lineRule="auto"/>
        <w:ind w:firstLine="480" w:firstLineChars="200"/>
        <w:rPr>
          <w:rFonts w:ascii="宋体" w:cs="仿宋"/>
          <w:sz w:val="24"/>
          <w:highlight w:val="none"/>
          <w:u w:val="single"/>
        </w:rPr>
      </w:pPr>
      <w:r>
        <w:rPr>
          <w:rFonts w:ascii="宋体" w:hAnsi="宋体" w:cs="仿宋"/>
          <w:sz w:val="24"/>
          <w:highlight w:val="none"/>
        </w:rPr>
        <w:t>1.3</w:t>
      </w:r>
      <w:r>
        <w:rPr>
          <w:rFonts w:hint="eastAsia" w:ascii="宋体" w:hAnsi="宋体" w:cs="仿宋"/>
          <w:sz w:val="24"/>
          <w:highlight w:val="none"/>
        </w:rPr>
        <w:t>服务内容：</w:t>
      </w:r>
      <w:r>
        <w:rPr>
          <w:rFonts w:ascii="宋体" w:hAnsi="宋体" w:cs="仿宋"/>
          <w:sz w:val="24"/>
          <w:highlight w:val="none"/>
          <w:u w:val="single"/>
        </w:rPr>
        <w:t xml:space="preserve">         </w:t>
      </w:r>
      <w:r>
        <w:rPr>
          <w:rFonts w:hint="eastAsia" w:ascii="宋体" w:hAnsi="宋体" w:cs="仿宋"/>
          <w:sz w:val="24"/>
          <w:highlight w:val="none"/>
          <w:u w:val="single"/>
        </w:rPr>
        <w:t>。</w:t>
      </w:r>
    </w:p>
    <w:p w14:paraId="13803FF7">
      <w:pPr>
        <w:adjustRightInd w:val="0"/>
        <w:snapToGrid w:val="0"/>
        <w:spacing w:line="360" w:lineRule="auto"/>
        <w:ind w:firstLine="480" w:firstLineChars="200"/>
        <w:rPr>
          <w:rFonts w:ascii="宋体"/>
          <w:sz w:val="24"/>
          <w:highlight w:val="none"/>
          <w:u w:val="single"/>
        </w:rPr>
      </w:pPr>
      <w:r>
        <w:rPr>
          <w:rFonts w:hint="eastAsia" w:ascii="宋体" w:hAnsi="宋体" w:cs="仿宋"/>
          <w:sz w:val="24"/>
          <w:highlight w:val="none"/>
          <w:u w:val="single"/>
        </w:rPr>
        <w:t>具体包括：</w:t>
      </w:r>
      <w:r>
        <w:rPr>
          <w:rFonts w:ascii="宋体" w:hAnsi="宋体" w:cs="仿宋"/>
          <w:sz w:val="24"/>
          <w:highlight w:val="none"/>
          <w:u w:val="single"/>
        </w:rPr>
        <w:t xml:space="preserve">                                 </w:t>
      </w:r>
      <w:r>
        <w:rPr>
          <w:rFonts w:ascii="宋体" w:hAnsi="宋体"/>
          <w:sz w:val="24"/>
          <w:highlight w:val="none"/>
          <w:u w:val="single"/>
        </w:rPr>
        <w:t xml:space="preserve">  </w:t>
      </w:r>
    </w:p>
    <w:p w14:paraId="15A0CD6D">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1.4 </w:t>
      </w:r>
      <w:r>
        <w:rPr>
          <w:rFonts w:hint="eastAsia"/>
          <w:highlight w:val="none"/>
        </w:rPr>
        <w:t>服务的进度安排：</w:t>
      </w:r>
      <w:r>
        <w:rPr>
          <w:highlight w:val="none"/>
          <w:u w:val="single"/>
        </w:rPr>
        <w:t xml:space="preserve">                  </w:t>
      </w:r>
      <w:r>
        <w:rPr>
          <w:rFonts w:hint="eastAsia"/>
          <w:highlight w:val="none"/>
          <w:u w:val="single"/>
        </w:rPr>
        <w:t>。</w:t>
      </w:r>
    </w:p>
    <w:p w14:paraId="643EE7FC">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1.5 </w:t>
      </w:r>
      <w:r>
        <w:rPr>
          <w:rFonts w:hint="eastAsia" w:ascii="宋体" w:hAnsi="宋体"/>
          <w:sz w:val="24"/>
          <w:highlight w:val="none"/>
        </w:rPr>
        <w:t>服务的机构、职责与人员配备安排</w:t>
      </w:r>
    </w:p>
    <w:p w14:paraId="1A511E17">
      <w:pPr>
        <w:adjustRightInd w:val="0"/>
        <w:snapToGrid w:val="0"/>
        <w:spacing w:line="360" w:lineRule="auto"/>
        <w:ind w:firstLine="480" w:firstLineChars="200"/>
        <w:rPr>
          <w:rFonts w:ascii="宋体" w:hAnsi="宋体"/>
          <w:sz w:val="24"/>
          <w:highlight w:val="none"/>
        </w:rPr>
      </w:pPr>
      <w:r>
        <w:rPr>
          <w:rFonts w:ascii="宋体" w:hAnsi="宋体"/>
          <w:sz w:val="24"/>
          <w:highlight w:val="none"/>
        </w:rPr>
        <w:t>1.5.1</w:t>
      </w:r>
      <w:r>
        <w:rPr>
          <w:rFonts w:hint="eastAsia" w:ascii="宋体" w:hAnsi="宋体"/>
          <w:sz w:val="24"/>
          <w:highlight w:val="none"/>
        </w:rPr>
        <w:t>服务机构。供应商按照服务内容和目标要求成立服务机构如下：</w:t>
      </w:r>
      <w:r>
        <w:rPr>
          <w:rFonts w:ascii="宋体" w:hAnsi="宋体"/>
          <w:sz w:val="24"/>
          <w:highlight w:val="none"/>
        </w:rPr>
        <w:t>___________________________</w:t>
      </w:r>
      <w:r>
        <w:rPr>
          <w:rFonts w:hint="eastAsia" w:ascii="宋体" w:hAnsi="宋体"/>
          <w:sz w:val="24"/>
          <w:highlight w:val="none"/>
        </w:rPr>
        <w:t>。</w:t>
      </w:r>
      <w:r>
        <w:rPr>
          <w:rFonts w:ascii="宋体" w:hAnsi="宋体"/>
          <w:sz w:val="24"/>
          <w:highlight w:val="none"/>
        </w:rPr>
        <w:t xml:space="preserve"> </w:t>
      </w:r>
    </w:p>
    <w:p w14:paraId="434E59F7">
      <w:pPr>
        <w:adjustRightInd w:val="0"/>
        <w:snapToGrid w:val="0"/>
        <w:spacing w:line="360" w:lineRule="auto"/>
        <w:ind w:firstLine="480" w:firstLineChars="200"/>
        <w:rPr>
          <w:rFonts w:ascii="宋体"/>
          <w:sz w:val="24"/>
          <w:highlight w:val="none"/>
        </w:rPr>
      </w:pPr>
      <w:r>
        <w:rPr>
          <w:rFonts w:ascii="宋体" w:hAnsi="宋体"/>
          <w:sz w:val="24"/>
          <w:highlight w:val="none"/>
        </w:rPr>
        <w:t>1.5.2</w:t>
      </w:r>
      <w:r>
        <w:rPr>
          <w:rFonts w:hint="eastAsia" w:ascii="宋体" w:hAnsi="宋体"/>
          <w:sz w:val="24"/>
          <w:highlight w:val="none"/>
        </w:rPr>
        <w:t>职责。服务机构在项目经理领导下，按照职能要求和目标任务确定工作职责，于项目启动后三日内建立健全各项规章制度。</w:t>
      </w:r>
    </w:p>
    <w:p w14:paraId="6E103496">
      <w:pPr>
        <w:adjustRightInd w:val="0"/>
        <w:snapToGrid w:val="0"/>
        <w:spacing w:line="360" w:lineRule="auto"/>
        <w:ind w:firstLine="480" w:firstLineChars="200"/>
        <w:rPr>
          <w:rFonts w:ascii="宋体"/>
          <w:sz w:val="24"/>
          <w:highlight w:val="none"/>
        </w:rPr>
      </w:pPr>
      <w:r>
        <w:rPr>
          <w:rFonts w:ascii="宋体" w:hAnsi="宋体"/>
          <w:sz w:val="24"/>
          <w:highlight w:val="none"/>
        </w:rPr>
        <w:t>1.5.3</w:t>
      </w:r>
      <w:r>
        <w:rPr>
          <w:rFonts w:hint="eastAsia" w:ascii="宋体" w:hAnsi="宋体"/>
          <w:sz w:val="24"/>
          <w:highlight w:val="none"/>
        </w:rPr>
        <w:t>人员。供应商根据部门职能和采购人需要配备有关专业人员。</w:t>
      </w:r>
    </w:p>
    <w:p w14:paraId="59EB61B9">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1.6</w:t>
      </w:r>
      <w:r>
        <w:rPr>
          <w:rFonts w:hint="eastAsia"/>
          <w:highlight w:val="none"/>
        </w:rPr>
        <w:t>服务自合同生效之日起至服务工作完成之日止，供应商提供服务的同时，应及时向采购人报告服务工作推进情况和进展。</w:t>
      </w:r>
    </w:p>
    <w:p w14:paraId="678BD82F">
      <w:pPr>
        <w:pStyle w:val="24"/>
        <w:adjustRightInd w:val="0"/>
        <w:snapToGrid w:val="0"/>
        <w:spacing w:before="0" w:beforeAutospacing="0" w:after="0" w:afterAutospacing="0" w:line="360" w:lineRule="auto"/>
        <w:rPr>
          <w:highlight w:val="none"/>
        </w:rPr>
      </w:pPr>
      <w:r>
        <w:rPr>
          <w:rFonts w:hint="eastAsia"/>
          <w:highlight w:val="none"/>
        </w:rPr>
        <w:t>　　第二条</w:t>
      </w:r>
      <w:r>
        <w:rPr>
          <w:highlight w:val="none"/>
        </w:rPr>
        <w:t xml:space="preserve"> </w:t>
      </w:r>
      <w:r>
        <w:rPr>
          <w:rFonts w:hint="eastAsia"/>
          <w:highlight w:val="none"/>
        </w:rPr>
        <w:t>双方的责任和义务</w:t>
      </w:r>
    </w:p>
    <w:p w14:paraId="7AA36134">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2.1 </w:t>
      </w:r>
      <w:r>
        <w:rPr>
          <w:rFonts w:hint="eastAsia"/>
          <w:highlight w:val="none"/>
        </w:rPr>
        <w:t>采购人应向供应商提供与项目有关的资料、图纸、信息等，并给予供应商开展工作提供力所能及的协助，在适当时候指定一名代表与供应商联系。</w:t>
      </w:r>
    </w:p>
    <w:p w14:paraId="265942C2">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2.2 </w:t>
      </w:r>
      <w:r>
        <w:rPr>
          <w:rFonts w:hint="eastAsia"/>
          <w:highlight w:val="none"/>
        </w:rPr>
        <w:t>采购人应为供应商就项目服务推进提供正当工作便利，费用由供应商负担。</w:t>
      </w:r>
    </w:p>
    <w:p w14:paraId="2C54DD47">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2.3 </w:t>
      </w:r>
      <w:r>
        <w:rPr>
          <w:rFonts w:hint="eastAsia"/>
          <w:highlight w:val="none"/>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19868B29">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2.4 </w:t>
      </w:r>
      <w:r>
        <w:rPr>
          <w:rFonts w:hint="eastAsia"/>
          <w:highlight w:val="none"/>
        </w:rPr>
        <w:t>供应商应根据服务的内容和进度安排，按时提交技术报告及有关资料。</w:t>
      </w:r>
    </w:p>
    <w:p w14:paraId="4FFE9EDE">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2.5 </w:t>
      </w:r>
      <w:r>
        <w:rPr>
          <w:rFonts w:hint="eastAsia"/>
          <w:highlight w:val="none"/>
        </w:rPr>
        <w:t>供应商为采购人的技术人员前往供应商驻地和考察提供必要的设施和交通便利。</w:t>
      </w:r>
    </w:p>
    <w:p w14:paraId="02DF1C53">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2.6 </w:t>
      </w:r>
      <w:r>
        <w:rPr>
          <w:rFonts w:hint="eastAsia"/>
          <w:highlight w:val="none"/>
        </w:rPr>
        <w:t>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3C6BE3BF">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2.7 </w:t>
      </w:r>
      <w:r>
        <w:rPr>
          <w:rFonts w:hint="eastAsia"/>
          <w:highlight w:val="none"/>
        </w:rPr>
        <w:t>供应商对本合同的任何付出和所有责任都限定在供应商因付出专业服务而收到的合同总价之内。</w:t>
      </w:r>
    </w:p>
    <w:p w14:paraId="69502D00">
      <w:pPr>
        <w:pStyle w:val="24"/>
        <w:adjustRightInd w:val="0"/>
        <w:snapToGrid w:val="0"/>
        <w:spacing w:before="0" w:beforeAutospacing="0" w:after="0" w:afterAutospacing="0" w:line="360" w:lineRule="auto"/>
        <w:ind w:firstLine="560"/>
        <w:rPr>
          <w:highlight w:val="none"/>
        </w:rPr>
      </w:pPr>
      <w:r>
        <w:rPr>
          <w:rFonts w:hint="eastAsia"/>
          <w:highlight w:val="none"/>
        </w:rPr>
        <w:t>第三条</w:t>
      </w:r>
      <w:r>
        <w:rPr>
          <w:highlight w:val="none"/>
        </w:rPr>
        <w:t xml:space="preserve"> </w:t>
      </w:r>
      <w:r>
        <w:rPr>
          <w:rFonts w:hint="eastAsia"/>
          <w:highlight w:val="none"/>
        </w:rPr>
        <w:t>服务报酬</w:t>
      </w:r>
    </w:p>
    <w:p w14:paraId="01AE6FDB">
      <w:pPr>
        <w:adjustRightInd w:val="0"/>
        <w:snapToGrid w:val="0"/>
        <w:spacing w:line="360" w:lineRule="auto"/>
        <w:ind w:firstLine="480" w:firstLineChars="200"/>
        <w:rPr>
          <w:rFonts w:ascii="宋体"/>
          <w:sz w:val="24"/>
          <w:highlight w:val="none"/>
        </w:rPr>
      </w:pPr>
      <w:r>
        <w:rPr>
          <w:rFonts w:ascii="宋体" w:hAnsi="宋体"/>
          <w:bCs/>
          <w:sz w:val="24"/>
          <w:highlight w:val="none"/>
        </w:rPr>
        <w:t>3.1</w:t>
      </w:r>
      <w:r>
        <w:rPr>
          <w:rFonts w:hint="eastAsia" w:ascii="宋体" w:hAnsi="宋体"/>
          <w:bCs/>
          <w:sz w:val="24"/>
          <w:highlight w:val="none"/>
        </w:rPr>
        <w:t>计取依据：</w:t>
      </w:r>
      <w:r>
        <w:rPr>
          <w:rFonts w:ascii="宋体" w:hAnsi="宋体"/>
          <w:bCs/>
          <w:sz w:val="24"/>
          <w:highlight w:val="none"/>
        </w:rPr>
        <w:t>________________________</w:t>
      </w:r>
      <w:r>
        <w:rPr>
          <w:rFonts w:hint="eastAsia" w:ascii="宋体" w:hAnsi="宋体"/>
          <w:sz w:val="24"/>
          <w:highlight w:val="none"/>
        </w:rPr>
        <w:t>。</w:t>
      </w:r>
    </w:p>
    <w:p w14:paraId="5F822C7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3.2 </w:t>
      </w:r>
      <w:r>
        <w:rPr>
          <w:rFonts w:hint="eastAsia"/>
          <w:highlight w:val="none"/>
        </w:rPr>
        <w:t>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2A96B56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3.3</w:t>
      </w:r>
      <w:r>
        <w:rPr>
          <w:rFonts w:hint="eastAsia"/>
          <w:highlight w:val="none"/>
        </w:rPr>
        <w:t>服务价款支付：</w:t>
      </w:r>
      <w:r>
        <w:rPr>
          <w:highlight w:val="none"/>
        </w:rPr>
        <w:t>______________________________</w:t>
      </w:r>
      <w:r>
        <w:rPr>
          <w:rFonts w:hint="eastAsia"/>
          <w:highlight w:val="none"/>
        </w:rPr>
        <w:t>。</w:t>
      </w:r>
    </w:p>
    <w:p w14:paraId="3925C4FD">
      <w:pPr>
        <w:pStyle w:val="24"/>
        <w:adjustRightInd w:val="0"/>
        <w:snapToGrid w:val="0"/>
        <w:spacing w:before="0" w:beforeAutospacing="0" w:after="0" w:afterAutospacing="0" w:line="360" w:lineRule="auto"/>
        <w:ind w:firstLine="560"/>
        <w:rPr>
          <w:rFonts w:cs="仿宋"/>
          <w:highlight w:val="none"/>
        </w:rPr>
      </w:pPr>
      <w:r>
        <w:rPr>
          <w:highlight w:val="none"/>
        </w:rPr>
        <w:t xml:space="preserve">3.4 </w:t>
      </w:r>
      <w:r>
        <w:rPr>
          <w:rFonts w:hint="eastAsia"/>
          <w:highlight w:val="none"/>
        </w:rPr>
        <w:t>对供应商提供的服务，采购人将以上述方式或比例予以付款。</w:t>
      </w:r>
      <w:r>
        <w:rPr>
          <w:rFonts w:hint="eastAsia" w:cs="仿宋"/>
          <w:highlight w:val="none"/>
        </w:rPr>
        <w:t>采购人向供应商支付服务报酬时，供应商按照财务制度提供发票。</w:t>
      </w:r>
    </w:p>
    <w:p w14:paraId="16670891">
      <w:pPr>
        <w:pStyle w:val="24"/>
        <w:adjustRightInd w:val="0"/>
        <w:snapToGrid w:val="0"/>
        <w:spacing w:before="0" w:beforeAutospacing="0" w:after="0" w:afterAutospacing="0" w:line="360" w:lineRule="auto"/>
        <w:rPr>
          <w:highlight w:val="none"/>
        </w:rPr>
      </w:pPr>
      <w:r>
        <w:rPr>
          <w:rFonts w:hint="eastAsia"/>
          <w:highlight w:val="none"/>
        </w:rPr>
        <w:t>　　第四条</w:t>
      </w:r>
      <w:r>
        <w:rPr>
          <w:highlight w:val="none"/>
        </w:rPr>
        <w:t xml:space="preserve"> </w:t>
      </w:r>
      <w:r>
        <w:rPr>
          <w:rFonts w:hint="eastAsia"/>
          <w:highlight w:val="none"/>
        </w:rPr>
        <w:t>保密</w:t>
      </w:r>
    </w:p>
    <w:p w14:paraId="7A025D63">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4.1 </w:t>
      </w:r>
      <w:r>
        <w:rPr>
          <w:rFonts w:hint="eastAsia"/>
          <w:highlight w:val="none"/>
        </w:rPr>
        <w:t>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3D81580C">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4.2 </w:t>
      </w:r>
      <w:r>
        <w:rPr>
          <w:rFonts w:hint="eastAsia"/>
          <w:highlight w:val="none"/>
        </w:rPr>
        <w:t>合同有效期内，双方采取适当措施对相关资料或信息予以严格保密，未经一方的书面同意，另一方不得泄露给任何第三方。</w:t>
      </w:r>
    </w:p>
    <w:p w14:paraId="5E33176D">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4.3 </w:t>
      </w:r>
      <w:r>
        <w:rPr>
          <w:rFonts w:hint="eastAsia"/>
          <w:highlight w:val="none"/>
        </w:rPr>
        <w:t>一方和其技术人员在履行合同过程中所获得或接触到的任何保密信息，另一方有义务予以保密，未经其书面同意，任何一方不得使用或泄露从他方获得的上述保密信息。</w:t>
      </w:r>
    </w:p>
    <w:p w14:paraId="5E4FD446">
      <w:pPr>
        <w:pStyle w:val="24"/>
        <w:adjustRightInd w:val="0"/>
        <w:snapToGrid w:val="0"/>
        <w:spacing w:before="0" w:beforeAutospacing="0" w:after="0" w:afterAutospacing="0" w:line="360" w:lineRule="auto"/>
        <w:rPr>
          <w:highlight w:val="none"/>
        </w:rPr>
      </w:pPr>
      <w:r>
        <w:rPr>
          <w:rFonts w:hint="eastAsia"/>
          <w:highlight w:val="none"/>
        </w:rPr>
        <w:t>　　第五条</w:t>
      </w:r>
      <w:r>
        <w:rPr>
          <w:highlight w:val="none"/>
        </w:rPr>
        <w:t xml:space="preserve"> </w:t>
      </w:r>
      <w:r>
        <w:rPr>
          <w:rFonts w:hint="eastAsia"/>
          <w:highlight w:val="none"/>
        </w:rPr>
        <w:t>税费</w:t>
      </w:r>
    </w:p>
    <w:p w14:paraId="732A6BB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5.1 </w:t>
      </w:r>
      <w:r>
        <w:rPr>
          <w:rFonts w:hint="eastAsia"/>
          <w:highlight w:val="none"/>
        </w:rPr>
        <w:t>国家根据税法对甲乙双方征收的与执行本合同或与本合同有关的一切税费均由甲乙双方各自方负担。</w:t>
      </w:r>
    </w:p>
    <w:p w14:paraId="2011B88F">
      <w:pPr>
        <w:pStyle w:val="24"/>
        <w:adjustRightInd w:val="0"/>
        <w:snapToGrid w:val="0"/>
        <w:spacing w:before="0" w:beforeAutospacing="0" w:after="0" w:afterAutospacing="0" w:line="360" w:lineRule="auto"/>
        <w:rPr>
          <w:highlight w:val="none"/>
        </w:rPr>
      </w:pPr>
      <w:r>
        <w:rPr>
          <w:rFonts w:hint="eastAsia"/>
          <w:highlight w:val="none"/>
        </w:rPr>
        <w:t>　　第六条</w:t>
      </w:r>
      <w:r>
        <w:rPr>
          <w:highlight w:val="none"/>
        </w:rPr>
        <w:t xml:space="preserve"> </w:t>
      </w:r>
      <w:r>
        <w:rPr>
          <w:rFonts w:hint="eastAsia"/>
          <w:highlight w:val="none"/>
        </w:rPr>
        <w:t>保证</w:t>
      </w:r>
    </w:p>
    <w:p w14:paraId="520B9058">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6.1 </w:t>
      </w:r>
      <w:r>
        <w:rPr>
          <w:rFonts w:hint="eastAsia"/>
          <w:highlight w:val="none"/>
        </w:rPr>
        <w:t>供应商保证其经验和能力能以令人满意的方式富有效率且迅速地开展服务，其合同项下的服务由胜任的技术人员依据双方接受的标准完成。</w:t>
      </w:r>
    </w:p>
    <w:p w14:paraId="375E4EA2">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6.2 </w:t>
      </w:r>
      <w:r>
        <w:rPr>
          <w:rFonts w:hint="eastAsia"/>
          <w:highlight w:val="none"/>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749B9ABF">
      <w:pPr>
        <w:pStyle w:val="24"/>
        <w:adjustRightInd w:val="0"/>
        <w:snapToGrid w:val="0"/>
        <w:spacing w:before="0" w:beforeAutospacing="0" w:after="0" w:afterAutospacing="0" w:line="360" w:lineRule="auto"/>
        <w:rPr>
          <w:highlight w:val="none"/>
        </w:rPr>
      </w:pPr>
      <w:r>
        <w:rPr>
          <w:rFonts w:hint="eastAsia"/>
          <w:highlight w:val="none"/>
        </w:rPr>
        <w:t>　　第七条</w:t>
      </w:r>
      <w:r>
        <w:rPr>
          <w:highlight w:val="none"/>
        </w:rPr>
        <w:t xml:space="preserve"> </w:t>
      </w:r>
      <w:r>
        <w:rPr>
          <w:rFonts w:hint="eastAsia"/>
          <w:highlight w:val="none"/>
        </w:rPr>
        <w:t>服务成果的归属</w:t>
      </w:r>
    </w:p>
    <w:p w14:paraId="692CC136">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7.1 </w:t>
      </w:r>
      <w:r>
        <w:rPr>
          <w:rFonts w:hint="eastAsia"/>
          <w:highlight w:val="none"/>
        </w:rPr>
        <w:t>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4C919990">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7.2 </w:t>
      </w:r>
      <w:r>
        <w:rPr>
          <w:rFonts w:hint="eastAsia"/>
          <w:highlight w:val="none"/>
        </w:rPr>
        <w:t>供应商可保存上述资料的复印件，包括采购人提供的资料，但未经采购人的书面同意，供应商不得将上述资料用于与本服务项目之外的任何项目。</w:t>
      </w:r>
    </w:p>
    <w:p w14:paraId="37BD3303">
      <w:pPr>
        <w:pStyle w:val="24"/>
        <w:adjustRightInd w:val="0"/>
        <w:snapToGrid w:val="0"/>
        <w:spacing w:before="0" w:beforeAutospacing="0" w:after="0" w:afterAutospacing="0" w:line="360" w:lineRule="auto"/>
        <w:rPr>
          <w:highlight w:val="none"/>
        </w:rPr>
      </w:pPr>
      <w:r>
        <w:rPr>
          <w:rFonts w:hint="eastAsia"/>
          <w:highlight w:val="none"/>
        </w:rPr>
        <w:t>　　第八条</w:t>
      </w:r>
      <w:r>
        <w:rPr>
          <w:highlight w:val="none"/>
        </w:rPr>
        <w:t xml:space="preserve"> </w:t>
      </w:r>
      <w:r>
        <w:rPr>
          <w:rFonts w:hint="eastAsia"/>
          <w:highlight w:val="none"/>
        </w:rPr>
        <w:t>转让</w:t>
      </w:r>
    </w:p>
    <w:p w14:paraId="3ABAF506">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8.1 </w:t>
      </w:r>
      <w:r>
        <w:rPr>
          <w:rFonts w:hint="eastAsia"/>
          <w:highlight w:val="none"/>
        </w:rPr>
        <w:t>未经另一方事先书面同意，无论是采购人或是供应商均不得将其合同权利或义务转让或转包给他人。</w:t>
      </w:r>
    </w:p>
    <w:p w14:paraId="06E88698">
      <w:pPr>
        <w:pStyle w:val="24"/>
        <w:adjustRightInd w:val="0"/>
        <w:snapToGrid w:val="0"/>
        <w:spacing w:before="0" w:beforeAutospacing="0" w:after="0" w:afterAutospacing="0" w:line="360" w:lineRule="auto"/>
        <w:rPr>
          <w:highlight w:val="none"/>
        </w:rPr>
      </w:pPr>
      <w:r>
        <w:rPr>
          <w:rFonts w:hint="eastAsia"/>
          <w:highlight w:val="none"/>
        </w:rPr>
        <w:t>　　第九条</w:t>
      </w:r>
      <w:r>
        <w:rPr>
          <w:highlight w:val="none"/>
        </w:rPr>
        <w:t xml:space="preserve"> </w:t>
      </w:r>
      <w:r>
        <w:rPr>
          <w:rFonts w:hint="eastAsia"/>
          <w:highlight w:val="none"/>
        </w:rPr>
        <w:t>不可抗力</w:t>
      </w:r>
    </w:p>
    <w:p w14:paraId="7DC0A129">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9.1 </w:t>
      </w:r>
      <w:r>
        <w:rPr>
          <w:rFonts w:hint="eastAsia"/>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759F08DE">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9.2 </w:t>
      </w:r>
      <w:r>
        <w:rPr>
          <w:rFonts w:hint="eastAsia"/>
          <w:highlight w:val="none"/>
        </w:rPr>
        <w:t>受影响的一方对因不可抗力而不能履行或延迟履行合同义务不承担责任。受影响的一方应在不可抗力事故消除后尽快通知另一方。</w:t>
      </w:r>
    </w:p>
    <w:p w14:paraId="0A2B7523">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9.3 </w:t>
      </w:r>
      <w:r>
        <w:rPr>
          <w:rFonts w:hint="eastAsia"/>
          <w:highlight w:val="none"/>
        </w:rPr>
        <w:t>双方在不可抗力事故停止后或影响消除后立即继续履行合同义务，合同有效期和</w:t>
      </w:r>
      <w:r>
        <w:rPr>
          <w:highlight w:val="none"/>
        </w:rPr>
        <w:t>/</w:t>
      </w:r>
      <w:r>
        <w:rPr>
          <w:rFonts w:hint="eastAsia"/>
          <w:highlight w:val="none"/>
        </w:rPr>
        <w:t>或有关履行合同的预定的期限相应延长。</w:t>
      </w:r>
    </w:p>
    <w:p w14:paraId="7B804E5C">
      <w:pPr>
        <w:pStyle w:val="24"/>
        <w:adjustRightInd w:val="0"/>
        <w:snapToGrid w:val="0"/>
        <w:spacing w:before="0" w:beforeAutospacing="0" w:after="0" w:afterAutospacing="0" w:line="360" w:lineRule="auto"/>
        <w:rPr>
          <w:highlight w:val="none"/>
        </w:rPr>
      </w:pPr>
      <w:r>
        <w:rPr>
          <w:rFonts w:hint="eastAsia"/>
          <w:highlight w:val="none"/>
        </w:rPr>
        <w:t>　　第十条</w:t>
      </w:r>
      <w:r>
        <w:rPr>
          <w:highlight w:val="none"/>
        </w:rPr>
        <w:t xml:space="preserve"> </w:t>
      </w:r>
      <w:r>
        <w:rPr>
          <w:rFonts w:hint="eastAsia"/>
          <w:highlight w:val="none"/>
        </w:rPr>
        <w:t>仲裁</w:t>
      </w:r>
    </w:p>
    <w:p w14:paraId="63DAB5CF">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10.1 </w:t>
      </w:r>
      <w:r>
        <w:rPr>
          <w:rFonts w:hint="eastAsia"/>
          <w:highlight w:val="none"/>
        </w:rPr>
        <w:t>因本合同履行引起的或与本合同有关的任何争议，可提交</w:t>
      </w:r>
      <w:r>
        <w:rPr>
          <w:highlight w:val="none"/>
        </w:rPr>
        <w:t>_</w:t>
      </w:r>
      <w:r>
        <w:rPr>
          <w:rFonts w:hint="eastAsia"/>
          <w:highlight w:val="none"/>
          <w:u w:val="single"/>
        </w:rPr>
        <w:t>临沂</w:t>
      </w:r>
      <w:r>
        <w:rPr>
          <w:highlight w:val="none"/>
        </w:rPr>
        <w:t>_</w:t>
      </w:r>
      <w:r>
        <w:rPr>
          <w:rFonts w:hint="eastAsia"/>
          <w:highlight w:val="none"/>
        </w:rPr>
        <w:t>仲裁委员会仲裁，仲裁裁决是终局的，对双方均有约束力。</w:t>
      </w:r>
    </w:p>
    <w:p w14:paraId="18B28EB7">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10.2 </w:t>
      </w:r>
      <w:r>
        <w:rPr>
          <w:rFonts w:hint="eastAsia"/>
          <w:highlight w:val="none"/>
        </w:rPr>
        <w:t>除非另有规定，仲裁不得影响合同双方继续履行合同所规定的义务。</w:t>
      </w:r>
    </w:p>
    <w:p w14:paraId="27D9E1E8">
      <w:pPr>
        <w:pStyle w:val="24"/>
        <w:adjustRightInd w:val="0"/>
        <w:snapToGrid w:val="0"/>
        <w:spacing w:before="0" w:beforeAutospacing="0" w:after="0" w:afterAutospacing="0" w:line="360" w:lineRule="auto"/>
        <w:rPr>
          <w:highlight w:val="none"/>
        </w:rPr>
      </w:pPr>
      <w:r>
        <w:rPr>
          <w:rFonts w:hint="eastAsia"/>
          <w:highlight w:val="none"/>
        </w:rPr>
        <w:t>　　第十一条</w:t>
      </w:r>
      <w:r>
        <w:rPr>
          <w:highlight w:val="none"/>
        </w:rPr>
        <w:t xml:space="preserve"> </w:t>
      </w:r>
      <w:r>
        <w:rPr>
          <w:rFonts w:hint="eastAsia"/>
          <w:highlight w:val="none"/>
        </w:rPr>
        <w:t>语言和标准</w:t>
      </w:r>
    </w:p>
    <w:p w14:paraId="4CB93AEE">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11.1 </w:t>
      </w:r>
      <w:r>
        <w:rPr>
          <w:rFonts w:hint="eastAsia"/>
          <w:highlight w:val="none"/>
        </w:rPr>
        <w:t>除本合同及附件外，采购人和供应商之间的所有往来函件，供应商给采购人的资料、文件和技术咨询报告、图纸等均采用中文。</w:t>
      </w:r>
    </w:p>
    <w:p w14:paraId="2B9B3C0F">
      <w:pPr>
        <w:pStyle w:val="24"/>
        <w:adjustRightInd w:val="0"/>
        <w:snapToGrid w:val="0"/>
        <w:spacing w:before="0" w:beforeAutospacing="0" w:after="0" w:afterAutospacing="0" w:line="360" w:lineRule="auto"/>
        <w:rPr>
          <w:highlight w:val="none"/>
        </w:rPr>
      </w:pPr>
      <w:r>
        <w:rPr>
          <w:rFonts w:hint="eastAsia"/>
          <w:highlight w:val="none"/>
        </w:rPr>
        <w:t>　　第十二条</w:t>
      </w:r>
      <w:r>
        <w:rPr>
          <w:highlight w:val="none"/>
        </w:rPr>
        <w:t xml:space="preserve"> </w:t>
      </w:r>
      <w:r>
        <w:rPr>
          <w:rFonts w:hint="eastAsia"/>
          <w:highlight w:val="none"/>
        </w:rPr>
        <w:t>合同的生效及其它</w:t>
      </w:r>
    </w:p>
    <w:p w14:paraId="703650C4">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12.1</w:t>
      </w:r>
      <w:r>
        <w:rPr>
          <w:rFonts w:hint="eastAsia"/>
          <w:highlight w:val="none"/>
        </w:rPr>
        <w:t>本合同自双方签字盖章之日起生效，有效期自合同生效之日起为服务工作结束且支付完毕服务报酬后失效。。</w:t>
      </w:r>
    </w:p>
    <w:p w14:paraId="4CEAEBBB">
      <w:pPr>
        <w:pStyle w:val="24"/>
        <w:adjustRightInd w:val="0"/>
        <w:snapToGrid w:val="0"/>
        <w:spacing w:before="0" w:beforeAutospacing="0" w:after="0" w:afterAutospacing="0" w:line="360" w:lineRule="auto"/>
        <w:rPr>
          <w:highlight w:val="none"/>
        </w:rPr>
      </w:pPr>
      <w:r>
        <w:rPr>
          <w:rFonts w:hint="eastAsia"/>
          <w:highlight w:val="none"/>
        </w:rPr>
        <w:t>　　</w:t>
      </w:r>
      <w:r>
        <w:rPr>
          <w:highlight w:val="none"/>
        </w:rPr>
        <w:t xml:space="preserve">12.2 </w:t>
      </w:r>
      <w:r>
        <w:rPr>
          <w:rFonts w:hint="eastAsia"/>
          <w:highlight w:val="none"/>
        </w:rPr>
        <w:t>所有对本合同的修订、补充、删减、或变更等均以书面完成并经双方授权代表签字后生效。生效的修订、补充、删减、或变更构成本合同不可分割的组成部分，与合同正文具有同等法律效力。</w:t>
      </w:r>
    </w:p>
    <w:p w14:paraId="05670E08">
      <w:pPr>
        <w:pStyle w:val="24"/>
        <w:adjustRightInd w:val="0"/>
        <w:snapToGrid w:val="0"/>
        <w:spacing w:before="0" w:beforeAutospacing="0" w:after="0" w:afterAutospacing="0" w:line="360" w:lineRule="auto"/>
        <w:ind w:firstLine="480"/>
        <w:rPr>
          <w:highlight w:val="none"/>
        </w:rPr>
      </w:pPr>
      <w:r>
        <w:rPr>
          <w:highlight w:val="none"/>
        </w:rPr>
        <w:t>12.3</w:t>
      </w:r>
      <w:r>
        <w:rPr>
          <w:rFonts w:hint="eastAsia"/>
          <w:highlight w:val="none"/>
        </w:rPr>
        <w:t>双方之间的联系应以书面形式进行。</w:t>
      </w:r>
    </w:p>
    <w:p w14:paraId="64D28D2F">
      <w:pPr>
        <w:pStyle w:val="24"/>
        <w:adjustRightInd w:val="0"/>
        <w:snapToGrid w:val="0"/>
        <w:spacing w:before="0" w:beforeAutospacing="0" w:after="0" w:afterAutospacing="0" w:line="360" w:lineRule="auto"/>
        <w:ind w:firstLine="480"/>
        <w:rPr>
          <w:highlight w:val="none"/>
        </w:rPr>
      </w:pPr>
      <w:r>
        <w:rPr>
          <w:highlight w:val="none"/>
        </w:rPr>
        <w:t xml:space="preserve">12.4 </w:t>
      </w:r>
      <w:r>
        <w:rPr>
          <w:rFonts w:hint="eastAsia"/>
          <w:highlight w:val="none"/>
        </w:rPr>
        <w:t>补充条款：</w:t>
      </w:r>
      <w:r>
        <w:rPr>
          <w:highlight w:val="none"/>
        </w:rPr>
        <w:t>_____________________</w:t>
      </w:r>
      <w:r>
        <w:rPr>
          <w:rFonts w:hint="eastAsia"/>
          <w:highlight w:val="none"/>
        </w:rPr>
        <w:t>。</w:t>
      </w:r>
    </w:p>
    <w:p w14:paraId="701F4415">
      <w:pPr>
        <w:spacing w:line="360" w:lineRule="auto"/>
        <w:ind w:firstLine="480" w:firstLineChars="200"/>
        <w:rPr>
          <w:rFonts w:ascii="宋体" w:cs="宋体"/>
          <w:sz w:val="24"/>
          <w:highlight w:val="none"/>
        </w:rPr>
      </w:pPr>
      <w:r>
        <w:rPr>
          <w:rFonts w:ascii="宋体" w:hAnsi="宋体" w:cs="宋体"/>
          <w:sz w:val="24"/>
          <w:highlight w:val="none"/>
        </w:rPr>
        <w:t xml:space="preserve">                                                              </w:t>
      </w:r>
    </w:p>
    <w:p w14:paraId="7D477C68">
      <w:pPr>
        <w:spacing w:line="360" w:lineRule="auto"/>
        <w:ind w:firstLine="480" w:firstLineChars="200"/>
        <w:rPr>
          <w:rFonts w:ascii="宋体" w:cs="宋体"/>
          <w:sz w:val="24"/>
          <w:highlight w:val="none"/>
        </w:rPr>
      </w:pPr>
      <w:r>
        <w:rPr>
          <w:rFonts w:hint="eastAsia" w:ascii="宋体" w:hAnsi="宋体" w:cs="宋体"/>
          <w:sz w:val="24"/>
          <w:highlight w:val="none"/>
        </w:rPr>
        <w:t>合同附件：</w:t>
      </w:r>
    </w:p>
    <w:p w14:paraId="12A099F7">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附件</w:t>
      </w:r>
      <w:r>
        <w:rPr>
          <w:rFonts w:ascii="宋体" w:hAnsi="宋体" w:cs="宋体"/>
          <w:b/>
          <w:bCs/>
          <w:sz w:val="24"/>
          <w:highlight w:val="none"/>
        </w:rPr>
        <w:t>1</w:t>
      </w:r>
      <w:r>
        <w:rPr>
          <w:rFonts w:hint="eastAsia" w:ascii="宋体" w:hAnsi="宋体" w:cs="宋体"/>
          <w:b/>
          <w:bCs/>
          <w:sz w:val="24"/>
          <w:highlight w:val="none"/>
        </w:rPr>
        <w:t>：货物分项报价表</w:t>
      </w:r>
    </w:p>
    <w:p w14:paraId="17530508">
      <w:pPr>
        <w:pStyle w:val="77"/>
        <w:rPr>
          <w:rFonts w:hint="default" w:cs="宋体"/>
          <w:b/>
          <w:bCs/>
          <w:color w:val="auto"/>
          <w:highlight w:val="none"/>
        </w:rPr>
      </w:pPr>
      <w:r>
        <w:rPr>
          <w:rFonts w:cs="宋体"/>
          <w:b/>
          <w:bCs/>
          <w:color w:val="auto"/>
          <w:highlight w:val="none"/>
        </w:rPr>
        <w:t>附件2：售后服务承诺</w:t>
      </w:r>
    </w:p>
    <w:p w14:paraId="40E2E133">
      <w:pPr>
        <w:pStyle w:val="77"/>
        <w:rPr>
          <w:rFonts w:hint="default" w:cs="宋体"/>
          <w:b/>
          <w:bCs/>
          <w:color w:val="auto"/>
          <w:highlight w:val="none"/>
        </w:rPr>
      </w:pPr>
      <w:r>
        <w:rPr>
          <w:rFonts w:cs="宋体"/>
          <w:b/>
          <w:bCs/>
          <w:color w:val="auto"/>
          <w:highlight w:val="none"/>
        </w:rPr>
        <w:t>附件3：优惠条款</w:t>
      </w:r>
    </w:p>
    <w:p w14:paraId="23131144">
      <w:pPr>
        <w:pStyle w:val="77"/>
        <w:rPr>
          <w:rFonts w:hint="default" w:cs="宋体"/>
          <w:b/>
          <w:bCs/>
          <w:color w:val="auto"/>
          <w:highlight w:val="none"/>
        </w:rPr>
      </w:pPr>
      <w:r>
        <w:rPr>
          <w:rFonts w:cs="宋体"/>
          <w:b/>
          <w:bCs/>
          <w:color w:val="auto"/>
          <w:highlight w:val="none"/>
        </w:rPr>
        <w:t>附件4：最终报价表（扫描件）</w:t>
      </w:r>
    </w:p>
    <w:p w14:paraId="385E9477">
      <w:pPr>
        <w:rPr>
          <w:rFonts w:ascii="宋体" w:hAnsi="宋体" w:cs="宋体"/>
          <w:i/>
          <w:iCs/>
          <w:highlight w:val="none"/>
        </w:rP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ˎ̥">
    <w:altName w:val="Courier New"/>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835A0">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2D8DA07B">
                          <w:pPr>
                            <w:pStyle w:val="17"/>
                            <w:rPr>
                              <w:rStyle w:val="32"/>
                            </w:rPr>
                          </w:pPr>
                          <w:r>
                            <w:fldChar w:fldCharType="begin"/>
                          </w:r>
                          <w:r>
                            <w:rPr>
                              <w:rStyle w:val="32"/>
                            </w:rPr>
                            <w:instrText xml:space="preserve">PAGE  </w:instrText>
                          </w:r>
                          <w:r>
                            <w:fldChar w:fldCharType="separate"/>
                          </w:r>
                          <w:r>
                            <w:rPr>
                              <w:rStyle w:val="32"/>
                            </w:rPr>
                            <w:t>3</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14:paraId="2D8DA07B">
                    <w:pPr>
                      <w:pStyle w:val="17"/>
                      <w:rPr>
                        <w:rStyle w:val="32"/>
                      </w:rPr>
                    </w:pPr>
                    <w:r>
                      <w:fldChar w:fldCharType="begin"/>
                    </w:r>
                    <w:r>
                      <w:rPr>
                        <w:rStyle w:val="32"/>
                      </w:rPr>
                      <w:instrText xml:space="preserve">PAGE  </w:instrText>
                    </w:r>
                    <w:r>
                      <w:fldChar w:fldCharType="separate"/>
                    </w:r>
                    <w:r>
                      <w:rPr>
                        <w:rStyle w:val="32"/>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50165">
    <w:pPr>
      <w:pStyle w:val="17"/>
      <w:framePr w:wrap="around" w:vAnchor="text" w:hAnchor="margin" w:xAlign="center" w:y="1"/>
      <w:rPr>
        <w:rStyle w:val="32"/>
      </w:rPr>
    </w:pPr>
    <w:r>
      <w:fldChar w:fldCharType="begin"/>
    </w:r>
    <w:r>
      <w:rPr>
        <w:rStyle w:val="32"/>
      </w:rPr>
      <w:instrText xml:space="preserve">PAGE  </w:instrText>
    </w:r>
    <w:r>
      <w:fldChar w:fldCharType="end"/>
    </w:r>
  </w:p>
  <w:p w14:paraId="4E74A91B">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D27C33">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9695" cy="14668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99695" cy="146685"/>
                      </a:xfrm>
                      <a:prstGeom prst="rect">
                        <a:avLst/>
                      </a:prstGeom>
                      <a:noFill/>
                      <a:ln w="9525">
                        <a:noFill/>
                      </a:ln>
                      <a:effectLst/>
                    </wps:spPr>
                    <wps:txbx>
                      <w:txbxContent>
                        <w:p w14:paraId="4640F683">
                          <w:pPr>
                            <w:pStyle w:val="17"/>
                            <w:rPr>
                              <w:rStyle w:val="32"/>
                            </w:rPr>
                          </w:pPr>
                          <w:r>
                            <w:fldChar w:fldCharType="begin"/>
                          </w:r>
                          <w:r>
                            <w:rPr>
                              <w:rStyle w:val="32"/>
                            </w:rPr>
                            <w:instrText xml:space="preserve">PAGE  </w:instrText>
                          </w:r>
                          <w:r>
                            <w:fldChar w:fldCharType="separate"/>
                          </w:r>
                          <w:r>
                            <w:rPr>
                              <w:rStyle w:val="32"/>
                            </w:rPr>
                            <w:t>29</w:t>
                          </w:r>
                          <w:r>
                            <w:fldChar w:fldCharType="end"/>
                          </w:r>
                        </w:p>
                      </w:txbxContent>
                    </wps:txbx>
                    <wps:bodyPr vert="horz" wrap="square" lIns="0" tIns="0" rIns="0" bIns="0" anchor="t" anchorCtr="0">
                      <a:noAutofit/>
                    </wps:bodyPr>
                  </wps:wsp>
                </a:graphicData>
              </a:graphic>
            </wp:anchor>
          </w:drawing>
        </mc:Choice>
        <mc:Fallback>
          <w:pict>
            <v:shape id="文本框 3" o:spid="_x0000_s1026" o:spt="202" type="#_x0000_t202" style="position:absolute;left:0pt;margin-top:0pt;height:11.55pt;width:7.85pt;mso-position-horizontal:center;mso-position-horizontal-relative:margin;z-index:251660288;mso-width-relative:page;mso-height-relative:page;" filled="f" stroked="f" coordsize="21600,21600" o:gfxdata="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2dS0c0wAA&#10;AAMBAAAPAAAAAAAAAAEAIAAAACIAAABkcnMvZG93bnJldi54bWxQSwECFAAUAAAACACHTuJANJCX&#10;d+oBAADJAwAADgAAAAAAAAABACAAAAAiAQAAZHJzL2Uyb0RvYy54bWxQSwUGAAAAAAYABgBZAQAA&#10;fgUAAAAA&#10;">
              <v:fill on="f" focussize="0,0"/>
              <v:stroke on="f"/>
              <v:imagedata o:title=""/>
              <o:lock v:ext="edit" aspectratio="f"/>
              <v:textbox inset="0mm,0mm,0mm,0mm">
                <w:txbxContent>
                  <w:p w14:paraId="4640F683">
                    <w:pPr>
                      <w:pStyle w:val="17"/>
                      <w:rPr>
                        <w:rStyle w:val="32"/>
                      </w:rPr>
                    </w:pPr>
                    <w:r>
                      <w:fldChar w:fldCharType="begin"/>
                    </w:r>
                    <w:r>
                      <w:rPr>
                        <w:rStyle w:val="32"/>
                      </w:rPr>
                      <w:instrText xml:space="preserve">PAGE  </w:instrText>
                    </w:r>
                    <w:r>
                      <w:fldChar w:fldCharType="separate"/>
                    </w:r>
                    <w:r>
                      <w:rPr>
                        <w:rStyle w:val="32"/>
                      </w:rPr>
                      <w:t>29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27B4F">
    <w:pPr>
      <w:pStyle w:val="17"/>
      <w:framePr w:wrap="around" w:vAnchor="text" w:hAnchor="margin" w:xAlign="center" w:y="1"/>
      <w:rPr>
        <w:rStyle w:val="32"/>
      </w:rPr>
    </w:pPr>
    <w:r>
      <w:fldChar w:fldCharType="begin"/>
    </w:r>
    <w:r>
      <w:rPr>
        <w:rStyle w:val="32"/>
      </w:rPr>
      <w:instrText xml:space="preserve">PAGE  </w:instrText>
    </w:r>
    <w:r>
      <w:fldChar w:fldCharType="end"/>
    </w:r>
  </w:p>
  <w:p w14:paraId="7A7BBE01">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7E42E">
    <w:pPr>
      <w:pStyle w:val="17"/>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14:paraId="755ED2A5">
                          <w:pPr>
                            <w:pStyle w:val="17"/>
                            <w:jc w:val="center"/>
                          </w:pPr>
                          <w:r>
                            <w:fldChar w:fldCharType="begin"/>
                          </w:r>
                          <w:r>
                            <w:instrText xml:space="preserve">PAGE   \* MERGEFORMAT</w:instrText>
                          </w:r>
                          <w:r>
                            <w:fldChar w:fldCharType="separate"/>
                          </w:r>
                          <w:r>
                            <w:rPr>
                              <w:lang w:val="zh-CN"/>
                            </w:rPr>
                            <w:t>59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14:paraId="755ED2A5">
                    <w:pPr>
                      <w:pStyle w:val="17"/>
                      <w:jc w:val="center"/>
                    </w:pPr>
                    <w:r>
                      <w:fldChar w:fldCharType="begin"/>
                    </w:r>
                    <w:r>
                      <w:instrText xml:space="preserve">PAGE   \* MERGEFORMAT</w:instrText>
                    </w:r>
                    <w:r>
                      <w:fldChar w:fldCharType="separate"/>
                    </w:r>
                    <w:r>
                      <w:rPr>
                        <w:lang w:val="zh-CN"/>
                      </w:rPr>
                      <w:t>59</w:t>
                    </w:r>
                    <w:r>
                      <w:fldChar w:fldCharType="end"/>
                    </w:r>
                  </w:p>
                </w:txbxContent>
              </v:textbox>
            </v:shape>
          </w:pict>
        </mc:Fallback>
      </mc:AlternateContent>
    </w:r>
  </w:p>
  <w:p w14:paraId="4527E73E">
    <w:pPr>
      <w:pStyle w:val="17"/>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BE6F9">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B0625">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77B21">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D3C98">
    <w:pPr>
      <w:pStyle w:val="1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99D27">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18072"/>
    <w:multiLevelType w:val="singleLevel"/>
    <w:tmpl w:val="C6B18072"/>
    <w:lvl w:ilvl="0" w:tentative="0">
      <w:start w:val="4"/>
      <w:numFmt w:val="decimal"/>
      <w:suff w:val="space"/>
      <w:lvlText w:val="第%1章"/>
      <w:lvlJc w:val="left"/>
    </w:lvl>
  </w:abstractNum>
  <w:abstractNum w:abstractNumId="1">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3">
    <w:nsid w:val="4C891B9A"/>
    <w:multiLevelType w:val="singleLevel"/>
    <w:tmpl w:val="4C891B9A"/>
    <w:lvl w:ilvl="0" w:tentative="0">
      <w:start w:val="1"/>
      <w:numFmt w:val="chineseCounting"/>
      <w:suff w:val="nothing"/>
      <w:lvlText w:val="%1、"/>
      <w:lvlJc w:val="left"/>
      <w:rPr>
        <w:rFonts w:hint="eastAsia"/>
      </w:rPr>
    </w:lvl>
  </w:abstractNum>
  <w:abstractNum w:abstractNumId="4">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zMzhlZmYwNjBhMWU5MjcyOWJmMmViOTM4ZGM3MmUifQ=="/>
    <w:docVar w:name="KSO_WPS_MARK_KEY" w:val="6f4900ca-704d-45d6-9023-50cac56b4e63"/>
  </w:docVars>
  <w:rsids>
    <w:rsidRoot w:val="00172A27"/>
    <w:rsid w:val="00014F73"/>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B20FF"/>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17B9"/>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175017E"/>
    <w:rsid w:val="019D0CB7"/>
    <w:rsid w:val="02151230"/>
    <w:rsid w:val="025053CA"/>
    <w:rsid w:val="02757C6A"/>
    <w:rsid w:val="02DF7EB2"/>
    <w:rsid w:val="030003DF"/>
    <w:rsid w:val="03133961"/>
    <w:rsid w:val="03EB12B8"/>
    <w:rsid w:val="043D0FA7"/>
    <w:rsid w:val="04477ABD"/>
    <w:rsid w:val="048653C5"/>
    <w:rsid w:val="049A5E25"/>
    <w:rsid w:val="04CB5223"/>
    <w:rsid w:val="04DA736D"/>
    <w:rsid w:val="058C3E4F"/>
    <w:rsid w:val="05F316F9"/>
    <w:rsid w:val="06021322"/>
    <w:rsid w:val="06334A31"/>
    <w:rsid w:val="07B23C6F"/>
    <w:rsid w:val="088B7A6A"/>
    <w:rsid w:val="08BF138C"/>
    <w:rsid w:val="08CC6700"/>
    <w:rsid w:val="095A0007"/>
    <w:rsid w:val="096422B6"/>
    <w:rsid w:val="09A7068B"/>
    <w:rsid w:val="09EA6EE4"/>
    <w:rsid w:val="0A442AD6"/>
    <w:rsid w:val="0AC21C94"/>
    <w:rsid w:val="0AD12740"/>
    <w:rsid w:val="0B3A3EBE"/>
    <w:rsid w:val="0B6D777F"/>
    <w:rsid w:val="0B9F46D6"/>
    <w:rsid w:val="0BB71C77"/>
    <w:rsid w:val="0BC929B9"/>
    <w:rsid w:val="0CC5766E"/>
    <w:rsid w:val="0DC517EF"/>
    <w:rsid w:val="0E3F552B"/>
    <w:rsid w:val="0F3B420A"/>
    <w:rsid w:val="0F7718E5"/>
    <w:rsid w:val="0FE30DF8"/>
    <w:rsid w:val="0FF33245"/>
    <w:rsid w:val="100D3F40"/>
    <w:rsid w:val="102D77DA"/>
    <w:rsid w:val="110E55EF"/>
    <w:rsid w:val="111B4344"/>
    <w:rsid w:val="115A6748"/>
    <w:rsid w:val="12C94A4E"/>
    <w:rsid w:val="12F4585B"/>
    <w:rsid w:val="139D35FD"/>
    <w:rsid w:val="13B41BCC"/>
    <w:rsid w:val="13DB1B85"/>
    <w:rsid w:val="143F2DD4"/>
    <w:rsid w:val="147F57B4"/>
    <w:rsid w:val="14B57065"/>
    <w:rsid w:val="14C8253B"/>
    <w:rsid w:val="14D00994"/>
    <w:rsid w:val="15010EA6"/>
    <w:rsid w:val="151B24AF"/>
    <w:rsid w:val="15492CDC"/>
    <w:rsid w:val="15B605E5"/>
    <w:rsid w:val="15D942D4"/>
    <w:rsid w:val="16291BE3"/>
    <w:rsid w:val="1636260B"/>
    <w:rsid w:val="1689005E"/>
    <w:rsid w:val="16F70A4D"/>
    <w:rsid w:val="17092996"/>
    <w:rsid w:val="1729600A"/>
    <w:rsid w:val="17ED2B53"/>
    <w:rsid w:val="17F65611"/>
    <w:rsid w:val="18725A29"/>
    <w:rsid w:val="18BF0314"/>
    <w:rsid w:val="190727F7"/>
    <w:rsid w:val="199F34B3"/>
    <w:rsid w:val="19B204C7"/>
    <w:rsid w:val="19EE3047"/>
    <w:rsid w:val="1A0A53A3"/>
    <w:rsid w:val="1A1A55E6"/>
    <w:rsid w:val="1A877CAB"/>
    <w:rsid w:val="1A9D20B9"/>
    <w:rsid w:val="1ADB48B5"/>
    <w:rsid w:val="1B220DF2"/>
    <w:rsid w:val="1BE21B34"/>
    <w:rsid w:val="1C1A1CDA"/>
    <w:rsid w:val="1C7D6032"/>
    <w:rsid w:val="1D8057A9"/>
    <w:rsid w:val="1DE21639"/>
    <w:rsid w:val="1E8E02F1"/>
    <w:rsid w:val="1EC61592"/>
    <w:rsid w:val="1F0E185C"/>
    <w:rsid w:val="1F29711F"/>
    <w:rsid w:val="1FE146ED"/>
    <w:rsid w:val="207D067D"/>
    <w:rsid w:val="20A7394C"/>
    <w:rsid w:val="20C41ECA"/>
    <w:rsid w:val="20D671AA"/>
    <w:rsid w:val="21071252"/>
    <w:rsid w:val="21463165"/>
    <w:rsid w:val="21D56297"/>
    <w:rsid w:val="22AE59A2"/>
    <w:rsid w:val="23734838"/>
    <w:rsid w:val="237A68C7"/>
    <w:rsid w:val="239D0DA6"/>
    <w:rsid w:val="23B60887"/>
    <w:rsid w:val="23C860B3"/>
    <w:rsid w:val="23F568FE"/>
    <w:rsid w:val="24595B0B"/>
    <w:rsid w:val="24986DBD"/>
    <w:rsid w:val="24BB755C"/>
    <w:rsid w:val="2527053D"/>
    <w:rsid w:val="253D2EFC"/>
    <w:rsid w:val="25B051A2"/>
    <w:rsid w:val="25BC6A68"/>
    <w:rsid w:val="267267AA"/>
    <w:rsid w:val="27083730"/>
    <w:rsid w:val="27D3276D"/>
    <w:rsid w:val="27E53629"/>
    <w:rsid w:val="27E572E0"/>
    <w:rsid w:val="27ED7BD0"/>
    <w:rsid w:val="28BA6ED0"/>
    <w:rsid w:val="28D667F6"/>
    <w:rsid w:val="28D73C8C"/>
    <w:rsid w:val="293143F3"/>
    <w:rsid w:val="298C7B83"/>
    <w:rsid w:val="2AB36C60"/>
    <w:rsid w:val="2B285E40"/>
    <w:rsid w:val="2B473D9B"/>
    <w:rsid w:val="2BBE7482"/>
    <w:rsid w:val="2BC2627A"/>
    <w:rsid w:val="2BF17AA3"/>
    <w:rsid w:val="2C3266E3"/>
    <w:rsid w:val="2CF93FE9"/>
    <w:rsid w:val="2D96306F"/>
    <w:rsid w:val="2DAB4126"/>
    <w:rsid w:val="2DF34CBB"/>
    <w:rsid w:val="2E0F48DF"/>
    <w:rsid w:val="2E424CB4"/>
    <w:rsid w:val="2E4A54DC"/>
    <w:rsid w:val="2E7B6CC4"/>
    <w:rsid w:val="2E932284"/>
    <w:rsid w:val="2F496D12"/>
    <w:rsid w:val="2F5D3ABE"/>
    <w:rsid w:val="2FF6672D"/>
    <w:rsid w:val="30190135"/>
    <w:rsid w:val="30CC1916"/>
    <w:rsid w:val="31490108"/>
    <w:rsid w:val="325B0308"/>
    <w:rsid w:val="32755171"/>
    <w:rsid w:val="32DF521E"/>
    <w:rsid w:val="334311DB"/>
    <w:rsid w:val="336E3B6F"/>
    <w:rsid w:val="34151D71"/>
    <w:rsid w:val="350223B3"/>
    <w:rsid w:val="35262C3A"/>
    <w:rsid w:val="3636341B"/>
    <w:rsid w:val="3671785E"/>
    <w:rsid w:val="36A67E78"/>
    <w:rsid w:val="376143FD"/>
    <w:rsid w:val="376A551D"/>
    <w:rsid w:val="37A74459"/>
    <w:rsid w:val="38581037"/>
    <w:rsid w:val="387F089F"/>
    <w:rsid w:val="38963DE3"/>
    <w:rsid w:val="38AF02F2"/>
    <w:rsid w:val="392F0E56"/>
    <w:rsid w:val="39320E4B"/>
    <w:rsid w:val="39D276DC"/>
    <w:rsid w:val="3A8C3B01"/>
    <w:rsid w:val="3AED169A"/>
    <w:rsid w:val="3B0024F3"/>
    <w:rsid w:val="3C183361"/>
    <w:rsid w:val="3C3757AC"/>
    <w:rsid w:val="3CEE1901"/>
    <w:rsid w:val="3D0B0BBE"/>
    <w:rsid w:val="3D7D3A58"/>
    <w:rsid w:val="3DBC0CCF"/>
    <w:rsid w:val="3DEE10A9"/>
    <w:rsid w:val="3E331CE0"/>
    <w:rsid w:val="3E670C26"/>
    <w:rsid w:val="3EED5CE2"/>
    <w:rsid w:val="3F2521B4"/>
    <w:rsid w:val="3F8118D1"/>
    <w:rsid w:val="402F3763"/>
    <w:rsid w:val="40C31C84"/>
    <w:rsid w:val="40C63843"/>
    <w:rsid w:val="40D00DE5"/>
    <w:rsid w:val="412F6391"/>
    <w:rsid w:val="41461235"/>
    <w:rsid w:val="41757628"/>
    <w:rsid w:val="41C07E7C"/>
    <w:rsid w:val="42245E14"/>
    <w:rsid w:val="43153E28"/>
    <w:rsid w:val="434834C8"/>
    <w:rsid w:val="43532959"/>
    <w:rsid w:val="43C41F12"/>
    <w:rsid w:val="43EA2390"/>
    <w:rsid w:val="43FD54AD"/>
    <w:rsid w:val="4492209A"/>
    <w:rsid w:val="44AC5EDE"/>
    <w:rsid w:val="4522422D"/>
    <w:rsid w:val="452804BB"/>
    <w:rsid w:val="45C62F8F"/>
    <w:rsid w:val="477068A1"/>
    <w:rsid w:val="47A83982"/>
    <w:rsid w:val="48436FDA"/>
    <w:rsid w:val="48897173"/>
    <w:rsid w:val="48A47477"/>
    <w:rsid w:val="48D975D7"/>
    <w:rsid w:val="494C6814"/>
    <w:rsid w:val="4ADD3A40"/>
    <w:rsid w:val="4B4B51BF"/>
    <w:rsid w:val="4B653334"/>
    <w:rsid w:val="4C121D12"/>
    <w:rsid w:val="4C81207A"/>
    <w:rsid w:val="4CE21669"/>
    <w:rsid w:val="4EA65E73"/>
    <w:rsid w:val="4F6B4A2D"/>
    <w:rsid w:val="4F7D15A7"/>
    <w:rsid w:val="4F910C8D"/>
    <w:rsid w:val="4FD176F3"/>
    <w:rsid w:val="506B7C43"/>
    <w:rsid w:val="50CC783B"/>
    <w:rsid w:val="50FA22D5"/>
    <w:rsid w:val="51015E93"/>
    <w:rsid w:val="513B5867"/>
    <w:rsid w:val="51596F95"/>
    <w:rsid w:val="51A272E6"/>
    <w:rsid w:val="51AC45D2"/>
    <w:rsid w:val="51ED67A5"/>
    <w:rsid w:val="51FF27DF"/>
    <w:rsid w:val="5227142F"/>
    <w:rsid w:val="52347646"/>
    <w:rsid w:val="523E609D"/>
    <w:rsid w:val="523E6B49"/>
    <w:rsid w:val="525100C0"/>
    <w:rsid w:val="52923265"/>
    <w:rsid w:val="52E66F72"/>
    <w:rsid w:val="52EC4491"/>
    <w:rsid w:val="52FE2631"/>
    <w:rsid w:val="537A0C18"/>
    <w:rsid w:val="53F60420"/>
    <w:rsid w:val="544A3C66"/>
    <w:rsid w:val="54814508"/>
    <w:rsid w:val="55323A38"/>
    <w:rsid w:val="554863FA"/>
    <w:rsid w:val="5587611E"/>
    <w:rsid w:val="56282BD5"/>
    <w:rsid w:val="5637484F"/>
    <w:rsid w:val="565A2149"/>
    <w:rsid w:val="56BF0549"/>
    <w:rsid w:val="57772E7B"/>
    <w:rsid w:val="57D6563F"/>
    <w:rsid w:val="58D02D39"/>
    <w:rsid w:val="58D345D7"/>
    <w:rsid w:val="593C00E0"/>
    <w:rsid w:val="598D06AE"/>
    <w:rsid w:val="5A1460A5"/>
    <w:rsid w:val="5A1F1C28"/>
    <w:rsid w:val="5A4B39E2"/>
    <w:rsid w:val="5A585274"/>
    <w:rsid w:val="5A6C467C"/>
    <w:rsid w:val="5AE519B6"/>
    <w:rsid w:val="5AFA37B8"/>
    <w:rsid w:val="5B3B3231"/>
    <w:rsid w:val="5BE67AA2"/>
    <w:rsid w:val="5C2F00C3"/>
    <w:rsid w:val="5C684EA6"/>
    <w:rsid w:val="5C86163E"/>
    <w:rsid w:val="5C8E0F41"/>
    <w:rsid w:val="5C974816"/>
    <w:rsid w:val="5D514A04"/>
    <w:rsid w:val="5D592B21"/>
    <w:rsid w:val="5D681792"/>
    <w:rsid w:val="5E181C7E"/>
    <w:rsid w:val="5E204A18"/>
    <w:rsid w:val="5E2C4052"/>
    <w:rsid w:val="5E4D256F"/>
    <w:rsid w:val="5E854744"/>
    <w:rsid w:val="5F2416E8"/>
    <w:rsid w:val="5F452291"/>
    <w:rsid w:val="5F460E1E"/>
    <w:rsid w:val="5F781673"/>
    <w:rsid w:val="5FB31CAD"/>
    <w:rsid w:val="606347DC"/>
    <w:rsid w:val="61AC12F3"/>
    <w:rsid w:val="62B40C5B"/>
    <w:rsid w:val="633640E0"/>
    <w:rsid w:val="634E2406"/>
    <w:rsid w:val="635970B3"/>
    <w:rsid w:val="644072B2"/>
    <w:rsid w:val="646C3855"/>
    <w:rsid w:val="64915AE7"/>
    <w:rsid w:val="64BA041E"/>
    <w:rsid w:val="64E45DE2"/>
    <w:rsid w:val="65390F50"/>
    <w:rsid w:val="65B85087"/>
    <w:rsid w:val="66291CDA"/>
    <w:rsid w:val="66F836B2"/>
    <w:rsid w:val="674A015A"/>
    <w:rsid w:val="676677EB"/>
    <w:rsid w:val="69EB25CF"/>
    <w:rsid w:val="6A2113E9"/>
    <w:rsid w:val="6A484993"/>
    <w:rsid w:val="6A651FB0"/>
    <w:rsid w:val="6AC01375"/>
    <w:rsid w:val="6AD14E1A"/>
    <w:rsid w:val="6AD23ECA"/>
    <w:rsid w:val="6B14314F"/>
    <w:rsid w:val="6B7806CE"/>
    <w:rsid w:val="6C3E5263"/>
    <w:rsid w:val="6C671F61"/>
    <w:rsid w:val="6C68176D"/>
    <w:rsid w:val="6C77637D"/>
    <w:rsid w:val="6CF11982"/>
    <w:rsid w:val="6D5A7E24"/>
    <w:rsid w:val="6DC347C2"/>
    <w:rsid w:val="6E132974"/>
    <w:rsid w:val="6E427DDD"/>
    <w:rsid w:val="6F320296"/>
    <w:rsid w:val="70656186"/>
    <w:rsid w:val="706D7F34"/>
    <w:rsid w:val="70C330F5"/>
    <w:rsid w:val="70DF5420"/>
    <w:rsid w:val="70E016BA"/>
    <w:rsid w:val="718040BB"/>
    <w:rsid w:val="72913E7E"/>
    <w:rsid w:val="73AC2753"/>
    <w:rsid w:val="73FF4FB0"/>
    <w:rsid w:val="74006FC9"/>
    <w:rsid w:val="740B217C"/>
    <w:rsid w:val="743E7A2A"/>
    <w:rsid w:val="7471467F"/>
    <w:rsid w:val="748F68C2"/>
    <w:rsid w:val="74C740DC"/>
    <w:rsid w:val="757F4291"/>
    <w:rsid w:val="75C27622"/>
    <w:rsid w:val="76323D66"/>
    <w:rsid w:val="76CB2669"/>
    <w:rsid w:val="76CB3AC4"/>
    <w:rsid w:val="775D2AA1"/>
    <w:rsid w:val="77706BE3"/>
    <w:rsid w:val="77A33638"/>
    <w:rsid w:val="782A3662"/>
    <w:rsid w:val="785721B0"/>
    <w:rsid w:val="788D434B"/>
    <w:rsid w:val="792B6137"/>
    <w:rsid w:val="797906C6"/>
    <w:rsid w:val="79FA27C6"/>
    <w:rsid w:val="7A1671C7"/>
    <w:rsid w:val="7A8527BF"/>
    <w:rsid w:val="7AA20C15"/>
    <w:rsid w:val="7AC74194"/>
    <w:rsid w:val="7B305E9E"/>
    <w:rsid w:val="7C031876"/>
    <w:rsid w:val="7C0E12FE"/>
    <w:rsid w:val="7C9A00E3"/>
    <w:rsid w:val="7CF2583A"/>
    <w:rsid w:val="7D070B44"/>
    <w:rsid w:val="7D7E45E8"/>
    <w:rsid w:val="7D8C4BD1"/>
    <w:rsid w:val="7D9F66B2"/>
    <w:rsid w:val="7DB3663A"/>
    <w:rsid w:val="7DC81105"/>
    <w:rsid w:val="7DCD4C7A"/>
    <w:rsid w:val="7DD86068"/>
    <w:rsid w:val="7DEA5ABB"/>
    <w:rsid w:val="7E1A0FAC"/>
    <w:rsid w:val="7E93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b/>
      <w:kern w:val="0"/>
      <w:sz w:val="28"/>
      <w:szCs w:val="20"/>
    </w:rPr>
  </w:style>
  <w:style w:type="paragraph" w:styleId="5">
    <w:name w:val="heading 3"/>
    <w:basedOn w:val="1"/>
    <w:next w:val="1"/>
    <w:qFormat/>
    <w:uiPriority w:val="0"/>
    <w:pPr>
      <w:keepNext/>
      <w:keepLines/>
      <w:autoSpaceDE w:val="0"/>
      <w:autoSpaceDN w:val="0"/>
      <w:adjustRightInd w:val="0"/>
      <w:spacing w:before="100" w:after="100"/>
      <w:jc w:val="left"/>
      <w:outlineLvl w:val="2"/>
    </w:pPr>
    <w:rPr>
      <w:rFonts w:ascii="宋体" w:hAnsi="宋体"/>
      <w:b/>
      <w:kern w:val="0"/>
      <w:sz w:val="24"/>
      <w:szCs w:val="20"/>
      <w:u w:val="single"/>
    </w:rPr>
  </w:style>
  <w:style w:type="paragraph" w:styleId="6">
    <w:name w:val="heading 4"/>
    <w:basedOn w:val="1"/>
    <w:next w:val="1"/>
    <w:link w:val="38"/>
    <w:qFormat/>
    <w:uiPriority w:val="99"/>
    <w:pPr>
      <w:keepNext/>
      <w:keepLines/>
      <w:spacing w:before="280" w:after="290" w:line="376" w:lineRule="auto"/>
      <w:outlineLvl w:val="3"/>
    </w:pPr>
    <w:rPr>
      <w:rFonts w:ascii="Cambria" w:hAnsi="Cambria"/>
      <w:b/>
      <w:bCs/>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toc 7"/>
    <w:basedOn w:val="1"/>
    <w:next w:val="1"/>
    <w:unhideWhenUsed/>
    <w:qFormat/>
    <w:uiPriority w:val="39"/>
    <w:pPr>
      <w:ind w:left="2520" w:leftChars="1200"/>
    </w:pPr>
    <w:rPr>
      <w:rFonts w:ascii="Calibri" w:hAnsi="Calibri"/>
      <w:szCs w:val="22"/>
    </w:rPr>
  </w:style>
  <w:style w:type="paragraph" w:styleId="8">
    <w:name w:val="annotation text"/>
    <w:basedOn w:val="1"/>
    <w:link w:val="39"/>
    <w:unhideWhenUsed/>
    <w:qFormat/>
    <w:uiPriority w:val="0"/>
    <w:pPr>
      <w:jc w:val="left"/>
    </w:pPr>
  </w:style>
  <w:style w:type="paragraph" w:styleId="9">
    <w:name w:val="Body Text"/>
    <w:basedOn w:val="1"/>
    <w:next w:val="1"/>
    <w:link w:val="40"/>
    <w:qFormat/>
    <w:uiPriority w:val="0"/>
    <w:pPr>
      <w:tabs>
        <w:tab w:val="left" w:pos="567"/>
      </w:tabs>
      <w:spacing w:before="120" w:line="22" w:lineRule="atLeast"/>
    </w:pPr>
    <w:rPr>
      <w:rFonts w:ascii="宋体" w:hAnsi="宋体"/>
      <w:sz w:val="24"/>
    </w:rPr>
  </w:style>
  <w:style w:type="paragraph" w:styleId="10">
    <w:name w:val="Body Text Indent"/>
    <w:basedOn w:val="1"/>
    <w:next w:val="1"/>
    <w:qFormat/>
    <w:uiPriority w:val="0"/>
    <w:pPr>
      <w:spacing w:line="540" w:lineRule="exact"/>
      <w:ind w:firstLine="200" w:firstLineChars="200"/>
    </w:pPr>
    <w:rPr>
      <w:sz w:val="24"/>
    </w:rPr>
  </w:style>
  <w:style w:type="paragraph" w:styleId="11">
    <w:name w:val="index 4"/>
    <w:basedOn w:val="1"/>
    <w:next w:val="1"/>
    <w:qFormat/>
    <w:uiPriority w:val="99"/>
    <w:pPr>
      <w:ind w:left="600" w:leftChars="600"/>
    </w:pPr>
  </w:style>
  <w:style w:type="paragraph" w:styleId="12">
    <w:name w:val="toc 5"/>
    <w:basedOn w:val="1"/>
    <w:next w:val="1"/>
    <w:unhideWhenUsed/>
    <w:qFormat/>
    <w:uiPriority w:val="39"/>
    <w:pPr>
      <w:ind w:left="1680" w:leftChars="800"/>
    </w:pPr>
    <w:rPr>
      <w:rFonts w:ascii="Calibri" w:hAnsi="Calibri"/>
      <w:szCs w:val="22"/>
    </w:rPr>
  </w:style>
  <w:style w:type="paragraph" w:styleId="13">
    <w:name w:val="toc 3"/>
    <w:basedOn w:val="1"/>
    <w:next w:val="1"/>
    <w:qFormat/>
    <w:uiPriority w:val="39"/>
    <w:pPr>
      <w:tabs>
        <w:tab w:val="left" w:pos="1260"/>
        <w:tab w:val="right" w:leader="dot" w:pos="8630"/>
      </w:tabs>
      <w:ind w:left="840" w:leftChars="400"/>
    </w:pPr>
  </w:style>
  <w:style w:type="paragraph" w:styleId="14">
    <w:name w:val="Plain Text"/>
    <w:basedOn w:val="1"/>
    <w:link w:val="41"/>
    <w:qFormat/>
    <w:uiPriority w:val="0"/>
    <w:rPr>
      <w:rFonts w:ascii="宋体" w:hAnsi="Courier New"/>
      <w:szCs w:val="20"/>
    </w:rPr>
  </w:style>
  <w:style w:type="paragraph" w:styleId="15">
    <w:name w:val="toc 8"/>
    <w:basedOn w:val="1"/>
    <w:next w:val="1"/>
    <w:unhideWhenUsed/>
    <w:qFormat/>
    <w:uiPriority w:val="39"/>
    <w:pPr>
      <w:ind w:left="2940" w:leftChars="1400"/>
    </w:pPr>
    <w:rPr>
      <w:rFonts w:ascii="Calibri" w:hAnsi="Calibri"/>
      <w:szCs w:val="22"/>
    </w:rPr>
  </w:style>
  <w:style w:type="paragraph" w:styleId="16">
    <w:name w:val="Balloon Text"/>
    <w:basedOn w:val="1"/>
    <w:link w:val="42"/>
    <w:qFormat/>
    <w:uiPriority w:val="0"/>
    <w:rPr>
      <w:sz w:val="18"/>
      <w:szCs w:val="18"/>
    </w:rPr>
  </w:style>
  <w:style w:type="paragraph" w:styleId="1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toc 4"/>
    <w:basedOn w:val="1"/>
    <w:next w:val="1"/>
    <w:unhideWhenUsed/>
    <w:qFormat/>
    <w:uiPriority w:val="39"/>
    <w:pPr>
      <w:ind w:left="1260" w:leftChars="600"/>
    </w:pPr>
    <w:rPr>
      <w:rFonts w:ascii="Calibri" w:hAnsi="Calibri"/>
      <w:szCs w:val="22"/>
    </w:rPr>
  </w:style>
  <w:style w:type="paragraph" w:styleId="21">
    <w:name w:val="toc 6"/>
    <w:basedOn w:val="1"/>
    <w:next w:val="1"/>
    <w:unhideWhenUsed/>
    <w:qFormat/>
    <w:uiPriority w:val="39"/>
    <w:pPr>
      <w:ind w:left="2100" w:leftChars="1000"/>
    </w:pPr>
    <w:rPr>
      <w:rFonts w:ascii="Calibri" w:hAnsi="Calibri"/>
      <w:szCs w:val="22"/>
    </w:rPr>
  </w:style>
  <w:style w:type="paragraph" w:styleId="22">
    <w:name w:val="toc 2"/>
    <w:basedOn w:val="1"/>
    <w:next w:val="1"/>
    <w:qFormat/>
    <w:uiPriority w:val="39"/>
    <w:pPr>
      <w:ind w:left="420" w:leftChars="200"/>
    </w:pPr>
  </w:style>
  <w:style w:type="paragraph" w:styleId="23">
    <w:name w:val="toc 9"/>
    <w:basedOn w:val="1"/>
    <w:next w:val="1"/>
    <w:unhideWhenUsed/>
    <w:qFormat/>
    <w:uiPriority w:val="39"/>
    <w:pPr>
      <w:ind w:left="3360" w:leftChars="1600"/>
    </w:pPr>
    <w:rPr>
      <w:rFonts w:ascii="Calibri" w:hAnsi="Calibri"/>
      <w:szCs w:val="22"/>
    </w:rPr>
  </w:style>
  <w:style w:type="paragraph" w:styleId="24">
    <w:name w:val="Normal (Web)"/>
    <w:basedOn w:val="1"/>
    <w:qFormat/>
    <w:uiPriority w:val="0"/>
    <w:pPr>
      <w:spacing w:before="100" w:beforeAutospacing="1" w:after="100" w:afterAutospacing="1"/>
      <w:jc w:val="left"/>
    </w:pPr>
    <w:rPr>
      <w:kern w:val="0"/>
      <w:sz w:val="24"/>
    </w:rPr>
  </w:style>
  <w:style w:type="paragraph" w:styleId="25">
    <w:name w:val="annotation subject"/>
    <w:basedOn w:val="8"/>
    <w:next w:val="8"/>
    <w:link w:val="43"/>
    <w:unhideWhenUsed/>
    <w:qFormat/>
    <w:uiPriority w:val="0"/>
    <w:rPr>
      <w:b/>
      <w:bCs/>
    </w:rPr>
  </w:style>
  <w:style w:type="paragraph" w:styleId="26">
    <w:name w:val="Body Text First Indent"/>
    <w:basedOn w:val="9"/>
    <w:link w:val="44"/>
    <w:qFormat/>
    <w:uiPriority w:val="0"/>
    <w:pPr>
      <w:tabs>
        <w:tab w:val="clear" w:pos="567"/>
      </w:tabs>
      <w:spacing w:before="0" w:after="120" w:line="240" w:lineRule="auto"/>
      <w:ind w:firstLine="420" w:firstLineChars="100"/>
    </w:pPr>
    <w:rPr>
      <w:sz w:val="21"/>
    </w:rPr>
  </w:style>
  <w:style w:type="paragraph" w:styleId="27">
    <w:name w:val="Body Text First Indent 2"/>
    <w:basedOn w:val="10"/>
    <w:next w:val="1"/>
    <w:qFormat/>
    <w:uiPriority w:val="0"/>
    <w:pPr>
      <w:spacing w:after="120" w:line="240" w:lineRule="auto"/>
      <w:ind w:left="200" w:leftChars="200" w:firstLine="100" w:firstLineChars="100"/>
      <w:jc w:val="left"/>
    </w:pPr>
    <w:rPr>
      <w:rFonts w:ascii="DFKai-SB" w:hAnsi="DFKai-SB" w:eastAsia="DFKai-SB"/>
      <w:spacing w:val="-8"/>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0"/>
    <w:rPr>
      <w:rFonts w:ascii="Times New Roman" w:hAnsi="Times New Roman" w:eastAsia="宋体" w:cs="Times New Roman"/>
      <w:b/>
    </w:rPr>
  </w:style>
  <w:style w:type="character" w:styleId="32">
    <w:name w:val="page number"/>
    <w:qFormat/>
    <w:uiPriority w:val="0"/>
  </w:style>
  <w:style w:type="character" w:styleId="33">
    <w:name w:val="FollowedHyperlink"/>
    <w:unhideWhenUsed/>
    <w:qFormat/>
    <w:uiPriority w:val="99"/>
    <w:rPr>
      <w:color w:val="954F72"/>
      <w:u w:val="single"/>
    </w:rPr>
  </w:style>
  <w:style w:type="character" w:styleId="34">
    <w:name w:val="Hyperlink"/>
    <w:qFormat/>
    <w:uiPriority w:val="99"/>
    <w:rPr>
      <w:color w:val="333333"/>
      <w:u w:val="none"/>
    </w:rPr>
  </w:style>
  <w:style w:type="character" w:styleId="35">
    <w:name w:val="annotation reference"/>
    <w:unhideWhenUsed/>
    <w:qFormat/>
    <w:uiPriority w:val="0"/>
    <w:rPr>
      <w:sz w:val="21"/>
      <w:szCs w:val="21"/>
    </w:rPr>
  </w:style>
  <w:style w:type="paragraph" w:customStyle="1" w:styleId="36">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7">
    <w:name w:val="标题 1 字符"/>
    <w:link w:val="3"/>
    <w:qFormat/>
    <w:uiPriority w:val="0"/>
    <w:rPr>
      <w:rFonts w:ascii="宋体"/>
      <w:b/>
      <w:kern w:val="44"/>
      <w:sz w:val="32"/>
    </w:rPr>
  </w:style>
  <w:style w:type="character" w:customStyle="1" w:styleId="38">
    <w:name w:val="标题 4 字符"/>
    <w:link w:val="6"/>
    <w:qFormat/>
    <w:uiPriority w:val="99"/>
    <w:rPr>
      <w:rFonts w:ascii="Cambria" w:hAnsi="Cambria" w:cs="Cambria"/>
      <w:b/>
      <w:bCs/>
      <w:kern w:val="2"/>
      <w:sz w:val="28"/>
      <w:szCs w:val="28"/>
    </w:rPr>
  </w:style>
  <w:style w:type="character" w:customStyle="1" w:styleId="39">
    <w:name w:val="批注文字 字符"/>
    <w:link w:val="8"/>
    <w:qFormat/>
    <w:uiPriority w:val="0"/>
    <w:rPr>
      <w:kern w:val="2"/>
      <w:sz w:val="21"/>
      <w:szCs w:val="24"/>
    </w:rPr>
  </w:style>
  <w:style w:type="character" w:customStyle="1" w:styleId="40">
    <w:name w:val="正文文本 字符"/>
    <w:link w:val="9"/>
    <w:qFormat/>
    <w:uiPriority w:val="0"/>
    <w:rPr>
      <w:rFonts w:ascii="宋体" w:hAnsi="宋体"/>
      <w:kern w:val="2"/>
      <w:sz w:val="24"/>
      <w:szCs w:val="24"/>
    </w:rPr>
  </w:style>
  <w:style w:type="character" w:customStyle="1" w:styleId="41">
    <w:name w:val="纯文本 字符"/>
    <w:link w:val="14"/>
    <w:qFormat/>
    <w:uiPriority w:val="0"/>
    <w:rPr>
      <w:rFonts w:ascii="宋体" w:hAnsi="Courier New"/>
      <w:kern w:val="2"/>
      <w:sz w:val="21"/>
    </w:rPr>
  </w:style>
  <w:style w:type="character" w:customStyle="1" w:styleId="42">
    <w:name w:val="批注框文本 字符"/>
    <w:link w:val="16"/>
    <w:qFormat/>
    <w:uiPriority w:val="0"/>
    <w:rPr>
      <w:kern w:val="2"/>
      <w:sz w:val="18"/>
      <w:szCs w:val="18"/>
    </w:rPr>
  </w:style>
  <w:style w:type="character" w:customStyle="1" w:styleId="43">
    <w:name w:val="批注主题 字符"/>
    <w:link w:val="25"/>
    <w:semiHidden/>
    <w:qFormat/>
    <w:uiPriority w:val="0"/>
    <w:rPr>
      <w:b/>
      <w:bCs/>
      <w:kern w:val="2"/>
      <w:sz w:val="21"/>
      <w:szCs w:val="24"/>
    </w:rPr>
  </w:style>
  <w:style w:type="character" w:customStyle="1" w:styleId="44">
    <w:name w:val="正文首行缩进 字符"/>
    <w:link w:val="26"/>
    <w:qFormat/>
    <w:uiPriority w:val="0"/>
    <w:rPr>
      <w:rFonts w:ascii="宋体" w:hAnsi="宋体"/>
      <w:kern w:val="2"/>
      <w:sz w:val="21"/>
      <w:szCs w:val="24"/>
    </w:rPr>
  </w:style>
  <w:style w:type="paragraph" w:styleId="45">
    <w:name w:val="List Paragraph"/>
    <w:basedOn w:val="1"/>
    <w:qFormat/>
    <w:uiPriority w:val="1"/>
    <w:pPr>
      <w:ind w:left="960" w:firstLine="480"/>
    </w:pPr>
  </w:style>
  <w:style w:type="character" w:customStyle="1" w:styleId="46">
    <w:name w:val="fontstyle01"/>
    <w:qFormat/>
    <w:uiPriority w:val="0"/>
    <w:rPr>
      <w:rFonts w:hint="eastAsia" w:ascii="宋体" w:hAnsi="宋体" w:eastAsia="宋体"/>
      <w:color w:val="000000"/>
      <w:sz w:val="22"/>
      <w:szCs w:val="22"/>
    </w:rPr>
  </w:style>
  <w:style w:type="character" w:customStyle="1" w:styleId="47">
    <w:name w:val="正文缩进 Char1"/>
    <w:link w:val="48"/>
    <w:qFormat/>
    <w:uiPriority w:val="0"/>
    <w:rPr>
      <w:rFonts w:ascii="宋体"/>
      <w:sz w:val="24"/>
    </w:rPr>
  </w:style>
  <w:style w:type="paragraph" w:customStyle="1" w:styleId="48">
    <w:name w:val="正文缩进1"/>
    <w:basedOn w:val="1"/>
    <w:link w:val="47"/>
    <w:qFormat/>
    <w:uiPriority w:val="0"/>
    <w:pPr>
      <w:autoSpaceDE w:val="0"/>
      <w:autoSpaceDN w:val="0"/>
      <w:adjustRightInd w:val="0"/>
      <w:ind w:firstLine="420"/>
      <w:jc w:val="left"/>
    </w:pPr>
    <w:rPr>
      <w:rFonts w:ascii="宋体"/>
      <w:kern w:val="0"/>
      <w:sz w:val="24"/>
      <w:szCs w:val="20"/>
    </w:rPr>
  </w:style>
  <w:style w:type="paragraph" w:customStyle="1" w:styleId="49">
    <w:name w:val="_Style 37"/>
    <w:basedOn w:val="3"/>
    <w:next w:val="1"/>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0">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1">
    <w:name w:val="列出段落1"/>
    <w:basedOn w:val="1"/>
    <w:unhideWhenUsed/>
    <w:qFormat/>
    <w:uiPriority w:val="99"/>
    <w:pPr>
      <w:ind w:firstLine="420" w:firstLineChars="200"/>
    </w:pPr>
  </w:style>
  <w:style w:type="paragraph" w:customStyle="1" w:styleId="52">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3">
    <w:name w:val="xl7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5">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6">
    <w:name w:val="xl6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7">
    <w:name w:val="xl74"/>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8">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9">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0">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1">
    <w:name w:val="font5"/>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2">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3">
    <w:name w:val="xl68"/>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4">
    <w:name w:val="Table Paragraph"/>
    <w:basedOn w:val="1"/>
    <w:qFormat/>
    <w:uiPriority w:val="1"/>
  </w:style>
  <w:style w:type="paragraph" w:customStyle="1" w:styleId="65">
    <w:name w:val="WPSOffice手动目录 1"/>
    <w:qFormat/>
    <w:uiPriority w:val="0"/>
    <w:rPr>
      <w:rFonts w:ascii="Times New Roman" w:hAnsi="Times New Roman" w:eastAsia="宋体" w:cs="Times New Roman"/>
      <w:lang w:val="en-US" w:eastAsia="zh-CN" w:bidi="ar-SA"/>
    </w:rPr>
  </w:style>
  <w:style w:type="paragraph" w:customStyle="1" w:styleId="6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68">
    <w:name w:val="_Style 32"/>
    <w:basedOn w:val="1"/>
    <w:next w:val="1"/>
    <w:qFormat/>
    <w:uiPriority w:val="34"/>
    <w:pPr>
      <w:widowControl/>
      <w:ind w:firstLine="420" w:firstLineChars="200"/>
      <w:jc w:val="left"/>
    </w:pPr>
    <w:rPr>
      <w:kern w:val="0"/>
      <w:sz w:val="24"/>
    </w:rPr>
  </w:style>
  <w:style w:type="character" w:customStyle="1" w:styleId="69">
    <w:name w:val="font21"/>
    <w:basedOn w:val="30"/>
    <w:qFormat/>
    <w:uiPriority w:val="0"/>
    <w:rPr>
      <w:rFonts w:hint="default" w:ascii="Times New Roman" w:hAnsi="Times New Roman" w:cs="Times New Roman"/>
      <w:color w:val="000000"/>
      <w:sz w:val="20"/>
      <w:szCs w:val="20"/>
      <w:u w:val="none"/>
    </w:rPr>
  </w:style>
  <w:style w:type="character" w:customStyle="1" w:styleId="70">
    <w:name w:val="font11"/>
    <w:basedOn w:val="30"/>
    <w:qFormat/>
    <w:uiPriority w:val="0"/>
    <w:rPr>
      <w:rFonts w:hint="eastAsia" w:ascii="宋体" w:hAnsi="宋体" w:eastAsia="宋体" w:cs="宋体"/>
      <w:color w:val="000000"/>
      <w:sz w:val="20"/>
      <w:szCs w:val="20"/>
      <w:u w:val="none"/>
    </w:rPr>
  </w:style>
  <w:style w:type="paragraph" w:customStyle="1" w:styleId="71">
    <w:name w:val="List Paragraph1"/>
    <w:basedOn w:val="1"/>
    <w:qFormat/>
    <w:uiPriority w:val="99"/>
    <w:pPr>
      <w:ind w:firstLine="420" w:firstLineChars="200"/>
    </w:pPr>
    <w:rPr>
      <w:sz w:val="22"/>
      <w:szCs w:val="20"/>
    </w:rPr>
  </w:style>
  <w:style w:type="paragraph" w:customStyle="1" w:styleId="72">
    <w:name w:val="Body text|1"/>
    <w:basedOn w:val="1"/>
    <w:qFormat/>
    <w:uiPriority w:val="0"/>
    <w:pPr>
      <w:spacing w:line="415" w:lineRule="auto"/>
      <w:ind w:firstLine="400"/>
    </w:pPr>
    <w:rPr>
      <w:rFonts w:ascii="宋体" w:hAnsi="宋体" w:cs="宋体"/>
      <w:sz w:val="22"/>
      <w:szCs w:val="22"/>
      <w:lang w:val="zh-TW" w:eastAsia="zh-TW" w:bidi="zh-TW"/>
    </w:rPr>
  </w:style>
  <w:style w:type="paragraph" w:customStyle="1" w:styleId="73">
    <w:name w:val="Other|1"/>
    <w:basedOn w:val="1"/>
    <w:qFormat/>
    <w:uiPriority w:val="0"/>
    <w:pPr>
      <w:spacing w:line="415" w:lineRule="auto"/>
      <w:ind w:firstLine="400"/>
    </w:pPr>
    <w:rPr>
      <w:rFonts w:ascii="宋体" w:hAnsi="宋体" w:cs="宋体"/>
      <w:sz w:val="22"/>
      <w:szCs w:val="22"/>
      <w:lang w:val="zh-TW" w:eastAsia="zh-TW" w:bidi="zh-TW"/>
    </w:rPr>
  </w:style>
  <w:style w:type="table" w:customStyle="1" w:styleId="74">
    <w:name w:val="Table Normal"/>
    <w:semiHidden/>
    <w:unhideWhenUsed/>
    <w:qFormat/>
    <w:uiPriority w:val="0"/>
    <w:tblPr>
      <w:tblCellMar>
        <w:top w:w="0" w:type="dxa"/>
        <w:left w:w="0" w:type="dxa"/>
        <w:bottom w:w="0" w:type="dxa"/>
        <w:right w:w="0" w:type="dxa"/>
      </w:tblCellMar>
    </w:tblPr>
  </w:style>
  <w:style w:type="paragraph" w:customStyle="1" w:styleId="75">
    <w:name w:val="Fließtext"/>
    <w:basedOn w:val="1"/>
    <w:qFormat/>
    <w:uiPriority w:val="0"/>
    <w:pPr>
      <w:overflowPunct w:val="0"/>
      <w:autoSpaceDE w:val="0"/>
      <w:autoSpaceDN w:val="0"/>
      <w:adjustRightInd w:val="0"/>
      <w:textAlignment w:val="baseline"/>
    </w:pPr>
    <w:rPr>
      <w:kern w:val="28"/>
      <w:szCs w:val="20"/>
    </w:rPr>
  </w:style>
  <w:style w:type="paragraph" w:customStyle="1" w:styleId="76">
    <w:name w:val="列表段落1"/>
    <w:basedOn w:val="1"/>
    <w:qFormat/>
    <w:uiPriority w:val="0"/>
    <w:pPr>
      <w:ind w:firstLine="420"/>
    </w:pPr>
    <w:rPr>
      <w:szCs w:val="21"/>
    </w:rPr>
  </w:style>
  <w:style w:type="paragraph" w:customStyle="1" w:styleId="77">
    <w:name w:val="首行缩进"/>
    <w:basedOn w:val="1"/>
    <w:qFormat/>
    <w:uiPriority w:val="0"/>
    <w:pPr>
      <w:spacing w:line="360" w:lineRule="auto"/>
      <w:ind w:firstLine="480"/>
    </w:pPr>
    <w:rPr>
      <w:rFonts w:hint="eastAsia" w:ascii="宋体" w:hAnsi="宋体"/>
      <w:color w:val="000000"/>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沂蒙国际招标有限公司</Company>
  <Pages>59</Pages>
  <Words>16482</Words>
  <Characters>17599</Characters>
  <Lines>241</Lines>
  <Paragraphs>68</Paragraphs>
  <TotalTime>35</TotalTime>
  <ScaleCrop>false</ScaleCrop>
  <LinksUpToDate>false</LinksUpToDate>
  <CharactersWithSpaces>18034</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Neltharion</cp:lastModifiedBy>
  <cp:lastPrinted>2021-04-08T02:50:00Z</cp:lastPrinted>
  <dcterms:modified xsi:type="dcterms:W3CDTF">2025-09-01T01:33:01Z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1EDF2193924C4D43A0C68649A30B1785_13</vt:lpwstr>
  </property>
  <property fmtid="{D5CDD505-2E9C-101B-9397-08002B2CF9AE}" pid="4" name="commondata">
    <vt:lpwstr>eyJoZGlkIjoiYTI4ZDhhM2MxYzllZDkwOTY2MGMwZTkyMGZjMWQ3ODYifQ==</vt:lpwstr>
  </property>
  <property fmtid="{D5CDD505-2E9C-101B-9397-08002B2CF9AE}" pid="5" name="KSOTemplateDocerSaveRecord">
    <vt:lpwstr>eyJoZGlkIjoiNmU3OTEzMGQ2MGEzOGI3NjYyODI3ODhhYmZiYjI4ZGIiLCJ1c2VySWQiOiI5MzE4MDg1ODcifQ==</vt:lpwstr>
  </property>
</Properties>
</file>