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56A75">
      <w:pPr>
        <w:spacing w:line="240" w:lineRule="atLeast"/>
        <w:ind w:left="1080" w:leftChars="257" w:hanging="540"/>
        <w:jc w:val="center"/>
        <w:rPr>
          <w:rFonts w:ascii="宋体" w:hAnsi="宋体" w:cs="宋体"/>
          <w:b/>
          <w:color w:val="000000" w:themeColor="text1"/>
          <w:sz w:val="52"/>
          <w:szCs w:val="52"/>
          <w:highlight w:val="none"/>
          <w14:textFill>
            <w14:solidFill>
              <w14:schemeClr w14:val="tx1"/>
            </w14:solidFill>
          </w14:textFill>
        </w:rPr>
      </w:pPr>
    </w:p>
    <w:p w14:paraId="128C4140">
      <w:pPr>
        <w:spacing w:line="240" w:lineRule="atLeast"/>
        <w:ind w:left="1080" w:leftChars="257" w:hanging="540"/>
        <w:jc w:val="center"/>
        <w:rPr>
          <w:rFonts w:ascii="宋体" w:hAnsi="宋体" w:cs="宋体"/>
          <w:b/>
          <w:color w:val="000000" w:themeColor="text1"/>
          <w:sz w:val="52"/>
          <w:szCs w:val="52"/>
          <w:highlight w:val="none"/>
          <w14:textFill>
            <w14:solidFill>
              <w14:schemeClr w14:val="tx1"/>
            </w14:solidFill>
          </w14:textFill>
        </w:rPr>
      </w:pPr>
    </w:p>
    <w:p w14:paraId="319E974A">
      <w:pPr>
        <w:spacing w:line="240" w:lineRule="atLeast"/>
        <w:ind w:left="1080" w:leftChars="257" w:hanging="540"/>
        <w:jc w:val="center"/>
        <w:rPr>
          <w:rFonts w:ascii="宋体" w:hAnsi="宋体" w:cs="宋体"/>
          <w:b/>
          <w:bCs/>
          <w:color w:val="000000" w:themeColor="text1"/>
          <w:sz w:val="70"/>
          <w:szCs w:val="52"/>
          <w:highlight w:val="none"/>
          <w14:textFill>
            <w14:solidFill>
              <w14:schemeClr w14:val="tx1"/>
            </w14:solidFill>
          </w14:textFill>
        </w:rPr>
      </w:pPr>
      <w:r>
        <w:rPr>
          <w:rFonts w:hint="eastAsia" w:ascii="宋体" w:hAnsi="宋体" w:cs="宋体"/>
          <w:b/>
          <w:bCs/>
          <w:color w:val="000000" w:themeColor="text1"/>
          <w:sz w:val="70"/>
          <w:szCs w:val="52"/>
          <w:highlight w:val="none"/>
          <w14:textFill>
            <w14:solidFill>
              <w14:schemeClr w14:val="tx1"/>
            </w14:solidFill>
          </w14:textFill>
        </w:rPr>
        <w:t>竞</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争</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性</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磋</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商</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文</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件</w:t>
      </w:r>
    </w:p>
    <w:p w14:paraId="5A4B2964">
      <w:pPr>
        <w:spacing w:line="240" w:lineRule="atLeast"/>
        <w:ind w:left="1080" w:leftChars="257" w:hanging="540"/>
        <w:jc w:val="center"/>
        <w:rPr>
          <w:rFonts w:ascii="宋体" w:hAnsi="宋体" w:cs="宋体"/>
          <w:b/>
          <w:bCs/>
          <w:color w:val="000000" w:themeColor="text1"/>
          <w:sz w:val="36"/>
          <w:szCs w:val="36"/>
          <w:highlight w:val="none"/>
          <w14:textFill>
            <w14:solidFill>
              <w14:schemeClr w14:val="tx1"/>
            </w14:solidFill>
          </w14:textFill>
        </w:rPr>
      </w:pPr>
    </w:p>
    <w:p w14:paraId="74CD2357">
      <w:pPr>
        <w:pStyle w:val="13"/>
        <w:rPr>
          <w:color w:val="000000" w:themeColor="text1"/>
          <w:highlight w:val="none"/>
          <w14:textFill>
            <w14:solidFill>
              <w14:schemeClr w14:val="tx1"/>
            </w14:solidFill>
          </w14:textFill>
        </w:rPr>
      </w:pPr>
    </w:p>
    <w:p w14:paraId="2DED97AC">
      <w:pPr>
        <w:spacing w:line="240" w:lineRule="atLeast"/>
        <w:ind w:left="1080" w:leftChars="257" w:hanging="540"/>
        <w:jc w:val="center"/>
        <w:rPr>
          <w:rFonts w:ascii="宋体" w:hAnsi="宋体" w:cs="宋体"/>
          <w:bCs/>
          <w:color w:val="000000" w:themeColor="text1"/>
          <w:sz w:val="32"/>
          <w:szCs w:val="32"/>
          <w:highlight w:val="none"/>
          <w14:textFill>
            <w14:solidFill>
              <w14:schemeClr w14:val="tx1"/>
            </w14:solidFill>
          </w14:textFill>
        </w:rPr>
      </w:pPr>
    </w:p>
    <w:p w14:paraId="0F3ED5A6">
      <w:pPr>
        <w:spacing w:line="240" w:lineRule="atLeast"/>
        <w:ind w:left="1080" w:leftChars="257" w:hanging="540"/>
        <w:jc w:val="center"/>
        <w:rPr>
          <w:rFonts w:ascii="宋体" w:hAnsi="宋体" w:cs="宋体"/>
          <w:b/>
          <w:color w:val="000000" w:themeColor="text1"/>
          <w:sz w:val="32"/>
          <w:szCs w:val="32"/>
          <w:highlight w:val="none"/>
          <w14:textFill>
            <w14:solidFill>
              <w14:schemeClr w14:val="tx1"/>
            </w14:solidFill>
          </w14:textFill>
        </w:rPr>
      </w:pPr>
    </w:p>
    <w:p w14:paraId="6B79BDB2">
      <w:pPr>
        <w:spacing w:line="240" w:lineRule="atLeast"/>
        <w:ind w:left="1080" w:leftChars="257" w:hanging="540"/>
        <w:rPr>
          <w:rFonts w:ascii="宋体" w:hAnsi="宋体" w:cs="宋体"/>
          <w:b/>
          <w:color w:val="000000" w:themeColor="text1"/>
          <w:sz w:val="28"/>
          <w:highlight w:val="none"/>
          <w14:textFill>
            <w14:solidFill>
              <w14:schemeClr w14:val="tx1"/>
            </w14:solidFill>
          </w14:textFill>
        </w:rPr>
      </w:pPr>
    </w:p>
    <w:p w14:paraId="7DAF1D37">
      <w:pPr>
        <w:spacing w:line="240" w:lineRule="atLeast"/>
        <w:ind w:left="1080" w:leftChars="257" w:hanging="540"/>
        <w:jc w:val="center"/>
        <w:rPr>
          <w:rFonts w:ascii="宋体" w:hAnsi="宋体" w:cs="宋体"/>
          <w:b/>
          <w:color w:val="000000" w:themeColor="text1"/>
          <w:sz w:val="36"/>
          <w:szCs w:val="36"/>
          <w:highlight w:val="none"/>
          <w14:textFill>
            <w14:solidFill>
              <w14:schemeClr w14:val="tx1"/>
            </w14:solidFill>
          </w14:textFill>
        </w:rPr>
      </w:pPr>
      <w:r>
        <w:rPr>
          <w:rFonts w:hint="eastAsia" w:ascii="宋体" w:hAnsi="宋体" w:cs="宋体"/>
          <w:b/>
          <w:color w:val="000000" w:themeColor="text1"/>
          <w:sz w:val="36"/>
          <w:szCs w:val="36"/>
          <w:highlight w:val="none"/>
          <w14:textFill>
            <w14:solidFill>
              <w14:schemeClr w14:val="tx1"/>
            </w14:solidFill>
          </w14:textFill>
        </w:rPr>
        <w:t>第一册</w:t>
      </w:r>
    </w:p>
    <w:p w14:paraId="69A41E11">
      <w:pPr>
        <w:spacing w:line="240" w:lineRule="atLeast"/>
        <w:ind w:left="1080" w:leftChars="257" w:hanging="540"/>
        <w:jc w:val="center"/>
        <w:rPr>
          <w:rFonts w:ascii="宋体" w:hAnsi="宋体" w:cs="宋体"/>
          <w:b/>
          <w:color w:val="000000" w:themeColor="text1"/>
          <w:sz w:val="52"/>
          <w:highlight w:val="none"/>
          <w14:textFill>
            <w14:solidFill>
              <w14:schemeClr w14:val="tx1"/>
            </w14:solidFill>
          </w14:textFill>
        </w:rPr>
      </w:pPr>
    </w:p>
    <w:p w14:paraId="2E3AEB43">
      <w:pPr>
        <w:spacing w:line="360" w:lineRule="auto"/>
        <w:ind w:left="0" w:leftChars="0" w:firstLine="643" w:firstLineChars="200"/>
        <w:jc w:val="left"/>
        <w:rPr>
          <w:rFonts w:hint="default" w:ascii="宋体" w:hAnsi="宋体" w:eastAsia="宋体" w:cs="宋体"/>
          <w:b/>
          <w:color w:val="000000" w:themeColor="text1"/>
          <w:sz w:val="32"/>
          <w:szCs w:val="32"/>
          <w:highlight w:val="none"/>
          <w:lang w:val="en-US" w:eastAsia="zh-CN"/>
          <w14:textFill>
            <w14:solidFill>
              <w14:schemeClr w14:val="tx1"/>
            </w14:solidFill>
          </w14:textFill>
        </w:rPr>
      </w:pPr>
      <w:r>
        <w:rPr>
          <w:rFonts w:hint="eastAsia" w:ascii="宋体" w:hAnsi="宋体" w:cs="宋体"/>
          <w:b/>
          <w:color w:val="000000" w:themeColor="text1"/>
          <w:sz w:val="32"/>
          <w:szCs w:val="32"/>
          <w:highlight w:val="none"/>
          <w:lang w:eastAsia="zh-CN"/>
          <w14:textFill>
            <w14:solidFill>
              <w14:schemeClr w14:val="tx1"/>
            </w14:solidFill>
          </w14:textFill>
        </w:rPr>
        <w:t>项目编号：SDCS2025110</w:t>
      </w:r>
    </w:p>
    <w:p w14:paraId="1ECD3869">
      <w:pPr>
        <w:spacing w:line="360" w:lineRule="auto"/>
        <w:ind w:left="1607" w:leftChars="306" w:hanging="964" w:hangingChars="300"/>
        <w:jc w:val="both"/>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项目名称：</w:t>
      </w:r>
      <w:r>
        <w:rPr>
          <w:rFonts w:hint="eastAsia" w:ascii="宋体" w:hAnsi="宋体" w:cs="宋体"/>
          <w:b/>
          <w:color w:val="000000" w:themeColor="text1"/>
          <w:sz w:val="32"/>
          <w:szCs w:val="32"/>
          <w:highlight w:val="none"/>
          <w:lang w:eastAsia="zh-CN"/>
          <w14:textFill>
            <w14:solidFill>
              <w14:schemeClr w14:val="tx1"/>
            </w14:solidFill>
          </w14:textFill>
        </w:rPr>
        <w:t>临沂大学沂水校区直饮水项目</w:t>
      </w:r>
    </w:p>
    <w:p w14:paraId="3B5C2A4F">
      <w:pPr>
        <w:spacing w:line="360" w:lineRule="auto"/>
        <w:ind w:firstLine="3148" w:firstLineChars="980"/>
        <w:jc w:val="left"/>
        <w:rPr>
          <w:rFonts w:ascii="宋体" w:hAnsi="宋体" w:cs="宋体"/>
          <w:b/>
          <w:color w:val="000000" w:themeColor="text1"/>
          <w:sz w:val="32"/>
          <w:szCs w:val="32"/>
          <w:highlight w:val="none"/>
          <w:u w:val="single"/>
          <w14:textFill>
            <w14:solidFill>
              <w14:schemeClr w14:val="tx1"/>
            </w14:solidFill>
          </w14:textFill>
        </w:rPr>
      </w:pPr>
    </w:p>
    <w:p w14:paraId="31C208A2">
      <w:pPr>
        <w:spacing w:line="240" w:lineRule="atLeast"/>
        <w:ind w:left="1080" w:leftChars="257" w:hanging="540"/>
        <w:jc w:val="center"/>
        <w:rPr>
          <w:rFonts w:ascii="宋体" w:hAnsi="宋体" w:cs="宋体"/>
          <w:b/>
          <w:color w:val="000000" w:themeColor="text1"/>
          <w:sz w:val="32"/>
          <w:szCs w:val="32"/>
          <w:highlight w:val="none"/>
          <w14:textFill>
            <w14:solidFill>
              <w14:schemeClr w14:val="tx1"/>
            </w14:solidFill>
          </w14:textFill>
        </w:rPr>
      </w:pPr>
    </w:p>
    <w:p w14:paraId="3467967A">
      <w:pPr>
        <w:pStyle w:val="3"/>
        <w:ind w:right="-279" w:rightChars="-133"/>
        <w:rPr>
          <w:rFonts w:ascii="宋体" w:hAnsi="宋体" w:cs="宋体"/>
          <w:b/>
          <w:color w:val="000000" w:themeColor="text1"/>
          <w:sz w:val="32"/>
          <w:szCs w:val="32"/>
          <w:highlight w:val="none"/>
          <w14:textFill>
            <w14:solidFill>
              <w14:schemeClr w14:val="tx1"/>
            </w14:solidFill>
          </w14:textFill>
        </w:rPr>
      </w:pPr>
    </w:p>
    <w:p w14:paraId="76B13A5A">
      <w:pPr>
        <w:rPr>
          <w:rFonts w:ascii="宋体" w:hAnsi="宋体" w:cs="宋体"/>
          <w:b/>
          <w:color w:val="000000" w:themeColor="text1"/>
          <w:sz w:val="32"/>
          <w:szCs w:val="32"/>
          <w:highlight w:val="none"/>
          <w14:textFill>
            <w14:solidFill>
              <w14:schemeClr w14:val="tx1"/>
            </w14:solidFill>
          </w14:textFill>
        </w:rPr>
      </w:pPr>
    </w:p>
    <w:p w14:paraId="2846F6F1">
      <w:pPr>
        <w:spacing w:line="240" w:lineRule="atLeast"/>
        <w:ind w:left="1080" w:leftChars="257" w:hanging="540"/>
        <w:jc w:val="center"/>
        <w:rPr>
          <w:rFonts w:ascii="宋体" w:hAnsi="宋体" w:cs="宋体"/>
          <w:b/>
          <w:color w:val="000000" w:themeColor="text1"/>
          <w:sz w:val="32"/>
          <w:szCs w:val="32"/>
          <w:highlight w:val="none"/>
          <w14:textFill>
            <w14:solidFill>
              <w14:schemeClr w14:val="tx1"/>
            </w14:solidFill>
          </w14:textFill>
        </w:rPr>
      </w:pPr>
    </w:p>
    <w:p w14:paraId="40B1E280">
      <w:pPr>
        <w:spacing w:line="240" w:lineRule="atLeast"/>
        <w:ind w:left="1080" w:leftChars="257" w:hanging="540"/>
        <w:jc w:val="center"/>
        <w:rPr>
          <w:rFonts w:ascii="宋体" w:hAnsi="宋体" w:cs="宋体"/>
          <w:b/>
          <w:color w:val="000000" w:themeColor="text1"/>
          <w:sz w:val="32"/>
          <w:szCs w:val="32"/>
          <w:highlight w:val="none"/>
          <w14:textFill>
            <w14:solidFill>
              <w14:schemeClr w14:val="tx1"/>
            </w14:solidFill>
          </w14:textFill>
        </w:rPr>
      </w:pPr>
    </w:p>
    <w:p w14:paraId="580E69C0">
      <w:pPr>
        <w:spacing w:line="360" w:lineRule="auto"/>
        <w:ind w:firstLine="1285" w:firstLineChars="400"/>
        <w:rPr>
          <w:rFonts w:hint="eastAsia" w:ascii="宋体" w:hAnsi="宋体" w:eastAsia="宋体" w:cs="宋体"/>
          <w:b/>
          <w:bCs/>
          <w:color w:val="000000" w:themeColor="text1"/>
          <w:sz w:val="32"/>
          <w:szCs w:val="32"/>
          <w:highlight w:val="none"/>
          <w:lang w:eastAsia="zh-CN"/>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采   购   人：</w:t>
      </w:r>
      <w:r>
        <w:rPr>
          <w:rFonts w:hint="eastAsia" w:ascii="宋体" w:hAnsi="宋体" w:cs="宋体"/>
          <w:b/>
          <w:color w:val="000000" w:themeColor="text1"/>
          <w:sz w:val="32"/>
          <w:szCs w:val="32"/>
          <w:highlight w:val="none"/>
          <w:lang w:eastAsia="zh-CN"/>
          <w14:textFill>
            <w14:solidFill>
              <w14:schemeClr w14:val="tx1"/>
            </w14:solidFill>
          </w14:textFill>
        </w:rPr>
        <w:t>临沂大学</w:t>
      </w:r>
    </w:p>
    <w:p w14:paraId="5BF24BDB">
      <w:pPr>
        <w:spacing w:line="360" w:lineRule="auto"/>
        <w:ind w:firstLine="1282" w:firstLineChars="399"/>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采购代理机构：临沂市沂蒙国际招标有限公司</w:t>
      </w:r>
    </w:p>
    <w:p w14:paraId="3BA3A2F3">
      <w:pPr>
        <w:spacing w:line="240" w:lineRule="atLeast"/>
        <w:ind w:left="1080" w:leftChars="257" w:hanging="540"/>
        <w:rPr>
          <w:rFonts w:ascii="宋体" w:hAnsi="宋体" w:cs="宋体"/>
          <w:b/>
          <w:color w:val="000000" w:themeColor="text1"/>
          <w:szCs w:val="21"/>
          <w:highlight w:val="none"/>
          <w14:textFill>
            <w14:solidFill>
              <w14:schemeClr w14:val="tx1"/>
            </w14:solidFill>
          </w14:textFill>
        </w:rPr>
      </w:pPr>
    </w:p>
    <w:p w14:paraId="46FF9399">
      <w:pPr>
        <w:spacing w:line="240" w:lineRule="atLeast"/>
        <w:ind w:left="1075" w:leftChars="512" w:firstLine="596" w:firstLineChars="198"/>
        <w:rPr>
          <w:rFonts w:ascii="宋体" w:hAnsi="宋体" w:cs="宋体"/>
          <w:b/>
          <w:bCs/>
          <w:color w:val="000000" w:themeColor="text1"/>
          <w:sz w:val="30"/>
          <w:szCs w:val="30"/>
          <w:highlight w:val="none"/>
          <w14:textFill>
            <w14:solidFill>
              <w14:schemeClr w14:val="tx1"/>
            </w14:solidFill>
          </w14:textFill>
        </w:rPr>
      </w:pPr>
    </w:p>
    <w:p w14:paraId="03A337A2">
      <w:pPr>
        <w:spacing w:line="240" w:lineRule="atLeast"/>
        <w:ind w:left="1075" w:leftChars="512" w:firstLine="636" w:firstLineChars="198"/>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发出日期：</w:t>
      </w:r>
      <w:r>
        <w:rPr>
          <w:rFonts w:hint="eastAsia" w:ascii="宋体" w:hAnsi="宋体" w:cs="宋体"/>
          <w:b/>
          <w:bCs/>
          <w:color w:val="000000" w:themeColor="text1"/>
          <w:sz w:val="32"/>
          <w:szCs w:val="32"/>
          <w:highlight w:val="none"/>
          <w:lang w:eastAsia="zh-CN"/>
          <w14:textFill>
            <w14:solidFill>
              <w14:schemeClr w14:val="tx1"/>
            </w14:solidFill>
          </w14:textFill>
        </w:rPr>
        <w:t>二〇二五年</w:t>
      </w:r>
      <w:r>
        <w:rPr>
          <w:rFonts w:hint="eastAsia" w:ascii="宋体" w:hAnsi="宋体" w:cs="宋体"/>
          <w:b/>
          <w:bCs/>
          <w:color w:val="000000" w:themeColor="text1"/>
          <w:sz w:val="32"/>
          <w:szCs w:val="32"/>
          <w:highlight w:val="none"/>
          <w:lang w:val="en-US" w:eastAsia="zh-CN"/>
          <w14:textFill>
            <w14:solidFill>
              <w14:schemeClr w14:val="tx1"/>
            </w14:solidFill>
          </w14:textFill>
        </w:rPr>
        <w:t>八</w:t>
      </w:r>
      <w:r>
        <w:rPr>
          <w:rFonts w:hint="eastAsia" w:ascii="宋体" w:hAnsi="宋体" w:cs="宋体"/>
          <w:b/>
          <w:bCs/>
          <w:color w:val="000000" w:themeColor="text1"/>
          <w:sz w:val="32"/>
          <w:szCs w:val="32"/>
          <w:highlight w:val="none"/>
          <w:lang w:eastAsia="zh-CN"/>
          <w14:textFill>
            <w14:solidFill>
              <w14:schemeClr w14:val="tx1"/>
            </w14:solidFill>
          </w14:textFill>
        </w:rPr>
        <w:t>月</w:t>
      </w:r>
      <w:r>
        <w:rPr>
          <w:rFonts w:hint="eastAsia" w:ascii="宋体" w:hAnsi="宋体" w:cs="宋体"/>
          <w:b/>
          <w:bCs/>
          <w:color w:val="000000" w:themeColor="text1"/>
          <w:sz w:val="32"/>
          <w:szCs w:val="32"/>
          <w:highlight w:val="none"/>
          <w:lang w:val="en-US" w:eastAsia="zh-CN"/>
          <w14:textFill>
            <w14:solidFill>
              <w14:schemeClr w14:val="tx1"/>
            </w14:solidFill>
          </w14:textFill>
        </w:rPr>
        <w:t>七</w:t>
      </w:r>
      <w:r>
        <w:rPr>
          <w:rFonts w:hint="eastAsia" w:ascii="宋体" w:hAnsi="宋体" w:cs="宋体"/>
          <w:b/>
          <w:bCs/>
          <w:color w:val="000000" w:themeColor="text1"/>
          <w:sz w:val="32"/>
          <w:szCs w:val="32"/>
          <w:highlight w:val="none"/>
          <w:lang w:eastAsia="zh-CN"/>
          <w14:textFill>
            <w14:solidFill>
              <w14:schemeClr w14:val="tx1"/>
            </w14:solidFill>
          </w14:textFill>
        </w:rPr>
        <w:t xml:space="preserve">日 </w:t>
      </w:r>
    </w:p>
    <w:p w14:paraId="41EEFD33">
      <w:pPr>
        <w:spacing w:line="360" w:lineRule="auto"/>
        <w:jc w:val="center"/>
        <w:rPr>
          <w:rFonts w:hint="eastAsia" w:ascii="宋体" w:hAnsi="宋体"/>
          <w:b/>
          <w:color w:val="auto"/>
          <w:sz w:val="36"/>
          <w:highlight w:val="none"/>
        </w:rPr>
      </w:pPr>
      <w:r>
        <w:rPr>
          <w:rFonts w:hint="eastAsia" w:ascii="宋体" w:hAnsi="宋体" w:cs="宋体"/>
          <w:b/>
          <w:color w:val="000000" w:themeColor="text1"/>
          <w:sz w:val="52"/>
          <w:highlight w:val="none"/>
          <w14:textFill>
            <w14:solidFill>
              <w14:schemeClr w14:val="tx1"/>
            </w14:solidFill>
          </w14:textFill>
        </w:rPr>
        <w:br w:type="page"/>
      </w:r>
    </w:p>
    <w:p w14:paraId="013C579E">
      <w:pPr>
        <w:spacing w:line="360" w:lineRule="auto"/>
        <w:jc w:val="left"/>
        <w:outlineLvl w:val="9"/>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t>致供应商：</w:t>
      </w:r>
    </w:p>
    <w:p w14:paraId="639B6DE9">
      <w:pPr>
        <w:spacing w:line="480" w:lineRule="auto"/>
        <w:jc w:val="center"/>
        <w:outlineLvl w:val="9"/>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响应文件双面打印倡议书</w:t>
      </w:r>
    </w:p>
    <w:p w14:paraId="2098AA72">
      <w:pPr>
        <w:pStyle w:val="41"/>
        <w:spacing w:line="480" w:lineRule="auto"/>
        <w:outlineLvl w:val="9"/>
        <w:rPr>
          <w:color w:val="auto"/>
          <w:sz w:val="32"/>
          <w:szCs w:val="32"/>
          <w:highlight w:val="none"/>
        </w:rPr>
      </w:pPr>
    </w:p>
    <w:p w14:paraId="0F52DC9C">
      <w:pPr>
        <w:keepNext/>
        <w:keepLines/>
        <w:pageBreakBefore w:val="0"/>
        <w:widowControl/>
        <w:kinsoku/>
        <w:wordWrap/>
        <w:overflowPunct/>
        <w:topLinePunct w:val="0"/>
        <w:autoSpaceDE/>
        <w:autoSpaceDN/>
        <w:bidi w:val="0"/>
        <w:adjustRightInd/>
        <w:snapToGrid w:val="0"/>
        <w:spacing w:before="0" w:after="0" w:line="360" w:lineRule="auto"/>
        <w:textAlignment w:val="auto"/>
        <w:outlineLvl w:val="9"/>
        <w:rPr>
          <w:rFonts w:hint="eastAsia" w:ascii="宋体" w:hAnsi="宋体" w:eastAsia="宋体" w:cs="宋体"/>
          <w:b w:val="0"/>
          <w:color w:val="auto"/>
          <w:kern w:val="2"/>
          <w:sz w:val="24"/>
          <w:szCs w:val="24"/>
          <w:highlight w:val="none"/>
          <w:u w:val="none"/>
        </w:rPr>
      </w:pPr>
      <w:r>
        <w:rPr>
          <w:rFonts w:hint="eastAsia" w:ascii="宋体" w:hAnsi="宋体" w:eastAsia="宋体" w:cs="宋体"/>
          <w:b w:val="0"/>
          <w:color w:val="auto"/>
          <w:kern w:val="2"/>
          <w:sz w:val="24"/>
          <w:szCs w:val="24"/>
          <w:highlight w:val="none"/>
          <w:u w:val="none"/>
        </w:rPr>
        <w:t>响应文件的厚重，不是评定是否中标的因素，更不便于评审专家翻阅及评审。</w:t>
      </w:r>
    </w:p>
    <w:p w14:paraId="07E15137">
      <w:pPr>
        <w:keepNext/>
        <w:keepLines/>
        <w:pageBreakBefore w:val="0"/>
        <w:widowControl/>
        <w:kinsoku/>
        <w:wordWrap/>
        <w:overflowPunct/>
        <w:topLinePunct w:val="0"/>
        <w:autoSpaceDE/>
        <w:autoSpaceDN/>
        <w:bidi w:val="0"/>
        <w:adjustRightInd/>
        <w:snapToGrid w:val="0"/>
        <w:spacing w:before="0" w:after="0" w:line="360" w:lineRule="auto"/>
        <w:ind w:firstLine="480" w:firstLineChars="200"/>
        <w:textAlignment w:val="auto"/>
        <w:outlineLvl w:val="9"/>
        <w:rPr>
          <w:rFonts w:hint="eastAsia" w:ascii="宋体" w:hAnsi="宋体" w:eastAsia="宋体" w:cs="宋体"/>
          <w:b w:val="0"/>
          <w:color w:val="auto"/>
          <w:kern w:val="2"/>
          <w:sz w:val="24"/>
          <w:szCs w:val="24"/>
          <w:highlight w:val="none"/>
          <w:u w:val="none"/>
        </w:rPr>
      </w:pPr>
      <w:r>
        <w:rPr>
          <w:rFonts w:hint="eastAsia" w:ascii="宋体" w:hAnsi="宋体" w:eastAsia="宋体" w:cs="宋体"/>
          <w:b w:val="0"/>
          <w:color w:val="auto"/>
          <w:kern w:val="2"/>
          <w:sz w:val="24"/>
          <w:szCs w:val="24"/>
          <w:highlight w:val="none"/>
          <w:u w:val="none"/>
        </w:rPr>
        <w:t>当前，我国以习近平生态文明思想为指引，大力推动生态文明建设，坚持走生态优先、绿色低</w:t>
      </w:r>
      <w:r>
        <w:rPr>
          <w:rFonts w:hint="eastAsia" w:ascii="宋体" w:hAnsi="宋体" w:eastAsia="宋体" w:cs="宋体"/>
          <w:b w:val="0"/>
          <w:color w:val="auto"/>
          <w:kern w:val="2"/>
          <w:sz w:val="24"/>
          <w:szCs w:val="24"/>
          <w:highlight w:val="none"/>
          <w:u w:val="none"/>
          <w:lang w:eastAsia="zh-CN"/>
        </w:rPr>
        <w:t>碳</w:t>
      </w:r>
      <w:r>
        <w:rPr>
          <w:rFonts w:hint="eastAsia" w:ascii="宋体" w:hAnsi="宋体" w:eastAsia="宋体" w:cs="宋体"/>
          <w:b w:val="0"/>
          <w:color w:val="auto"/>
          <w:kern w:val="2"/>
          <w:sz w:val="24"/>
          <w:szCs w:val="24"/>
          <w:highlight w:val="none"/>
          <w:u w:val="none"/>
        </w:rPr>
        <w:t>发展道路。为在招投标环节贯彻新发展理念，树立节约资源、保护环境意识，增强节能环保的责任感，在编制响应文件时，临沂大学倡议如下:</w:t>
      </w:r>
    </w:p>
    <w:p w14:paraId="2AD1E463">
      <w:pPr>
        <w:keepNext/>
        <w:keepLines/>
        <w:pageBreakBefore w:val="0"/>
        <w:widowControl/>
        <w:kinsoku/>
        <w:wordWrap/>
        <w:overflowPunct/>
        <w:topLinePunct w:val="0"/>
        <w:autoSpaceDE/>
        <w:autoSpaceDN/>
        <w:bidi w:val="0"/>
        <w:adjustRightInd/>
        <w:snapToGrid w:val="0"/>
        <w:spacing w:before="0" w:after="0" w:line="360" w:lineRule="auto"/>
        <w:ind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kern w:val="2"/>
          <w:sz w:val="24"/>
          <w:szCs w:val="24"/>
          <w:highlight w:val="none"/>
        </w:rPr>
        <w:t>“除必要的商务文书或要求的证书复印件外，响应文件的正本和副本均使用A4纸双面打印”，感谢支持！</w:t>
      </w:r>
    </w:p>
    <w:p w14:paraId="2FF39082">
      <w:pPr>
        <w:spacing w:line="360" w:lineRule="auto"/>
        <w:jc w:val="center"/>
        <w:rPr>
          <w:rFonts w:hint="eastAsia" w:ascii="宋体" w:hAnsi="宋体"/>
          <w:b/>
          <w:color w:val="auto"/>
          <w:sz w:val="36"/>
          <w:highlight w:val="none"/>
        </w:rPr>
      </w:pPr>
    </w:p>
    <w:p w14:paraId="449EE445">
      <w:pPr>
        <w:outlineLvl w:val="9"/>
        <w:rPr>
          <w:rFonts w:hint="eastAsia" w:ascii="宋体" w:hAnsi="宋体"/>
          <w:b/>
          <w:color w:val="auto"/>
          <w:sz w:val="36"/>
          <w:highlight w:val="none"/>
        </w:rPr>
      </w:pPr>
    </w:p>
    <w:p w14:paraId="169384F4">
      <w:pPr>
        <w:outlineLvl w:val="9"/>
        <w:rPr>
          <w:rFonts w:hint="eastAsia" w:ascii="宋体" w:hAnsi="宋体"/>
          <w:b/>
          <w:color w:val="auto"/>
          <w:sz w:val="36"/>
          <w:highlight w:val="none"/>
        </w:rPr>
      </w:pPr>
    </w:p>
    <w:p w14:paraId="702FCF3F">
      <w:pPr>
        <w:outlineLvl w:val="9"/>
        <w:rPr>
          <w:rFonts w:hint="eastAsia" w:ascii="宋体" w:hAnsi="宋体"/>
          <w:b/>
          <w:color w:val="auto"/>
          <w:sz w:val="36"/>
          <w:highlight w:val="none"/>
        </w:rPr>
      </w:pPr>
    </w:p>
    <w:p w14:paraId="4D64CEB3">
      <w:pPr>
        <w:outlineLvl w:val="9"/>
        <w:rPr>
          <w:rFonts w:hint="eastAsia" w:ascii="宋体" w:hAnsi="宋体"/>
          <w:b/>
          <w:color w:val="auto"/>
          <w:sz w:val="36"/>
          <w:highlight w:val="none"/>
        </w:rPr>
      </w:pPr>
    </w:p>
    <w:p w14:paraId="47F0BA3A">
      <w:pPr>
        <w:outlineLvl w:val="9"/>
        <w:rPr>
          <w:rFonts w:hint="eastAsia" w:ascii="宋体" w:hAnsi="宋体"/>
          <w:b/>
          <w:color w:val="auto"/>
          <w:sz w:val="36"/>
          <w:highlight w:val="none"/>
        </w:rPr>
      </w:pPr>
    </w:p>
    <w:p w14:paraId="519F0538">
      <w:pPr>
        <w:outlineLvl w:val="9"/>
        <w:rPr>
          <w:rFonts w:hint="eastAsia" w:ascii="宋体" w:hAnsi="宋体"/>
          <w:b/>
          <w:color w:val="auto"/>
          <w:sz w:val="36"/>
          <w:highlight w:val="none"/>
        </w:rPr>
      </w:pPr>
    </w:p>
    <w:p w14:paraId="635E67BA">
      <w:pPr>
        <w:pStyle w:val="10"/>
        <w:rPr>
          <w:rFonts w:hint="eastAsia" w:ascii="宋体" w:hAnsi="宋体"/>
          <w:b/>
          <w:color w:val="auto"/>
          <w:sz w:val="36"/>
          <w:highlight w:val="none"/>
        </w:rPr>
      </w:pPr>
    </w:p>
    <w:p w14:paraId="49FA1976">
      <w:pPr>
        <w:pStyle w:val="23"/>
        <w:rPr>
          <w:rFonts w:hint="eastAsia"/>
          <w:color w:val="auto"/>
          <w:highlight w:val="none"/>
        </w:rPr>
      </w:pPr>
    </w:p>
    <w:p w14:paraId="5FA11701">
      <w:pPr>
        <w:rPr>
          <w:rFonts w:hint="eastAsia"/>
          <w:color w:val="auto"/>
          <w:highlight w:val="none"/>
        </w:rPr>
      </w:pPr>
    </w:p>
    <w:p w14:paraId="62F81537">
      <w:pPr>
        <w:pStyle w:val="10"/>
        <w:rPr>
          <w:rFonts w:hint="eastAsia"/>
          <w:color w:val="auto"/>
          <w:highlight w:val="none"/>
        </w:rPr>
      </w:pPr>
    </w:p>
    <w:p w14:paraId="4251C7FC">
      <w:pPr>
        <w:rPr>
          <w:rFonts w:hint="eastAsia"/>
          <w:color w:val="auto"/>
          <w:highlight w:val="none"/>
        </w:rPr>
      </w:pPr>
    </w:p>
    <w:p w14:paraId="6D59CC38">
      <w:pPr>
        <w:rPr>
          <w:rFonts w:hint="eastAsia"/>
          <w:color w:val="auto"/>
          <w:highlight w:val="none"/>
        </w:rPr>
      </w:pPr>
    </w:p>
    <w:p w14:paraId="5255119A">
      <w:pPr>
        <w:rPr>
          <w:rFonts w:hint="eastAsia"/>
          <w:color w:val="auto"/>
          <w:highlight w:val="none"/>
        </w:rPr>
      </w:pPr>
    </w:p>
    <w:p w14:paraId="5A676FA9">
      <w:pPr>
        <w:rPr>
          <w:rFonts w:hint="eastAsia"/>
          <w:color w:val="auto"/>
          <w:highlight w:val="none"/>
        </w:rPr>
      </w:pPr>
    </w:p>
    <w:p w14:paraId="5A65ADEE">
      <w:pPr>
        <w:rPr>
          <w:rFonts w:hint="eastAsia"/>
          <w:color w:val="auto"/>
          <w:highlight w:val="none"/>
        </w:rPr>
      </w:pPr>
    </w:p>
    <w:p w14:paraId="19488022">
      <w:pPr>
        <w:rPr>
          <w:rFonts w:hint="eastAsia"/>
          <w:color w:val="auto"/>
          <w:highlight w:val="none"/>
        </w:rPr>
      </w:pPr>
    </w:p>
    <w:p w14:paraId="7937B2D9">
      <w:pPr>
        <w:pStyle w:val="52"/>
        <w:ind w:left="0" w:leftChars="0" w:firstLine="0" w:firstLineChars="0"/>
        <w:jc w:val="center"/>
        <w:rPr>
          <w:rFonts w:hint="eastAsia" w:ascii="宋体" w:hAnsi="宋体" w:cs="宋体"/>
          <w:b/>
          <w:color w:val="auto"/>
          <w:sz w:val="32"/>
          <w:highlight w:val="none"/>
        </w:rPr>
      </w:pPr>
    </w:p>
    <w:p w14:paraId="6C8A9B9A">
      <w:pPr>
        <w:rPr>
          <w:rFonts w:hint="eastAsia" w:ascii="宋体" w:hAnsi="宋体" w:cs="宋体"/>
          <w:b/>
          <w:color w:val="auto"/>
          <w:sz w:val="32"/>
          <w:highlight w:val="none"/>
        </w:rPr>
      </w:pPr>
      <w:r>
        <w:rPr>
          <w:rFonts w:hint="eastAsia" w:ascii="宋体" w:hAnsi="宋体" w:cs="宋体"/>
          <w:b/>
          <w:color w:val="auto"/>
          <w:sz w:val="32"/>
          <w:highlight w:val="none"/>
        </w:rPr>
        <w:br w:type="page"/>
      </w:r>
    </w:p>
    <w:p w14:paraId="35E09B52">
      <w:pPr>
        <w:pStyle w:val="52"/>
        <w:ind w:left="0" w:leftChars="0" w:firstLine="0" w:firstLineChars="0"/>
        <w:jc w:val="center"/>
        <w:rPr>
          <w:rFonts w:ascii="宋体" w:hAnsi="宋体" w:cs="宋体"/>
          <w:b/>
          <w:bCs/>
          <w:color w:val="auto"/>
          <w:sz w:val="40"/>
          <w:szCs w:val="40"/>
          <w:highlight w:val="none"/>
        </w:rPr>
      </w:pPr>
      <w:r>
        <w:rPr>
          <w:rFonts w:hint="eastAsia" w:ascii="宋体" w:hAnsi="宋体" w:cs="宋体"/>
          <w:b/>
          <w:color w:val="auto"/>
          <w:sz w:val="32"/>
          <w:highlight w:val="none"/>
        </w:rPr>
        <w:t>特别公告</w:t>
      </w:r>
    </w:p>
    <w:p w14:paraId="239D94DB">
      <w:pPr>
        <w:pStyle w:val="52"/>
        <w:tabs>
          <w:tab w:val="left" w:pos="840"/>
        </w:tabs>
        <w:spacing w:line="480" w:lineRule="exact"/>
        <w:ind w:left="0" w:firstLine="0"/>
        <w:rPr>
          <w:rFonts w:ascii="宋体" w:hAnsi="宋体" w:cs="宋体"/>
          <w:color w:val="auto"/>
          <w:sz w:val="28"/>
          <w:szCs w:val="28"/>
          <w:highlight w:val="none"/>
        </w:rPr>
      </w:pPr>
    </w:p>
    <w:p w14:paraId="7E9DD27D">
      <w:pPr>
        <w:pStyle w:val="5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rPr>
        <w:t>各供应商：</w:t>
      </w:r>
    </w:p>
    <w:p w14:paraId="5EAD4B33">
      <w:pPr>
        <w:pStyle w:val="5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rPr>
        <w:t>热忱欢迎大家投标竞标，响应</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招标项目！</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承诺该项目在公正公开的原则下公平竞争，客观评审。</w:t>
      </w:r>
    </w:p>
    <w:p w14:paraId="40596B7D">
      <w:pPr>
        <w:pStyle w:val="5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20" w:firstLineChars="175"/>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本采购文件已经多位专家审核修订，若仍存在涉及指向性、排他性参数指标，请及时与代理机构或</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采购部门反映。</w:t>
      </w:r>
    </w:p>
    <w:p w14:paraId="4C94DBEF">
      <w:pPr>
        <w:pStyle w:val="52"/>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所有项目严格执行“回避”制度，对可能影响评标结果的潜在因素及人员关系（含代理机构、评标专家、工作人员、其他类人员等），请及时与</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采购科反映（</w:t>
      </w:r>
      <w:r>
        <w:rPr>
          <w:rFonts w:hint="eastAsia" w:ascii="宋体" w:hAnsi="宋体" w:cs="宋体"/>
          <w:color w:val="auto"/>
          <w:sz w:val="24"/>
          <w:szCs w:val="24"/>
          <w:highlight w:val="none"/>
          <w:lang w:eastAsia="zh-CN"/>
        </w:rPr>
        <w:t>临沂大学</w:t>
      </w:r>
      <w:r>
        <w:rPr>
          <w:rFonts w:hint="eastAsia" w:ascii="宋体" w:hAnsi="宋体" w:cs="宋体"/>
          <w:color w:val="auto"/>
          <w:sz w:val="24"/>
          <w:szCs w:val="24"/>
          <w:highlight w:val="none"/>
          <w:lang w:val="en-US" w:eastAsia="zh-CN"/>
        </w:rPr>
        <w:t>蔺老师 0539-7258756</w:t>
      </w:r>
      <w:r>
        <w:rPr>
          <w:rFonts w:ascii="宋体" w:hAnsi="宋体" w:eastAsia="宋体" w:cs="宋体"/>
          <w:color w:val="auto"/>
          <w:sz w:val="24"/>
          <w:szCs w:val="24"/>
          <w:highlight w:val="none"/>
        </w:rPr>
        <w:t>）。</w:t>
      </w:r>
    </w:p>
    <w:p w14:paraId="5EEB2C6F">
      <w:pPr>
        <w:pStyle w:val="5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rPr>
        <w:t>若报名过程中存在差别性待遇或排他性暗示，请做好取证。及时与</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纪委联系（0539-7258030）进行举报查处。</w:t>
      </w:r>
    </w:p>
    <w:p w14:paraId="75BEA180">
      <w:pPr>
        <w:pStyle w:val="5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临沂大学</w:t>
      </w:r>
      <w:r>
        <w:rPr>
          <w:rFonts w:ascii="宋体" w:hAnsi="宋体" w:eastAsia="宋体" w:cs="宋体"/>
          <w:color w:val="auto"/>
          <w:sz w:val="24"/>
          <w:szCs w:val="24"/>
          <w:highlight w:val="none"/>
        </w:rPr>
        <w:t>联系方式：</w:t>
      </w:r>
    </w:p>
    <w:p w14:paraId="19FD555F">
      <w:pPr>
        <w:pStyle w:val="5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rPr>
        <w:t>电话：</w:t>
      </w:r>
      <w:r>
        <w:rPr>
          <w:rFonts w:hint="eastAsia" w:ascii="宋体" w:hAnsi="宋体" w:cs="宋体"/>
          <w:color w:val="auto"/>
          <w:sz w:val="24"/>
          <w:szCs w:val="24"/>
          <w:highlight w:val="none"/>
          <w:lang w:eastAsia="zh-CN"/>
        </w:rPr>
        <w:t>0539-7258756</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邮箱：</w:t>
      </w:r>
      <w:r>
        <w:rPr>
          <w:rFonts w:hint="eastAsia" w:ascii="宋体" w:hAnsi="宋体" w:eastAsia="宋体" w:cs="宋体"/>
          <w:color w:val="auto"/>
          <w:sz w:val="24"/>
          <w:szCs w:val="24"/>
          <w:highlight w:val="none"/>
        </w:rPr>
        <w:t>jjh@lyu.edu.cn</w:t>
      </w:r>
    </w:p>
    <w:p w14:paraId="30875395">
      <w:pPr>
        <w:pStyle w:val="5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20" w:firstLineChars="175"/>
        <w:textAlignment w:val="auto"/>
        <w:rPr>
          <w:rFonts w:ascii="宋体" w:hAnsi="宋体" w:eastAsia="宋体" w:cs="宋体"/>
          <w:color w:val="auto"/>
          <w:sz w:val="24"/>
          <w:szCs w:val="24"/>
          <w:highlight w:val="none"/>
        </w:rPr>
      </w:pPr>
    </w:p>
    <w:p w14:paraId="4C5B9C71">
      <w:pPr>
        <w:pStyle w:val="5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20" w:firstLineChars="175"/>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打造风清气正的招投标环境，让我们一起努力…</w:t>
      </w:r>
    </w:p>
    <w:p w14:paraId="69D6FAA5">
      <w:pPr>
        <w:rPr>
          <w:rFonts w:ascii="宋体" w:hAnsi="宋体" w:eastAsia="宋体" w:cs="宋体"/>
          <w:color w:val="auto"/>
          <w:sz w:val="28"/>
          <w:szCs w:val="28"/>
          <w:highlight w:val="none"/>
        </w:rPr>
      </w:pPr>
    </w:p>
    <w:p w14:paraId="76C5ABCB">
      <w:pPr>
        <w:bidi w:val="0"/>
        <w:rPr>
          <w:color w:val="auto"/>
          <w:highlight w:val="none"/>
        </w:rPr>
      </w:pPr>
    </w:p>
    <w:p w14:paraId="56DBC074">
      <w:pPr>
        <w:bidi w:val="0"/>
        <w:rPr>
          <w:color w:val="auto"/>
          <w:highlight w:val="none"/>
        </w:rPr>
      </w:pPr>
    </w:p>
    <w:p w14:paraId="0D3EF520">
      <w:pPr>
        <w:bidi w:val="0"/>
        <w:rPr>
          <w:color w:val="auto"/>
          <w:highlight w:val="none"/>
        </w:rPr>
      </w:pPr>
    </w:p>
    <w:p w14:paraId="6C841D1C">
      <w:pPr>
        <w:bidi w:val="0"/>
        <w:rPr>
          <w:color w:val="auto"/>
          <w:highlight w:val="none"/>
        </w:rPr>
      </w:pPr>
    </w:p>
    <w:p w14:paraId="535A2E18">
      <w:pPr>
        <w:bidi w:val="0"/>
        <w:rPr>
          <w:color w:val="auto"/>
          <w:highlight w:val="none"/>
        </w:rPr>
      </w:pPr>
    </w:p>
    <w:p w14:paraId="670293B6">
      <w:pPr>
        <w:rPr>
          <w:rFonts w:ascii="宋体" w:hAnsi="宋体" w:eastAsia="宋体" w:cs="宋体"/>
          <w:color w:val="auto"/>
          <w:sz w:val="28"/>
          <w:szCs w:val="28"/>
          <w:highlight w:val="none"/>
        </w:rPr>
      </w:pPr>
    </w:p>
    <w:p w14:paraId="243CB814">
      <w:pPr>
        <w:rPr>
          <w:rFonts w:hint="eastAsia" w:ascii="宋体" w:hAnsi="宋体" w:cs="宋体"/>
          <w:b/>
          <w:bCs/>
          <w:color w:val="auto"/>
          <w:sz w:val="24"/>
          <w:highlight w:val="none"/>
        </w:rPr>
      </w:pPr>
    </w:p>
    <w:p w14:paraId="7BFB553D">
      <w:pPr>
        <w:rPr>
          <w:rFonts w:hint="eastAsia" w:ascii="宋体" w:hAnsi="宋体" w:cs="宋体"/>
          <w:b/>
          <w:bCs/>
          <w:color w:val="auto"/>
          <w:sz w:val="24"/>
          <w:highlight w:val="none"/>
        </w:rPr>
      </w:pPr>
    </w:p>
    <w:p w14:paraId="47A46EFF">
      <w:pPr>
        <w:rPr>
          <w:rFonts w:hint="eastAsia" w:ascii="宋体" w:hAnsi="宋体" w:cs="宋体"/>
          <w:b/>
          <w:bCs/>
          <w:color w:val="auto"/>
          <w:sz w:val="24"/>
          <w:highlight w:val="none"/>
        </w:rPr>
      </w:pPr>
      <w:r>
        <w:rPr>
          <w:rFonts w:hint="eastAsia" w:ascii="宋体" w:hAnsi="宋体" w:cs="宋体"/>
          <w:b/>
          <w:bCs/>
          <w:color w:val="auto"/>
          <w:sz w:val="24"/>
          <w:highlight w:val="none"/>
        </w:rPr>
        <w:br w:type="page"/>
      </w:r>
      <w:r>
        <w:rPr>
          <w:rFonts w:hint="eastAsia" w:ascii="宋体" w:hAnsi="宋体" w:cs="宋体"/>
          <w:b/>
          <w:bCs/>
          <w:color w:val="auto"/>
          <w:sz w:val="24"/>
          <w:highlight w:val="none"/>
        </w:rPr>
        <w:t>附表：</w:t>
      </w:r>
    </w:p>
    <w:p w14:paraId="37194258">
      <w:pPr>
        <w:pStyle w:val="52"/>
        <w:ind w:firstLine="0"/>
        <w:rPr>
          <w:rFonts w:ascii="宋体" w:hAnsi="宋体" w:cs="宋体"/>
          <w:b/>
          <w:bCs/>
          <w:color w:val="auto"/>
          <w:sz w:val="24"/>
          <w:highlight w:val="none"/>
        </w:rPr>
      </w:pPr>
      <w:r>
        <w:rPr>
          <w:rFonts w:hint="eastAsia" w:ascii="宋体" w:hAnsi="宋体" w:cs="宋体"/>
          <w:b/>
          <w:bCs/>
          <w:color w:val="auto"/>
          <w:sz w:val="24"/>
          <w:highlight w:val="none"/>
        </w:rPr>
        <w:t>致各报名供应商，如发现采购文件存在不合理问题，请填写该表。</w:t>
      </w:r>
    </w:p>
    <w:p w14:paraId="31340000">
      <w:pPr>
        <w:pStyle w:val="52"/>
        <w:ind w:firstLine="0"/>
        <w:jc w:val="center"/>
        <w:rPr>
          <w:rFonts w:hint="eastAsia" w:ascii="宋体" w:hAnsi="宋体" w:cs="宋体"/>
          <w:b/>
          <w:bCs/>
          <w:color w:val="auto"/>
          <w:sz w:val="32"/>
          <w:szCs w:val="32"/>
          <w:highlight w:val="none"/>
        </w:rPr>
      </w:pPr>
    </w:p>
    <w:p w14:paraId="278B90EA">
      <w:pPr>
        <w:pStyle w:val="52"/>
        <w:ind w:firstLine="0"/>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本项目采购文件存在不合理性问题反馈单</w:t>
      </w:r>
    </w:p>
    <w:p w14:paraId="5CC98805">
      <w:pPr>
        <w:pStyle w:val="52"/>
        <w:ind w:firstLine="0"/>
        <w:jc w:val="center"/>
        <w:rPr>
          <w:rFonts w:hint="eastAsia" w:ascii="宋体" w:hAnsi="宋体" w:cs="宋体"/>
          <w:b/>
          <w:bCs/>
          <w:color w:val="auto"/>
          <w:sz w:val="24"/>
          <w:highlight w:val="none"/>
        </w:rPr>
      </w:pPr>
      <w:r>
        <w:rPr>
          <w:rFonts w:hint="eastAsia" w:ascii="宋体" w:hAnsi="宋体" w:cs="宋体"/>
          <w:b/>
          <w:bCs/>
          <w:color w:val="auto"/>
          <w:sz w:val="24"/>
          <w:highlight w:val="none"/>
        </w:rPr>
        <w:t>（已报名供应商使用）</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904"/>
        <w:gridCol w:w="3233"/>
        <w:gridCol w:w="3198"/>
      </w:tblGrid>
      <w:tr w14:paraId="7745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23" w:type="dxa"/>
            <w:noWrap w:val="0"/>
            <w:vAlign w:val="center"/>
          </w:tcPr>
          <w:p w14:paraId="08EE4D02">
            <w:pPr>
              <w:pStyle w:val="52"/>
              <w:ind w:left="0" w:leftChars="0"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04" w:type="dxa"/>
            <w:noWrap w:val="0"/>
            <w:vAlign w:val="center"/>
          </w:tcPr>
          <w:p w14:paraId="3AB86CCE">
            <w:pPr>
              <w:pStyle w:val="52"/>
              <w:ind w:left="0" w:leftChars="0"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服务</w:t>
            </w:r>
            <w:r>
              <w:rPr>
                <w:rFonts w:hint="eastAsia" w:ascii="仿宋" w:hAnsi="仿宋" w:eastAsia="仿宋" w:cs="仿宋"/>
                <w:b/>
                <w:bCs/>
                <w:color w:val="auto"/>
                <w:sz w:val="24"/>
                <w:highlight w:val="none"/>
              </w:rPr>
              <w:t>名称</w:t>
            </w:r>
          </w:p>
        </w:tc>
        <w:tc>
          <w:tcPr>
            <w:tcW w:w="3233" w:type="dxa"/>
            <w:noWrap w:val="0"/>
            <w:vAlign w:val="center"/>
          </w:tcPr>
          <w:p w14:paraId="5E75117E">
            <w:pPr>
              <w:pStyle w:val="52"/>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3198" w:type="dxa"/>
            <w:noWrap w:val="0"/>
            <w:vAlign w:val="center"/>
          </w:tcPr>
          <w:p w14:paraId="3C1ADDC8">
            <w:pPr>
              <w:pStyle w:val="52"/>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14:paraId="1268A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723" w:type="dxa"/>
            <w:noWrap w:val="0"/>
            <w:vAlign w:val="center"/>
          </w:tcPr>
          <w:p w14:paraId="74F0A0D5">
            <w:pPr>
              <w:pStyle w:val="52"/>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1904" w:type="dxa"/>
            <w:noWrap w:val="0"/>
            <w:vAlign w:val="center"/>
          </w:tcPr>
          <w:p w14:paraId="460831B5">
            <w:pPr>
              <w:pStyle w:val="52"/>
              <w:ind w:left="0" w:leftChars="0" w:firstLine="0" w:firstLineChars="0"/>
              <w:rPr>
                <w:rFonts w:hint="eastAsia" w:ascii="仿宋" w:hAnsi="仿宋" w:eastAsia="仿宋" w:cs="仿宋"/>
                <w:b/>
                <w:bCs/>
                <w:color w:val="auto"/>
                <w:sz w:val="32"/>
                <w:szCs w:val="32"/>
                <w:highlight w:val="none"/>
              </w:rPr>
            </w:pPr>
          </w:p>
        </w:tc>
        <w:tc>
          <w:tcPr>
            <w:tcW w:w="3233" w:type="dxa"/>
            <w:noWrap w:val="0"/>
            <w:vAlign w:val="center"/>
          </w:tcPr>
          <w:p w14:paraId="173DDF48">
            <w:pPr>
              <w:pStyle w:val="52"/>
              <w:ind w:left="0" w:leftChars="0" w:firstLine="0" w:firstLineChars="0"/>
              <w:rPr>
                <w:rFonts w:hint="eastAsia" w:ascii="仿宋" w:hAnsi="仿宋" w:eastAsia="仿宋" w:cs="仿宋"/>
                <w:b/>
                <w:bCs/>
                <w:color w:val="auto"/>
                <w:sz w:val="32"/>
                <w:szCs w:val="32"/>
                <w:highlight w:val="none"/>
              </w:rPr>
            </w:pPr>
          </w:p>
        </w:tc>
        <w:tc>
          <w:tcPr>
            <w:tcW w:w="3198" w:type="dxa"/>
            <w:noWrap w:val="0"/>
            <w:vAlign w:val="center"/>
          </w:tcPr>
          <w:p w14:paraId="33305651">
            <w:pPr>
              <w:pStyle w:val="52"/>
              <w:ind w:left="0" w:leftChars="0" w:firstLine="0" w:firstLineChars="0"/>
              <w:rPr>
                <w:rFonts w:hint="eastAsia" w:ascii="仿宋" w:hAnsi="仿宋" w:eastAsia="仿宋" w:cs="仿宋"/>
                <w:b/>
                <w:bCs/>
                <w:color w:val="auto"/>
                <w:sz w:val="32"/>
                <w:szCs w:val="32"/>
                <w:highlight w:val="none"/>
              </w:rPr>
            </w:pPr>
          </w:p>
        </w:tc>
      </w:tr>
      <w:tr w14:paraId="0146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723" w:type="dxa"/>
            <w:noWrap w:val="0"/>
            <w:vAlign w:val="center"/>
          </w:tcPr>
          <w:p w14:paraId="0DC90EDF">
            <w:pPr>
              <w:pStyle w:val="52"/>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1904" w:type="dxa"/>
            <w:noWrap w:val="0"/>
            <w:vAlign w:val="center"/>
          </w:tcPr>
          <w:p w14:paraId="0270322E">
            <w:pPr>
              <w:pStyle w:val="52"/>
              <w:ind w:left="0" w:leftChars="0" w:firstLine="0" w:firstLineChars="0"/>
              <w:rPr>
                <w:rFonts w:hint="eastAsia" w:ascii="仿宋" w:hAnsi="仿宋" w:eastAsia="仿宋" w:cs="仿宋"/>
                <w:b/>
                <w:bCs/>
                <w:color w:val="auto"/>
                <w:sz w:val="32"/>
                <w:szCs w:val="32"/>
                <w:highlight w:val="none"/>
              </w:rPr>
            </w:pPr>
          </w:p>
        </w:tc>
        <w:tc>
          <w:tcPr>
            <w:tcW w:w="3233" w:type="dxa"/>
            <w:noWrap w:val="0"/>
            <w:vAlign w:val="center"/>
          </w:tcPr>
          <w:p w14:paraId="6BFA09C8">
            <w:pPr>
              <w:pStyle w:val="52"/>
              <w:ind w:left="0" w:leftChars="0" w:firstLine="0" w:firstLineChars="0"/>
              <w:rPr>
                <w:rFonts w:hint="eastAsia" w:ascii="仿宋" w:hAnsi="仿宋" w:eastAsia="仿宋" w:cs="仿宋"/>
                <w:b/>
                <w:bCs/>
                <w:color w:val="auto"/>
                <w:sz w:val="32"/>
                <w:szCs w:val="32"/>
                <w:highlight w:val="none"/>
              </w:rPr>
            </w:pPr>
          </w:p>
        </w:tc>
        <w:tc>
          <w:tcPr>
            <w:tcW w:w="3198" w:type="dxa"/>
            <w:noWrap w:val="0"/>
            <w:vAlign w:val="center"/>
          </w:tcPr>
          <w:p w14:paraId="035EA73B">
            <w:pPr>
              <w:pStyle w:val="52"/>
              <w:ind w:left="0" w:leftChars="0" w:firstLine="0" w:firstLineChars="0"/>
              <w:rPr>
                <w:rFonts w:hint="eastAsia" w:ascii="仿宋" w:hAnsi="仿宋" w:eastAsia="仿宋" w:cs="仿宋"/>
                <w:b/>
                <w:bCs/>
                <w:color w:val="auto"/>
                <w:sz w:val="32"/>
                <w:szCs w:val="32"/>
                <w:highlight w:val="none"/>
              </w:rPr>
            </w:pPr>
          </w:p>
        </w:tc>
      </w:tr>
      <w:tr w14:paraId="3968A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atLeast"/>
        </w:trPr>
        <w:tc>
          <w:tcPr>
            <w:tcW w:w="723" w:type="dxa"/>
            <w:noWrap w:val="0"/>
            <w:vAlign w:val="center"/>
          </w:tcPr>
          <w:p w14:paraId="52444771">
            <w:pPr>
              <w:pStyle w:val="52"/>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1904" w:type="dxa"/>
            <w:noWrap w:val="0"/>
            <w:vAlign w:val="center"/>
          </w:tcPr>
          <w:p w14:paraId="5E0F2F28">
            <w:pPr>
              <w:pStyle w:val="52"/>
              <w:ind w:left="0" w:leftChars="0" w:firstLine="0" w:firstLineChars="0"/>
              <w:rPr>
                <w:rFonts w:hint="eastAsia" w:ascii="仿宋" w:hAnsi="仿宋" w:eastAsia="仿宋" w:cs="仿宋"/>
                <w:b/>
                <w:bCs/>
                <w:color w:val="auto"/>
                <w:sz w:val="32"/>
                <w:szCs w:val="32"/>
                <w:highlight w:val="none"/>
              </w:rPr>
            </w:pPr>
          </w:p>
        </w:tc>
        <w:tc>
          <w:tcPr>
            <w:tcW w:w="3233" w:type="dxa"/>
            <w:noWrap w:val="0"/>
            <w:vAlign w:val="center"/>
          </w:tcPr>
          <w:p w14:paraId="5E12BDF9">
            <w:pPr>
              <w:pStyle w:val="52"/>
              <w:ind w:left="0" w:leftChars="0" w:firstLine="0" w:firstLineChars="0"/>
              <w:rPr>
                <w:rFonts w:hint="eastAsia" w:ascii="仿宋" w:hAnsi="仿宋" w:eastAsia="仿宋" w:cs="仿宋"/>
                <w:b/>
                <w:bCs/>
                <w:color w:val="auto"/>
                <w:sz w:val="32"/>
                <w:szCs w:val="32"/>
                <w:highlight w:val="none"/>
              </w:rPr>
            </w:pPr>
          </w:p>
        </w:tc>
        <w:tc>
          <w:tcPr>
            <w:tcW w:w="3198" w:type="dxa"/>
            <w:noWrap w:val="0"/>
            <w:vAlign w:val="center"/>
          </w:tcPr>
          <w:p w14:paraId="0BFEA589">
            <w:pPr>
              <w:pStyle w:val="52"/>
              <w:ind w:left="0" w:leftChars="0" w:firstLine="0" w:firstLineChars="0"/>
              <w:rPr>
                <w:rFonts w:hint="eastAsia" w:ascii="仿宋" w:hAnsi="仿宋" w:eastAsia="仿宋" w:cs="仿宋"/>
                <w:b/>
                <w:bCs/>
                <w:color w:val="auto"/>
                <w:sz w:val="32"/>
                <w:szCs w:val="32"/>
                <w:highlight w:val="none"/>
              </w:rPr>
            </w:pPr>
          </w:p>
        </w:tc>
      </w:tr>
      <w:tr w14:paraId="5F54F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1" w:hRule="atLeast"/>
        </w:trPr>
        <w:tc>
          <w:tcPr>
            <w:tcW w:w="723" w:type="dxa"/>
            <w:noWrap w:val="0"/>
            <w:vAlign w:val="center"/>
          </w:tcPr>
          <w:p w14:paraId="4909C993">
            <w:pPr>
              <w:pStyle w:val="52"/>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335" w:type="dxa"/>
            <w:gridSpan w:val="3"/>
            <w:noWrap w:val="0"/>
            <w:vAlign w:val="center"/>
          </w:tcPr>
          <w:p w14:paraId="109320EC">
            <w:pPr>
              <w:pStyle w:val="52"/>
              <w:ind w:left="0" w:leftChars="0" w:firstLine="0" w:firstLineChars="0"/>
              <w:jc w:val="center"/>
              <w:rPr>
                <w:rFonts w:hint="eastAsia" w:ascii="仿宋" w:hAnsi="仿宋" w:eastAsia="仿宋" w:cs="仿宋"/>
                <w:b/>
                <w:bCs/>
                <w:color w:val="auto"/>
                <w:sz w:val="32"/>
                <w:szCs w:val="32"/>
                <w:highlight w:val="none"/>
              </w:rPr>
            </w:pPr>
          </w:p>
          <w:p w14:paraId="1FEB775D">
            <w:pPr>
              <w:pStyle w:val="52"/>
              <w:ind w:left="0" w:leftChars="0" w:firstLine="0" w:firstLineChars="0"/>
              <w:jc w:val="center"/>
              <w:rPr>
                <w:rFonts w:hint="eastAsia" w:ascii="仿宋" w:hAnsi="仿宋" w:eastAsia="仿宋" w:cs="仿宋"/>
                <w:b/>
                <w:bCs/>
                <w:color w:val="auto"/>
                <w:sz w:val="32"/>
                <w:szCs w:val="32"/>
                <w:highlight w:val="none"/>
              </w:rPr>
            </w:pPr>
          </w:p>
          <w:p w14:paraId="62BFB8BB">
            <w:pPr>
              <w:pStyle w:val="52"/>
              <w:ind w:left="0" w:leftChars="0" w:firstLine="0" w:firstLineChars="0"/>
              <w:jc w:val="center"/>
              <w:rPr>
                <w:rFonts w:hint="eastAsia" w:ascii="仿宋" w:hAnsi="仿宋" w:eastAsia="仿宋" w:cs="仿宋"/>
                <w:b/>
                <w:bCs/>
                <w:color w:val="auto"/>
                <w:sz w:val="32"/>
                <w:szCs w:val="32"/>
                <w:highlight w:val="none"/>
              </w:rPr>
            </w:pPr>
          </w:p>
          <w:p w14:paraId="2B5BBA25">
            <w:pPr>
              <w:pStyle w:val="52"/>
              <w:ind w:left="0" w:leftChars="0" w:firstLine="0" w:firstLineChars="0"/>
              <w:jc w:val="center"/>
              <w:rPr>
                <w:rFonts w:hint="eastAsia" w:ascii="仿宋" w:hAnsi="仿宋" w:eastAsia="仿宋" w:cs="仿宋"/>
                <w:b/>
                <w:bCs/>
                <w:color w:val="auto"/>
                <w:sz w:val="32"/>
                <w:szCs w:val="32"/>
                <w:highlight w:val="none"/>
              </w:rPr>
            </w:pPr>
          </w:p>
          <w:p w14:paraId="25D92731">
            <w:pPr>
              <w:pStyle w:val="52"/>
              <w:ind w:left="0" w:leftChars="0" w:firstLine="0" w:firstLineChars="0"/>
              <w:jc w:val="center"/>
              <w:rPr>
                <w:rFonts w:hint="eastAsia" w:ascii="仿宋" w:hAnsi="仿宋" w:eastAsia="仿宋" w:cs="仿宋"/>
                <w:b/>
                <w:bCs/>
                <w:color w:val="auto"/>
                <w:sz w:val="32"/>
                <w:szCs w:val="32"/>
                <w:highlight w:val="none"/>
              </w:rPr>
            </w:pPr>
          </w:p>
          <w:p w14:paraId="3DDD08E7">
            <w:pPr>
              <w:pStyle w:val="52"/>
              <w:ind w:left="0" w:leftChars="0" w:firstLine="0" w:firstLineChars="0"/>
              <w:jc w:val="both"/>
              <w:rPr>
                <w:rFonts w:hint="eastAsia" w:ascii="仿宋" w:hAnsi="仿宋" w:eastAsia="仿宋" w:cs="仿宋"/>
                <w:b/>
                <w:bCs/>
                <w:color w:val="auto"/>
                <w:sz w:val="32"/>
                <w:szCs w:val="32"/>
                <w:highlight w:val="none"/>
              </w:rPr>
            </w:pPr>
          </w:p>
        </w:tc>
      </w:tr>
    </w:tbl>
    <w:p w14:paraId="7D0BB0EC">
      <w:pPr>
        <w:pStyle w:val="52"/>
        <w:widowControl/>
        <w:adjustRightInd w:val="0"/>
        <w:snapToGrid w:val="0"/>
        <w:spacing w:line="520" w:lineRule="exact"/>
        <w:ind w:left="0"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rFonts w:hint="eastAsia" w:ascii="仿宋" w:hAnsi="仿宋" w:eastAsia="仿宋" w:cs="仿宋"/>
          <w:b/>
          <w:bCs/>
          <w:color w:val="auto"/>
          <w:sz w:val="24"/>
          <w:highlight w:val="none"/>
        </w:rPr>
        <w:fldChar w:fldCharType="begin"/>
      </w:r>
      <w:r>
        <w:rPr>
          <w:rFonts w:hint="eastAsia" w:ascii="仿宋" w:hAnsi="仿宋" w:eastAsia="仿宋" w:cs="仿宋"/>
          <w:b/>
          <w:bCs/>
          <w:color w:val="auto"/>
          <w:sz w:val="24"/>
          <w:highlight w:val="none"/>
        </w:rPr>
        <w:instrText xml:space="preserve"> HYPERLINK "mailto:本表填写并盖章后，请发至邮箱lyuzbb@126.com。" </w:instrText>
      </w:r>
      <w:r>
        <w:rPr>
          <w:rFonts w:hint="eastAsia" w:ascii="仿宋" w:hAnsi="仿宋" w:eastAsia="仿宋" w:cs="仿宋"/>
          <w:b/>
          <w:bCs/>
          <w:color w:val="auto"/>
          <w:sz w:val="24"/>
          <w:highlight w:val="none"/>
        </w:rPr>
        <w:fldChar w:fldCharType="separate"/>
      </w:r>
      <w:r>
        <w:rPr>
          <w:rStyle w:val="38"/>
          <w:rFonts w:hint="eastAsia" w:ascii="仿宋" w:hAnsi="仿宋" w:eastAsia="仿宋" w:cs="仿宋"/>
          <w:b/>
          <w:bCs/>
          <w:color w:val="auto"/>
          <w:sz w:val="24"/>
          <w:highlight w:val="none"/>
        </w:rPr>
        <w:t>本表填写并盖章后，请发至邮箱jjh@lyu.edu.cn。</w:t>
      </w:r>
      <w:r>
        <w:rPr>
          <w:rFonts w:hint="eastAsia" w:ascii="仿宋" w:hAnsi="仿宋" w:eastAsia="仿宋" w:cs="仿宋"/>
          <w:b/>
          <w:bCs/>
          <w:color w:val="auto"/>
          <w:sz w:val="24"/>
          <w:highlight w:val="none"/>
        </w:rPr>
        <w:fldChar w:fldCharType="end"/>
      </w:r>
      <w:r>
        <w:rPr>
          <w:rFonts w:hint="eastAsia" w:ascii="仿宋" w:hAnsi="仿宋" w:eastAsia="仿宋" w:cs="仿宋"/>
          <w:b/>
          <w:bCs/>
          <w:color w:val="auto"/>
          <w:sz w:val="24"/>
          <w:highlight w:val="none"/>
        </w:rPr>
        <w:t>并致电</w:t>
      </w:r>
      <w:r>
        <w:rPr>
          <w:rFonts w:hint="eastAsia" w:ascii="仿宋" w:hAnsi="仿宋" w:eastAsia="仿宋" w:cs="仿宋"/>
          <w:b/>
          <w:bCs/>
          <w:color w:val="auto"/>
          <w:sz w:val="24"/>
          <w:highlight w:val="none"/>
          <w:lang w:eastAsia="zh-CN"/>
        </w:rPr>
        <w:t>临沂大学采购科蔺老师 0539-7258756</w:t>
      </w:r>
      <w:r>
        <w:rPr>
          <w:rFonts w:hint="eastAsia" w:ascii="仿宋" w:hAnsi="仿宋" w:eastAsia="仿宋" w:cs="仿宋"/>
          <w:b/>
          <w:bCs/>
          <w:color w:val="auto"/>
          <w:sz w:val="24"/>
          <w:highlight w:val="none"/>
        </w:rPr>
        <w:t>。</w:t>
      </w:r>
    </w:p>
    <w:p w14:paraId="3A73C572">
      <w:pPr>
        <w:pStyle w:val="52"/>
        <w:widowControl/>
        <w:adjustRightInd w:val="0"/>
        <w:snapToGrid w:val="0"/>
        <w:spacing w:line="520" w:lineRule="exact"/>
        <w:ind w:left="0"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14:paraId="66644810">
      <w:pPr>
        <w:pStyle w:val="52"/>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单位名称（盖章）：</w:t>
      </w:r>
    </w:p>
    <w:p w14:paraId="3DFF4182">
      <w:pPr>
        <w:pStyle w:val="52"/>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联系人：电话：</w:t>
      </w:r>
    </w:p>
    <w:p w14:paraId="5332EB2A">
      <w:pPr>
        <w:rPr>
          <w:rFonts w:hint="eastAsia" w:ascii="宋体" w:hAnsi="宋体" w:cs="宋体"/>
          <w:b/>
          <w:color w:val="000000" w:themeColor="text1"/>
          <w:sz w:val="32"/>
          <w:highlight w:val="none"/>
          <w14:textFill>
            <w14:solidFill>
              <w14:schemeClr w14:val="tx1"/>
            </w14:solidFill>
          </w14:textFill>
        </w:rPr>
      </w:pPr>
      <w:r>
        <w:rPr>
          <w:rFonts w:hint="eastAsia" w:ascii="宋体" w:hAnsi="宋体" w:cs="宋体"/>
          <w:b/>
          <w:color w:val="000000" w:themeColor="text1"/>
          <w:sz w:val="32"/>
          <w:highlight w:val="none"/>
          <w14:textFill>
            <w14:solidFill>
              <w14:schemeClr w14:val="tx1"/>
            </w14:solidFill>
          </w14:textFill>
        </w:rPr>
        <w:br w:type="page"/>
      </w:r>
    </w:p>
    <w:p w14:paraId="2C15B71B">
      <w:pPr>
        <w:spacing w:line="240" w:lineRule="atLeast"/>
        <w:ind w:left="1080" w:leftChars="257" w:hanging="540"/>
        <w:jc w:val="center"/>
        <w:rPr>
          <w:rFonts w:ascii="宋体" w:hAnsi="宋体" w:cs="宋体"/>
          <w:b/>
          <w:color w:val="000000" w:themeColor="text1"/>
          <w:sz w:val="32"/>
          <w:highlight w:val="none"/>
          <w14:textFill>
            <w14:solidFill>
              <w14:schemeClr w14:val="tx1"/>
            </w14:solidFill>
          </w14:textFill>
        </w:rPr>
      </w:pPr>
      <w:r>
        <w:rPr>
          <w:rFonts w:hint="eastAsia" w:ascii="宋体" w:hAnsi="宋体" w:cs="宋体"/>
          <w:b/>
          <w:color w:val="000000" w:themeColor="text1"/>
          <w:sz w:val="32"/>
          <w:highlight w:val="none"/>
          <w14:textFill>
            <w14:solidFill>
              <w14:schemeClr w14:val="tx1"/>
            </w14:solidFill>
          </w14:textFill>
        </w:rPr>
        <w:t>目录</w:t>
      </w:r>
    </w:p>
    <w:p w14:paraId="0E205F6D">
      <w:pPr>
        <w:pStyle w:val="21"/>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 w:val="24"/>
          <w:szCs w:val="24"/>
          <w:highlight w:val="none"/>
          <w14:textFill>
            <w14:solidFill>
              <w14:schemeClr w14:val="tx1"/>
            </w14:solidFill>
          </w14:textFill>
        </w:rPr>
        <w:fldChar w:fldCharType="begin"/>
      </w:r>
      <w:r>
        <w:rPr>
          <w:rFonts w:hint="eastAsia" w:ascii="宋体" w:hAnsi="宋体" w:cs="宋体"/>
          <w:color w:val="000000" w:themeColor="text1"/>
          <w:kern w:val="0"/>
          <w:sz w:val="24"/>
          <w:szCs w:val="24"/>
          <w:highlight w:val="none"/>
          <w14:textFill>
            <w14:solidFill>
              <w14:schemeClr w14:val="tx1"/>
            </w14:solidFill>
          </w14:textFill>
        </w:rPr>
        <w:instrText xml:space="preserve"> TOC \o "1-3" \h \z \u </w:instrText>
      </w:r>
      <w:r>
        <w:rPr>
          <w:rFonts w:hint="eastAsia" w:ascii="宋体" w:hAnsi="宋体" w:cs="宋体"/>
          <w:color w:val="000000" w:themeColor="text1"/>
          <w:kern w:val="0"/>
          <w:sz w:val="24"/>
          <w:szCs w:val="24"/>
          <w:highlight w:val="none"/>
          <w14:textFill>
            <w14:solidFill>
              <w14:schemeClr w14:val="tx1"/>
            </w14:solidFill>
          </w14:textFill>
        </w:rPr>
        <w:fldChar w:fldCharType="separate"/>
      </w: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_Toc18705 </w:instrText>
      </w:r>
      <w:r>
        <w:rPr>
          <w:rFonts w:hint="eastAsia" w:ascii="宋体" w:hAnsi="宋体" w:cs="宋体"/>
          <w:kern w:val="0"/>
          <w:szCs w:val="24"/>
          <w:highlight w:val="none"/>
        </w:rPr>
        <w:fldChar w:fldCharType="separate"/>
      </w:r>
      <w:r>
        <w:rPr>
          <w:rFonts w:hint="default" w:hAnsi="宋体" w:cs="宋体"/>
          <w:highlight w:val="none"/>
          <w:lang w:val="en-US"/>
        </w:rPr>
        <w:t xml:space="preserve">第1章 </w:t>
      </w:r>
      <w:r>
        <w:rPr>
          <w:rFonts w:hint="eastAsia" w:hAnsi="宋体" w:cs="宋体"/>
          <w:highlight w:val="none"/>
        </w:rPr>
        <w:t>供应商须知</w:t>
      </w:r>
      <w:r>
        <w:rPr>
          <w:highlight w:val="none"/>
        </w:rPr>
        <w:tab/>
      </w:r>
      <w:r>
        <w:rPr>
          <w:highlight w:val="none"/>
        </w:rPr>
        <w:fldChar w:fldCharType="begin"/>
      </w:r>
      <w:r>
        <w:rPr>
          <w:highlight w:val="none"/>
        </w:rPr>
        <w:instrText xml:space="preserve"> PAGEREF _Toc18705 \h </w:instrText>
      </w:r>
      <w:r>
        <w:rPr>
          <w:highlight w:val="none"/>
        </w:rPr>
        <w:fldChar w:fldCharType="separate"/>
      </w:r>
      <w:r>
        <w:rPr>
          <w:highlight w:val="none"/>
        </w:rPr>
        <w:t>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8387B4C">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_Toc28774 </w:instrText>
      </w:r>
      <w:r>
        <w:rPr>
          <w:rFonts w:hint="eastAsia" w:ascii="宋体" w:hAnsi="宋体" w:cs="宋体"/>
          <w:kern w:val="0"/>
          <w:szCs w:val="24"/>
          <w:highlight w:val="none"/>
        </w:rPr>
        <w:fldChar w:fldCharType="separate"/>
      </w:r>
      <w:r>
        <w:rPr>
          <w:rFonts w:hint="eastAsia" w:ascii="宋体" w:hAnsi="宋体" w:eastAsia="宋体" w:cs="宋体"/>
          <w:highlight w:val="none"/>
        </w:rPr>
        <w:t>一、总则</w:t>
      </w:r>
      <w:r>
        <w:rPr>
          <w:highlight w:val="none"/>
        </w:rPr>
        <w:tab/>
      </w:r>
      <w:r>
        <w:rPr>
          <w:highlight w:val="none"/>
        </w:rPr>
        <w:fldChar w:fldCharType="begin"/>
      </w:r>
      <w:r>
        <w:rPr>
          <w:highlight w:val="none"/>
        </w:rPr>
        <w:instrText xml:space="preserve"> PAGEREF _Toc28774 \h </w:instrText>
      </w:r>
      <w:r>
        <w:rPr>
          <w:highlight w:val="none"/>
        </w:rPr>
        <w:fldChar w:fldCharType="separate"/>
      </w:r>
      <w:r>
        <w:rPr>
          <w:highlight w:val="none"/>
        </w:rPr>
        <w:t>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0A883C4D">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_Toc13088 </w:instrText>
      </w:r>
      <w:r>
        <w:rPr>
          <w:rFonts w:hint="eastAsia" w:ascii="宋体" w:hAnsi="宋体" w:cs="宋体"/>
          <w:kern w:val="0"/>
          <w:szCs w:val="24"/>
          <w:highlight w:val="none"/>
        </w:rPr>
        <w:fldChar w:fldCharType="separate"/>
      </w:r>
      <w:r>
        <w:rPr>
          <w:rFonts w:hint="eastAsia" w:hAnsi="宋体" w:cs="宋体"/>
          <w:highlight w:val="none"/>
        </w:rPr>
        <w:t>1.采购人、采购代理机构及供应商</w:t>
      </w:r>
      <w:r>
        <w:rPr>
          <w:highlight w:val="none"/>
        </w:rPr>
        <w:tab/>
      </w:r>
      <w:r>
        <w:rPr>
          <w:highlight w:val="none"/>
        </w:rPr>
        <w:fldChar w:fldCharType="begin"/>
      </w:r>
      <w:r>
        <w:rPr>
          <w:highlight w:val="none"/>
        </w:rPr>
        <w:instrText xml:space="preserve"> PAGEREF _Toc13088 \h </w:instrText>
      </w:r>
      <w:r>
        <w:rPr>
          <w:highlight w:val="none"/>
        </w:rPr>
        <w:fldChar w:fldCharType="separate"/>
      </w:r>
      <w:r>
        <w:rPr>
          <w:highlight w:val="none"/>
        </w:rPr>
        <w:t>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970BE4B">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_Toc19123 </w:instrText>
      </w:r>
      <w:r>
        <w:rPr>
          <w:rFonts w:hint="eastAsia" w:ascii="宋体" w:hAnsi="宋体" w:cs="宋体"/>
          <w:kern w:val="0"/>
          <w:szCs w:val="24"/>
          <w:highlight w:val="none"/>
        </w:rPr>
        <w:fldChar w:fldCharType="separate"/>
      </w:r>
      <w:r>
        <w:rPr>
          <w:rFonts w:hint="eastAsia" w:hAnsi="宋体" w:cs="宋体"/>
          <w:highlight w:val="none"/>
        </w:rPr>
        <w:t>2.资金来源</w:t>
      </w:r>
      <w:r>
        <w:rPr>
          <w:highlight w:val="none"/>
        </w:rPr>
        <w:tab/>
      </w:r>
      <w:r>
        <w:rPr>
          <w:highlight w:val="none"/>
        </w:rPr>
        <w:fldChar w:fldCharType="begin"/>
      </w:r>
      <w:r>
        <w:rPr>
          <w:highlight w:val="none"/>
        </w:rPr>
        <w:instrText xml:space="preserve"> PAGEREF _Toc19123 \h </w:instrText>
      </w:r>
      <w:r>
        <w:rPr>
          <w:highlight w:val="none"/>
        </w:rPr>
        <w:fldChar w:fldCharType="separate"/>
      </w:r>
      <w:r>
        <w:rPr>
          <w:highlight w:val="none"/>
        </w:rPr>
        <w:t>9</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3493469C">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_Toc1762 </w:instrText>
      </w:r>
      <w:r>
        <w:rPr>
          <w:rFonts w:hint="eastAsia" w:ascii="宋体" w:hAnsi="宋体" w:cs="宋体"/>
          <w:kern w:val="0"/>
          <w:szCs w:val="24"/>
          <w:highlight w:val="none"/>
        </w:rPr>
        <w:fldChar w:fldCharType="separate"/>
      </w:r>
      <w:r>
        <w:rPr>
          <w:rFonts w:hint="eastAsia" w:hAnsi="宋体" w:cs="宋体"/>
          <w:highlight w:val="none"/>
        </w:rPr>
        <w:t>3.响应费用</w:t>
      </w:r>
      <w:r>
        <w:rPr>
          <w:highlight w:val="none"/>
        </w:rPr>
        <w:tab/>
      </w:r>
      <w:r>
        <w:rPr>
          <w:highlight w:val="none"/>
        </w:rPr>
        <w:fldChar w:fldCharType="begin"/>
      </w:r>
      <w:r>
        <w:rPr>
          <w:highlight w:val="none"/>
        </w:rPr>
        <w:instrText xml:space="preserve"> PAGEREF _Toc1762 \h </w:instrText>
      </w:r>
      <w:r>
        <w:rPr>
          <w:highlight w:val="none"/>
        </w:rPr>
        <w:fldChar w:fldCharType="separate"/>
      </w:r>
      <w:r>
        <w:rPr>
          <w:highlight w:val="none"/>
        </w:rPr>
        <w:t>10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632D8A7">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_Toc8975 </w:instrText>
      </w:r>
      <w:r>
        <w:rPr>
          <w:rFonts w:hint="eastAsia" w:ascii="宋体" w:hAnsi="宋体" w:cs="宋体"/>
          <w:kern w:val="0"/>
          <w:szCs w:val="24"/>
          <w:highlight w:val="none"/>
        </w:rPr>
        <w:fldChar w:fldCharType="separate"/>
      </w:r>
      <w:r>
        <w:rPr>
          <w:rFonts w:hint="eastAsia" w:hAnsi="宋体" w:cs="宋体"/>
          <w:highlight w:val="none"/>
        </w:rPr>
        <w:t>4.适用</w:t>
      </w:r>
      <w:r>
        <w:rPr>
          <w:rFonts w:hint="eastAsia" w:hAnsi="宋体" w:cs="宋体"/>
          <w:highlight w:val="none"/>
          <w:lang w:val="en-US" w:eastAsia="zh-CN"/>
        </w:rPr>
        <w:t>规定</w:t>
      </w:r>
      <w:r>
        <w:rPr>
          <w:highlight w:val="none"/>
        </w:rPr>
        <w:tab/>
      </w:r>
      <w:r>
        <w:rPr>
          <w:highlight w:val="none"/>
        </w:rPr>
        <w:fldChar w:fldCharType="begin"/>
      </w:r>
      <w:r>
        <w:rPr>
          <w:highlight w:val="none"/>
        </w:rPr>
        <w:instrText xml:space="preserve"> PAGEREF _Toc8975 \h </w:instrText>
      </w:r>
      <w:r>
        <w:rPr>
          <w:highlight w:val="none"/>
        </w:rPr>
        <w:fldChar w:fldCharType="separate"/>
      </w:r>
      <w:r>
        <w:rPr>
          <w:highlight w:val="none"/>
        </w:rPr>
        <w:t>10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C3CC37B">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_Toc4108 </w:instrText>
      </w:r>
      <w:r>
        <w:rPr>
          <w:rFonts w:hint="eastAsia" w:ascii="宋体" w:hAnsi="宋体" w:cs="宋体"/>
          <w:kern w:val="0"/>
          <w:szCs w:val="24"/>
          <w:highlight w:val="none"/>
        </w:rPr>
        <w:fldChar w:fldCharType="separate"/>
      </w:r>
      <w:r>
        <w:rPr>
          <w:rFonts w:hint="eastAsia" w:ascii="宋体" w:hAnsi="宋体" w:eastAsia="宋体" w:cs="宋体"/>
          <w:highlight w:val="none"/>
        </w:rPr>
        <w:t>二、竞争性磋商文件</w:t>
      </w:r>
      <w:r>
        <w:rPr>
          <w:highlight w:val="none"/>
        </w:rPr>
        <w:tab/>
      </w:r>
      <w:r>
        <w:rPr>
          <w:highlight w:val="none"/>
        </w:rPr>
        <w:fldChar w:fldCharType="begin"/>
      </w:r>
      <w:r>
        <w:rPr>
          <w:highlight w:val="none"/>
        </w:rPr>
        <w:instrText xml:space="preserve"> PAGEREF _Toc4108 \h </w:instrText>
      </w:r>
      <w:r>
        <w:rPr>
          <w:highlight w:val="none"/>
        </w:rPr>
        <w:fldChar w:fldCharType="separate"/>
      </w:r>
      <w:r>
        <w:rPr>
          <w:highlight w:val="none"/>
        </w:rPr>
        <w:t>10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758685B7">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_Toc10616 </w:instrText>
      </w:r>
      <w:r>
        <w:rPr>
          <w:rFonts w:hint="eastAsia" w:ascii="宋体" w:hAnsi="宋体" w:cs="宋体"/>
          <w:kern w:val="0"/>
          <w:szCs w:val="24"/>
          <w:highlight w:val="none"/>
        </w:rPr>
        <w:fldChar w:fldCharType="separate"/>
      </w:r>
      <w:r>
        <w:rPr>
          <w:rFonts w:hint="eastAsia" w:hAnsi="宋体" w:cs="宋体"/>
          <w:highlight w:val="none"/>
        </w:rPr>
        <w:t>5.竞争性磋商文件构成</w:t>
      </w:r>
      <w:r>
        <w:rPr>
          <w:highlight w:val="none"/>
        </w:rPr>
        <w:tab/>
      </w:r>
      <w:r>
        <w:rPr>
          <w:highlight w:val="none"/>
        </w:rPr>
        <w:fldChar w:fldCharType="begin"/>
      </w:r>
      <w:r>
        <w:rPr>
          <w:highlight w:val="none"/>
        </w:rPr>
        <w:instrText xml:space="preserve"> PAGEREF _Toc10616 \h </w:instrText>
      </w:r>
      <w:r>
        <w:rPr>
          <w:highlight w:val="none"/>
        </w:rPr>
        <w:fldChar w:fldCharType="separate"/>
      </w:r>
      <w:r>
        <w:rPr>
          <w:highlight w:val="none"/>
        </w:rPr>
        <w:t>10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36C0D63">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_Toc3388 </w:instrText>
      </w:r>
      <w:r>
        <w:rPr>
          <w:rFonts w:hint="eastAsia" w:ascii="宋体" w:hAnsi="宋体" w:cs="宋体"/>
          <w:kern w:val="0"/>
          <w:szCs w:val="24"/>
          <w:highlight w:val="none"/>
        </w:rPr>
        <w:fldChar w:fldCharType="separate"/>
      </w:r>
      <w:r>
        <w:rPr>
          <w:rFonts w:hint="eastAsia" w:hAnsi="宋体" w:cs="宋体"/>
          <w:highlight w:val="none"/>
        </w:rPr>
        <w:t>6.竞争性磋商文件的澄清与修改</w:t>
      </w:r>
      <w:r>
        <w:rPr>
          <w:highlight w:val="none"/>
        </w:rPr>
        <w:tab/>
      </w:r>
      <w:r>
        <w:rPr>
          <w:highlight w:val="none"/>
        </w:rPr>
        <w:fldChar w:fldCharType="begin"/>
      </w:r>
      <w:r>
        <w:rPr>
          <w:highlight w:val="none"/>
        </w:rPr>
        <w:instrText xml:space="preserve"> PAGEREF _Toc3388 \h </w:instrText>
      </w:r>
      <w:r>
        <w:rPr>
          <w:highlight w:val="none"/>
        </w:rPr>
        <w:fldChar w:fldCharType="separate"/>
      </w:r>
      <w:r>
        <w:rPr>
          <w:highlight w:val="none"/>
        </w:rPr>
        <w:t>11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57732AA">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_Toc7752 </w:instrText>
      </w:r>
      <w:r>
        <w:rPr>
          <w:rFonts w:hint="eastAsia" w:ascii="宋体" w:hAnsi="宋体" w:cs="宋体"/>
          <w:kern w:val="0"/>
          <w:szCs w:val="24"/>
          <w:highlight w:val="none"/>
        </w:rPr>
        <w:fldChar w:fldCharType="separate"/>
      </w:r>
      <w:r>
        <w:rPr>
          <w:rFonts w:hint="eastAsia" w:hAnsi="宋体" w:cs="宋体"/>
          <w:highlight w:val="none"/>
        </w:rPr>
        <w:t>7.提交响应文件截止时间的顺延</w:t>
      </w:r>
      <w:r>
        <w:rPr>
          <w:highlight w:val="none"/>
        </w:rPr>
        <w:tab/>
      </w:r>
      <w:r>
        <w:rPr>
          <w:highlight w:val="none"/>
        </w:rPr>
        <w:fldChar w:fldCharType="begin"/>
      </w:r>
      <w:r>
        <w:rPr>
          <w:highlight w:val="none"/>
        </w:rPr>
        <w:instrText xml:space="preserve"> PAGEREF _Toc7752 \h </w:instrText>
      </w:r>
      <w:r>
        <w:rPr>
          <w:highlight w:val="none"/>
        </w:rPr>
        <w:fldChar w:fldCharType="separate"/>
      </w:r>
      <w:r>
        <w:rPr>
          <w:highlight w:val="none"/>
        </w:rPr>
        <w:t>12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7AC2D44A">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_Toc4302 </w:instrText>
      </w:r>
      <w:r>
        <w:rPr>
          <w:rFonts w:hint="eastAsia" w:ascii="宋体" w:hAnsi="宋体" w:cs="宋体"/>
          <w:kern w:val="0"/>
          <w:szCs w:val="24"/>
          <w:highlight w:val="none"/>
        </w:rPr>
        <w:fldChar w:fldCharType="separate"/>
      </w:r>
      <w:r>
        <w:rPr>
          <w:rFonts w:hint="eastAsia" w:ascii="宋体" w:hAnsi="宋体" w:eastAsia="宋体" w:cs="宋体"/>
          <w:highlight w:val="none"/>
        </w:rPr>
        <w:t>三、响应文件的编制</w:t>
      </w:r>
      <w:r>
        <w:rPr>
          <w:highlight w:val="none"/>
        </w:rPr>
        <w:tab/>
      </w:r>
      <w:r>
        <w:rPr>
          <w:highlight w:val="none"/>
        </w:rPr>
        <w:fldChar w:fldCharType="begin"/>
      </w:r>
      <w:r>
        <w:rPr>
          <w:highlight w:val="none"/>
        </w:rPr>
        <w:instrText xml:space="preserve"> PAGEREF _Toc4302 \h </w:instrText>
      </w:r>
      <w:r>
        <w:rPr>
          <w:highlight w:val="none"/>
        </w:rPr>
        <w:fldChar w:fldCharType="separate"/>
      </w:r>
      <w:r>
        <w:rPr>
          <w:highlight w:val="none"/>
        </w:rPr>
        <w:t>12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7C245481">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_Toc30764 </w:instrText>
      </w:r>
      <w:r>
        <w:rPr>
          <w:rFonts w:hint="eastAsia" w:ascii="宋体" w:hAnsi="宋体" w:cs="宋体"/>
          <w:kern w:val="0"/>
          <w:szCs w:val="24"/>
          <w:highlight w:val="none"/>
        </w:rPr>
        <w:fldChar w:fldCharType="separate"/>
      </w:r>
      <w:r>
        <w:rPr>
          <w:rFonts w:hint="eastAsia" w:hAnsi="宋体" w:cs="宋体"/>
          <w:highlight w:val="none"/>
        </w:rPr>
        <w:t>8. 编制要求</w:t>
      </w:r>
      <w:r>
        <w:rPr>
          <w:highlight w:val="none"/>
        </w:rPr>
        <w:tab/>
      </w:r>
      <w:r>
        <w:rPr>
          <w:highlight w:val="none"/>
        </w:rPr>
        <w:fldChar w:fldCharType="begin"/>
      </w:r>
      <w:r>
        <w:rPr>
          <w:highlight w:val="none"/>
        </w:rPr>
        <w:instrText xml:space="preserve"> PAGEREF _Toc30764 \h </w:instrText>
      </w:r>
      <w:r>
        <w:rPr>
          <w:highlight w:val="none"/>
        </w:rPr>
        <w:fldChar w:fldCharType="separate"/>
      </w:r>
      <w:r>
        <w:rPr>
          <w:highlight w:val="none"/>
        </w:rPr>
        <w:t>12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4399EA0">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_Toc13687 </w:instrText>
      </w:r>
      <w:r>
        <w:rPr>
          <w:rFonts w:hint="eastAsia" w:ascii="宋体" w:hAnsi="宋体" w:cs="宋体"/>
          <w:kern w:val="0"/>
          <w:szCs w:val="24"/>
          <w:highlight w:val="none"/>
        </w:rPr>
        <w:fldChar w:fldCharType="separate"/>
      </w:r>
      <w:r>
        <w:rPr>
          <w:rFonts w:hint="eastAsia" w:hAnsi="宋体" w:cs="宋体"/>
          <w:highlight w:val="none"/>
        </w:rPr>
        <w:t>9.响应范围及响应文件中标准和计量单位的使用</w:t>
      </w:r>
      <w:r>
        <w:rPr>
          <w:highlight w:val="none"/>
        </w:rPr>
        <w:tab/>
      </w:r>
      <w:r>
        <w:rPr>
          <w:highlight w:val="none"/>
        </w:rPr>
        <w:fldChar w:fldCharType="begin"/>
      </w:r>
      <w:r>
        <w:rPr>
          <w:highlight w:val="none"/>
        </w:rPr>
        <w:instrText xml:space="preserve"> PAGEREF _Toc13687 \h </w:instrText>
      </w:r>
      <w:r>
        <w:rPr>
          <w:highlight w:val="none"/>
        </w:rPr>
        <w:fldChar w:fldCharType="separate"/>
      </w:r>
      <w:r>
        <w:rPr>
          <w:highlight w:val="none"/>
        </w:rPr>
        <w:t>12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FDC5562">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_Toc21206 </w:instrText>
      </w:r>
      <w:r>
        <w:rPr>
          <w:rFonts w:hint="eastAsia" w:ascii="宋体" w:hAnsi="宋体" w:cs="宋体"/>
          <w:kern w:val="0"/>
          <w:szCs w:val="24"/>
          <w:highlight w:val="none"/>
        </w:rPr>
        <w:fldChar w:fldCharType="separate"/>
      </w:r>
      <w:r>
        <w:rPr>
          <w:rFonts w:hint="eastAsia" w:hAnsi="宋体" w:cs="宋体"/>
          <w:highlight w:val="none"/>
        </w:rPr>
        <w:t>10.响应文件构成</w:t>
      </w:r>
      <w:r>
        <w:rPr>
          <w:highlight w:val="none"/>
        </w:rPr>
        <w:tab/>
      </w:r>
      <w:r>
        <w:rPr>
          <w:highlight w:val="none"/>
        </w:rPr>
        <w:fldChar w:fldCharType="begin"/>
      </w:r>
      <w:r>
        <w:rPr>
          <w:highlight w:val="none"/>
        </w:rPr>
        <w:instrText xml:space="preserve"> PAGEREF _Toc21206 \h </w:instrText>
      </w:r>
      <w:r>
        <w:rPr>
          <w:highlight w:val="none"/>
        </w:rPr>
        <w:fldChar w:fldCharType="separate"/>
      </w:r>
      <w:r>
        <w:rPr>
          <w:highlight w:val="none"/>
        </w:rPr>
        <w:t>13</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78B71088">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_Toc11430 </w:instrText>
      </w:r>
      <w:r>
        <w:rPr>
          <w:rFonts w:hint="eastAsia" w:ascii="宋体" w:hAnsi="宋体" w:cs="宋体"/>
          <w:kern w:val="0"/>
          <w:szCs w:val="24"/>
          <w:highlight w:val="none"/>
        </w:rPr>
        <w:fldChar w:fldCharType="separate"/>
      </w:r>
      <w:r>
        <w:rPr>
          <w:rFonts w:hint="eastAsia" w:hAnsi="宋体" w:cs="宋体"/>
          <w:highlight w:val="none"/>
        </w:rPr>
        <w:t>11.报价</w:t>
      </w:r>
      <w:r>
        <w:rPr>
          <w:highlight w:val="none"/>
        </w:rPr>
        <w:tab/>
      </w:r>
      <w:r>
        <w:rPr>
          <w:highlight w:val="none"/>
        </w:rPr>
        <w:fldChar w:fldCharType="begin"/>
      </w:r>
      <w:r>
        <w:rPr>
          <w:highlight w:val="none"/>
        </w:rPr>
        <w:instrText xml:space="preserve"> PAGEREF _Toc11430 \h </w:instrText>
      </w:r>
      <w:r>
        <w:rPr>
          <w:highlight w:val="none"/>
        </w:rPr>
        <w:fldChar w:fldCharType="separate"/>
      </w:r>
      <w:r>
        <w:rPr>
          <w:highlight w:val="none"/>
        </w:rPr>
        <w:t>13</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A3B0FA2">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_Toc13404 </w:instrText>
      </w:r>
      <w:r>
        <w:rPr>
          <w:rFonts w:hint="eastAsia" w:ascii="宋体" w:hAnsi="宋体" w:cs="宋体"/>
          <w:kern w:val="0"/>
          <w:szCs w:val="24"/>
          <w:highlight w:val="none"/>
        </w:rPr>
        <w:fldChar w:fldCharType="separate"/>
      </w:r>
      <w:r>
        <w:rPr>
          <w:rFonts w:hint="eastAsia" w:hAnsi="宋体" w:cs="宋体"/>
          <w:highlight w:val="none"/>
        </w:rPr>
        <w:t>12.磋商保证金</w:t>
      </w:r>
      <w:r>
        <w:rPr>
          <w:highlight w:val="none"/>
        </w:rPr>
        <w:tab/>
      </w:r>
      <w:r>
        <w:rPr>
          <w:highlight w:val="none"/>
        </w:rPr>
        <w:fldChar w:fldCharType="begin"/>
      </w:r>
      <w:r>
        <w:rPr>
          <w:highlight w:val="none"/>
        </w:rPr>
        <w:instrText xml:space="preserve"> PAGEREF _Toc13404 \h </w:instrText>
      </w:r>
      <w:r>
        <w:rPr>
          <w:highlight w:val="none"/>
        </w:rPr>
        <w:fldChar w:fldCharType="separate"/>
      </w:r>
      <w:r>
        <w:rPr>
          <w:highlight w:val="none"/>
        </w:rPr>
        <w:t>14</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CB027AD">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_Toc7417 </w:instrText>
      </w:r>
      <w:r>
        <w:rPr>
          <w:rFonts w:hint="eastAsia" w:ascii="宋体" w:hAnsi="宋体" w:cs="宋体"/>
          <w:kern w:val="0"/>
          <w:szCs w:val="24"/>
          <w:highlight w:val="none"/>
        </w:rPr>
        <w:fldChar w:fldCharType="separate"/>
      </w:r>
      <w:r>
        <w:rPr>
          <w:rFonts w:hint="eastAsia" w:hAnsi="宋体" w:cs="宋体"/>
          <w:highlight w:val="none"/>
        </w:rPr>
        <w:t>13.响应有效期</w:t>
      </w:r>
      <w:r>
        <w:rPr>
          <w:highlight w:val="none"/>
        </w:rPr>
        <w:tab/>
      </w:r>
      <w:r>
        <w:rPr>
          <w:highlight w:val="none"/>
        </w:rPr>
        <w:fldChar w:fldCharType="begin"/>
      </w:r>
      <w:r>
        <w:rPr>
          <w:highlight w:val="none"/>
        </w:rPr>
        <w:instrText xml:space="preserve"> PAGEREF _Toc7417 \h </w:instrText>
      </w:r>
      <w:r>
        <w:rPr>
          <w:highlight w:val="none"/>
        </w:rPr>
        <w:fldChar w:fldCharType="separate"/>
      </w:r>
      <w:r>
        <w:rPr>
          <w:highlight w:val="none"/>
        </w:rPr>
        <w:t>14</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3759C623">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_Toc26201 </w:instrText>
      </w:r>
      <w:r>
        <w:rPr>
          <w:rFonts w:hint="eastAsia" w:ascii="宋体" w:hAnsi="宋体" w:cs="宋体"/>
          <w:kern w:val="0"/>
          <w:szCs w:val="24"/>
          <w:highlight w:val="none"/>
        </w:rPr>
        <w:fldChar w:fldCharType="separate"/>
      </w:r>
      <w:r>
        <w:rPr>
          <w:rFonts w:hint="eastAsia" w:hAnsi="宋体" w:cs="宋体"/>
          <w:highlight w:val="none"/>
        </w:rPr>
        <w:t>14.响应文件的签署及规定</w:t>
      </w:r>
      <w:r>
        <w:rPr>
          <w:highlight w:val="none"/>
        </w:rPr>
        <w:tab/>
      </w:r>
      <w:r>
        <w:rPr>
          <w:highlight w:val="none"/>
        </w:rPr>
        <w:fldChar w:fldCharType="begin"/>
      </w:r>
      <w:r>
        <w:rPr>
          <w:highlight w:val="none"/>
        </w:rPr>
        <w:instrText xml:space="preserve"> PAGEREF _Toc26201 \h </w:instrText>
      </w:r>
      <w:r>
        <w:rPr>
          <w:highlight w:val="none"/>
        </w:rPr>
        <w:fldChar w:fldCharType="separate"/>
      </w:r>
      <w:r>
        <w:rPr>
          <w:highlight w:val="none"/>
        </w:rPr>
        <w:t>14</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08206EBF">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_Toc14660 </w:instrText>
      </w:r>
      <w:r>
        <w:rPr>
          <w:rFonts w:hint="eastAsia" w:ascii="宋体" w:hAnsi="宋体" w:cs="宋体"/>
          <w:kern w:val="0"/>
          <w:szCs w:val="24"/>
          <w:highlight w:val="none"/>
        </w:rPr>
        <w:fldChar w:fldCharType="separate"/>
      </w:r>
      <w:r>
        <w:rPr>
          <w:rFonts w:hint="eastAsia" w:ascii="宋体" w:hAnsi="宋体" w:eastAsia="宋体" w:cs="宋体"/>
          <w:szCs w:val="28"/>
          <w:highlight w:val="none"/>
        </w:rPr>
        <w:t>四、响应文件的递交</w:t>
      </w:r>
      <w:r>
        <w:rPr>
          <w:highlight w:val="none"/>
        </w:rPr>
        <w:tab/>
      </w:r>
      <w:r>
        <w:rPr>
          <w:highlight w:val="none"/>
        </w:rPr>
        <w:fldChar w:fldCharType="begin"/>
      </w:r>
      <w:r>
        <w:rPr>
          <w:highlight w:val="none"/>
        </w:rPr>
        <w:instrText xml:space="preserve"> PAGEREF _Toc14660 \h </w:instrText>
      </w:r>
      <w:r>
        <w:rPr>
          <w:highlight w:val="none"/>
        </w:rPr>
        <w:fldChar w:fldCharType="separate"/>
      </w:r>
      <w:r>
        <w:rPr>
          <w:highlight w:val="none"/>
        </w:rPr>
        <w:t>15</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7FF722E">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_Toc18764 </w:instrText>
      </w:r>
      <w:r>
        <w:rPr>
          <w:rFonts w:hint="eastAsia" w:ascii="宋体" w:hAnsi="宋体" w:cs="宋体"/>
          <w:kern w:val="0"/>
          <w:szCs w:val="24"/>
          <w:highlight w:val="none"/>
        </w:rPr>
        <w:fldChar w:fldCharType="separate"/>
      </w:r>
      <w:r>
        <w:rPr>
          <w:rFonts w:hint="eastAsia" w:hAnsi="宋体" w:cs="宋体"/>
          <w:highlight w:val="none"/>
        </w:rPr>
        <w:t>15.响应文件的密封和标记</w:t>
      </w:r>
      <w:r>
        <w:rPr>
          <w:highlight w:val="none"/>
        </w:rPr>
        <w:tab/>
      </w:r>
      <w:r>
        <w:rPr>
          <w:highlight w:val="none"/>
        </w:rPr>
        <w:fldChar w:fldCharType="begin"/>
      </w:r>
      <w:r>
        <w:rPr>
          <w:highlight w:val="none"/>
        </w:rPr>
        <w:instrText xml:space="preserve"> PAGEREF _Toc18764 \h </w:instrText>
      </w:r>
      <w:r>
        <w:rPr>
          <w:highlight w:val="none"/>
        </w:rPr>
        <w:fldChar w:fldCharType="separate"/>
      </w:r>
      <w:r>
        <w:rPr>
          <w:highlight w:val="none"/>
        </w:rPr>
        <w:t>15</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060E68E1">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_Toc32006 </w:instrText>
      </w:r>
      <w:r>
        <w:rPr>
          <w:rFonts w:hint="eastAsia" w:ascii="宋体" w:hAnsi="宋体" w:cs="宋体"/>
          <w:kern w:val="0"/>
          <w:szCs w:val="24"/>
          <w:highlight w:val="none"/>
        </w:rPr>
        <w:fldChar w:fldCharType="separate"/>
      </w:r>
      <w:r>
        <w:rPr>
          <w:rFonts w:hint="eastAsia" w:hAnsi="宋体" w:cs="宋体"/>
          <w:highlight w:val="none"/>
        </w:rPr>
        <w:t>16.响应文件截止</w:t>
      </w:r>
      <w:r>
        <w:rPr>
          <w:highlight w:val="none"/>
        </w:rPr>
        <w:tab/>
      </w:r>
      <w:r>
        <w:rPr>
          <w:highlight w:val="none"/>
        </w:rPr>
        <w:fldChar w:fldCharType="begin"/>
      </w:r>
      <w:r>
        <w:rPr>
          <w:highlight w:val="none"/>
        </w:rPr>
        <w:instrText xml:space="preserve"> PAGEREF _Toc32006 \h </w:instrText>
      </w:r>
      <w:r>
        <w:rPr>
          <w:highlight w:val="none"/>
        </w:rPr>
        <w:fldChar w:fldCharType="separate"/>
      </w:r>
      <w:r>
        <w:rPr>
          <w:highlight w:val="none"/>
        </w:rPr>
        <w:t>15</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3921444E">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_Toc31697 </w:instrText>
      </w:r>
      <w:r>
        <w:rPr>
          <w:rFonts w:hint="eastAsia" w:ascii="宋体" w:hAnsi="宋体" w:cs="宋体"/>
          <w:kern w:val="0"/>
          <w:szCs w:val="24"/>
          <w:highlight w:val="none"/>
        </w:rPr>
        <w:fldChar w:fldCharType="separate"/>
      </w:r>
      <w:r>
        <w:rPr>
          <w:rFonts w:hint="eastAsia" w:hAnsi="宋体" w:cs="宋体"/>
          <w:highlight w:val="none"/>
        </w:rPr>
        <w:t>17.响应文件的接收、修改与撤回</w:t>
      </w:r>
      <w:r>
        <w:rPr>
          <w:highlight w:val="none"/>
        </w:rPr>
        <w:tab/>
      </w:r>
      <w:r>
        <w:rPr>
          <w:highlight w:val="none"/>
        </w:rPr>
        <w:fldChar w:fldCharType="begin"/>
      </w:r>
      <w:r>
        <w:rPr>
          <w:highlight w:val="none"/>
        </w:rPr>
        <w:instrText xml:space="preserve"> PAGEREF _Toc31697 \h </w:instrText>
      </w:r>
      <w:r>
        <w:rPr>
          <w:highlight w:val="none"/>
        </w:rPr>
        <w:fldChar w:fldCharType="separate"/>
      </w:r>
      <w:r>
        <w:rPr>
          <w:highlight w:val="none"/>
        </w:rPr>
        <w:t>15</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70836821">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_Toc8505 </w:instrText>
      </w:r>
      <w:r>
        <w:rPr>
          <w:rFonts w:hint="eastAsia" w:ascii="宋体" w:hAnsi="宋体" w:cs="宋体"/>
          <w:kern w:val="0"/>
          <w:szCs w:val="24"/>
          <w:highlight w:val="none"/>
        </w:rPr>
        <w:fldChar w:fldCharType="separate"/>
      </w:r>
      <w:r>
        <w:rPr>
          <w:rFonts w:hint="eastAsia" w:ascii="宋体" w:hAnsi="宋体" w:eastAsia="宋体" w:cs="宋体"/>
          <w:szCs w:val="28"/>
          <w:highlight w:val="none"/>
        </w:rPr>
        <w:t>五、提交响应文件截止及磋商</w:t>
      </w:r>
      <w:r>
        <w:rPr>
          <w:highlight w:val="none"/>
        </w:rPr>
        <w:tab/>
      </w:r>
      <w:r>
        <w:rPr>
          <w:highlight w:val="none"/>
        </w:rPr>
        <w:fldChar w:fldCharType="begin"/>
      </w:r>
      <w:r>
        <w:rPr>
          <w:highlight w:val="none"/>
        </w:rPr>
        <w:instrText xml:space="preserve"> PAGEREF _Toc8505 \h </w:instrText>
      </w:r>
      <w:r>
        <w:rPr>
          <w:highlight w:val="none"/>
        </w:rPr>
        <w:fldChar w:fldCharType="separate"/>
      </w:r>
      <w:r>
        <w:rPr>
          <w:highlight w:val="none"/>
        </w:rPr>
        <w:t>16</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CC4D9B6">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_Toc15514 </w:instrText>
      </w:r>
      <w:r>
        <w:rPr>
          <w:rFonts w:hint="eastAsia" w:ascii="宋体" w:hAnsi="宋体" w:cs="宋体"/>
          <w:kern w:val="0"/>
          <w:szCs w:val="24"/>
          <w:highlight w:val="none"/>
        </w:rPr>
        <w:fldChar w:fldCharType="separate"/>
      </w:r>
      <w:r>
        <w:rPr>
          <w:rFonts w:hAnsi="宋体" w:cs="宋体"/>
          <w:szCs w:val="24"/>
          <w:highlight w:val="none"/>
        </w:rPr>
        <w:t xml:space="preserve">18. </w:t>
      </w:r>
      <w:r>
        <w:rPr>
          <w:rFonts w:hint="eastAsia" w:hAnsi="宋体" w:cs="宋体"/>
          <w:szCs w:val="24"/>
          <w:highlight w:val="none"/>
        </w:rPr>
        <w:t>提交响应文件截止</w:t>
      </w:r>
      <w:r>
        <w:rPr>
          <w:highlight w:val="none"/>
        </w:rPr>
        <w:tab/>
      </w:r>
      <w:r>
        <w:rPr>
          <w:highlight w:val="none"/>
        </w:rPr>
        <w:fldChar w:fldCharType="begin"/>
      </w:r>
      <w:r>
        <w:rPr>
          <w:highlight w:val="none"/>
        </w:rPr>
        <w:instrText xml:space="preserve"> PAGEREF _Toc15514 \h </w:instrText>
      </w:r>
      <w:r>
        <w:rPr>
          <w:highlight w:val="none"/>
        </w:rPr>
        <w:fldChar w:fldCharType="separate"/>
      </w:r>
      <w:r>
        <w:rPr>
          <w:highlight w:val="none"/>
        </w:rPr>
        <w:t>16</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735D4019">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_Toc13530 </w:instrText>
      </w:r>
      <w:r>
        <w:rPr>
          <w:rFonts w:hint="eastAsia" w:ascii="宋体" w:hAnsi="宋体" w:cs="宋体"/>
          <w:kern w:val="0"/>
          <w:szCs w:val="24"/>
          <w:highlight w:val="none"/>
        </w:rPr>
        <w:fldChar w:fldCharType="separate"/>
      </w:r>
      <w:r>
        <w:rPr>
          <w:rFonts w:hint="eastAsia" w:hAnsi="宋体" w:cs="宋体"/>
          <w:highlight w:val="none"/>
        </w:rPr>
        <w:t>19. 磋商小组</w:t>
      </w:r>
      <w:r>
        <w:rPr>
          <w:highlight w:val="none"/>
        </w:rPr>
        <w:tab/>
      </w:r>
      <w:r>
        <w:rPr>
          <w:highlight w:val="none"/>
        </w:rPr>
        <w:fldChar w:fldCharType="begin"/>
      </w:r>
      <w:r>
        <w:rPr>
          <w:highlight w:val="none"/>
        </w:rPr>
        <w:instrText xml:space="preserve"> PAGEREF _Toc13530 \h </w:instrText>
      </w:r>
      <w:r>
        <w:rPr>
          <w:highlight w:val="none"/>
        </w:rPr>
        <w:fldChar w:fldCharType="separate"/>
      </w:r>
      <w:r>
        <w:rPr>
          <w:highlight w:val="none"/>
        </w:rPr>
        <w:t>16</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D8B31FD">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_Toc25952 </w:instrText>
      </w:r>
      <w:r>
        <w:rPr>
          <w:rFonts w:hint="eastAsia" w:ascii="宋体" w:hAnsi="宋体" w:cs="宋体"/>
          <w:kern w:val="0"/>
          <w:szCs w:val="24"/>
          <w:highlight w:val="none"/>
        </w:rPr>
        <w:fldChar w:fldCharType="separate"/>
      </w:r>
      <w:r>
        <w:rPr>
          <w:rFonts w:hint="eastAsia" w:hAnsi="宋体" w:cs="宋体"/>
          <w:szCs w:val="24"/>
          <w:highlight w:val="none"/>
        </w:rPr>
        <w:t>20.资格审查</w:t>
      </w:r>
      <w:r>
        <w:rPr>
          <w:highlight w:val="none"/>
        </w:rPr>
        <w:tab/>
      </w:r>
      <w:r>
        <w:rPr>
          <w:highlight w:val="none"/>
        </w:rPr>
        <w:fldChar w:fldCharType="begin"/>
      </w:r>
      <w:r>
        <w:rPr>
          <w:highlight w:val="none"/>
        </w:rPr>
        <w:instrText xml:space="preserve"> PAGEREF _Toc25952 \h </w:instrText>
      </w:r>
      <w:r>
        <w:rPr>
          <w:highlight w:val="none"/>
        </w:rPr>
        <w:fldChar w:fldCharType="separate"/>
      </w:r>
      <w:r>
        <w:rPr>
          <w:highlight w:val="none"/>
        </w:rPr>
        <w:t>17</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7BF673DC">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_Toc24236 </w:instrText>
      </w:r>
      <w:r>
        <w:rPr>
          <w:rFonts w:hint="eastAsia" w:ascii="宋体" w:hAnsi="宋体" w:cs="宋体"/>
          <w:kern w:val="0"/>
          <w:szCs w:val="24"/>
          <w:highlight w:val="none"/>
        </w:rPr>
        <w:fldChar w:fldCharType="separate"/>
      </w:r>
      <w:r>
        <w:rPr>
          <w:rFonts w:hint="eastAsia" w:hAnsi="宋体" w:cs="宋体"/>
          <w:szCs w:val="24"/>
          <w:highlight w:val="none"/>
        </w:rPr>
        <w:t>21.响应文件符合性审查与澄清</w:t>
      </w:r>
      <w:r>
        <w:rPr>
          <w:highlight w:val="none"/>
        </w:rPr>
        <w:tab/>
      </w:r>
      <w:r>
        <w:rPr>
          <w:highlight w:val="none"/>
        </w:rPr>
        <w:fldChar w:fldCharType="begin"/>
      </w:r>
      <w:r>
        <w:rPr>
          <w:highlight w:val="none"/>
        </w:rPr>
        <w:instrText xml:space="preserve"> PAGEREF _Toc24236 \h </w:instrText>
      </w:r>
      <w:r>
        <w:rPr>
          <w:highlight w:val="none"/>
        </w:rPr>
        <w:fldChar w:fldCharType="separate"/>
      </w:r>
      <w:r>
        <w:rPr>
          <w:highlight w:val="none"/>
        </w:rPr>
        <w:t>17</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57D3BC1">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_Toc3615 </w:instrText>
      </w:r>
      <w:r>
        <w:rPr>
          <w:rFonts w:hint="eastAsia" w:ascii="宋体" w:hAnsi="宋体" w:cs="宋体"/>
          <w:kern w:val="0"/>
          <w:szCs w:val="24"/>
          <w:highlight w:val="none"/>
        </w:rPr>
        <w:fldChar w:fldCharType="separate"/>
      </w:r>
      <w:r>
        <w:rPr>
          <w:rFonts w:hint="eastAsia" w:hAnsi="宋体" w:cs="宋体"/>
          <w:szCs w:val="24"/>
          <w:highlight w:val="none"/>
        </w:rPr>
        <w:t>22.无效响应</w:t>
      </w:r>
      <w:r>
        <w:rPr>
          <w:highlight w:val="none"/>
        </w:rPr>
        <w:tab/>
      </w:r>
      <w:r>
        <w:rPr>
          <w:highlight w:val="none"/>
        </w:rPr>
        <w:fldChar w:fldCharType="begin"/>
      </w:r>
      <w:r>
        <w:rPr>
          <w:highlight w:val="none"/>
        </w:rPr>
        <w:instrText xml:space="preserve"> PAGEREF _Toc3615 \h </w:instrText>
      </w:r>
      <w:r>
        <w:rPr>
          <w:highlight w:val="none"/>
        </w:rPr>
        <w:fldChar w:fldCharType="separate"/>
      </w:r>
      <w:r>
        <w:rPr>
          <w:highlight w:val="none"/>
        </w:rPr>
        <w:t>18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936E2F5">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_Toc14837 </w:instrText>
      </w:r>
      <w:r>
        <w:rPr>
          <w:rFonts w:hint="eastAsia" w:ascii="宋体" w:hAnsi="宋体" w:cs="宋体"/>
          <w:kern w:val="0"/>
          <w:szCs w:val="24"/>
          <w:highlight w:val="none"/>
        </w:rPr>
        <w:fldChar w:fldCharType="separate"/>
      </w:r>
      <w:r>
        <w:rPr>
          <w:rFonts w:hint="eastAsia" w:hAnsi="宋体" w:cs="宋体"/>
          <w:szCs w:val="24"/>
          <w:highlight w:val="none"/>
        </w:rPr>
        <w:t>23.磋商</w:t>
      </w:r>
      <w:r>
        <w:rPr>
          <w:highlight w:val="none"/>
        </w:rPr>
        <w:tab/>
      </w:r>
      <w:r>
        <w:rPr>
          <w:highlight w:val="none"/>
        </w:rPr>
        <w:fldChar w:fldCharType="begin"/>
      </w:r>
      <w:r>
        <w:rPr>
          <w:highlight w:val="none"/>
        </w:rPr>
        <w:instrText xml:space="preserve"> PAGEREF _Toc14837 \h </w:instrText>
      </w:r>
      <w:r>
        <w:rPr>
          <w:highlight w:val="none"/>
        </w:rPr>
        <w:fldChar w:fldCharType="separate"/>
      </w:r>
      <w:r>
        <w:rPr>
          <w:highlight w:val="none"/>
        </w:rPr>
        <w:t>19</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8DB4F3C">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_Toc9042 </w:instrText>
      </w:r>
      <w:r>
        <w:rPr>
          <w:rFonts w:hint="eastAsia" w:ascii="宋体" w:hAnsi="宋体" w:cs="宋体"/>
          <w:kern w:val="0"/>
          <w:szCs w:val="24"/>
          <w:highlight w:val="none"/>
        </w:rPr>
        <w:fldChar w:fldCharType="separate"/>
      </w:r>
      <w:r>
        <w:rPr>
          <w:rFonts w:hint="eastAsia" w:hAnsi="宋体" w:cs="宋体"/>
          <w:szCs w:val="24"/>
          <w:highlight w:val="none"/>
        </w:rPr>
        <w:t>24.比较和评价</w:t>
      </w:r>
      <w:r>
        <w:rPr>
          <w:highlight w:val="none"/>
        </w:rPr>
        <w:tab/>
      </w:r>
      <w:r>
        <w:rPr>
          <w:highlight w:val="none"/>
        </w:rPr>
        <w:fldChar w:fldCharType="begin"/>
      </w:r>
      <w:r>
        <w:rPr>
          <w:highlight w:val="none"/>
        </w:rPr>
        <w:instrText xml:space="preserve"> PAGEREF _Toc9042 \h </w:instrText>
      </w:r>
      <w:r>
        <w:rPr>
          <w:highlight w:val="none"/>
        </w:rPr>
        <w:fldChar w:fldCharType="separate"/>
      </w:r>
      <w:r>
        <w:rPr>
          <w:highlight w:val="none"/>
        </w:rPr>
        <w:t>19</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EAB2FAC">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_Toc3662 </w:instrText>
      </w:r>
      <w:r>
        <w:rPr>
          <w:rFonts w:hint="eastAsia" w:ascii="宋体" w:hAnsi="宋体" w:cs="宋体"/>
          <w:kern w:val="0"/>
          <w:szCs w:val="24"/>
          <w:highlight w:val="none"/>
        </w:rPr>
        <w:fldChar w:fldCharType="separate"/>
      </w:r>
      <w:r>
        <w:rPr>
          <w:rFonts w:hint="eastAsia" w:hAnsi="宋体" w:cs="宋体"/>
          <w:szCs w:val="24"/>
          <w:highlight w:val="none"/>
        </w:rPr>
        <w:t>25.采购项目终止</w:t>
      </w:r>
      <w:r>
        <w:rPr>
          <w:highlight w:val="none"/>
        </w:rPr>
        <w:tab/>
      </w:r>
      <w:r>
        <w:rPr>
          <w:highlight w:val="none"/>
        </w:rPr>
        <w:fldChar w:fldCharType="begin"/>
      </w:r>
      <w:r>
        <w:rPr>
          <w:highlight w:val="none"/>
        </w:rPr>
        <w:instrText xml:space="preserve"> PAGEREF _Toc3662 \h </w:instrText>
      </w:r>
      <w:r>
        <w:rPr>
          <w:highlight w:val="none"/>
        </w:rPr>
        <w:fldChar w:fldCharType="separate"/>
      </w:r>
      <w:r>
        <w:rPr>
          <w:highlight w:val="none"/>
        </w:rPr>
        <w:t>20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E5231D8">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_Toc20246 </w:instrText>
      </w:r>
      <w:r>
        <w:rPr>
          <w:rFonts w:hint="eastAsia" w:ascii="宋体" w:hAnsi="宋体" w:cs="宋体"/>
          <w:kern w:val="0"/>
          <w:szCs w:val="24"/>
          <w:highlight w:val="none"/>
        </w:rPr>
        <w:fldChar w:fldCharType="separate"/>
      </w:r>
      <w:r>
        <w:rPr>
          <w:rFonts w:hint="eastAsia" w:hAnsi="宋体" w:cs="宋体"/>
          <w:szCs w:val="24"/>
          <w:highlight w:val="none"/>
        </w:rPr>
        <w:t>26.保密要求</w:t>
      </w:r>
      <w:r>
        <w:rPr>
          <w:highlight w:val="none"/>
        </w:rPr>
        <w:tab/>
      </w:r>
      <w:r>
        <w:rPr>
          <w:highlight w:val="none"/>
        </w:rPr>
        <w:fldChar w:fldCharType="begin"/>
      </w:r>
      <w:r>
        <w:rPr>
          <w:highlight w:val="none"/>
        </w:rPr>
        <w:instrText xml:space="preserve"> PAGEREF _Toc20246 \h </w:instrText>
      </w:r>
      <w:r>
        <w:rPr>
          <w:highlight w:val="none"/>
        </w:rPr>
        <w:fldChar w:fldCharType="separate"/>
      </w:r>
      <w:r>
        <w:rPr>
          <w:highlight w:val="none"/>
        </w:rPr>
        <w:t>20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EDD7AB0">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_Toc25271 </w:instrText>
      </w:r>
      <w:r>
        <w:rPr>
          <w:rFonts w:hint="eastAsia" w:ascii="宋体" w:hAnsi="宋体" w:cs="宋体"/>
          <w:kern w:val="0"/>
          <w:szCs w:val="24"/>
          <w:highlight w:val="none"/>
        </w:rPr>
        <w:fldChar w:fldCharType="separate"/>
      </w:r>
      <w:r>
        <w:rPr>
          <w:rFonts w:hint="eastAsia" w:ascii="宋体" w:hAnsi="宋体" w:eastAsia="宋体" w:cs="宋体"/>
          <w:szCs w:val="28"/>
          <w:highlight w:val="none"/>
        </w:rPr>
        <w:t>六、确定成交</w:t>
      </w:r>
      <w:r>
        <w:rPr>
          <w:highlight w:val="none"/>
        </w:rPr>
        <w:tab/>
      </w:r>
      <w:r>
        <w:rPr>
          <w:highlight w:val="none"/>
        </w:rPr>
        <w:fldChar w:fldCharType="begin"/>
      </w:r>
      <w:r>
        <w:rPr>
          <w:highlight w:val="none"/>
        </w:rPr>
        <w:instrText xml:space="preserve"> PAGEREF _Toc25271 \h </w:instrText>
      </w:r>
      <w:r>
        <w:rPr>
          <w:highlight w:val="none"/>
        </w:rPr>
        <w:fldChar w:fldCharType="separate"/>
      </w:r>
      <w:r>
        <w:rPr>
          <w:highlight w:val="none"/>
        </w:rPr>
        <w:t>20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D315015">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_Toc21594 </w:instrText>
      </w:r>
      <w:r>
        <w:rPr>
          <w:rFonts w:hint="eastAsia" w:ascii="宋体" w:hAnsi="宋体" w:cs="宋体"/>
          <w:kern w:val="0"/>
          <w:szCs w:val="24"/>
          <w:highlight w:val="none"/>
        </w:rPr>
        <w:fldChar w:fldCharType="separate"/>
      </w:r>
      <w:r>
        <w:rPr>
          <w:rFonts w:hint="eastAsia" w:hAnsi="宋体" w:cs="宋体"/>
          <w:highlight w:val="none"/>
        </w:rPr>
        <w:t>27.成交候选供应商的确定原则及标准</w:t>
      </w:r>
      <w:r>
        <w:rPr>
          <w:highlight w:val="none"/>
        </w:rPr>
        <w:tab/>
      </w:r>
      <w:r>
        <w:rPr>
          <w:highlight w:val="none"/>
        </w:rPr>
        <w:fldChar w:fldCharType="begin"/>
      </w:r>
      <w:r>
        <w:rPr>
          <w:highlight w:val="none"/>
        </w:rPr>
        <w:instrText xml:space="preserve"> PAGEREF _Toc21594 \h </w:instrText>
      </w:r>
      <w:r>
        <w:rPr>
          <w:highlight w:val="none"/>
        </w:rPr>
        <w:fldChar w:fldCharType="separate"/>
      </w:r>
      <w:r>
        <w:rPr>
          <w:highlight w:val="none"/>
        </w:rPr>
        <w:t>20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EC54EE9">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_Toc11920 </w:instrText>
      </w:r>
      <w:r>
        <w:rPr>
          <w:rFonts w:hint="eastAsia" w:ascii="宋体" w:hAnsi="宋体" w:cs="宋体"/>
          <w:kern w:val="0"/>
          <w:szCs w:val="24"/>
          <w:highlight w:val="none"/>
        </w:rPr>
        <w:fldChar w:fldCharType="separate"/>
      </w:r>
      <w:r>
        <w:rPr>
          <w:rFonts w:hint="eastAsia" w:hAnsi="宋体" w:cs="宋体"/>
          <w:highlight w:val="none"/>
        </w:rPr>
        <w:t>28.确定成交候选供应商和成交供应商</w:t>
      </w:r>
      <w:r>
        <w:rPr>
          <w:highlight w:val="none"/>
        </w:rPr>
        <w:tab/>
      </w:r>
      <w:r>
        <w:rPr>
          <w:highlight w:val="none"/>
        </w:rPr>
        <w:fldChar w:fldCharType="begin"/>
      </w:r>
      <w:r>
        <w:rPr>
          <w:highlight w:val="none"/>
        </w:rPr>
        <w:instrText xml:space="preserve"> PAGEREF _Toc11920 \h </w:instrText>
      </w:r>
      <w:r>
        <w:rPr>
          <w:highlight w:val="none"/>
        </w:rPr>
        <w:fldChar w:fldCharType="separate"/>
      </w:r>
      <w:r>
        <w:rPr>
          <w:highlight w:val="none"/>
        </w:rPr>
        <w:t>21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70B91B9">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_Toc13440 </w:instrText>
      </w:r>
      <w:r>
        <w:rPr>
          <w:rFonts w:hint="eastAsia" w:ascii="宋体" w:hAnsi="宋体" w:cs="宋体"/>
          <w:kern w:val="0"/>
          <w:szCs w:val="24"/>
          <w:highlight w:val="none"/>
        </w:rPr>
        <w:fldChar w:fldCharType="separate"/>
      </w:r>
      <w:r>
        <w:rPr>
          <w:rFonts w:hint="eastAsia" w:hAnsi="宋体" w:cs="宋体"/>
          <w:highlight w:val="none"/>
        </w:rPr>
        <w:t>29.采购任务取消</w:t>
      </w:r>
      <w:r>
        <w:rPr>
          <w:highlight w:val="none"/>
        </w:rPr>
        <w:tab/>
      </w:r>
      <w:r>
        <w:rPr>
          <w:highlight w:val="none"/>
        </w:rPr>
        <w:fldChar w:fldCharType="begin"/>
      </w:r>
      <w:r>
        <w:rPr>
          <w:highlight w:val="none"/>
        </w:rPr>
        <w:instrText xml:space="preserve"> PAGEREF _Toc13440 \h </w:instrText>
      </w:r>
      <w:r>
        <w:rPr>
          <w:highlight w:val="none"/>
        </w:rPr>
        <w:fldChar w:fldCharType="separate"/>
      </w:r>
      <w:r>
        <w:rPr>
          <w:highlight w:val="none"/>
        </w:rPr>
        <w:t>21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76DCFAF">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_Toc16172 </w:instrText>
      </w:r>
      <w:r>
        <w:rPr>
          <w:rFonts w:hint="eastAsia" w:ascii="宋体" w:hAnsi="宋体" w:cs="宋体"/>
          <w:kern w:val="0"/>
          <w:szCs w:val="24"/>
          <w:highlight w:val="none"/>
        </w:rPr>
        <w:fldChar w:fldCharType="separate"/>
      </w:r>
      <w:r>
        <w:rPr>
          <w:rFonts w:hint="eastAsia" w:hAnsi="宋体" w:cs="宋体"/>
          <w:highlight w:val="none"/>
        </w:rPr>
        <w:t>30.发出成交通知书</w:t>
      </w:r>
      <w:r>
        <w:rPr>
          <w:highlight w:val="none"/>
        </w:rPr>
        <w:tab/>
      </w:r>
      <w:r>
        <w:rPr>
          <w:highlight w:val="none"/>
        </w:rPr>
        <w:fldChar w:fldCharType="begin"/>
      </w:r>
      <w:r>
        <w:rPr>
          <w:highlight w:val="none"/>
        </w:rPr>
        <w:instrText xml:space="preserve"> PAGEREF _Toc16172 \h </w:instrText>
      </w:r>
      <w:r>
        <w:rPr>
          <w:highlight w:val="none"/>
        </w:rPr>
        <w:fldChar w:fldCharType="separate"/>
      </w:r>
      <w:r>
        <w:rPr>
          <w:highlight w:val="none"/>
        </w:rPr>
        <w:t>21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61F7BCE">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_Toc31518 </w:instrText>
      </w:r>
      <w:r>
        <w:rPr>
          <w:rFonts w:hint="eastAsia" w:ascii="宋体" w:hAnsi="宋体" w:cs="宋体"/>
          <w:kern w:val="0"/>
          <w:szCs w:val="24"/>
          <w:highlight w:val="none"/>
        </w:rPr>
        <w:fldChar w:fldCharType="separate"/>
      </w:r>
      <w:r>
        <w:rPr>
          <w:rFonts w:hint="eastAsia" w:hAnsi="宋体" w:cs="宋体"/>
          <w:highlight w:val="none"/>
        </w:rPr>
        <w:t>31.签订合同</w:t>
      </w:r>
      <w:r>
        <w:rPr>
          <w:highlight w:val="none"/>
        </w:rPr>
        <w:tab/>
      </w:r>
      <w:r>
        <w:rPr>
          <w:highlight w:val="none"/>
        </w:rPr>
        <w:fldChar w:fldCharType="begin"/>
      </w:r>
      <w:r>
        <w:rPr>
          <w:highlight w:val="none"/>
        </w:rPr>
        <w:instrText xml:space="preserve"> PAGEREF _Toc31518 \h </w:instrText>
      </w:r>
      <w:r>
        <w:rPr>
          <w:highlight w:val="none"/>
        </w:rPr>
        <w:fldChar w:fldCharType="separate"/>
      </w:r>
      <w:r>
        <w:rPr>
          <w:highlight w:val="none"/>
        </w:rPr>
        <w:t>21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001815E">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_Toc24339 </w:instrText>
      </w:r>
      <w:r>
        <w:rPr>
          <w:rFonts w:hint="eastAsia" w:ascii="宋体" w:hAnsi="宋体" w:cs="宋体"/>
          <w:kern w:val="0"/>
          <w:szCs w:val="24"/>
          <w:highlight w:val="none"/>
        </w:rPr>
        <w:fldChar w:fldCharType="separate"/>
      </w:r>
      <w:r>
        <w:rPr>
          <w:rFonts w:hint="eastAsia" w:hAnsi="宋体" w:cs="宋体"/>
          <w:highlight w:val="none"/>
        </w:rPr>
        <w:t>32.履约保证金</w:t>
      </w:r>
      <w:r>
        <w:rPr>
          <w:highlight w:val="none"/>
        </w:rPr>
        <w:tab/>
      </w:r>
      <w:r>
        <w:rPr>
          <w:highlight w:val="none"/>
        </w:rPr>
        <w:fldChar w:fldCharType="begin"/>
      </w:r>
      <w:r>
        <w:rPr>
          <w:highlight w:val="none"/>
        </w:rPr>
        <w:instrText xml:space="preserve"> PAGEREF _Toc24339 \h </w:instrText>
      </w:r>
      <w:r>
        <w:rPr>
          <w:highlight w:val="none"/>
        </w:rPr>
        <w:fldChar w:fldCharType="separate"/>
      </w:r>
      <w:r>
        <w:rPr>
          <w:highlight w:val="none"/>
        </w:rPr>
        <w:t>21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CE8D3CE">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_Toc10439 </w:instrText>
      </w:r>
      <w:r>
        <w:rPr>
          <w:rFonts w:hint="eastAsia" w:ascii="宋体" w:hAnsi="宋体" w:cs="宋体"/>
          <w:kern w:val="0"/>
          <w:szCs w:val="24"/>
          <w:highlight w:val="none"/>
        </w:rPr>
        <w:fldChar w:fldCharType="separate"/>
      </w:r>
      <w:r>
        <w:rPr>
          <w:rFonts w:hint="eastAsia" w:hAnsi="宋体" w:cs="宋体"/>
          <w:highlight w:val="none"/>
        </w:rPr>
        <w:t>3</w:t>
      </w:r>
      <w:r>
        <w:rPr>
          <w:rFonts w:hint="eastAsia" w:hAnsi="宋体" w:cs="宋体"/>
          <w:highlight w:val="none"/>
          <w:lang w:val="en-US" w:eastAsia="zh-CN"/>
        </w:rPr>
        <w:t>3</w:t>
      </w:r>
      <w:r>
        <w:rPr>
          <w:rFonts w:hint="eastAsia" w:hAnsi="宋体" w:cs="宋体"/>
          <w:highlight w:val="none"/>
        </w:rPr>
        <w:t>.预付款</w:t>
      </w:r>
      <w:r>
        <w:rPr>
          <w:highlight w:val="none"/>
        </w:rPr>
        <w:tab/>
      </w:r>
      <w:r>
        <w:rPr>
          <w:highlight w:val="none"/>
        </w:rPr>
        <w:fldChar w:fldCharType="begin"/>
      </w:r>
      <w:r>
        <w:rPr>
          <w:highlight w:val="none"/>
        </w:rPr>
        <w:instrText xml:space="preserve"> PAGEREF _Toc10439 \h </w:instrText>
      </w:r>
      <w:r>
        <w:rPr>
          <w:highlight w:val="none"/>
        </w:rPr>
        <w:fldChar w:fldCharType="separate"/>
      </w:r>
      <w:r>
        <w:rPr>
          <w:highlight w:val="none"/>
        </w:rPr>
        <w:t>21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4F4F575">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_Toc29737 </w:instrText>
      </w:r>
      <w:r>
        <w:rPr>
          <w:rFonts w:hint="eastAsia" w:ascii="宋体" w:hAnsi="宋体" w:cs="宋体"/>
          <w:kern w:val="0"/>
          <w:szCs w:val="24"/>
          <w:highlight w:val="none"/>
        </w:rPr>
        <w:fldChar w:fldCharType="separate"/>
      </w:r>
      <w:r>
        <w:rPr>
          <w:rFonts w:hint="eastAsia" w:hAnsi="宋体" w:cs="宋体"/>
          <w:highlight w:val="none"/>
        </w:rPr>
        <w:t>3</w:t>
      </w:r>
      <w:r>
        <w:rPr>
          <w:rFonts w:hint="eastAsia" w:hAnsi="宋体" w:cs="宋体"/>
          <w:highlight w:val="none"/>
          <w:lang w:val="en-US" w:eastAsia="zh-CN"/>
        </w:rPr>
        <w:t>4</w:t>
      </w:r>
      <w:r>
        <w:rPr>
          <w:rFonts w:hint="eastAsia" w:hAnsi="宋体" w:cs="宋体"/>
          <w:highlight w:val="none"/>
        </w:rPr>
        <w:t>.廉洁自律规定</w:t>
      </w:r>
      <w:r>
        <w:rPr>
          <w:highlight w:val="none"/>
        </w:rPr>
        <w:tab/>
      </w:r>
      <w:r>
        <w:rPr>
          <w:highlight w:val="none"/>
        </w:rPr>
        <w:fldChar w:fldCharType="begin"/>
      </w:r>
      <w:r>
        <w:rPr>
          <w:highlight w:val="none"/>
        </w:rPr>
        <w:instrText xml:space="preserve"> PAGEREF _Toc29737 \h </w:instrText>
      </w:r>
      <w:r>
        <w:rPr>
          <w:highlight w:val="none"/>
        </w:rPr>
        <w:fldChar w:fldCharType="separate"/>
      </w:r>
      <w:r>
        <w:rPr>
          <w:highlight w:val="none"/>
        </w:rPr>
        <w:t>22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619F159">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_Toc15606 </w:instrText>
      </w:r>
      <w:r>
        <w:rPr>
          <w:rFonts w:hint="eastAsia" w:ascii="宋体" w:hAnsi="宋体" w:cs="宋体"/>
          <w:kern w:val="0"/>
          <w:szCs w:val="24"/>
          <w:highlight w:val="none"/>
        </w:rPr>
        <w:fldChar w:fldCharType="separate"/>
      </w:r>
      <w:r>
        <w:rPr>
          <w:rFonts w:hint="eastAsia" w:hAnsi="宋体" w:cs="宋体"/>
          <w:highlight w:val="none"/>
        </w:rPr>
        <w:t>3</w:t>
      </w:r>
      <w:r>
        <w:rPr>
          <w:rFonts w:hint="eastAsia" w:hAnsi="宋体" w:cs="宋体"/>
          <w:highlight w:val="none"/>
          <w:lang w:val="en-US" w:eastAsia="zh-CN"/>
        </w:rPr>
        <w:t>5</w:t>
      </w:r>
      <w:r>
        <w:rPr>
          <w:rFonts w:hint="eastAsia" w:hAnsi="宋体" w:cs="宋体"/>
          <w:highlight w:val="none"/>
        </w:rPr>
        <w:t>.人员回避</w:t>
      </w:r>
      <w:r>
        <w:rPr>
          <w:highlight w:val="none"/>
        </w:rPr>
        <w:tab/>
      </w:r>
      <w:r>
        <w:rPr>
          <w:highlight w:val="none"/>
        </w:rPr>
        <w:fldChar w:fldCharType="begin"/>
      </w:r>
      <w:r>
        <w:rPr>
          <w:highlight w:val="none"/>
        </w:rPr>
        <w:instrText xml:space="preserve"> PAGEREF _Toc15606 \h </w:instrText>
      </w:r>
      <w:r>
        <w:rPr>
          <w:highlight w:val="none"/>
        </w:rPr>
        <w:fldChar w:fldCharType="separate"/>
      </w:r>
      <w:r>
        <w:rPr>
          <w:highlight w:val="none"/>
        </w:rPr>
        <w:t>22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04498E43">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_Toc13407 </w:instrText>
      </w:r>
      <w:r>
        <w:rPr>
          <w:rFonts w:hint="eastAsia" w:ascii="宋体" w:hAnsi="宋体" w:cs="宋体"/>
          <w:kern w:val="0"/>
          <w:szCs w:val="24"/>
          <w:highlight w:val="none"/>
        </w:rPr>
        <w:fldChar w:fldCharType="separate"/>
      </w:r>
      <w:r>
        <w:rPr>
          <w:rFonts w:hint="eastAsia" w:hAnsi="宋体" w:cs="宋体"/>
          <w:highlight w:val="none"/>
        </w:rPr>
        <w:t>3</w:t>
      </w:r>
      <w:r>
        <w:rPr>
          <w:rFonts w:hint="eastAsia" w:hAnsi="宋体" w:cs="宋体"/>
          <w:highlight w:val="none"/>
          <w:lang w:val="en-US" w:eastAsia="zh-CN"/>
        </w:rPr>
        <w:t>6</w:t>
      </w:r>
      <w:r>
        <w:rPr>
          <w:rFonts w:hint="eastAsia" w:hAnsi="宋体" w:cs="宋体"/>
          <w:highlight w:val="none"/>
        </w:rPr>
        <w:t>.质疑与接收</w:t>
      </w:r>
      <w:r>
        <w:rPr>
          <w:highlight w:val="none"/>
        </w:rPr>
        <w:tab/>
      </w:r>
      <w:r>
        <w:rPr>
          <w:highlight w:val="none"/>
        </w:rPr>
        <w:fldChar w:fldCharType="begin"/>
      </w:r>
      <w:r>
        <w:rPr>
          <w:highlight w:val="none"/>
        </w:rPr>
        <w:instrText xml:space="preserve"> PAGEREF _Toc13407 \h </w:instrText>
      </w:r>
      <w:r>
        <w:rPr>
          <w:highlight w:val="none"/>
        </w:rPr>
        <w:fldChar w:fldCharType="separate"/>
      </w:r>
      <w:r>
        <w:rPr>
          <w:highlight w:val="none"/>
        </w:rPr>
        <w:t>22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DFFF00B">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_Toc8353 </w:instrText>
      </w:r>
      <w:r>
        <w:rPr>
          <w:rFonts w:hint="eastAsia" w:ascii="宋体" w:hAnsi="宋体" w:cs="宋体"/>
          <w:kern w:val="0"/>
          <w:szCs w:val="24"/>
          <w:highlight w:val="none"/>
        </w:rPr>
        <w:fldChar w:fldCharType="separate"/>
      </w:r>
      <w:r>
        <w:rPr>
          <w:rFonts w:hint="eastAsia" w:hAnsi="宋体" w:cs="宋体"/>
          <w:highlight w:val="none"/>
        </w:rPr>
        <w:t>3</w:t>
      </w:r>
      <w:r>
        <w:rPr>
          <w:rFonts w:hint="eastAsia" w:hAnsi="宋体" w:cs="宋体"/>
          <w:highlight w:val="none"/>
          <w:lang w:val="en-US" w:eastAsia="zh-CN"/>
        </w:rPr>
        <w:t>7</w:t>
      </w:r>
      <w:r>
        <w:rPr>
          <w:rFonts w:hint="eastAsia" w:hAnsi="宋体" w:cs="宋体"/>
          <w:highlight w:val="none"/>
        </w:rPr>
        <w:t>.项目其他相关费用</w:t>
      </w:r>
      <w:r>
        <w:rPr>
          <w:highlight w:val="none"/>
        </w:rPr>
        <w:tab/>
      </w:r>
      <w:r>
        <w:rPr>
          <w:highlight w:val="none"/>
        </w:rPr>
        <w:fldChar w:fldCharType="begin"/>
      </w:r>
      <w:r>
        <w:rPr>
          <w:highlight w:val="none"/>
        </w:rPr>
        <w:instrText xml:space="preserve"> PAGEREF _Toc8353 \h </w:instrText>
      </w:r>
      <w:r>
        <w:rPr>
          <w:highlight w:val="none"/>
        </w:rPr>
        <w:fldChar w:fldCharType="separate"/>
      </w:r>
      <w:r>
        <w:rPr>
          <w:highlight w:val="none"/>
        </w:rPr>
        <w:t>22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92B2DD6">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_Toc19608 </w:instrText>
      </w:r>
      <w:r>
        <w:rPr>
          <w:rFonts w:hint="eastAsia" w:ascii="宋体" w:hAnsi="宋体" w:cs="宋体"/>
          <w:kern w:val="0"/>
          <w:szCs w:val="24"/>
          <w:highlight w:val="none"/>
        </w:rPr>
        <w:fldChar w:fldCharType="separate"/>
      </w:r>
      <w:r>
        <w:rPr>
          <w:rFonts w:hint="eastAsia" w:hAnsi="宋体" w:cs="宋体"/>
          <w:szCs w:val="28"/>
          <w:highlight w:val="none"/>
        </w:rPr>
        <w:t>3</w:t>
      </w:r>
      <w:r>
        <w:rPr>
          <w:rFonts w:hint="eastAsia" w:hAnsi="宋体" w:cs="宋体"/>
          <w:szCs w:val="28"/>
          <w:highlight w:val="none"/>
          <w:lang w:val="en-US" w:eastAsia="zh-CN"/>
        </w:rPr>
        <w:t>8</w:t>
      </w:r>
      <w:r>
        <w:rPr>
          <w:rFonts w:hint="eastAsia" w:hAnsi="宋体" w:cs="宋体"/>
          <w:highlight w:val="none"/>
        </w:rPr>
        <w:t>.</w:t>
      </w:r>
      <w:r>
        <w:rPr>
          <w:rFonts w:hint="eastAsia" w:hAnsi="宋体" w:cs="宋体"/>
          <w:szCs w:val="28"/>
          <w:highlight w:val="none"/>
        </w:rPr>
        <w:t>磋商文件解释权</w:t>
      </w:r>
      <w:r>
        <w:rPr>
          <w:highlight w:val="none"/>
        </w:rPr>
        <w:tab/>
      </w:r>
      <w:r>
        <w:rPr>
          <w:highlight w:val="none"/>
        </w:rPr>
        <w:fldChar w:fldCharType="begin"/>
      </w:r>
      <w:r>
        <w:rPr>
          <w:highlight w:val="none"/>
        </w:rPr>
        <w:instrText xml:space="preserve"> PAGEREF _Toc19608 \h </w:instrText>
      </w:r>
      <w:r>
        <w:rPr>
          <w:highlight w:val="none"/>
        </w:rPr>
        <w:fldChar w:fldCharType="separate"/>
      </w:r>
      <w:r>
        <w:rPr>
          <w:highlight w:val="none"/>
        </w:rPr>
        <w:t>23</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EA695A5">
      <w:pPr>
        <w:pStyle w:val="21"/>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_Toc32241 </w:instrText>
      </w:r>
      <w:r>
        <w:rPr>
          <w:rFonts w:hint="eastAsia" w:ascii="宋体" w:hAnsi="宋体" w:cs="宋体"/>
          <w:kern w:val="0"/>
          <w:szCs w:val="24"/>
          <w:highlight w:val="none"/>
        </w:rPr>
        <w:fldChar w:fldCharType="separate"/>
      </w:r>
      <w:r>
        <w:rPr>
          <w:rFonts w:hint="eastAsia" w:hAnsi="宋体" w:cs="宋体"/>
          <w:highlight w:val="none"/>
        </w:rPr>
        <w:t>第2章  采购邀请</w:t>
      </w:r>
      <w:r>
        <w:rPr>
          <w:highlight w:val="none"/>
        </w:rPr>
        <w:tab/>
      </w:r>
      <w:r>
        <w:rPr>
          <w:highlight w:val="none"/>
        </w:rPr>
        <w:fldChar w:fldCharType="begin"/>
      </w:r>
      <w:r>
        <w:rPr>
          <w:highlight w:val="none"/>
        </w:rPr>
        <w:instrText xml:space="preserve"> PAGEREF _Toc32241 \h </w:instrText>
      </w:r>
      <w:r>
        <w:rPr>
          <w:highlight w:val="none"/>
        </w:rPr>
        <w:fldChar w:fldCharType="separate"/>
      </w:r>
      <w:r>
        <w:rPr>
          <w:highlight w:val="none"/>
        </w:rPr>
        <w:t>25</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4840F84">
      <w:pPr>
        <w:pStyle w:val="21"/>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_Toc29657 </w:instrText>
      </w:r>
      <w:r>
        <w:rPr>
          <w:rFonts w:hint="eastAsia" w:ascii="宋体" w:hAnsi="宋体" w:cs="宋体"/>
          <w:kern w:val="0"/>
          <w:szCs w:val="24"/>
          <w:highlight w:val="none"/>
        </w:rPr>
        <w:fldChar w:fldCharType="separate"/>
      </w:r>
      <w:r>
        <w:rPr>
          <w:rFonts w:hint="eastAsia" w:hAnsi="宋体" w:cs="宋体"/>
          <w:szCs w:val="32"/>
          <w:highlight w:val="none"/>
        </w:rPr>
        <w:t xml:space="preserve">第3章  </w:t>
      </w:r>
      <w:r>
        <w:rPr>
          <w:rFonts w:hint="eastAsia" w:hAnsi="宋体" w:cs="宋体"/>
          <w:highlight w:val="none"/>
        </w:rPr>
        <w:t>供应商须知</w:t>
      </w:r>
      <w:r>
        <w:rPr>
          <w:rFonts w:hint="eastAsia" w:hAnsi="宋体" w:cs="宋体"/>
          <w:szCs w:val="32"/>
          <w:highlight w:val="none"/>
        </w:rPr>
        <w:t>资料表</w:t>
      </w:r>
      <w:r>
        <w:rPr>
          <w:highlight w:val="none"/>
        </w:rPr>
        <w:tab/>
      </w:r>
      <w:r>
        <w:rPr>
          <w:highlight w:val="none"/>
        </w:rPr>
        <w:fldChar w:fldCharType="begin"/>
      </w:r>
      <w:r>
        <w:rPr>
          <w:highlight w:val="none"/>
        </w:rPr>
        <w:instrText xml:space="preserve"> PAGEREF _Toc29657 \h </w:instrText>
      </w:r>
      <w:r>
        <w:rPr>
          <w:highlight w:val="none"/>
        </w:rPr>
        <w:fldChar w:fldCharType="separate"/>
      </w:r>
      <w:r>
        <w:rPr>
          <w:highlight w:val="none"/>
        </w:rPr>
        <w:t>28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DE38422">
      <w:pPr>
        <w:pStyle w:val="21"/>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_Toc14135 </w:instrText>
      </w:r>
      <w:r>
        <w:rPr>
          <w:rFonts w:hint="eastAsia" w:ascii="宋体" w:hAnsi="宋体" w:cs="宋体"/>
          <w:kern w:val="0"/>
          <w:szCs w:val="24"/>
          <w:highlight w:val="none"/>
        </w:rPr>
        <w:fldChar w:fldCharType="separate"/>
      </w:r>
      <w:r>
        <w:rPr>
          <w:rFonts w:hint="eastAsia" w:hAnsi="宋体" w:cs="宋体"/>
          <w:highlight w:val="none"/>
        </w:rPr>
        <w:t xml:space="preserve">第4章  </w:t>
      </w:r>
      <w:r>
        <w:rPr>
          <w:rFonts w:hint="eastAsia" w:hAnsi="宋体" w:cs="宋体"/>
          <w:highlight w:val="none"/>
          <w:lang w:val="en-US" w:eastAsia="zh-CN"/>
        </w:rPr>
        <w:t>服务需求</w:t>
      </w:r>
      <w:r>
        <w:rPr>
          <w:highlight w:val="none"/>
        </w:rPr>
        <w:tab/>
      </w:r>
      <w:r>
        <w:rPr>
          <w:highlight w:val="none"/>
        </w:rPr>
        <w:fldChar w:fldCharType="begin"/>
      </w:r>
      <w:r>
        <w:rPr>
          <w:highlight w:val="none"/>
        </w:rPr>
        <w:instrText xml:space="preserve"> PAGEREF _Toc14135 \h </w:instrText>
      </w:r>
      <w:r>
        <w:rPr>
          <w:highlight w:val="none"/>
        </w:rPr>
        <w:fldChar w:fldCharType="separate"/>
      </w:r>
      <w:r>
        <w:rPr>
          <w:highlight w:val="none"/>
        </w:rPr>
        <w:t>31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4E78648">
      <w:pPr>
        <w:pStyle w:val="21"/>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_Toc29968 </w:instrText>
      </w:r>
      <w:r>
        <w:rPr>
          <w:rFonts w:hint="eastAsia" w:ascii="宋体" w:hAnsi="宋体" w:cs="宋体"/>
          <w:kern w:val="0"/>
          <w:szCs w:val="24"/>
          <w:highlight w:val="none"/>
        </w:rPr>
        <w:fldChar w:fldCharType="separate"/>
      </w:r>
      <w:r>
        <w:rPr>
          <w:rFonts w:hint="eastAsia" w:hAnsi="宋体" w:cs="宋体"/>
          <w:highlight w:val="none"/>
        </w:rPr>
        <w:t>第5章  评审方法和标准</w:t>
      </w:r>
      <w:r>
        <w:rPr>
          <w:highlight w:val="none"/>
        </w:rPr>
        <w:tab/>
      </w:r>
      <w:r>
        <w:rPr>
          <w:highlight w:val="none"/>
        </w:rPr>
        <w:fldChar w:fldCharType="begin"/>
      </w:r>
      <w:r>
        <w:rPr>
          <w:highlight w:val="none"/>
        </w:rPr>
        <w:instrText xml:space="preserve"> PAGEREF _Toc29968 \h </w:instrText>
      </w:r>
      <w:r>
        <w:rPr>
          <w:highlight w:val="none"/>
        </w:rPr>
        <w:fldChar w:fldCharType="separate"/>
      </w:r>
      <w:r>
        <w:rPr>
          <w:highlight w:val="none"/>
        </w:rPr>
        <w:t>36</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1C87843">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_Toc32282 </w:instrText>
      </w:r>
      <w:r>
        <w:rPr>
          <w:rFonts w:hint="eastAsia" w:ascii="宋体" w:hAnsi="宋体" w:cs="宋体"/>
          <w:kern w:val="0"/>
          <w:szCs w:val="24"/>
          <w:highlight w:val="none"/>
        </w:rPr>
        <w:fldChar w:fldCharType="separate"/>
      </w:r>
      <w:r>
        <w:rPr>
          <w:rFonts w:hint="eastAsia" w:ascii="宋体" w:hAnsi="宋体" w:eastAsia="宋体" w:cs="宋体"/>
          <w:highlight w:val="none"/>
        </w:rPr>
        <w:t>（一）初步评审</w:t>
      </w:r>
      <w:r>
        <w:rPr>
          <w:highlight w:val="none"/>
        </w:rPr>
        <w:tab/>
      </w:r>
      <w:r>
        <w:rPr>
          <w:highlight w:val="none"/>
        </w:rPr>
        <w:fldChar w:fldCharType="begin"/>
      </w:r>
      <w:r>
        <w:rPr>
          <w:highlight w:val="none"/>
        </w:rPr>
        <w:instrText xml:space="preserve"> PAGEREF _Toc32282 \h </w:instrText>
      </w:r>
      <w:r>
        <w:rPr>
          <w:highlight w:val="none"/>
        </w:rPr>
        <w:fldChar w:fldCharType="separate"/>
      </w:r>
      <w:r>
        <w:rPr>
          <w:highlight w:val="none"/>
        </w:rPr>
        <w:t>36</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E820BB6">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_Toc19439 </w:instrText>
      </w:r>
      <w:r>
        <w:rPr>
          <w:rFonts w:hint="eastAsia" w:ascii="宋体" w:hAnsi="宋体" w:cs="宋体"/>
          <w:kern w:val="0"/>
          <w:szCs w:val="24"/>
          <w:highlight w:val="none"/>
        </w:rPr>
        <w:fldChar w:fldCharType="separate"/>
      </w:r>
      <w:r>
        <w:rPr>
          <w:rFonts w:hint="eastAsia" w:ascii="宋体" w:hAnsi="宋体" w:eastAsia="宋体" w:cs="宋体"/>
          <w:szCs w:val="22"/>
          <w:highlight w:val="none"/>
        </w:rPr>
        <w:t>（二） 评分细则</w:t>
      </w:r>
      <w:r>
        <w:rPr>
          <w:highlight w:val="none"/>
        </w:rPr>
        <w:tab/>
      </w:r>
      <w:r>
        <w:rPr>
          <w:highlight w:val="none"/>
        </w:rPr>
        <w:fldChar w:fldCharType="begin"/>
      </w:r>
      <w:r>
        <w:rPr>
          <w:highlight w:val="none"/>
        </w:rPr>
        <w:instrText xml:space="preserve"> PAGEREF _Toc19439 \h </w:instrText>
      </w:r>
      <w:r>
        <w:rPr>
          <w:highlight w:val="none"/>
        </w:rPr>
        <w:fldChar w:fldCharType="separate"/>
      </w:r>
      <w:r>
        <w:rPr>
          <w:highlight w:val="none"/>
        </w:rPr>
        <w:t>37</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B2AF444">
      <w:pPr>
        <w:pStyle w:val="21"/>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_Toc21895 </w:instrText>
      </w:r>
      <w:r>
        <w:rPr>
          <w:rFonts w:hint="eastAsia" w:ascii="宋体" w:hAnsi="宋体" w:cs="宋体"/>
          <w:kern w:val="0"/>
          <w:szCs w:val="24"/>
          <w:highlight w:val="none"/>
        </w:rPr>
        <w:fldChar w:fldCharType="separate"/>
      </w:r>
      <w:r>
        <w:rPr>
          <w:rFonts w:hint="eastAsia" w:hAnsi="宋体" w:cs="宋体"/>
          <w:highlight w:val="none"/>
        </w:rPr>
        <w:t>第6章   响应文件格式</w:t>
      </w:r>
      <w:r>
        <w:rPr>
          <w:highlight w:val="none"/>
        </w:rPr>
        <w:tab/>
      </w:r>
      <w:r>
        <w:rPr>
          <w:highlight w:val="none"/>
        </w:rPr>
        <w:fldChar w:fldCharType="begin"/>
      </w:r>
      <w:r>
        <w:rPr>
          <w:highlight w:val="none"/>
        </w:rPr>
        <w:instrText xml:space="preserve"> PAGEREF _Toc21895 \h </w:instrText>
      </w:r>
      <w:r>
        <w:rPr>
          <w:highlight w:val="none"/>
        </w:rPr>
        <w:fldChar w:fldCharType="separate"/>
      </w:r>
      <w:r>
        <w:rPr>
          <w:highlight w:val="none"/>
        </w:rPr>
        <w:t>41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0C0E4205">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_Toc5545 </w:instrText>
      </w:r>
      <w:r>
        <w:rPr>
          <w:rFonts w:hint="eastAsia" w:ascii="宋体" w:hAnsi="宋体" w:cs="宋体"/>
          <w:kern w:val="0"/>
          <w:szCs w:val="24"/>
          <w:highlight w:val="none"/>
        </w:rPr>
        <w:fldChar w:fldCharType="separate"/>
      </w:r>
      <w:r>
        <w:rPr>
          <w:rFonts w:hint="eastAsia" w:ascii="宋体" w:hAnsi="宋体" w:eastAsia="宋体" w:cs="宋体"/>
          <w:highlight w:val="none"/>
        </w:rPr>
        <w:t>一、封面格式</w:t>
      </w:r>
      <w:r>
        <w:rPr>
          <w:highlight w:val="none"/>
        </w:rPr>
        <w:tab/>
      </w:r>
      <w:r>
        <w:rPr>
          <w:highlight w:val="none"/>
        </w:rPr>
        <w:fldChar w:fldCharType="begin"/>
      </w:r>
      <w:r>
        <w:rPr>
          <w:highlight w:val="none"/>
        </w:rPr>
        <w:instrText xml:space="preserve"> PAGEREF _Toc5545 \h </w:instrText>
      </w:r>
      <w:r>
        <w:rPr>
          <w:highlight w:val="none"/>
        </w:rPr>
        <w:fldChar w:fldCharType="separate"/>
      </w:r>
      <w:r>
        <w:rPr>
          <w:highlight w:val="none"/>
        </w:rPr>
        <w:t>41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A855B1A">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_Toc23545 </w:instrText>
      </w:r>
      <w:r>
        <w:rPr>
          <w:rFonts w:hint="eastAsia" w:ascii="宋体" w:hAnsi="宋体" w:cs="宋体"/>
          <w:kern w:val="0"/>
          <w:szCs w:val="24"/>
          <w:highlight w:val="none"/>
        </w:rPr>
        <w:fldChar w:fldCharType="separate"/>
      </w:r>
      <w:r>
        <w:rPr>
          <w:rFonts w:hint="eastAsia" w:ascii="宋体" w:hAnsi="宋体" w:eastAsia="宋体" w:cs="宋体"/>
          <w:highlight w:val="none"/>
        </w:rPr>
        <w:t>二、评审因素索引表</w:t>
      </w:r>
      <w:r>
        <w:rPr>
          <w:highlight w:val="none"/>
        </w:rPr>
        <w:tab/>
      </w:r>
      <w:r>
        <w:rPr>
          <w:highlight w:val="none"/>
        </w:rPr>
        <w:fldChar w:fldCharType="begin"/>
      </w:r>
      <w:r>
        <w:rPr>
          <w:highlight w:val="none"/>
        </w:rPr>
        <w:instrText xml:space="preserve"> PAGEREF _Toc23545 \h </w:instrText>
      </w:r>
      <w:r>
        <w:rPr>
          <w:highlight w:val="none"/>
        </w:rPr>
        <w:fldChar w:fldCharType="separate"/>
      </w:r>
      <w:r>
        <w:rPr>
          <w:highlight w:val="none"/>
        </w:rPr>
        <w:t>42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345AFF02">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_Toc23702 </w:instrText>
      </w:r>
      <w:r>
        <w:rPr>
          <w:rFonts w:hint="eastAsia" w:ascii="宋体" w:hAnsi="宋体" w:cs="宋体"/>
          <w:kern w:val="0"/>
          <w:szCs w:val="24"/>
          <w:highlight w:val="none"/>
        </w:rPr>
        <w:fldChar w:fldCharType="separate"/>
      </w:r>
      <w:r>
        <w:rPr>
          <w:rFonts w:hint="eastAsia" w:ascii="宋体" w:hAnsi="宋体" w:eastAsia="宋体" w:cs="宋体"/>
          <w:bCs/>
          <w:kern w:val="2"/>
          <w:szCs w:val="24"/>
          <w:highlight w:val="none"/>
          <w:lang w:val="en-US" w:eastAsia="zh-CN" w:bidi="ar-SA"/>
        </w:rPr>
        <w:t>法定代表人身份证明书</w:t>
      </w:r>
      <w:r>
        <w:rPr>
          <w:highlight w:val="none"/>
        </w:rPr>
        <w:tab/>
      </w:r>
      <w:r>
        <w:rPr>
          <w:highlight w:val="none"/>
        </w:rPr>
        <w:fldChar w:fldCharType="begin"/>
      </w:r>
      <w:r>
        <w:rPr>
          <w:highlight w:val="none"/>
        </w:rPr>
        <w:instrText xml:space="preserve"> PAGEREF _Toc23702 \h </w:instrText>
      </w:r>
      <w:r>
        <w:rPr>
          <w:highlight w:val="none"/>
        </w:rPr>
        <w:fldChar w:fldCharType="separate"/>
      </w:r>
      <w:r>
        <w:rPr>
          <w:highlight w:val="none"/>
        </w:rPr>
        <w:t>42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630E5C4">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_Toc26886 </w:instrText>
      </w:r>
      <w:r>
        <w:rPr>
          <w:rFonts w:hint="eastAsia" w:ascii="宋体" w:hAnsi="宋体" w:cs="宋体"/>
          <w:kern w:val="0"/>
          <w:szCs w:val="24"/>
          <w:highlight w:val="none"/>
        </w:rPr>
        <w:fldChar w:fldCharType="separate"/>
      </w:r>
      <w:r>
        <w:rPr>
          <w:rFonts w:hint="eastAsia" w:ascii="宋体" w:hAnsi="宋体" w:eastAsia="宋体" w:cs="宋体"/>
          <w:highlight w:val="none"/>
          <w:lang w:val="en-US" w:eastAsia="zh-CN"/>
        </w:rPr>
        <w:t>三</w:t>
      </w:r>
      <w:r>
        <w:rPr>
          <w:rFonts w:hint="eastAsia" w:ascii="宋体" w:hAnsi="宋体" w:eastAsia="宋体" w:cs="宋体"/>
          <w:highlight w:val="none"/>
        </w:rPr>
        <w:t>、报价一览表</w:t>
      </w:r>
      <w:r>
        <w:rPr>
          <w:highlight w:val="none"/>
        </w:rPr>
        <w:tab/>
      </w:r>
      <w:r>
        <w:rPr>
          <w:highlight w:val="none"/>
        </w:rPr>
        <w:fldChar w:fldCharType="begin"/>
      </w:r>
      <w:r>
        <w:rPr>
          <w:highlight w:val="none"/>
        </w:rPr>
        <w:instrText xml:space="preserve"> PAGEREF _Toc26886 \h </w:instrText>
      </w:r>
      <w:r>
        <w:rPr>
          <w:highlight w:val="none"/>
        </w:rPr>
        <w:fldChar w:fldCharType="separate"/>
      </w:r>
      <w:r>
        <w:rPr>
          <w:highlight w:val="none"/>
        </w:rPr>
        <w:t>46</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362DC88F">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_Toc15886 </w:instrText>
      </w:r>
      <w:r>
        <w:rPr>
          <w:rFonts w:hint="eastAsia" w:ascii="宋体" w:hAnsi="宋体" w:cs="宋体"/>
          <w:kern w:val="0"/>
          <w:szCs w:val="24"/>
          <w:highlight w:val="none"/>
        </w:rPr>
        <w:fldChar w:fldCharType="separate"/>
      </w:r>
      <w:r>
        <w:rPr>
          <w:rFonts w:hint="eastAsia" w:hAnsi="宋体" w:cs="宋体"/>
          <w:highlight w:val="none"/>
        </w:rPr>
        <w:t>1.报价一览表</w:t>
      </w:r>
      <w:r>
        <w:rPr>
          <w:highlight w:val="none"/>
        </w:rPr>
        <w:tab/>
      </w:r>
      <w:r>
        <w:rPr>
          <w:highlight w:val="none"/>
        </w:rPr>
        <w:fldChar w:fldCharType="begin"/>
      </w:r>
      <w:r>
        <w:rPr>
          <w:highlight w:val="none"/>
        </w:rPr>
        <w:instrText xml:space="preserve"> PAGEREF _Toc15886 \h </w:instrText>
      </w:r>
      <w:r>
        <w:rPr>
          <w:highlight w:val="none"/>
        </w:rPr>
        <w:fldChar w:fldCharType="separate"/>
      </w:r>
      <w:r>
        <w:rPr>
          <w:highlight w:val="none"/>
        </w:rPr>
        <w:t>46</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379C97C">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_Toc8284 </w:instrText>
      </w:r>
      <w:r>
        <w:rPr>
          <w:rFonts w:hint="eastAsia" w:ascii="宋体" w:hAnsi="宋体" w:cs="宋体"/>
          <w:kern w:val="0"/>
          <w:szCs w:val="24"/>
          <w:highlight w:val="none"/>
        </w:rPr>
        <w:fldChar w:fldCharType="separate"/>
      </w:r>
      <w:r>
        <w:rPr>
          <w:rFonts w:hint="eastAsia" w:ascii="宋体" w:hAnsi="宋体" w:eastAsia="宋体" w:cs="宋体"/>
          <w:highlight w:val="none"/>
          <w:lang w:val="en-US" w:eastAsia="zh-CN"/>
        </w:rPr>
        <w:t>四、</w:t>
      </w:r>
      <w:r>
        <w:rPr>
          <w:rFonts w:hint="eastAsia" w:ascii="宋体" w:hAnsi="宋体" w:eastAsia="宋体" w:cs="宋体"/>
          <w:highlight w:val="none"/>
        </w:rPr>
        <w:t>资格证明文件</w:t>
      </w:r>
      <w:r>
        <w:rPr>
          <w:highlight w:val="none"/>
        </w:rPr>
        <w:tab/>
      </w:r>
      <w:r>
        <w:rPr>
          <w:highlight w:val="none"/>
        </w:rPr>
        <w:fldChar w:fldCharType="begin"/>
      </w:r>
      <w:r>
        <w:rPr>
          <w:highlight w:val="none"/>
        </w:rPr>
        <w:instrText xml:space="preserve"> PAGEREF _Toc8284 \h </w:instrText>
      </w:r>
      <w:r>
        <w:rPr>
          <w:highlight w:val="none"/>
        </w:rPr>
        <w:fldChar w:fldCharType="separate"/>
      </w:r>
      <w:r>
        <w:rPr>
          <w:highlight w:val="none"/>
        </w:rPr>
        <w:t>47</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5D0F5A8">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_Toc9206 </w:instrText>
      </w:r>
      <w:r>
        <w:rPr>
          <w:rFonts w:hint="eastAsia" w:ascii="宋体" w:hAnsi="宋体" w:cs="宋体"/>
          <w:kern w:val="0"/>
          <w:szCs w:val="24"/>
          <w:highlight w:val="none"/>
        </w:rPr>
        <w:fldChar w:fldCharType="separate"/>
      </w:r>
      <w:r>
        <w:rPr>
          <w:rFonts w:hint="eastAsia" w:hAnsi="宋体" w:cs="宋体"/>
          <w:highlight w:val="none"/>
        </w:rPr>
        <w:t>2.法人或者其他组织的营业执照等证明文件或自然人的身份证明</w:t>
      </w:r>
      <w:r>
        <w:rPr>
          <w:highlight w:val="none"/>
        </w:rPr>
        <w:tab/>
      </w:r>
      <w:r>
        <w:rPr>
          <w:highlight w:val="none"/>
        </w:rPr>
        <w:fldChar w:fldCharType="begin"/>
      </w:r>
      <w:r>
        <w:rPr>
          <w:highlight w:val="none"/>
        </w:rPr>
        <w:instrText xml:space="preserve"> PAGEREF _Toc9206 \h </w:instrText>
      </w:r>
      <w:r>
        <w:rPr>
          <w:highlight w:val="none"/>
        </w:rPr>
        <w:fldChar w:fldCharType="separate"/>
      </w:r>
      <w:r>
        <w:rPr>
          <w:highlight w:val="none"/>
        </w:rPr>
        <w:t>48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7F0F1040">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_Toc28042 </w:instrText>
      </w:r>
      <w:r>
        <w:rPr>
          <w:rFonts w:hint="eastAsia" w:ascii="宋体" w:hAnsi="宋体" w:cs="宋体"/>
          <w:kern w:val="0"/>
          <w:szCs w:val="24"/>
          <w:highlight w:val="none"/>
        </w:rPr>
        <w:fldChar w:fldCharType="separate"/>
      </w:r>
      <w:r>
        <w:rPr>
          <w:rFonts w:hint="eastAsia" w:hAnsi="宋体" w:cs="宋体"/>
          <w:highlight w:val="none"/>
        </w:rPr>
        <w:t>3.法定代表人或负责人身份证明书</w:t>
      </w:r>
      <w:r>
        <w:rPr>
          <w:highlight w:val="none"/>
        </w:rPr>
        <w:tab/>
      </w:r>
      <w:r>
        <w:rPr>
          <w:highlight w:val="none"/>
        </w:rPr>
        <w:fldChar w:fldCharType="begin"/>
      </w:r>
      <w:r>
        <w:rPr>
          <w:highlight w:val="none"/>
        </w:rPr>
        <w:instrText xml:space="preserve"> PAGEREF _Toc28042 \h </w:instrText>
      </w:r>
      <w:r>
        <w:rPr>
          <w:highlight w:val="none"/>
        </w:rPr>
        <w:fldChar w:fldCharType="separate"/>
      </w:r>
      <w:r>
        <w:rPr>
          <w:highlight w:val="none"/>
        </w:rPr>
        <w:t>48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0541DDDC">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_Toc22483 </w:instrText>
      </w:r>
      <w:r>
        <w:rPr>
          <w:rFonts w:hint="eastAsia" w:ascii="宋体" w:hAnsi="宋体" w:cs="宋体"/>
          <w:kern w:val="0"/>
          <w:szCs w:val="24"/>
          <w:highlight w:val="none"/>
        </w:rPr>
        <w:fldChar w:fldCharType="separate"/>
      </w:r>
      <w:r>
        <w:rPr>
          <w:rFonts w:hint="eastAsia" w:hAnsi="宋体" w:cs="宋体"/>
          <w:highlight w:val="none"/>
        </w:rPr>
        <w:t>4.法定代表人或负责人授权书</w:t>
      </w:r>
      <w:r>
        <w:rPr>
          <w:highlight w:val="none"/>
        </w:rPr>
        <w:tab/>
      </w:r>
      <w:r>
        <w:rPr>
          <w:highlight w:val="none"/>
        </w:rPr>
        <w:fldChar w:fldCharType="begin"/>
      </w:r>
      <w:r>
        <w:rPr>
          <w:highlight w:val="none"/>
        </w:rPr>
        <w:instrText xml:space="preserve"> PAGEREF _Toc22483 \h </w:instrText>
      </w:r>
      <w:r>
        <w:rPr>
          <w:highlight w:val="none"/>
        </w:rPr>
        <w:fldChar w:fldCharType="separate"/>
      </w:r>
      <w:r>
        <w:rPr>
          <w:highlight w:val="none"/>
        </w:rPr>
        <w:t>48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08BEDD4">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_Toc14167 </w:instrText>
      </w:r>
      <w:r>
        <w:rPr>
          <w:rFonts w:hint="eastAsia" w:ascii="宋体" w:hAnsi="宋体" w:cs="宋体"/>
          <w:kern w:val="0"/>
          <w:szCs w:val="24"/>
          <w:highlight w:val="none"/>
        </w:rPr>
        <w:fldChar w:fldCharType="separate"/>
      </w:r>
      <w:r>
        <w:rPr>
          <w:rFonts w:hint="eastAsia" w:hAnsi="宋体" w:cs="宋体"/>
          <w:highlight w:val="none"/>
          <w:lang w:val="en-US" w:eastAsia="zh-CN"/>
        </w:rPr>
        <w:t>5</w:t>
      </w:r>
      <w:r>
        <w:rPr>
          <w:rFonts w:hint="eastAsia" w:hAnsi="宋体" w:cs="宋体"/>
          <w:highlight w:val="none"/>
        </w:rPr>
        <w:t>.具有良好的商业信誉和健全的财务会计制度的证明文件</w:t>
      </w:r>
      <w:r>
        <w:rPr>
          <w:highlight w:val="none"/>
        </w:rPr>
        <w:tab/>
      </w:r>
      <w:r>
        <w:rPr>
          <w:highlight w:val="none"/>
        </w:rPr>
        <w:fldChar w:fldCharType="begin"/>
      </w:r>
      <w:r>
        <w:rPr>
          <w:highlight w:val="none"/>
        </w:rPr>
        <w:instrText xml:space="preserve"> PAGEREF _Toc14167 \h </w:instrText>
      </w:r>
      <w:r>
        <w:rPr>
          <w:highlight w:val="none"/>
        </w:rPr>
        <w:fldChar w:fldCharType="separate"/>
      </w:r>
      <w:r>
        <w:rPr>
          <w:highlight w:val="none"/>
        </w:rPr>
        <w:t>49</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ED62156">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_Toc9059 </w:instrText>
      </w:r>
      <w:r>
        <w:rPr>
          <w:rFonts w:hint="eastAsia" w:ascii="宋体" w:hAnsi="宋体" w:cs="宋体"/>
          <w:kern w:val="0"/>
          <w:szCs w:val="24"/>
          <w:highlight w:val="none"/>
        </w:rPr>
        <w:fldChar w:fldCharType="separate"/>
      </w:r>
      <w:r>
        <w:rPr>
          <w:rFonts w:hint="eastAsia" w:hAnsi="宋体" w:cs="宋体"/>
          <w:highlight w:val="none"/>
          <w:lang w:val="en-US" w:eastAsia="zh-CN"/>
        </w:rPr>
        <w:t>6</w:t>
      </w:r>
      <w:r>
        <w:rPr>
          <w:rFonts w:hint="eastAsia" w:hAnsi="宋体" w:cs="宋体"/>
          <w:highlight w:val="none"/>
        </w:rPr>
        <w:t>.依法缴纳社会保障资金和税收的缴纳记录</w:t>
      </w:r>
      <w:r>
        <w:rPr>
          <w:highlight w:val="none"/>
        </w:rPr>
        <w:tab/>
      </w:r>
      <w:r>
        <w:rPr>
          <w:highlight w:val="none"/>
        </w:rPr>
        <w:fldChar w:fldCharType="begin"/>
      </w:r>
      <w:r>
        <w:rPr>
          <w:highlight w:val="none"/>
        </w:rPr>
        <w:instrText xml:space="preserve"> PAGEREF _Toc9059 \h </w:instrText>
      </w:r>
      <w:r>
        <w:rPr>
          <w:highlight w:val="none"/>
        </w:rPr>
        <w:fldChar w:fldCharType="separate"/>
      </w:r>
      <w:r>
        <w:rPr>
          <w:highlight w:val="none"/>
        </w:rPr>
        <w:t>49</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6E24CC75">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_Toc20072 </w:instrText>
      </w:r>
      <w:r>
        <w:rPr>
          <w:rFonts w:hint="eastAsia" w:ascii="宋体" w:hAnsi="宋体" w:cs="宋体"/>
          <w:kern w:val="0"/>
          <w:szCs w:val="24"/>
          <w:highlight w:val="none"/>
        </w:rPr>
        <w:fldChar w:fldCharType="separate"/>
      </w:r>
      <w:r>
        <w:rPr>
          <w:rFonts w:hint="eastAsia" w:hAnsi="宋体" w:cs="宋体"/>
          <w:highlight w:val="none"/>
          <w:lang w:val="en-US" w:eastAsia="zh-CN"/>
        </w:rPr>
        <w:t>7</w:t>
      </w:r>
      <w:r>
        <w:rPr>
          <w:rFonts w:hint="eastAsia" w:hAnsi="宋体" w:cs="宋体"/>
          <w:highlight w:val="none"/>
        </w:rPr>
        <w:t>.参加政府采购活动前3年内在经营活动中没有重大违法记录的书面声明</w:t>
      </w:r>
      <w:r>
        <w:rPr>
          <w:highlight w:val="none"/>
        </w:rPr>
        <w:tab/>
      </w:r>
      <w:r>
        <w:rPr>
          <w:highlight w:val="none"/>
        </w:rPr>
        <w:fldChar w:fldCharType="begin"/>
      </w:r>
      <w:r>
        <w:rPr>
          <w:highlight w:val="none"/>
        </w:rPr>
        <w:instrText xml:space="preserve"> PAGEREF _Toc20072 \h </w:instrText>
      </w:r>
      <w:r>
        <w:rPr>
          <w:highlight w:val="none"/>
        </w:rPr>
        <w:fldChar w:fldCharType="separate"/>
      </w:r>
      <w:r>
        <w:rPr>
          <w:highlight w:val="none"/>
        </w:rPr>
        <w:t>49</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A182C3C">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_Toc4873 </w:instrText>
      </w:r>
      <w:r>
        <w:rPr>
          <w:rFonts w:hint="eastAsia" w:ascii="宋体" w:hAnsi="宋体" w:cs="宋体"/>
          <w:kern w:val="0"/>
          <w:szCs w:val="24"/>
          <w:highlight w:val="none"/>
        </w:rPr>
        <w:fldChar w:fldCharType="separate"/>
      </w:r>
      <w:r>
        <w:rPr>
          <w:rFonts w:hint="eastAsia" w:hAnsi="宋体" w:cs="宋体"/>
          <w:highlight w:val="none"/>
          <w:lang w:val="en-US" w:eastAsia="zh-CN"/>
        </w:rPr>
        <w:t>8</w:t>
      </w:r>
      <w:r>
        <w:rPr>
          <w:rFonts w:hint="eastAsia" w:hAnsi="宋体" w:cs="宋体"/>
          <w:highlight w:val="none"/>
        </w:rPr>
        <w:t>.临沂市政府采购供应商反商业贿赂承诺书</w:t>
      </w:r>
      <w:r>
        <w:rPr>
          <w:highlight w:val="none"/>
        </w:rPr>
        <w:tab/>
      </w:r>
      <w:r>
        <w:rPr>
          <w:highlight w:val="none"/>
        </w:rPr>
        <w:fldChar w:fldCharType="begin"/>
      </w:r>
      <w:r>
        <w:rPr>
          <w:highlight w:val="none"/>
        </w:rPr>
        <w:instrText xml:space="preserve"> PAGEREF _Toc4873 \h </w:instrText>
      </w:r>
      <w:r>
        <w:rPr>
          <w:highlight w:val="none"/>
        </w:rPr>
        <w:fldChar w:fldCharType="separate"/>
      </w:r>
      <w:r>
        <w:rPr>
          <w:highlight w:val="none"/>
        </w:rPr>
        <w:t>50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2AA84B5">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_Toc31369 </w:instrText>
      </w:r>
      <w:r>
        <w:rPr>
          <w:rFonts w:hint="eastAsia" w:ascii="宋体" w:hAnsi="宋体" w:cs="宋体"/>
          <w:kern w:val="0"/>
          <w:szCs w:val="24"/>
          <w:highlight w:val="none"/>
        </w:rPr>
        <w:fldChar w:fldCharType="separate"/>
      </w:r>
      <w:r>
        <w:rPr>
          <w:rFonts w:hint="eastAsia" w:hAnsi="宋体" w:cs="宋体"/>
          <w:highlight w:val="none"/>
          <w:lang w:val="en-US" w:eastAsia="zh-CN"/>
        </w:rPr>
        <w:t>9</w:t>
      </w:r>
      <w:r>
        <w:rPr>
          <w:rFonts w:hint="eastAsia" w:hAnsi="宋体" w:cs="宋体"/>
          <w:highlight w:val="none"/>
        </w:rPr>
        <w:t>.响应文件须知资料表要求的其他资格证明文件</w:t>
      </w:r>
      <w:r>
        <w:rPr>
          <w:highlight w:val="none"/>
        </w:rPr>
        <w:tab/>
      </w:r>
      <w:r>
        <w:rPr>
          <w:highlight w:val="none"/>
        </w:rPr>
        <w:fldChar w:fldCharType="begin"/>
      </w:r>
      <w:r>
        <w:rPr>
          <w:highlight w:val="none"/>
        </w:rPr>
        <w:instrText xml:space="preserve"> PAGEREF _Toc31369 \h </w:instrText>
      </w:r>
      <w:r>
        <w:rPr>
          <w:highlight w:val="none"/>
        </w:rPr>
        <w:fldChar w:fldCharType="separate"/>
      </w:r>
      <w:r>
        <w:rPr>
          <w:highlight w:val="none"/>
        </w:rPr>
        <w:t>51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E20A72A">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_Toc20624 </w:instrText>
      </w:r>
      <w:r>
        <w:rPr>
          <w:rFonts w:hint="eastAsia" w:ascii="宋体" w:hAnsi="宋体" w:cs="宋体"/>
          <w:kern w:val="0"/>
          <w:szCs w:val="24"/>
          <w:highlight w:val="none"/>
        </w:rPr>
        <w:fldChar w:fldCharType="separate"/>
      </w:r>
      <w:r>
        <w:rPr>
          <w:rFonts w:hint="eastAsia" w:hAnsi="宋体" w:cs="宋体"/>
          <w:highlight w:val="none"/>
        </w:rPr>
        <w:t>1</w:t>
      </w:r>
      <w:r>
        <w:rPr>
          <w:rFonts w:hint="eastAsia" w:hAnsi="宋体" w:cs="宋体"/>
          <w:highlight w:val="none"/>
          <w:lang w:val="en-US" w:eastAsia="zh-CN"/>
        </w:rPr>
        <w:t>0</w:t>
      </w:r>
      <w:r>
        <w:rPr>
          <w:rFonts w:hint="eastAsia" w:hAnsi="宋体" w:cs="宋体"/>
          <w:highlight w:val="none"/>
        </w:rPr>
        <w:t>.联合体协议书（</w:t>
      </w:r>
      <w:r>
        <w:rPr>
          <w:rFonts w:hint="eastAsia" w:hAnsi="宋体" w:cs="宋体"/>
          <w:highlight w:val="none"/>
          <w:lang w:val="en-US" w:eastAsia="zh-CN"/>
        </w:rPr>
        <w:t>格式自拟</w:t>
      </w:r>
      <w:r>
        <w:rPr>
          <w:rFonts w:hint="eastAsia" w:hAnsi="宋体" w:cs="宋体"/>
          <w:highlight w:val="none"/>
        </w:rPr>
        <w:t>）</w:t>
      </w:r>
      <w:r>
        <w:rPr>
          <w:highlight w:val="none"/>
        </w:rPr>
        <w:tab/>
      </w:r>
      <w:r>
        <w:rPr>
          <w:highlight w:val="none"/>
        </w:rPr>
        <w:fldChar w:fldCharType="begin"/>
      </w:r>
      <w:r>
        <w:rPr>
          <w:highlight w:val="none"/>
        </w:rPr>
        <w:instrText xml:space="preserve"> PAGEREF _Toc20624 \h </w:instrText>
      </w:r>
      <w:r>
        <w:rPr>
          <w:highlight w:val="none"/>
        </w:rPr>
        <w:fldChar w:fldCharType="separate"/>
      </w:r>
      <w:r>
        <w:rPr>
          <w:highlight w:val="none"/>
        </w:rPr>
        <w:t>51</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5C68269">
      <w:pPr>
        <w:pStyle w:val="25"/>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_Toc25305 </w:instrText>
      </w:r>
      <w:r>
        <w:rPr>
          <w:rFonts w:hint="eastAsia" w:ascii="宋体" w:hAnsi="宋体" w:cs="宋体"/>
          <w:kern w:val="0"/>
          <w:szCs w:val="24"/>
          <w:highlight w:val="none"/>
        </w:rPr>
        <w:fldChar w:fldCharType="separate"/>
      </w:r>
      <w:r>
        <w:rPr>
          <w:rFonts w:hint="eastAsia" w:ascii="宋体" w:hAnsi="宋体" w:eastAsia="宋体" w:cs="宋体"/>
          <w:highlight w:val="none"/>
          <w:lang w:val="en-US" w:eastAsia="zh-CN"/>
        </w:rPr>
        <w:t>五</w:t>
      </w:r>
      <w:r>
        <w:rPr>
          <w:rFonts w:hint="eastAsia" w:ascii="宋体" w:hAnsi="宋体" w:eastAsia="宋体" w:cs="宋体"/>
          <w:highlight w:val="none"/>
        </w:rPr>
        <w:t>、商务及技术文件</w:t>
      </w:r>
      <w:r>
        <w:rPr>
          <w:highlight w:val="none"/>
        </w:rPr>
        <w:tab/>
      </w:r>
      <w:r>
        <w:rPr>
          <w:highlight w:val="none"/>
        </w:rPr>
        <w:fldChar w:fldCharType="begin"/>
      </w:r>
      <w:r>
        <w:rPr>
          <w:highlight w:val="none"/>
        </w:rPr>
        <w:instrText xml:space="preserve"> PAGEREF _Toc25305 \h </w:instrText>
      </w:r>
      <w:r>
        <w:rPr>
          <w:highlight w:val="none"/>
        </w:rPr>
        <w:fldChar w:fldCharType="separate"/>
      </w:r>
      <w:r>
        <w:rPr>
          <w:highlight w:val="none"/>
        </w:rPr>
        <w:t>52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7FDE3075">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_Toc272 </w:instrText>
      </w:r>
      <w:r>
        <w:rPr>
          <w:rFonts w:hint="eastAsia" w:ascii="宋体" w:hAnsi="宋体" w:cs="宋体"/>
          <w:kern w:val="0"/>
          <w:szCs w:val="24"/>
          <w:highlight w:val="none"/>
        </w:rPr>
        <w:fldChar w:fldCharType="separate"/>
      </w:r>
      <w:r>
        <w:rPr>
          <w:rFonts w:hint="eastAsia" w:hAnsi="宋体" w:cs="宋体"/>
          <w:highlight w:val="none"/>
        </w:rPr>
        <w:t>1</w:t>
      </w:r>
      <w:r>
        <w:rPr>
          <w:rFonts w:hint="eastAsia" w:hAnsi="宋体" w:cs="宋体"/>
          <w:highlight w:val="none"/>
          <w:lang w:val="en-US" w:eastAsia="zh-CN"/>
        </w:rPr>
        <w:t>1</w:t>
      </w:r>
      <w:r>
        <w:rPr>
          <w:rFonts w:hint="eastAsia" w:hAnsi="宋体" w:cs="宋体"/>
          <w:highlight w:val="none"/>
        </w:rPr>
        <w:t>.响应文件书</w:t>
      </w:r>
      <w:r>
        <w:rPr>
          <w:highlight w:val="none"/>
        </w:rPr>
        <w:tab/>
      </w:r>
      <w:r>
        <w:rPr>
          <w:highlight w:val="none"/>
        </w:rPr>
        <w:fldChar w:fldCharType="begin"/>
      </w:r>
      <w:r>
        <w:rPr>
          <w:highlight w:val="none"/>
        </w:rPr>
        <w:instrText xml:space="preserve"> PAGEREF _Toc272 \h </w:instrText>
      </w:r>
      <w:r>
        <w:rPr>
          <w:highlight w:val="none"/>
        </w:rPr>
        <w:fldChar w:fldCharType="separate"/>
      </w:r>
      <w:r>
        <w:rPr>
          <w:highlight w:val="none"/>
        </w:rPr>
        <w:t>52</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32794BB3">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_Toc12449 </w:instrText>
      </w:r>
      <w:r>
        <w:rPr>
          <w:rFonts w:hint="eastAsia" w:ascii="宋体" w:hAnsi="宋体" w:cs="宋体"/>
          <w:kern w:val="0"/>
          <w:szCs w:val="24"/>
          <w:highlight w:val="none"/>
        </w:rPr>
        <w:fldChar w:fldCharType="separate"/>
      </w:r>
      <w:r>
        <w:rPr>
          <w:rFonts w:hint="eastAsia" w:hAnsi="宋体" w:cs="宋体"/>
          <w:highlight w:val="none"/>
        </w:rPr>
        <w:t>1</w:t>
      </w:r>
      <w:r>
        <w:rPr>
          <w:rFonts w:hint="eastAsia" w:hAnsi="宋体" w:cs="宋体"/>
          <w:highlight w:val="none"/>
          <w:lang w:val="en-US" w:eastAsia="zh-CN"/>
        </w:rPr>
        <w:t>2</w:t>
      </w:r>
      <w:r>
        <w:rPr>
          <w:rFonts w:hint="eastAsia" w:hAnsi="宋体" w:cs="宋体"/>
          <w:highlight w:val="none"/>
        </w:rPr>
        <w:t>.符合价格扣除条件的供应商需提供的资料</w:t>
      </w:r>
      <w:r>
        <w:rPr>
          <w:highlight w:val="none"/>
        </w:rPr>
        <w:tab/>
      </w:r>
      <w:r>
        <w:rPr>
          <w:highlight w:val="none"/>
        </w:rPr>
        <w:fldChar w:fldCharType="begin"/>
      </w:r>
      <w:r>
        <w:rPr>
          <w:highlight w:val="none"/>
        </w:rPr>
        <w:instrText xml:space="preserve"> PAGEREF _Toc12449 \h </w:instrText>
      </w:r>
      <w:r>
        <w:rPr>
          <w:highlight w:val="none"/>
        </w:rPr>
        <w:fldChar w:fldCharType="separate"/>
      </w:r>
      <w:r>
        <w:rPr>
          <w:highlight w:val="none"/>
        </w:rPr>
        <w:t>53</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3D181E9">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_Toc9983 </w:instrText>
      </w:r>
      <w:r>
        <w:rPr>
          <w:rFonts w:hint="eastAsia" w:ascii="宋体" w:hAnsi="宋体" w:cs="宋体"/>
          <w:kern w:val="0"/>
          <w:szCs w:val="24"/>
          <w:highlight w:val="none"/>
        </w:rPr>
        <w:fldChar w:fldCharType="separate"/>
      </w:r>
      <w:r>
        <w:rPr>
          <w:rFonts w:hint="eastAsia" w:cs="宋体"/>
          <w:highlight w:val="none"/>
        </w:rPr>
        <w:t>1</w:t>
      </w:r>
      <w:r>
        <w:rPr>
          <w:rFonts w:hint="eastAsia" w:cs="宋体"/>
          <w:highlight w:val="none"/>
          <w:lang w:val="en-US" w:eastAsia="zh-CN"/>
        </w:rPr>
        <w:t>3</w:t>
      </w:r>
      <w:r>
        <w:rPr>
          <w:rFonts w:hint="eastAsia" w:cs="宋体"/>
          <w:highlight w:val="none"/>
        </w:rPr>
        <w:t>.案例一览表</w:t>
      </w:r>
      <w:r>
        <w:rPr>
          <w:highlight w:val="none"/>
        </w:rPr>
        <w:tab/>
      </w:r>
      <w:r>
        <w:rPr>
          <w:highlight w:val="none"/>
        </w:rPr>
        <w:fldChar w:fldCharType="begin"/>
      </w:r>
      <w:r>
        <w:rPr>
          <w:highlight w:val="none"/>
        </w:rPr>
        <w:instrText xml:space="preserve"> PAGEREF _Toc9983 \h </w:instrText>
      </w:r>
      <w:r>
        <w:rPr>
          <w:highlight w:val="none"/>
        </w:rPr>
        <w:fldChar w:fldCharType="separate"/>
      </w:r>
      <w:r>
        <w:rPr>
          <w:highlight w:val="none"/>
        </w:rPr>
        <w:t>54</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6126EFA">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_Toc2467 </w:instrText>
      </w:r>
      <w:r>
        <w:rPr>
          <w:rFonts w:hint="eastAsia" w:ascii="宋体" w:hAnsi="宋体" w:cs="宋体"/>
          <w:kern w:val="0"/>
          <w:szCs w:val="24"/>
          <w:highlight w:val="none"/>
        </w:rPr>
        <w:fldChar w:fldCharType="separate"/>
      </w:r>
      <w:r>
        <w:rPr>
          <w:rFonts w:hint="eastAsia" w:ascii="宋体" w:eastAsia="宋体" w:cs="宋体"/>
          <w:highlight w:val="none"/>
          <w:lang w:val="en-US" w:eastAsia="zh-CN"/>
        </w:rPr>
        <w:t>14.</w:t>
      </w:r>
      <w:r>
        <w:rPr>
          <w:rFonts w:hint="eastAsia" w:ascii="宋体" w:eastAsia="宋体" w:cs="宋体"/>
          <w:highlight w:val="none"/>
        </w:rPr>
        <w:t>商务条款偏离表</w:t>
      </w:r>
      <w:r>
        <w:rPr>
          <w:highlight w:val="none"/>
        </w:rPr>
        <w:tab/>
      </w:r>
      <w:r>
        <w:rPr>
          <w:highlight w:val="none"/>
        </w:rPr>
        <w:fldChar w:fldCharType="begin"/>
      </w:r>
      <w:r>
        <w:rPr>
          <w:highlight w:val="none"/>
        </w:rPr>
        <w:instrText xml:space="preserve"> PAGEREF _Toc2467 \h </w:instrText>
      </w:r>
      <w:r>
        <w:rPr>
          <w:highlight w:val="none"/>
        </w:rPr>
        <w:fldChar w:fldCharType="separate"/>
      </w:r>
      <w:r>
        <w:rPr>
          <w:highlight w:val="none"/>
        </w:rPr>
        <w:t>55</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146DDCF7">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_Toc9761 </w:instrText>
      </w:r>
      <w:r>
        <w:rPr>
          <w:rFonts w:hint="eastAsia" w:ascii="宋体" w:hAnsi="宋体" w:cs="宋体"/>
          <w:kern w:val="0"/>
          <w:szCs w:val="24"/>
          <w:highlight w:val="none"/>
        </w:rPr>
        <w:fldChar w:fldCharType="separate"/>
      </w:r>
      <w:r>
        <w:rPr>
          <w:rFonts w:hint="eastAsia" w:ascii="宋体" w:eastAsia="宋体" w:cs="宋体"/>
          <w:highlight w:val="none"/>
          <w:lang w:val="en-US" w:eastAsia="zh-CN"/>
        </w:rPr>
        <w:t>15.技术条款偏离表</w:t>
      </w:r>
      <w:r>
        <w:rPr>
          <w:highlight w:val="none"/>
        </w:rPr>
        <w:tab/>
      </w:r>
      <w:r>
        <w:rPr>
          <w:highlight w:val="none"/>
        </w:rPr>
        <w:fldChar w:fldCharType="begin"/>
      </w:r>
      <w:r>
        <w:rPr>
          <w:highlight w:val="none"/>
        </w:rPr>
        <w:instrText xml:space="preserve"> PAGEREF _Toc9761 \h </w:instrText>
      </w:r>
      <w:r>
        <w:rPr>
          <w:highlight w:val="none"/>
        </w:rPr>
        <w:fldChar w:fldCharType="separate"/>
      </w:r>
      <w:r>
        <w:rPr>
          <w:highlight w:val="none"/>
        </w:rPr>
        <w:t>55</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0499A0F2">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_Toc26204 </w:instrText>
      </w:r>
      <w:r>
        <w:rPr>
          <w:rFonts w:hint="eastAsia" w:ascii="宋体" w:hAnsi="宋体" w:cs="宋体"/>
          <w:kern w:val="0"/>
          <w:szCs w:val="24"/>
          <w:highlight w:val="none"/>
        </w:rPr>
        <w:fldChar w:fldCharType="separate"/>
      </w:r>
      <w:r>
        <w:rPr>
          <w:rFonts w:hint="eastAsia" w:ascii="宋体" w:eastAsia="宋体" w:cs="宋体"/>
          <w:highlight w:val="none"/>
          <w:lang w:val="en-US" w:eastAsia="zh-CN"/>
        </w:rPr>
        <w:t>1</w:t>
      </w:r>
      <w:r>
        <w:rPr>
          <w:rFonts w:hint="eastAsia" w:ascii="宋体" w:cs="宋体"/>
          <w:highlight w:val="none"/>
          <w:lang w:val="en-US" w:eastAsia="zh-CN"/>
        </w:rPr>
        <w:t>6</w:t>
      </w:r>
      <w:r>
        <w:rPr>
          <w:rFonts w:hint="eastAsia" w:ascii="宋体" w:eastAsia="宋体" w:cs="宋体"/>
          <w:highlight w:val="none"/>
          <w:lang w:val="en-US" w:eastAsia="zh-CN"/>
        </w:rPr>
        <w:t>.</w:t>
      </w:r>
      <w:r>
        <w:rPr>
          <w:rFonts w:hint="eastAsia" w:ascii="宋体" w:eastAsia="宋体" w:cs="宋体"/>
          <w:highlight w:val="none"/>
        </w:rPr>
        <w:t>本项目拟投入人员配备、设备明细表</w:t>
      </w:r>
      <w:r>
        <w:rPr>
          <w:highlight w:val="none"/>
        </w:rPr>
        <w:tab/>
      </w:r>
      <w:r>
        <w:rPr>
          <w:highlight w:val="none"/>
        </w:rPr>
        <w:fldChar w:fldCharType="begin"/>
      </w:r>
      <w:r>
        <w:rPr>
          <w:highlight w:val="none"/>
        </w:rPr>
        <w:instrText xml:space="preserve"> PAGEREF _Toc26204 \h </w:instrText>
      </w:r>
      <w:r>
        <w:rPr>
          <w:highlight w:val="none"/>
        </w:rPr>
        <w:fldChar w:fldCharType="separate"/>
      </w:r>
      <w:r>
        <w:rPr>
          <w:highlight w:val="none"/>
        </w:rPr>
        <w:t>56</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44F68A51">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_Toc3986 </w:instrText>
      </w:r>
      <w:r>
        <w:rPr>
          <w:rFonts w:hint="eastAsia" w:ascii="宋体" w:hAnsi="宋体" w:cs="宋体"/>
          <w:kern w:val="0"/>
          <w:szCs w:val="24"/>
          <w:highlight w:val="none"/>
        </w:rPr>
        <w:fldChar w:fldCharType="separate"/>
      </w:r>
      <w:r>
        <w:rPr>
          <w:rFonts w:hint="eastAsia" w:cs="宋体"/>
          <w:highlight w:val="none"/>
        </w:rPr>
        <w:t>1</w:t>
      </w:r>
      <w:r>
        <w:rPr>
          <w:rFonts w:hint="eastAsia" w:cs="宋体"/>
          <w:highlight w:val="none"/>
          <w:lang w:val="en-US" w:eastAsia="zh-CN"/>
        </w:rPr>
        <w:t>7</w:t>
      </w:r>
      <w:r>
        <w:rPr>
          <w:rFonts w:hint="eastAsia" w:cs="宋体"/>
          <w:highlight w:val="none"/>
        </w:rPr>
        <w:t>.技术评审文件</w:t>
      </w:r>
      <w:r>
        <w:rPr>
          <w:highlight w:val="none"/>
        </w:rPr>
        <w:tab/>
      </w:r>
      <w:r>
        <w:rPr>
          <w:highlight w:val="none"/>
        </w:rPr>
        <w:fldChar w:fldCharType="begin"/>
      </w:r>
      <w:r>
        <w:rPr>
          <w:highlight w:val="none"/>
        </w:rPr>
        <w:instrText xml:space="preserve"> PAGEREF _Toc3986 \h </w:instrText>
      </w:r>
      <w:r>
        <w:rPr>
          <w:highlight w:val="none"/>
        </w:rPr>
        <w:fldChar w:fldCharType="separate"/>
      </w:r>
      <w:r>
        <w:rPr>
          <w:highlight w:val="none"/>
        </w:rPr>
        <w:t>58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307388F4">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_Toc12264 </w:instrText>
      </w:r>
      <w:r>
        <w:rPr>
          <w:rFonts w:hint="eastAsia" w:ascii="宋体" w:hAnsi="宋体" w:cs="宋体"/>
          <w:kern w:val="0"/>
          <w:szCs w:val="24"/>
          <w:highlight w:val="none"/>
        </w:rPr>
        <w:fldChar w:fldCharType="separate"/>
      </w:r>
      <w:r>
        <w:rPr>
          <w:rFonts w:hint="eastAsia" w:cs="宋体"/>
          <w:highlight w:val="none"/>
        </w:rPr>
        <w:t>1</w:t>
      </w:r>
      <w:r>
        <w:rPr>
          <w:rFonts w:hint="eastAsia" w:cs="宋体"/>
          <w:highlight w:val="none"/>
          <w:lang w:val="en-US" w:eastAsia="zh-CN"/>
        </w:rPr>
        <w:t>8</w:t>
      </w:r>
      <w:r>
        <w:rPr>
          <w:rFonts w:hint="eastAsia" w:cs="宋体"/>
          <w:highlight w:val="none"/>
        </w:rPr>
        <w:t>.其他用于评分的证明材料</w:t>
      </w:r>
      <w:r>
        <w:rPr>
          <w:highlight w:val="none"/>
        </w:rPr>
        <w:tab/>
      </w:r>
      <w:r>
        <w:rPr>
          <w:highlight w:val="none"/>
        </w:rPr>
        <w:fldChar w:fldCharType="begin"/>
      </w:r>
      <w:r>
        <w:rPr>
          <w:highlight w:val="none"/>
        </w:rPr>
        <w:instrText xml:space="preserve"> PAGEREF _Toc12264 \h </w:instrText>
      </w:r>
      <w:r>
        <w:rPr>
          <w:highlight w:val="none"/>
        </w:rPr>
        <w:fldChar w:fldCharType="separate"/>
      </w:r>
      <w:r>
        <w:rPr>
          <w:highlight w:val="none"/>
        </w:rPr>
        <w:t>58</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3651E35A">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_Toc17368 </w:instrText>
      </w:r>
      <w:r>
        <w:rPr>
          <w:rFonts w:hint="eastAsia" w:ascii="宋体" w:hAnsi="宋体" w:cs="宋体"/>
          <w:kern w:val="0"/>
          <w:szCs w:val="24"/>
          <w:highlight w:val="none"/>
        </w:rPr>
        <w:fldChar w:fldCharType="separate"/>
      </w:r>
      <w:r>
        <w:rPr>
          <w:rFonts w:hint="eastAsia" w:cs="宋体"/>
          <w:highlight w:val="none"/>
          <w:lang w:val="en-US" w:eastAsia="zh-CN"/>
        </w:rPr>
        <w:t>19</w:t>
      </w:r>
      <w:r>
        <w:rPr>
          <w:rFonts w:hint="eastAsia" w:cs="宋体"/>
          <w:highlight w:val="none"/>
        </w:rPr>
        <w:t>.供应商关联单位的说明</w:t>
      </w:r>
      <w:r>
        <w:rPr>
          <w:highlight w:val="none"/>
        </w:rPr>
        <w:tab/>
      </w:r>
      <w:r>
        <w:rPr>
          <w:highlight w:val="none"/>
        </w:rPr>
        <w:fldChar w:fldCharType="begin"/>
      </w:r>
      <w:r>
        <w:rPr>
          <w:highlight w:val="none"/>
        </w:rPr>
        <w:instrText xml:space="preserve"> PAGEREF _Toc17368 \h </w:instrText>
      </w:r>
      <w:r>
        <w:rPr>
          <w:highlight w:val="none"/>
        </w:rPr>
        <w:fldChar w:fldCharType="separate"/>
      </w:r>
      <w:r>
        <w:rPr>
          <w:highlight w:val="none"/>
        </w:rPr>
        <w:t>59</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5E9A227D">
      <w:pPr>
        <w:pStyle w:val="15"/>
        <w:keepNext w:val="0"/>
        <w:keepLines w:val="0"/>
        <w:pageBreakBefore w:val="0"/>
        <w:widowControl w:val="0"/>
        <w:tabs>
          <w:tab w:val="right" w:leader="dot" w:pos="9040"/>
          <w:tab w:val="clear" w:pos="1260"/>
          <w:tab w:val="clear" w:pos="863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_Toc20959 </w:instrText>
      </w:r>
      <w:r>
        <w:rPr>
          <w:rFonts w:hint="eastAsia" w:ascii="宋体" w:hAnsi="宋体" w:cs="宋体"/>
          <w:kern w:val="0"/>
          <w:szCs w:val="24"/>
          <w:highlight w:val="none"/>
        </w:rPr>
        <w:fldChar w:fldCharType="separate"/>
      </w:r>
      <w:r>
        <w:rPr>
          <w:rFonts w:hint="eastAsia" w:cs="宋体"/>
          <w:highlight w:val="none"/>
          <w:lang w:val="en-US" w:eastAsia="zh-CN"/>
        </w:rPr>
        <w:t>20</w:t>
      </w:r>
      <w:r>
        <w:rPr>
          <w:rFonts w:hint="eastAsia" w:cs="宋体"/>
          <w:highlight w:val="none"/>
        </w:rPr>
        <w:t>.其它材料</w:t>
      </w:r>
      <w:r>
        <w:rPr>
          <w:highlight w:val="none"/>
        </w:rPr>
        <w:tab/>
      </w:r>
      <w:r>
        <w:rPr>
          <w:highlight w:val="none"/>
        </w:rPr>
        <w:fldChar w:fldCharType="begin"/>
      </w:r>
      <w:r>
        <w:rPr>
          <w:highlight w:val="none"/>
        </w:rPr>
        <w:instrText xml:space="preserve"> PAGEREF _Toc20959 \h </w:instrText>
      </w:r>
      <w:r>
        <w:rPr>
          <w:highlight w:val="none"/>
        </w:rPr>
        <w:fldChar w:fldCharType="separate"/>
      </w:r>
      <w:r>
        <w:rPr>
          <w:highlight w:val="none"/>
        </w:rPr>
        <w:t>59</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B0DAF25">
      <w:pPr>
        <w:pStyle w:val="21"/>
        <w:keepNext w:val="0"/>
        <w:keepLines w:val="0"/>
        <w:pageBreakBefore w:val="0"/>
        <w:widowControl w:val="0"/>
        <w:tabs>
          <w:tab w:val="right" w:leader="dot" w:pos="9040"/>
        </w:tabs>
        <w:kinsoku/>
        <w:wordWrap/>
        <w:overflowPunct/>
        <w:topLinePunct w:val="0"/>
        <w:autoSpaceDE/>
        <w:autoSpaceDN/>
        <w:bidi w:val="0"/>
        <w:adjustRightInd/>
        <w:snapToGrid/>
        <w:spacing w:line="400" w:lineRule="exact"/>
        <w:textAlignment w:val="auto"/>
        <w:rPr>
          <w:highlight w:val="none"/>
        </w:rPr>
      </w:pPr>
      <w:r>
        <w:rPr>
          <w:rFonts w:hint="eastAsia" w:ascii="宋体" w:hAnsi="宋体" w:cs="宋体"/>
          <w:color w:val="000000" w:themeColor="text1"/>
          <w:kern w:val="0"/>
          <w:szCs w:val="24"/>
          <w:highlight w:val="none"/>
          <w14:textFill>
            <w14:solidFill>
              <w14:schemeClr w14:val="tx1"/>
            </w14:solidFill>
          </w14:textFill>
        </w:rPr>
        <w:fldChar w:fldCharType="begin"/>
      </w:r>
      <w:r>
        <w:rPr>
          <w:rFonts w:hint="eastAsia" w:ascii="宋体" w:hAnsi="宋体" w:cs="宋体"/>
          <w:kern w:val="0"/>
          <w:szCs w:val="24"/>
          <w:highlight w:val="none"/>
        </w:rPr>
        <w:instrText xml:space="preserve"> HYPERLINK \l _Toc4145 </w:instrText>
      </w:r>
      <w:r>
        <w:rPr>
          <w:rFonts w:hint="eastAsia" w:ascii="宋体" w:hAnsi="宋体" w:cs="宋体"/>
          <w:kern w:val="0"/>
          <w:szCs w:val="24"/>
          <w:highlight w:val="none"/>
        </w:rPr>
        <w:fldChar w:fldCharType="separate"/>
      </w:r>
      <w:r>
        <w:rPr>
          <w:rFonts w:hint="eastAsia" w:hAnsi="宋体" w:cs="宋体"/>
          <w:highlight w:val="none"/>
        </w:rPr>
        <w:t>第7章  采购合同格式</w:t>
      </w:r>
      <w:r>
        <w:rPr>
          <w:highlight w:val="none"/>
        </w:rPr>
        <w:tab/>
      </w:r>
      <w:r>
        <w:rPr>
          <w:highlight w:val="none"/>
        </w:rPr>
        <w:fldChar w:fldCharType="begin"/>
      </w:r>
      <w:r>
        <w:rPr>
          <w:highlight w:val="none"/>
        </w:rPr>
        <w:instrText xml:space="preserve"> PAGEREF _Toc4145 \h </w:instrText>
      </w:r>
      <w:r>
        <w:rPr>
          <w:highlight w:val="none"/>
        </w:rPr>
        <w:fldChar w:fldCharType="separate"/>
      </w:r>
      <w:r>
        <w:rPr>
          <w:highlight w:val="none"/>
        </w:rPr>
        <w:t>60</w:t>
      </w:r>
      <w:r>
        <w:rPr>
          <w:highlight w:val="none"/>
        </w:rPr>
        <w:fldChar w:fldCharType="end"/>
      </w:r>
      <w:r>
        <w:rPr>
          <w:rFonts w:hint="eastAsia" w:ascii="宋体" w:hAnsi="宋体" w:cs="宋体"/>
          <w:color w:val="000000" w:themeColor="text1"/>
          <w:kern w:val="0"/>
          <w:szCs w:val="24"/>
          <w:highlight w:val="none"/>
          <w14:textFill>
            <w14:solidFill>
              <w14:schemeClr w14:val="tx1"/>
            </w14:solidFill>
          </w14:textFill>
        </w:rPr>
        <w:fldChar w:fldCharType="end"/>
      </w:r>
    </w:p>
    <w:p w14:paraId="22FB1C47">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4"/>
          <w:highlight w:val="none"/>
          <w14:textFill>
            <w14:solidFill>
              <w14:schemeClr w14:val="tx1"/>
            </w14:solidFill>
          </w14:textFill>
        </w:rPr>
        <w:fldChar w:fldCharType="end"/>
      </w:r>
      <w:bookmarkStart w:id="0" w:name="_Toc216582804"/>
      <w:bookmarkStart w:id="1" w:name="_Toc22782"/>
      <w:bookmarkStart w:id="2" w:name="_Toc17230"/>
    </w:p>
    <w:p w14:paraId="5E929A36">
      <w:pPr>
        <w:rPr>
          <w:rFonts w:ascii="宋体" w:hAnsi="宋体" w:cs="宋体"/>
          <w:color w:val="000000" w:themeColor="text1"/>
          <w:kern w:val="0"/>
          <w:szCs w:val="21"/>
          <w:highlight w:val="none"/>
          <w14:textFill>
            <w14:solidFill>
              <w14:schemeClr w14:val="tx1"/>
            </w14:solidFill>
          </w14:textFill>
        </w:rPr>
      </w:pPr>
    </w:p>
    <w:p w14:paraId="63995A18">
      <w:pPr>
        <w:rPr>
          <w:rFonts w:ascii="宋体" w:hAnsi="宋体" w:cs="宋体"/>
          <w:color w:val="000000" w:themeColor="text1"/>
          <w:kern w:val="0"/>
          <w:szCs w:val="21"/>
          <w:highlight w:val="none"/>
          <w14:textFill>
            <w14:solidFill>
              <w14:schemeClr w14:val="tx1"/>
            </w14:solidFill>
          </w14:textFill>
        </w:rPr>
      </w:pPr>
    </w:p>
    <w:p w14:paraId="7E4C1EF3">
      <w:pPr>
        <w:rPr>
          <w:rFonts w:ascii="宋体" w:hAnsi="宋体" w:cs="宋体"/>
          <w:color w:val="000000" w:themeColor="text1"/>
          <w:kern w:val="44"/>
          <w:szCs w:val="20"/>
          <w:highlight w:val="none"/>
          <w14:textFill>
            <w14:solidFill>
              <w14:schemeClr w14:val="tx1"/>
            </w14:solidFill>
          </w14:textFill>
        </w:rPr>
      </w:pPr>
      <w:r>
        <w:rPr>
          <w:rFonts w:ascii="宋体" w:hAnsi="宋体" w:cs="宋体"/>
          <w:color w:val="000000" w:themeColor="text1"/>
          <w:kern w:val="44"/>
          <w:szCs w:val="20"/>
          <w:highlight w:val="none"/>
          <w14:textFill>
            <w14:solidFill>
              <w14:schemeClr w14:val="tx1"/>
            </w14:solidFill>
          </w14:textFill>
        </w:rPr>
        <w:br w:type="page"/>
      </w:r>
    </w:p>
    <w:p w14:paraId="10509DDA">
      <w:pPr>
        <w:pStyle w:val="40"/>
        <w:rPr>
          <w:color w:val="000000" w:themeColor="text1"/>
          <w:highlight w:val="none"/>
          <w14:textFill>
            <w14:solidFill>
              <w14:schemeClr w14:val="tx1"/>
            </w14:solidFill>
          </w14:textFill>
        </w:rPr>
      </w:pPr>
    </w:p>
    <w:p w14:paraId="25F276F1">
      <w:pPr>
        <w:pStyle w:val="3"/>
        <w:numPr>
          <w:ilvl w:val="0"/>
          <w:numId w:val="1"/>
        </w:numPr>
        <w:tabs>
          <w:tab w:val="left" w:pos="1134"/>
          <w:tab w:val="clear" w:pos="2850"/>
        </w:tabs>
        <w:spacing w:before="0" w:after="0" w:line="240" w:lineRule="atLeast"/>
        <w:ind w:hanging="3134"/>
        <w:rPr>
          <w:rFonts w:hAnsi="宋体" w:cs="宋体"/>
          <w:color w:val="000000" w:themeColor="text1"/>
          <w:highlight w:val="none"/>
          <w14:textFill>
            <w14:solidFill>
              <w14:schemeClr w14:val="tx1"/>
            </w14:solidFill>
          </w14:textFill>
        </w:rPr>
      </w:pPr>
      <w:bookmarkStart w:id="3" w:name="_Toc18705"/>
      <w:bookmarkStart w:id="4" w:name="_Toc515647756"/>
      <w:r>
        <w:rPr>
          <w:rFonts w:hint="eastAsia" w:hAnsi="宋体" w:cs="宋体"/>
          <w:color w:val="000000" w:themeColor="text1"/>
          <w:highlight w:val="none"/>
          <w14:textFill>
            <w14:solidFill>
              <w14:schemeClr w14:val="tx1"/>
            </w14:solidFill>
          </w14:textFill>
        </w:rPr>
        <w:t>供应商须知</w:t>
      </w:r>
      <w:bookmarkEnd w:id="0"/>
      <w:bookmarkEnd w:id="1"/>
      <w:bookmarkEnd w:id="2"/>
      <w:bookmarkEnd w:id="3"/>
      <w:bookmarkEnd w:id="4"/>
    </w:p>
    <w:p w14:paraId="68F77326">
      <w:pPr>
        <w:rPr>
          <w:rFonts w:ascii="宋体" w:hAnsi="宋体" w:cs="宋体"/>
          <w:color w:val="000000" w:themeColor="text1"/>
          <w:highlight w:val="none"/>
          <w14:textFill>
            <w14:solidFill>
              <w14:schemeClr w14:val="tx1"/>
            </w14:solidFill>
          </w14:textFill>
        </w:rPr>
      </w:pPr>
    </w:p>
    <w:p w14:paraId="16ABFFB9">
      <w:pPr>
        <w:pStyle w:val="4"/>
        <w:spacing w:before="0" w:line="240" w:lineRule="atLeast"/>
        <w:ind w:left="565" w:leftChars="12" w:hanging="540"/>
        <w:rPr>
          <w:rFonts w:ascii="宋体" w:hAnsi="宋体" w:eastAsia="宋体" w:cs="宋体"/>
          <w:color w:val="000000" w:themeColor="text1"/>
          <w:sz w:val="28"/>
          <w:highlight w:val="none"/>
          <w14:textFill>
            <w14:solidFill>
              <w14:schemeClr w14:val="tx1"/>
            </w14:solidFill>
          </w14:textFill>
        </w:rPr>
      </w:pPr>
      <w:bookmarkStart w:id="5" w:name="_Toc520356143"/>
      <w:bookmarkStart w:id="6" w:name="_Toc515647757"/>
      <w:bookmarkStart w:id="7" w:name="_Toc216582805"/>
      <w:bookmarkStart w:id="8" w:name="_Toc21015"/>
      <w:bookmarkStart w:id="9" w:name="_Toc28774"/>
      <w:bookmarkStart w:id="10" w:name="_Toc21215"/>
      <w:r>
        <w:rPr>
          <w:rFonts w:hint="eastAsia" w:ascii="宋体" w:hAnsi="宋体" w:eastAsia="宋体" w:cs="宋体"/>
          <w:color w:val="000000" w:themeColor="text1"/>
          <w:sz w:val="28"/>
          <w:highlight w:val="none"/>
          <w14:textFill>
            <w14:solidFill>
              <w14:schemeClr w14:val="tx1"/>
            </w14:solidFill>
          </w14:textFill>
        </w:rPr>
        <w:t>一</w:t>
      </w:r>
      <w:bookmarkEnd w:id="5"/>
      <w:bookmarkEnd w:id="6"/>
      <w:bookmarkEnd w:id="7"/>
      <w:r>
        <w:rPr>
          <w:rFonts w:hint="eastAsia" w:ascii="宋体" w:hAnsi="宋体" w:eastAsia="宋体" w:cs="宋体"/>
          <w:color w:val="000000" w:themeColor="text1"/>
          <w:sz w:val="28"/>
          <w:highlight w:val="none"/>
          <w14:textFill>
            <w14:solidFill>
              <w14:schemeClr w14:val="tx1"/>
            </w14:solidFill>
          </w14:textFill>
        </w:rPr>
        <w:t>、总则</w:t>
      </w:r>
      <w:bookmarkEnd w:id="8"/>
      <w:bookmarkEnd w:id="9"/>
      <w:bookmarkEnd w:id="10"/>
    </w:p>
    <w:p w14:paraId="1DD4118D">
      <w:pPr>
        <w:pStyle w:val="5"/>
        <w:spacing w:before="0" w:after="0" w:line="480" w:lineRule="exact"/>
        <w:rPr>
          <w:rFonts w:hAnsi="宋体" w:cs="宋体"/>
          <w:color w:val="000000" w:themeColor="text1"/>
          <w:highlight w:val="none"/>
          <w:u w:val="none"/>
          <w14:textFill>
            <w14:solidFill>
              <w14:schemeClr w14:val="tx1"/>
            </w14:solidFill>
          </w14:textFill>
        </w:rPr>
      </w:pPr>
      <w:bookmarkStart w:id="11" w:name="_Toc520356144"/>
      <w:bookmarkStart w:id="12" w:name="_Toc32623"/>
      <w:bookmarkStart w:id="13" w:name="_Toc32189"/>
      <w:bookmarkStart w:id="14" w:name="_Toc515647758"/>
      <w:bookmarkStart w:id="15" w:name="_Toc13088"/>
      <w:r>
        <w:rPr>
          <w:rFonts w:hint="eastAsia" w:hAnsi="宋体" w:cs="宋体"/>
          <w:color w:val="000000" w:themeColor="text1"/>
          <w:highlight w:val="none"/>
          <w:u w:val="none"/>
          <w14:textFill>
            <w14:solidFill>
              <w14:schemeClr w14:val="tx1"/>
            </w14:solidFill>
          </w14:textFill>
        </w:rPr>
        <w:t>1.采购人、采购代理机构及</w:t>
      </w:r>
      <w:bookmarkEnd w:id="11"/>
      <w:r>
        <w:rPr>
          <w:rFonts w:hint="eastAsia" w:hAnsi="宋体" w:cs="宋体"/>
          <w:color w:val="000000" w:themeColor="text1"/>
          <w:highlight w:val="none"/>
          <w:u w:val="none"/>
          <w14:textFill>
            <w14:solidFill>
              <w14:schemeClr w14:val="tx1"/>
            </w14:solidFill>
          </w14:textFill>
        </w:rPr>
        <w:t>供应商</w:t>
      </w:r>
      <w:bookmarkEnd w:id="12"/>
      <w:bookmarkEnd w:id="13"/>
      <w:bookmarkEnd w:id="14"/>
      <w:bookmarkEnd w:id="15"/>
    </w:p>
    <w:p w14:paraId="57D891D3">
      <w:pPr>
        <w:numPr>
          <w:ilvl w:val="1"/>
          <w:numId w:val="2"/>
        </w:numPr>
        <w:tabs>
          <w:tab w:val="left" w:pos="0"/>
          <w:tab w:val="clear" w:pos="900"/>
        </w:tabs>
        <w:spacing w:line="480" w:lineRule="exact"/>
        <w:ind w:left="0"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采购人：是指依法开展</w:t>
      </w:r>
      <w:r>
        <w:rPr>
          <w:rFonts w:hint="eastAsia" w:ascii="宋体" w:hAnsi="宋体" w:cs="宋体"/>
          <w:color w:val="000000" w:themeColor="text1"/>
          <w:sz w:val="24"/>
          <w:highlight w:val="none"/>
          <w:lang w:eastAsia="zh-CN"/>
          <w14:textFill>
            <w14:solidFill>
              <w14:schemeClr w14:val="tx1"/>
            </w14:solidFill>
          </w14:textFill>
        </w:rPr>
        <w:t>本次采购活动</w:t>
      </w:r>
      <w:r>
        <w:rPr>
          <w:rFonts w:hint="eastAsia" w:ascii="宋体" w:hAnsi="宋体" w:cs="宋体"/>
          <w:color w:val="000000" w:themeColor="text1"/>
          <w:sz w:val="24"/>
          <w:highlight w:val="none"/>
          <w14:textFill>
            <w14:solidFill>
              <w14:schemeClr w14:val="tx1"/>
            </w14:solidFill>
          </w14:textFill>
        </w:rPr>
        <w:t>的</w:t>
      </w:r>
      <w:r>
        <w:rPr>
          <w:rFonts w:hint="eastAsia" w:ascii="宋体" w:hAnsi="宋体" w:cs="宋体"/>
          <w:color w:val="000000" w:themeColor="text1"/>
          <w:sz w:val="24"/>
          <w:highlight w:val="none"/>
          <w:lang w:val="en-US" w:eastAsia="zh-CN"/>
          <w14:textFill>
            <w14:solidFill>
              <w14:schemeClr w14:val="tx1"/>
            </w14:solidFill>
          </w14:textFill>
        </w:rPr>
        <w:t>采购主体</w:t>
      </w:r>
      <w:r>
        <w:rPr>
          <w:rFonts w:hint="eastAsia" w:ascii="宋体" w:hAnsi="宋体" w:cs="宋体"/>
          <w:color w:val="000000" w:themeColor="text1"/>
          <w:sz w:val="24"/>
          <w:highlight w:val="none"/>
          <w14:textFill>
            <w14:solidFill>
              <w14:schemeClr w14:val="tx1"/>
            </w14:solidFill>
          </w14:textFill>
        </w:rPr>
        <w:t>。本项目的采购人见</w:t>
      </w:r>
      <w:r>
        <w:rPr>
          <w:rFonts w:hint="eastAsia" w:ascii="宋体" w:hAnsi="宋体" w:cs="宋体"/>
          <w:color w:val="000000" w:themeColor="text1"/>
          <w:sz w:val="24"/>
          <w:highlight w:val="none"/>
          <w:u w:val="single"/>
          <w14:textFill>
            <w14:solidFill>
              <w14:schemeClr w14:val="tx1"/>
            </w14:solidFill>
          </w14:textFill>
        </w:rPr>
        <w:t>供应商须知资料表</w:t>
      </w:r>
      <w:r>
        <w:rPr>
          <w:rFonts w:hint="eastAsia" w:ascii="宋体" w:hAnsi="宋体" w:cs="宋体"/>
          <w:color w:val="000000" w:themeColor="text1"/>
          <w:sz w:val="24"/>
          <w:highlight w:val="none"/>
          <w14:textFill>
            <w14:solidFill>
              <w14:schemeClr w14:val="tx1"/>
            </w14:solidFill>
          </w14:textFill>
        </w:rPr>
        <w:t>。</w:t>
      </w:r>
    </w:p>
    <w:p w14:paraId="0DB46C1F">
      <w:pPr>
        <w:numPr>
          <w:ilvl w:val="1"/>
          <w:numId w:val="2"/>
        </w:numPr>
        <w:tabs>
          <w:tab w:val="left" w:pos="0"/>
          <w:tab w:val="clear" w:pos="900"/>
        </w:tabs>
        <w:spacing w:line="480" w:lineRule="exact"/>
        <w:ind w:left="0" w:firstLine="420" w:firstLineChars="175"/>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采购代理机构</w:t>
      </w:r>
      <w:r>
        <w:rPr>
          <w:rFonts w:hint="eastAsia" w:ascii="宋体" w:hAnsi="宋体" w:cs="宋体"/>
          <w:color w:val="000000" w:themeColor="text1"/>
          <w:sz w:val="24"/>
          <w:highlight w:val="none"/>
          <w:u w:val="none"/>
          <w14:textFill>
            <w14:solidFill>
              <w14:schemeClr w14:val="tx1"/>
            </w14:solidFill>
          </w14:textFill>
        </w:rPr>
        <w:t>：是指</w:t>
      </w:r>
      <w:r>
        <w:rPr>
          <w:rFonts w:hint="eastAsia" w:ascii="宋体" w:hAnsi="宋体" w:cs="宋体"/>
          <w:color w:val="000000" w:themeColor="text1"/>
          <w:sz w:val="24"/>
          <w:highlight w:val="none"/>
          <w:u w:val="none"/>
          <w:lang w:val="en-US" w:eastAsia="zh-CN"/>
          <w14:textFill>
            <w14:solidFill>
              <w14:schemeClr w14:val="tx1"/>
            </w14:solidFill>
          </w14:textFill>
        </w:rPr>
        <w:t>接受采购人委托</w:t>
      </w:r>
      <w:r>
        <w:rPr>
          <w:rFonts w:hint="eastAsia" w:ascii="宋体" w:hAnsi="宋体" w:cs="宋体"/>
          <w:color w:val="000000" w:themeColor="text1"/>
          <w:sz w:val="24"/>
          <w:highlight w:val="none"/>
          <w:u w:val="none"/>
          <w14:textFill>
            <w14:solidFill>
              <w14:schemeClr w14:val="tx1"/>
            </w14:solidFill>
          </w14:textFill>
        </w:rPr>
        <w:t>从事采购代理业务的社会中介机构，本项目的采购代理机构见</w:t>
      </w:r>
      <w:r>
        <w:rPr>
          <w:rFonts w:hint="eastAsia" w:ascii="宋体" w:hAnsi="宋体" w:cs="宋体"/>
          <w:color w:val="000000" w:themeColor="text1"/>
          <w:sz w:val="24"/>
          <w:highlight w:val="none"/>
          <w:u w:val="single"/>
          <w14:textFill>
            <w14:solidFill>
              <w14:schemeClr w14:val="tx1"/>
            </w14:solidFill>
          </w14:textFill>
        </w:rPr>
        <w:t>供应商须知资料表。</w:t>
      </w:r>
    </w:p>
    <w:p w14:paraId="27097C80">
      <w:pPr>
        <w:numPr>
          <w:ilvl w:val="1"/>
          <w:numId w:val="2"/>
        </w:numPr>
        <w:tabs>
          <w:tab w:val="left" w:pos="0"/>
          <w:tab w:val="clear" w:pos="900"/>
        </w:tabs>
        <w:spacing w:line="480" w:lineRule="exact"/>
        <w:ind w:left="0" w:firstLine="420" w:firstLineChars="175"/>
        <w:rPr>
          <w:rFonts w:ascii="宋体" w:hAnsi="宋体" w:cs="宋体"/>
          <w:color w:val="000000" w:themeColor="text1"/>
          <w:sz w:val="24"/>
          <w:highlight w:val="none"/>
          <w14:textFill>
            <w14:solidFill>
              <w14:schemeClr w14:val="tx1"/>
            </w14:solidFill>
          </w14:textFill>
        </w:rPr>
      </w:pPr>
      <w:bookmarkStart w:id="16" w:name="_Toc12139"/>
      <w:bookmarkStart w:id="17" w:name="_Toc5286"/>
      <w:bookmarkStart w:id="18" w:name="_Toc515647759"/>
      <w:r>
        <w:rPr>
          <w:rFonts w:hint="eastAsia" w:ascii="宋体" w:hAnsi="宋体" w:cs="宋体"/>
          <w:color w:val="000000" w:themeColor="text1"/>
          <w:sz w:val="24"/>
          <w:highlight w:val="none"/>
          <w14:textFill>
            <w14:solidFill>
              <w14:schemeClr w14:val="tx1"/>
            </w14:solidFill>
          </w14:textFill>
        </w:rPr>
        <w:t>供应商：是指响应磋商、参加报价竞争的法人、其他组织或者自然人。潜在供应商：以竞争性磋商文件规定的方式获取本项目竞争性磋商文件的法人、其他组织或者自然人。本项目的供应商须满足以下条件：</w:t>
      </w:r>
    </w:p>
    <w:p w14:paraId="4BC71D55">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1.3.1</w:t>
      </w:r>
      <w:r>
        <w:rPr>
          <w:rFonts w:hint="eastAsia" w:ascii="宋体" w:hAnsi="宋体" w:cs="宋体"/>
          <w:color w:val="000000" w:themeColor="text1"/>
          <w:sz w:val="24"/>
          <w:highlight w:val="none"/>
          <w14:textFill>
            <w14:solidFill>
              <w14:schemeClr w14:val="tx1"/>
            </w14:solidFill>
          </w14:textFill>
        </w:rPr>
        <w:tab/>
      </w:r>
      <w:r>
        <w:rPr>
          <w:rFonts w:hint="eastAsia" w:ascii="宋体" w:hAnsi="宋体" w:cs="宋体"/>
          <w:color w:val="000000" w:themeColor="text1"/>
          <w:sz w:val="24"/>
          <w:highlight w:val="none"/>
          <w14:textFill>
            <w14:solidFill>
              <w14:schemeClr w14:val="tx1"/>
            </w14:solidFill>
          </w14:textFill>
        </w:rPr>
        <w:t>在中华人民共和国境内注册，能够独立承担民事责任</w:t>
      </w:r>
      <w:r>
        <w:rPr>
          <w:rFonts w:hint="eastAsia" w:ascii="宋体" w:hAnsi="宋体" w:cs="宋体"/>
          <w:color w:val="000000" w:themeColor="text1"/>
          <w:sz w:val="24"/>
          <w:highlight w:val="none"/>
          <w:lang w:eastAsia="zh-CN"/>
          <w14:textFill>
            <w14:solidFill>
              <w14:schemeClr w14:val="tx1"/>
            </w14:solidFill>
          </w14:textFill>
        </w:rPr>
        <w:t>，具</w:t>
      </w:r>
      <w:r>
        <w:rPr>
          <w:rFonts w:hint="eastAsia" w:ascii="宋体" w:hAnsi="宋体" w:cs="宋体"/>
          <w:color w:val="000000" w:themeColor="text1"/>
          <w:sz w:val="24"/>
          <w:highlight w:val="none"/>
          <w14:textFill>
            <w14:solidFill>
              <w14:schemeClr w14:val="tx1"/>
            </w14:solidFill>
          </w14:textFill>
        </w:rPr>
        <w:t>有生产或供应能力的本国供应商。</w:t>
      </w:r>
    </w:p>
    <w:p w14:paraId="5B446713">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1.3.2</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具备《中华人民共和国政府采购法》第二十二条关于供应商条件的规定，遵守本项目采购人本级和上级</w:t>
      </w:r>
      <w:r>
        <w:rPr>
          <w:rFonts w:hint="eastAsia" w:ascii="宋体" w:hAnsi="宋体" w:cs="宋体"/>
          <w:color w:val="000000" w:themeColor="text1"/>
          <w:sz w:val="24"/>
          <w:highlight w:val="none"/>
          <w:lang w:val="en-US" w:eastAsia="zh-CN"/>
          <w14:textFill>
            <w14:solidFill>
              <w14:schemeClr w14:val="tx1"/>
            </w14:solidFill>
          </w14:textFill>
        </w:rPr>
        <w:t>主管</w:t>
      </w:r>
      <w:r>
        <w:rPr>
          <w:rFonts w:hint="eastAsia" w:ascii="宋体" w:hAnsi="宋体" w:cs="宋体"/>
          <w:color w:val="000000" w:themeColor="text1"/>
          <w:sz w:val="24"/>
          <w:highlight w:val="none"/>
          <w14:textFill>
            <w14:solidFill>
              <w14:schemeClr w14:val="tx1"/>
            </w14:solidFill>
          </w14:textFill>
        </w:rPr>
        <w:t>部门的有关规定。</w:t>
      </w:r>
    </w:p>
    <w:p w14:paraId="7234F782">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1.3.3</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以竞争性磋商文件规定的方式获得了本项目的竞争性磋商文件。</w:t>
      </w:r>
    </w:p>
    <w:p w14:paraId="3745BBBB">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1.3.4</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符合供应商须知资料表中规定的其他资格要求。</w:t>
      </w:r>
    </w:p>
    <w:p w14:paraId="710984C9">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1.3.5</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若供应商须知资料表中写明专门面向中小企业采购的，如供应商为非中小企业，其响应文件将被认定为响应文件无效。</w:t>
      </w:r>
    </w:p>
    <w:p w14:paraId="1674F6A6">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1.3.6</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进口产品</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是指通过中国海关报关验放进入中国境内且产自关境外的产品。若供应商须知资料表中写明允许采购进口产品，供应商应保证所报产品可履行合法报通关手续进入中国关境内。</w:t>
      </w:r>
    </w:p>
    <w:p w14:paraId="1D1B8272">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若供应商须知资料表中未写明允许采购进口产品，如供应商所报产品为进口产品，其响应文件将被认定为无效。</w:t>
      </w:r>
    </w:p>
    <w:p w14:paraId="5F6AF880">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如供应商须知资料表中允许联合体进行响应，对联合体规定如下：</w:t>
      </w:r>
    </w:p>
    <w:p w14:paraId="5CA8D5AA">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1.4.1</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两个以上供应商可以组成一个联合体，以一个供应商的身份响应。</w:t>
      </w:r>
    </w:p>
    <w:p w14:paraId="0BDD9AD3">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1.4.2</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联合体各方均应符合1.3.2规定。</w:t>
      </w:r>
    </w:p>
    <w:p w14:paraId="299AB101">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1.4.3</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采购人根据采购项目对供应商的特殊要求，联合体中至少应当有一方符合相关规定。</w:t>
      </w:r>
    </w:p>
    <w:p w14:paraId="6FE3948F">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1.4.4</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联合体各方应签订共同响应协议，明确约定联合体各方承担的工作和相应的责任，并将共同响应协议连同响应文件一并提交，否则其响应文件将被认定为无效。</w:t>
      </w:r>
    </w:p>
    <w:p w14:paraId="31811F20">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1.4.5</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大中型企业、其他自然人、法人或者其他组织与小型、微型企业组成联合体共同参加响应，共同响应协议中应写明小型、微型企业的协议合同金额占到共同响应协议响应总金额的比例。</w:t>
      </w:r>
    </w:p>
    <w:p w14:paraId="7DDFE734">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1.4.6</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以联合体形式参加</w:t>
      </w:r>
      <w:r>
        <w:rPr>
          <w:rFonts w:hint="eastAsia" w:ascii="宋体" w:hAnsi="宋体" w:cs="宋体"/>
          <w:color w:val="000000" w:themeColor="text1"/>
          <w:sz w:val="24"/>
          <w:highlight w:val="none"/>
          <w:lang w:val="en-US" w:eastAsia="zh-CN"/>
          <w14:textFill>
            <w14:solidFill>
              <w14:schemeClr w14:val="tx1"/>
            </w14:solidFill>
          </w14:textFill>
        </w:rPr>
        <w:t>本次</w:t>
      </w:r>
      <w:r>
        <w:rPr>
          <w:rFonts w:hint="eastAsia" w:ascii="宋体" w:hAnsi="宋体" w:cs="宋体"/>
          <w:color w:val="000000" w:themeColor="text1"/>
          <w:sz w:val="24"/>
          <w:highlight w:val="none"/>
          <w14:textFill>
            <w14:solidFill>
              <w14:schemeClr w14:val="tx1"/>
            </w14:solidFill>
          </w14:textFill>
        </w:rPr>
        <w:t>采购活动的，联合体各方不得再单独参加或者与其他供应商另外组成联合体参加本项目，否则其响应文件将被认定为无效。</w:t>
      </w:r>
    </w:p>
    <w:p w14:paraId="294E5FEE">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1.4.7</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对联合体响应的其他资格要求见供应商须知资料表。</w:t>
      </w:r>
    </w:p>
    <w:p w14:paraId="619865CA">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1.5 货物，是指供应商按响应文件第八部分的要求，向采购人提供全新的、未使用过的各种形态和种类的物品，包括原材料、燃料、设备、产品等。</w:t>
      </w:r>
    </w:p>
    <w:p w14:paraId="2DF89CEE">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1.6 服务，是指供应商按响应文件第八部分的要求，完成规定的货物供货过程中须承担的制造、运输、吊拉、安装、调试、技术协助、培训及其他各项义务。</w:t>
      </w:r>
    </w:p>
    <w:p w14:paraId="704D17D0">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1.7</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综合评分法，是指响应文件满足磋商文件全部实质性要求且按评审因素的量化指标评审得分最高的供应商为成交候选供应商的评审方法。</w:t>
      </w:r>
    </w:p>
    <w:p w14:paraId="6D70C887">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1.8 单位负责人为同一人或者存在直接控股、管理关系的不同供应商，不得参加同一合同项下的采购活动，否则其相关响应文件均将被认定为响应文件无效。</w:t>
      </w:r>
    </w:p>
    <w:p w14:paraId="7A43688E">
      <w:pPr>
        <w:spacing w:line="480" w:lineRule="exact"/>
        <w:ind w:left="1" w:firstLine="424" w:firstLineChars="177"/>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1.9 各供应商须对本项目指定一个项目负责人，对本项目所有事宜全程负责。未经采购人同意中途不得更换项目负责人。</w:t>
      </w:r>
    </w:p>
    <w:p w14:paraId="4B31E52F">
      <w:pPr>
        <w:pStyle w:val="5"/>
        <w:spacing w:before="0" w:after="0" w:line="480" w:lineRule="exact"/>
        <w:rPr>
          <w:rFonts w:hAnsi="宋体" w:cs="宋体"/>
          <w:color w:val="000000" w:themeColor="text1"/>
          <w:highlight w:val="none"/>
          <w:u w:val="none"/>
          <w14:textFill>
            <w14:solidFill>
              <w14:schemeClr w14:val="tx1"/>
            </w14:solidFill>
          </w14:textFill>
        </w:rPr>
      </w:pPr>
      <w:bookmarkStart w:id="19" w:name="_Toc19123"/>
      <w:r>
        <w:rPr>
          <w:rFonts w:hint="eastAsia" w:hAnsi="宋体" w:cs="宋体"/>
          <w:color w:val="000000" w:themeColor="text1"/>
          <w:highlight w:val="none"/>
          <w:u w:val="none"/>
          <w14:textFill>
            <w14:solidFill>
              <w14:schemeClr w14:val="tx1"/>
            </w14:solidFill>
          </w14:textFill>
        </w:rPr>
        <w:t>2.资金来源</w:t>
      </w:r>
      <w:bookmarkEnd w:id="16"/>
      <w:bookmarkEnd w:id="17"/>
      <w:bookmarkEnd w:id="18"/>
      <w:bookmarkEnd w:id="19"/>
    </w:p>
    <w:p w14:paraId="3D0787C4">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2.1</w:t>
      </w:r>
      <w:r>
        <w:rPr>
          <w:rFonts w:hint="eastAsia" w:ascii="宋体" w:hAnsi="宋体" w:cs="宋体"/>
          <w:color w:val="000000" w:themeColor="text1"/>
          <w:sz w:val="24"/>
          <w:highlight w:val="none"/>
          <w14:textFill>
            <w14:solidFill>
              <w14:schemeClr w14:val="tx1"/>
            </w14:solidFill>
          </w14:textFill>
        </w:rPr>
        <w:tab/>
      </w:r>
      <w:r>
        <w:rPr>
          <w:rFonts w:hint="eastAsia" w:ascii="宋体" w:hAnsi="宋体" w:cs="宋体"/>
          <w:color w:val="000000" w:themeColor="text1"/>
          <w:sz w:val="24"/>
          <w:highlight w:val="none"/>
          <w14:textFill>
            <w14:solidFill>
              <w14:schemeClr w14:val="tx1"/>
            </w14:solidFill>
          </w14:textFill>
        </w:rPr>
        <w:t>本项目的采购人已获得足以支付本次磋商后所签订的合同项下的资金（包括财政性资金和本项目采购中无法与财政性资金分割的非财政性资金，预采购项目除外）。</w:t>
      </w:r>
    </w:p>
    <w:p w14:paraId="1D1D9933">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2.2</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项目预算金额和分项或分包最高限价见供应商须知资料表。</w:t>
      </w:r>
    </w:p>
    <w:p w14:paraId="7D1461CF">
      <w:pPr>
        <w:spacing w:line="480" w:lineRule="exact"/>
        <w:ind w:left="1"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2.3</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供应商报价超过竞争性磋商文件规定的预算金额或者分项、分包最高限价的，其响应文件将被认定为无效。</w:t>
      </w:r>
    </w:p>
    <w:p w14:paraId="7F0489E4">
      <w:pPr>
        <w:pStyle w:val="5"/>
        <w:spacing w:before="0" w:after="0" w:line="480" w:lineRule="exact"/>
        <w:rPr>
          <w:rFonts w:hAnsi="宋体" w:cs="宋体"/>
          <w:color w:val="000000" w:themeColor="text1"/>
          <w:highlight w:val="none"/>
          <w:u w:val="none"/>
          <w14:textFill>
            <w14:solidFill>
              <w14:schemeClr w14:val="tx1"/>
            </w14:solidFill>
          </w14:textFill>
        </w:rPr>
      </w:pPr>
      <w:bookmarkStart w:id="20" w:name="_Toc20526"/>
      <w:bookmarkStart w:id="21" w:name="_Toc1762"/>
      <w:bookmarkStart w:id="22" w:name="_Toc515647760"/>
      <w:bookmarkStart w:id="23" w:name="_Toc15936"/>
      <w:bookmarkStart w:id="24" w:name="_Toc520356145"/>
      <w:r>
        <w:rPr>
          <w:rFonts w:hint="eastAsia" w:hAnsi="宋体" w:cs="宋体"/>
          <w:color w:val="000000" w:themeColor="text1"/>
          <w:highlight w:val="none"/>
          <w:u w:val="none"/>
          <w14:textFill>
            <w14:solidFill>
              <w14:schemeClr w14:val="tx1"/>
            </w14:solidFill>
          </w14:textFill>
        </w:rPr>
        <w:t>3.响应费用</w:t>
      </w:r>
      <w:bookmarkEnd w:id="20"/>
      <w:bookmarkEnd w:id="21"/>
      <w:bookmarkEnd w:id="22"/>
      <w:bookmarkEnd w:id="23"/>
      <w:bookmarkEnd w:id="24"/>
    </w:p>
    <w:p w14:paraId="49906CDF">
      <w:pPr>
        <w:spacing w:line="480" w:lineRule="exact"/>
        <w:ind w:left="566" w:hanging="566" w:hangingChars="236"/>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ab/>
      </w:r>
      <w:r>
        <w:rPr>
          <w:rFonts w:hint="eastAsia" w:ascii="宋体" w:hAnsi="宋体" w:cs="宋体"/>
          <w:color w:val="000000" w:themeColor="text1"/>
          <w:sz w:val="24"/>
          <w:highlight w:val="none"/>
          <w14:textFill>
            <w14:solidFill>
              <w14:schemeClr w14:val="tx1"/>
            </w14:solidFill>
          </w14:textFill>
        </w:rPr>
        <w:t>不论响应的结果如何，供应商应承担所有与准备和参加响应有关的费用。</w:t>
      </w:r>
    </w:p>
    <w:p w14:paraId="5D4BC7E9">
      <w:pPr>
        <w:pStyle w:val="5"/>
        <w:spacing w:before="0" w:after="0" w:line="480" w:lineRule="exact"/>
        <w:rPr>
          <w:rFonts w:hint="eastAsia" w:hAnsi="宋体" w:eastAsia="宋体" w:cs="宋体"/>
          <w:color w:val="000000" w:themeColor="text1"/>
          <w:highlight w:val="none"/>
          <w:u w:val="none"/>
          <w:lang w:eastAsia="zh-CN"/>
          <w14:textFill>
            <w14:solidFill>
              <w14:schemeClr w14:val="tx1"/>
            </w14:solidFill>
          </w14:textFill>
        </w:rPr>
      </w:pPr>
      <w:bookmarkStart w:id="25" w:name="_Toc6116"/>
      <w:bookmarkStart w:id="26" w:name="_Toc4463"/>
      <w:bookmarkStart w:id="27" w:name="_Toc515647761"/>
      <w:bookmarkStart w:id="28" w:name="_Toc8975"/>
      <w:r>
        <w:rPr>
          <w:rFonts w:hint="eastAsia" w:hAnsi="宋体" w:cs="宋体"/>
          <w:color w:val="000000" w:themeColor="text1"/>
          <w:highlight w:val="none"/>
          <w:u w:val="none"/>
          <w14:textFill>
            <w14:solidFill>
              <w14:schemeClr w14:val="tx1"/>
            </w14:solidFill>
          </w14:textFill>
        </w:rPr>
        <w:t>4.适用</w:t>
      </w:r>
      <w:bookmarkEnd w:id="25"/>
      <w:bookmarkEnd w:id="26"/>
      <w:bookmarkEnd w:id="27"/>
      <w:r>
        <w:rPr>
          <w:rFonts w:hint="eastAsia" w:hAnsi="宋体" w:cs="宋体"/>
          <w:color w:val="000000" w:themeColor="text1"/>
          <w:highlight w:val="none"/>
          <w:u w:val="none"/>
          <w:lang w:val="en-US" w:eastAsia="zh-CN"/>
          <w14:textFill>
            <w14:solidFill>
              <w14:schemeClr w14:val="tx1"/>
            </w14:solidFill>
          </w14:textFill>
        </w:rPr>
        <w:t>规定</w:t>
      </w:r>
      <w:bookmarkEnd w:id="28"/>
    </w:p>
    <w:p w14:paraId="2F5FE7EB">
      <w:pPr>
        <w:spacing w:line="480" w:lineRule="exact"/>
        <w:ind w:left="1" w:firstLine="566" w:firstLineChars="236"/>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本项目采购人、采购代理机构、供应商、磋商小组的相关行为均受</w:t>
      </w:r>
      <w:r>
        <w:rPr>
          <w:rFonts w:hint="eastAsia" w:ascii="宋体" w:hAnsi="宋体" w:cs="宋体"/>
          <w:color w:val="000000" w:themeColor="text1"/>
          <w:sz w:val="24"/>
          <w:highlight w:val="none"/>
          <w:lang w:val="en-US" w:eastAsia="zh-CN"/>
          <w14:textFill>
            <w14:solidFill>
              <w14:schemeClr w14:val="tx1"/>
            </w14:solidFill>
          </w14:textFill>
        </w:rPr>
        <w:t>本磋商文件</w:t>
      </w:r>
      <w:r>
        <w:rPr>
          <w:rFonts w:hint="eastAsia" w:ascii="宋体" w:hAnsi="宋体" w:cs="宋体"/>
          <w:color w:val="000000" w:themeColor="text1"/>
          <w:sz w:val="24"/>
          <w:highlight w:val="none"/>
          <w14:textFill>
            <w14:solidFill>
              <w14:schemeClr w14:val="tx1"/>
            </w14:solidFill>
          </w14:textFill>
        </w:rPr>
        <w:t>有关规定的约束和保护</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参照</w:t>
      </w:r>
      <w:r>
        <w:rPr>
          <w:rFonts w:hint="eastAsia" w:ascii="宋体" w:hAnsi="宋体" w:cs="宋体"/>
          <w:color w:val="000000" w:themeColor="text1"/>
          <w:sz w:val="24"/>
          <w:highlight w:val="none"/>
          <w14:textFill>
            <w14:solidFill>
              <w14:schemeClr w14:val="tx1"/>
            </w14:solidFill>
          </w14:textFill>
        </w:rPr>
        <w:t>《中华人民共和国政府采购法》、《中华人民共和国政府采购法实施条例》</w:t>
      </w:r>
      <w:r>
        <w:rPr>
          <w:rFonts w:hint="eastAsia" w:ascii="宋体" w:hAnsi="宋体" w:cs="宋体"/>
          <w:color w:val="000000" w:themeColor="text1"/>
          <w:sz w:val="24"/>
          <w:highlight w:val="none"/>
          <w:lang w:val="en-US" w:eastAsia="zh-CN"/>
          <w14:textFill>
            <w14:solidFill>
              <w14:schemeClr w14:val="tx1"/>
            </w14:solidFill>
          </w14:textFill>
        </w:rPr>
        <w:t>等组织程序</w:t>
      </w:r>
      <w:r>
        <w:rPr>
          <w:rFonts w:hint="eastAsia" w:ascii="宋体" w:hAnsi="宋体" w:cs="宋体"/>
          <w:color w:val="000000" w:themeColor="text1"/>
          <w:sz w:val="24"/>
          <w:highlight w:val="none"/>
          <w14:textFill>
            <w14:solidFill>
              <w14:schemeClr w14:val="tx1"/>
            </w14:solidFill>
          </w14:textFill>
        </w:rPr>
        <w:t>。</w:t>
      </w:r>
    </w:p>
    <w:p w14:paraId="2ED9F2D3">
      <w:pPr>
        <w:spacing w:line="480" w:lineRule="exact"/>
        <w:rPr>
          <w:rFonts w:ascii="宋体" w:hAnsi="宋体" w:cs="宋体"/>
          <w:color w:val="000000" w:themeColor="text1"/>
          <w:sz w:val="24"/>
          <w:highlight w:val="none"/>
          <w14:textFill>
            <w14:solidFill>
              <w14:schemeClr w14:val="tx1"/>
            </w14:solidFill>
          </w14:textFill>
        </w:rPr>
      </w:pPr>
    </w:p>
    <w:p w14:paraId="0B770064">
      <w:pPr>
        <w:pStyle w:val="4"/>
        <w:spacing w:before="0" w:line="480" w:lineRule="exact"/>
        <w:ind w:left="565" w:leftChars="12" w:hanging="540"/>
        <w:rPr>
          <w:rFonts w:ascii="宋体" w:hAnsi="宋体" w:eastAsia="宋体" w:cs="宋体"/>
          <w:color w:val="000000" w:themeColor="text1"/>
          <w:sz w:val="28"/>
          <w:highlight w:val="none"/>
          <w14:textFill>
            <w14:solidFill>
              <w14:schemeClr w14:val="tx1"/>
            </w14:solidFill>
          </w14:textFill>
        </w:rPr>
      </w:pPr>
      <w:bookmarkStart w:id="29" w:name="_Toc21566"/>
      <w:bookmarkStart w:id="30" w:name="_Toc4108"/>
      <w:bookmarkStart w:id="31" w:name="_Toc515647762"/>
      <w:bookmarkStart w:id="32" w:name="_Toc520356146"/>
      <w:bookmarkStart w:id="33" w:name="_Toc4365"/>
      <w:bookmarkStart w:id="34" w:name="_Toc216582806"/>
      <w:r>
        <w:rPr>
          <w:rFonts w:hint="eastAsia" w:ascii="宋体" w:hAnsi="宋体" w:eastAsia="宋体" w:cs="宋体"/>
          <w:color w:val="000000" w:themeColor="text1"/>
          <w:sz w:val="28"/>
          <w:highlight w:val="none"/>
          <w14:textFill>
            <w14:solidFill>
              <w14:schemeClr w14:val="tx1"/>
            </w14:solidFill>
          </w14:textFill>
        </w:rPr>
        <w:t>二、竞争性磋商文件</w:t>
      </w:r>
      <w:bookmarkEnd w:id="29"/>
      <w:bookmarkEnd w:id="30"/>
      <w:bookmarkEnd w:id="31"/>
      <w:bookmarkEnd w:id="32"/>
      <w:bookmarkEnd w:id="33"/>
      <w:bookmarkEnd w:id="34"/>
    </w:p>
    <w:p w14:paraId="5A34A4B0">
      <w:pPr>
        <w:pStyle w:val="5"/>
        <w:spacing w:before="0" w:after="0" w:line="480" w:lineRule="exact"/>
        <w:rPr>
          <w:rFonts w:hAnsi="宋体" w:cs="宋体"/>
          <w:color w:val="000000" w:themeColor="text1"/>
          <w:highlight w:val="none"/>
          <w:u w:val="none"/>
          <w14:textFill>
            <w14:solidFill>
              <w14:schemeClr w14:val="tx1"/>
            </w14:solidFill>
          </w14:textFill>
        </w:rPr>
      </w:pPr>
      <w:bookmarkStart w:id="35" w:name="_Toc25743"/>
      <w:bookmarkStart w:id="36" w:name="_Toc520356147"/>
      <w:bookmarkStart w:id="37" w:name="_Toc14084"/>
      <w:bookmarkStart w:id="38" w:name="_Toc515647763"/>
      <w:bookmarkStart w:id="39" w:name="_Toc10616"/>
      <w:r>
        <w:rPr>
          <w:rFonts w:hint="eastAsia" w:hAnsi="宋体" w:cs="宋体"/>
          <w:color w:val="000000" w:themeColor="text1"/>
          <w:highlight w:val="none"/>
          <w:u w:val="none"/>
          <w14:textFill>
            <w14:solidFill>
              <w14:schemeClr w14:val="tx1"/>
            </w14:solidFill>
          </w14:textFill>
        </w:rPr>
        <w:t>5.竞争性磋商文件构成</w:t>
      </w:r>
      <w:bookmarkEnd w:id="35"/>
      <w:bookmarkEnd w:id="36"/>
      <w:bookmarkEnd w:id="37"/>
      <w:bookmarkEnd w:id="38"/>
      <w:bookmarkEnd w:id="39"/>
    </w:p>
    <w:p w14:paraId="2C5CB073">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5.1 竞争性磋商文件分为2册共7章，内容如下：</w:t>
      </w:r>
    </w:p>
    <w:p w14:paraId="6759D41C">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第一册</w:t>
      </w:r>
    </w:p>
    <w:p w14:paraId="52266A12">
      <w:pPr>
        <w:numPr>
          <w:ilvl w:val="0"/>
          <w:numId w:val="3"/>
        </w:numPr>
        <w:spacing w:line="480" w:lineRule="exact"/>
        <w:ind w:left="0"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供应商须知</w:t>
      </w:r>
    </w:p>
    <w:p w14:paraId="299DB0CA">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第二册</w:t>
      </w:r>
    </w:p>
    <w:p w14:paraId="374D7F06">
      <w:pPr>
        <w:numPr>
          <w:ilvl w:val="0"/>
          <w:numId w:val="3"/>
        </w:numPr>
        <w:spacing w:line="480" w:lineRule="exact"/>
        <w:ind w:left="0"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采购邀请</w:t>
      </w:r>
    </w:p>
    <w:p w14:paraId="44BDA61C">
      <w:pPr>
        <w:numPr>
          <w:ilvl w:val="0"/>
          <w:numId w:val="3"/>
        </w:numPr>
        <w:spacing w:line="480" w:lineRule="exact"/>
        <w:ind w:left="0"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供应商须知资料表</w:t>
      </w:r>
    </w:p>
    <w:p w14:paraId="37CEE6C9">
      <w:pPr>
        <w:numPr>
          <w:ilvl w:val="0"/>
          <w:numId w:val="3"/>
        </w:numPr>
        <w:spacing w:line="480" w:lineRule="exact"/>
        <w:ind w:left="0"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服务需求</w:t>
      </w:r>
    </w:p>
    <w:p w14:paraId="0A24D22B">
      <w:pPr>
        <w:numPr>
          <w:ilvl w:val="0"/>
          <w:numId w:val="3"/>
        </w:numPr>
        <w:spacing w:line="480" w:lineRule="exact"/>
        <w:ind w:left="0"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评审方法和标准</w:t>
      </w:r>
      <w:r>
        <w:rPr>
          <w:rFonts w:hint="eastAsia" w:ascii="宋体" w:hAnsi="宋体" w:cs="宋体"/>
          <w:color w:val="000000" w:themeColor="text1"/>
          <w:sz w:val="24"/>
          <w:highlight w:val="none"/>
          <w14:textFill>
            <w14:solidFill>
              <w14:schemeClr w14:val="tx1"/>
            </w14:solidFill>
          </w14:textFill>
        </w:rPr>
        <w:tab/>
      </w:r>
    </w:p>
    <w:p w14:paraId="5CC5435A">
      <w:pPr>
        <w:numPr>
          <w:ilvl w:val="0"/>
          <w:numId w:val="3"/>
        </w:numPr>
        <w:spacing w:line="480" w:lineRule="exact"/>
        <w:ind w:left="0"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响应文件格式</w:t>
      </w:r>
    </w:p>
    <w:p w14:paraId="6483E7DD">
      <w:pPr>
        <w:numPr>
          <w:ilvl w:val="0"/>
          <w:numId w:val="3"/>
        </w:numPr>
        <w:spacing w:line="480" w:lineRule="exact"/>
        <w:ind w:left="0"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采购合同格式</w:t>
      </w:r>
    </w:p>
    <w:p w14:paraId="4172F49C">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5.2 竞争性磋商文件中有不一致的，有澄清的部分以最终的澄清更正内容为准；未澄清的，以供应商须知资料表为准；供应商须知资料表不涉及的内容，以编排在后的描述为准。</w:t>
      </w:r>
    </w:p>
    <w:p w14:paraId="6E6FC5D7">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14:paraId="4BBEFE33">
      <w:pPr>
        <w:tabs>
          <w:tab w:val="left" w:pos="0"/>
        </w:tabs>
        <w:spacing w:line="480" w:lineRule="exact"/>
        <w:ind w:firstLine="544" w:firstLineChars="227"/>
        <w:rPr>
          <w:rFonts w:ascii="宋体" w:hAnsi="宋体" w:cs="宋体"/>
          <w:sz w:val="24"/>
          <w:highlight w:val="none"/>
        </w:rPr>
      </w:pPr>
      <w:bookmarkStart w:id="40" w:name="_Toc520356148"/>
      <w:bookmarkStart w:id="41" w:name="_Toc515904805"/>
      <w:bookmarkStart w:id="42" w:name="_Toc9232"/>
      <w:bookmarkStart w:id="43" w:name="_Toc26044"/>
      <w:r>
        <w:rPr>
          <w:rFonts w:hint="eastAsia" w:ascii="宋体" w:hAnsi="宋体" w:cs="宋体"/>
          <w:sz w:val="24"/>
          <w:highlight w:val="none"/>
        </w:rPr>
        <w:t>5.4  响应文件以中文编印，且以中文为准。</w:t>
      </w:r>
    </w:p>
    <w:p w14:paraId="114DF5E7">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5.5  响应文件第二册第三部分“供应商须知资料表”规定组织踏勘现场的，采购人按规定的时间、地点组织供应商踏勘项目现场，踏勘现场所发生的费用由供应商承担。</w:t>
      </w:r>
    </w:p>
    <w:p w14:paraId="0C2F7DE0">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5.6  采购人向供应商提供的有关现场的资料和数据，是采购人现有的能使供应商利用的资料，采购人对供应商由此而做出的推论、理解和结论概不负责。</w:t>
      </w:r>
    </w:p>
    <w:p w14:paraId="3FD2077F">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5.7  供应商经过采购人的允许，可进入项目现场踏勘，对服务现场及其范围环境进行考察，以获取有关编制响应文件和签署实施合同所需的各项资料，但供应商及其人员不得因此使采购人及其人员承担有关的责任和蒙受损失。供应商并应对由此次踏勘现场而造成的死亡、人身伤害、财产损失、损害以及任何其它损失、损害和引起的费用和开支承担责任。</w:t>
      </w:r>
    </w:p>
    <w:p w14:paraId="04DA55D9">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5.8 不论响应过程和响应文件结果如何，供应商的响应文件（含电子版）均不退还。</w:t>
      </w:r>
    </w:p>
    <w:p w14:paraId="27848FD5">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5.9  除响应文件中另有规定外，响应文件所使用的时间单位“天”“日”均指日历天，且所有时刻均为北京时间。</w:t>
      </w:r>
    </w:p>
    <w:p w14:paraId="3B214140">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5.10 参与响应响应文件活动的各方应对响应文件和响应文件中的商业和技术等秘密保密，违者应对由此造成的后果承担法律责任。</w:t>
      </w:r>
    </w:p>
    <w:p w14:paraId="1FF6BCEF">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5.11 供应商应自行承担其准备和参加响应文件活动发生的所有费用。不论响应文件结果如何，采购人及采购代理机构在任何情况下无义务也无责任承担这些费用。</w:t>
      </w:r>
    </w:p>
    <w:p w14:paraId="1889880F">
      <w:pPr>
        <w:pStyle w:val="5"/>
        <w:spacing w:before="0" w:after="0" w:line="480" w:lineRule="exact"/>
        <w:rPr>
          <w:rFonts w:hAnsi="宋体" w:cs="宋体"/>
          <w:color w:val="000000" w:themeColor="text1"/>
          <w:highlight w:val="none"/>
          <w:u w:val="none"/>
          <w14:textFill>
            <w14:solidFill>
              <w14:schemeClr w14:val="tx1"/>
            </w14:solidFill>
          </w14:textFill>
        </w:rPr>
      </w:pPr>
      <w:bookmarkStart w:id="44" w:name="_Toc3388"/>
      <w:r>
        <w:rPr>
          <w:rFonts w:hint="eastAsia" w:hAnsi="宋体" w:cs="宋体"/>
          <w:color w:val="000000" w:themeColor="text1"/>
          <w:highlight w:val="none"/>
          <w:u w:val="none"/>
          <w14:textFill>
            <w14:solidFill>
              <w14:schemeClr w14:val="tx1"/>
            </w14:solidFill>
          </w14:textFill>
        </w:rPr>
        <w:t>6.竞争性磋商文件的澄清</w:t>
      </w:r>
      <w:bookmarkEnd w:id="40"/>
      <w:bookmarkEnd w:id="41"/>
      <w:r>
        <w:rPr>
          <w:rFonts w:hint="eastAsia" w:hAnsi="宋体" w:cs="宋体"/>
          <w:color w:val="000000" w:themeColor="text1"/>
          <w:highlight w:val="none"/>
          <w:u w:val="none"/>
          <w14:textFill>
            <w14:solidFill>
              <w14:schemeClr w14:val="tx1"/>
            </w14:solidFill>
          </w14:textFill>
        </w:rPr>
        <w:t>与修改</w:t>
      </w:r>
      <w:bookmarkEnd w:id="42"/>
      <w:bookmarkEnd w:id="43"/>
      <w:bookmarkEnd w:id="44"/>
    </w:p>
    <w:p w14:paraId="733173E0">
      <w:pPr>
        <w:spacing w:line="480" w:lineRule="exact"/>
        <w:ind w:firstLine="420" w:firstLineChars="175"/>
        <w:rPr>
          <w:rFonts w:ascii="宋体" w:hAnsi="宋体" w:cs="宋体"/>
          <w:color w:val="000000" w:themeColor="text1"/>
          <w:sz w:val="24"/>
          <w:highlight w:val="none"/>
          <w14:textFill>
            <w14:solidFill>
              <w14:schemeClr w14:val="tx1"/>
            </w14:solidFill>
          </w14:textFill>
        </w:rPr>
      </w:pPr>
      <w:bookmarkStart w:id="45" w:name="_Ref467378678"/>
      <w:bookmarkStart w:id="46" w:name="_Toc520356149"/>
      <w:bookmarkStart w:id="47" w:name="_Toc515904806"/>
      <w:bookmarkStart w:id="48" w:name="_Toc25635"/>
      <w:bookmarkStart w:id="49" w:name="_Toc14569"/>
      <w:r>
        <w:rPr>
          <w:rFonts w:hint="eastAsia" w:ascii="宋体" w:hAnsi="宋体" w:cs="宋体"/>
          <w:color w:val="000000" w:themeColor="text1"/>
          <w:sz w:val="24"/>
          <w:highlight w:val="none"/>
          <w14:textFill>
            <w14:solidFill>
              <w14:schemeClr w14:val="tx1"/>
            </w14:solidFill>
          </w14:textFill>
        </w:rPr>
        <w:t>6.1 采购人可主动地或在解答供应商提出的澄清问题时对竞争性磋商文件澄清或修改。采购代理机构将以发布澄清（更正）公告的方式，澄清或修改竞争性磋商文件，澄清或修改内容作为竞争性磋商文件的组成部分。</w:t>
      </w:r>
    </w:p>
    <w:p w14:paraId="56D69C51">
      <w:pPr>
        <w:pStyle w:val="8"/>
        <w:spacing w:line="480" w:lineRule="exact"/>
        <w:ind w:firstLineChars="175"/>
        <w:rPr>
          <w:rFonts w:hAnsi="宋体" w:cs="宋体"/>
          <w:color w:val="000000" w:themeColor="text1"/>
          <w:szCs w:val="24"/>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6.2 澄清或者修改的内容可能影响响应文件编制的，采购代理机构</w:t>
      </w:r>
      <w:r>
        <w:rPr>
          <w:rFonts w:hint="eastAsia" w:hAnsi="宋体" w:cs="宋体"/>
          <w:color w:val="000000" w:themeColor="text1"/>
          <w:highlight w:val="none"/>
          <w:lang w:val="en-GB"/>
          <w14:textFill>
            <w14:solidFill>
              <w14:schemeClr w14:val="tx1"/>
            </w14:solidFill>
          </w14:textFill>
        </w:rPr>
        <w:t>应当在报价截止时间至少</w:t>
      </w:r>
      <w:r>
        <w:rPr>
          <w:rFonts w:hint="eastAsia" w:hAnsi="宋体" w:cs="宋体"/>
          <w:color w:val="000000" w:themeColor="text1"/>
          <w:highlight w:val="none"/>
          <w14:textFill>
            <w14:solidFill>
              <w14:schemeClr w14:val="tx1"/>
            </w14:solidFill>
          </w14:textFill>
        </w:rPr>
        <w:t>5</w:t>
      </w:r>
      <w:r>
        <w:rPr>
          <w:rFonts w:hint="eastAsia" w:hAnsi="宋体" w:cs="宋体"/>
          <w:color w:val="000000" w:themeColor="text1"/>
          <w:highlight w:val="none"/>
          <w:lang w:val="en-GB"/>
          <w14:textFill>
            <w14:solidFill>
              <w14:schemeClr w14:val="tx1"/>
            </w14:solidFill>
          </w14:textFill>
        </w:rPr>
        <w:t>日前，</w:t>
      </w:r>
      <w:r>
        <w:rPr>
          <w:rFonts w:hint="eastAsia" w:hAnsi="宋体" w:cs="宋体"/>
          <w:color w:val="000000" w:themeColor="text1"/>
          <w:highlight w:val="none"/>
          <w14:textFill>
            <w14:solidFill>
              <w14:schemeClr w14:val="tx1"/>
            </w14:solidFill>
          </w14:textFill>
        </w:rPr>
        <w:t>将以书面或公告等形式通知所有获取竞争性磋商文件的潜在供应商，并对其具有约束力。供应商在收到上述通知后，应及时向采购代理机构回函确认。</w:t>
      </w:r>
      <w:r>
        <w:rPr>
          <w:rFonts w:hint="eastAsia" w:hAnsi="宋体" w:cs="宋体"/>
          <w:color w:val="000000" w:themeColor="text1"/>
          <w:szCs w:val="24"/>
          <w:highlight w:val="none"/>
          <w14:textFill>
            <w14:solidFill>
              <w14:schemeClr w14:val="tx1"/>
            </w14:solidFill>
          </w14:textFill>
        </w:rPr>
        <w:t>供应商未回复的，视同已知晓澄清或者修改的内容。</w:t>
      </w:r>
    </w:p>
    <w:p w14:paraId="6680482D">
      <w:pPr>
        <w:pStyle w:val="8"/>
        <w:spacing w:line="480" w:lineRule="exact"/>
        <w:ind w:firstLineChars="175"/>
        <w:rPr>
          <w:rFonts w:hAnsi="宋体" w:cs="宋体"/>
          <w:color w:val="000000" w:themeColor="text1"/>
          <w:szCs w:val="24"/>
          <w:highlight w:val="none"/>
          <w14:textFill>
            <w14:solidFill>
              <w14:schemeClr w14:val="tx1"/>
            </w14:solidFill>
          </w14:textFill>
        </w:rPr>
      </w:pPr>
      <w:r>
        <w:rPr>
          <w:rFonts w:hint="eastAsia" w:hAnsi="宋体" w:cs="宋体"/>
          <w:color w:val="000000" w:themeColor="text1"/>
          <w:szCs w:val="24"/>
          <w:highlight w:val="none"/>
          <w14:textFill>
            <w14:solidFill>
              <w14:schemeClr w14:val="tx1"/>
            </w14:solidFill>
          </w14:textFill>
        </w:rPr>
        <w:t>因潜在供应商原因或通讯线路故障导致逾期送达或无法送达，采购代理机构不因此承担任何责任，有关的磋商采购活动可以继续有效进行。</w:t>
      </w:r>
    </w:p>
    <w:p w14:paraId="156D73D6">
      <w:pPr>
        <w:spacing w:line="480" w:lineRule="exact"/>
        <w:ind w:firstLine="420" w:firstLineChars="175"/>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6.3 供应商认为响应文件存在歧视性条款或不合理要求等需要澄清的，应在规定时间内一次性全部提出。如在规定时间内，供应商对响应文件中的各项条款未提出异议，即</w:t>
      </w:r>
      <w:r>
        <w:rPr>
          <w:rFonts w:hint="eastAsia" w:ascii="宋体" w:hAnsi="宋体" w:cs="宋体"/>
          <w:color w:val="000000" w:themeColor="text1"/>
          <w:kern w:val="0"/>
          <w:sz w:val="24"/>
          <w:highlight w:val="none"/>
          <w:lang w:eastAsia="zh-CN"/>
          <w14:textFill>
            <w14:solidFill>
              <w14:schemeClr w14:val="tx1"/>
            </w14:solidFill>
          </w14:textFill>
        </w:rPr>
        <w:t>视为</w:t>
      </w:r>
      <w:r>
        <w:rPr>
          <w:rFonts w:hint="eastAsia" w:ascii="宋体" w:hAnsi="宋体" w:cs="宋体"/>
          <w:color w:val="000000" w:themeColor="text1"/>
          <w:kern w:val="0"/>
          <w:sz w:val="24"/>
          <w:highlight w:val="none"/>
          <w14:textFill>
            <w14:solidFill>
              <w14:schemeClr w14:val="tx1"/>
            </w14:solidFill>
          </w14:textFill>
        </w:rPr>
        <w:t>同意和接受响应文件。</w:t>
      </w:r>
    </w:p>
    <w:p w14:paraId="107002D1">
      <w:pPr>
        <w:pStyle w:val="5"/>
        <w:tabs>
          <w:tab w:val="left" w:pos="900"/>
        </w:tabs>
        <w:spacing w:before="0" w:after="0" w:line="480" w:lineRule="exact"/>
        <w:rPr>
          <w:rFonts w:hAnsi="宋体" w:cs="宋体"/>
          <w:color w:val="000000" w:themeColor="text1"/>
          <w:highlight w:val="none"/>
          <w:u w:val="none"/>
          <w14:textFill>
            <w14:solidFill>
              <w14:schemeClr w14:val="tx1"/>
            </w14:solidFill>
          </w14:textFill>
        </w:rPr>
      </w:pPr>
      <w:bookmarkStart w:id="50" w:name="_Toc7752"/>
      <w:r>
        <w:rPr>
          <w:rFonts w:hint="eastAsia" w:hAnsi="宋体" w:cs="宋体"/>
          <w:color w:val="000000" w:themeColor="text1"/>
          <w:highlight w:val="none"/>
          <w:u w:val="none"/>
          <w14:textFill>
            <w14:solidFill>
              <w14:schemeClr w14:val="tx1"/>
            </w14:solidFill>
          </w14:textFill>
        </w:rPr>
        <w:t>7</w:t>
      </w:r>
      <w:bookmarkEnd w:id="45"/>
      <w:bookmarkEnd w:id="46"/>
      <w:bookmarkEnd w:id="47"/>
      <w:r>
        <w:rPr>
          <w:rFonts w:hint="eastAsia" w:hAnsi="宋体" w:cs="宋体"/>
          <w:color w:val="000000" w:themeColor="text1"/>
          <w:highlight w:val="none"/>
          <w:u w:val="none"/>
          <w14:textFill>
            <w14:solidFill>
              <w14:schemeClr w14:val="tx1"/>
            </w14:solidFill>
          </w14:textFill>
        </w:rPr>
        <w:t>.提交响应文件截止时间的顺延</w:t>
      </w:r>
      <w:bookmarkEnd w:id="48"/>
      <w:bookmarkEnd w:id="49"/>
      <w:bookmarkEnd w:id="50"/>
    </w:p>
    <w:p w14:paraId="1D0FA514">
      <w:pPr>
        <w:tabs>
          <w:tab w:val="left" w:pos="0"/>
        </w:tabs>
        <w:spacing w:line="480" w:lineRule="exact"/>
        <w:ind w:firstLine="417" w:firstLineChars="174"/>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ab/>
      </w:r>
      <w:r>
        <w:rPr>
          <w:rFonts w:hint="eastAsia" w:ascii="宋体" w:hAnsi="宋体" w:cs="宋体"/>
          <w:color w:val="000000" w:themeColor="text1"/>
          <w:sz w:val="24"/>
          <w:highlight w:val="none"/>
          <w14:textFill>
            <w14:solidFill>
              <w14:schemeClr w14:val="tx1"/>
            </w14:solidFill>
          </w14:textFill>
        </w:rPr>
        <w:t>为使供应商准备响应时有足够的时间对竞争性磋商文件的澄清或者修改部分进行研究，采购人将依法决定是否顺延提交响应文件截止时间。</w:t>
      </w:r>
    </w:p>
    <w:p w14:paraId="2855FF18">
      <w:pPr>
        <w:tabs>
          <w:tab w:val="left" w:pos="0"/>
        </w:tabs>
        <w:spacing w:line="480" w:lineRule="exact"/>
        <w:ind w:firstLine="226" w:firstLineChars="174"/>
        <w:rPr>
          <w:rFonts w:hint="eastAsia" w:ascii="宋体" w:hAnsi="宋体" w:cs="宋体"/>
          <w:color w:val="000000" w:themeColor="text1"/>
          <w:sz w:val="13"/>
          <w:szCs w:val="13"/>
          <w:highlight w:val="none"/>
          <w14:textFill>
            <w14:solidFill>
              <w14:schemeClr w14:val="tx1"/>
            </w14:solidFill>
          </w14:textFill>
        </w:rPr>
      </w:pPr>
    </w:p>
    <w:p w14:paraId="5D1C107F">
      <w:pPr>
        <w:pStyle w:val="4"/>
        <w:tabs>
          <w:tab w:val="left" w:pos="900"/>
        </w:tabs>
        <w:spacing w:before="0" w:line="480" w:lineRule="exact"/>
        <w:ind w:left="565" w:leftChars="12" w:hanging="540"/>
        <w:rPr>
          <w:rFonts w:ascii="宋体" w:hAnsi="宋体" w:eastAsia="宋体" w:cs="宋体"/>
          <w:color w:val="000000" w:themeColor="text1"/>
          <w:sz w:val="28"/>
          <w:highlight w:val="none"/>
          <w14:textFill>
            <w14:solidFill>
              <w14:schemeClr w14:val="tx1"/>
            </w14:solidFill>
          </w14:textFill>
        </w:rPr>
      </w:pPr>
      <w:bookmarkStart w:id="51" w:name="_Toc516367020"/>
      <w:bookmarkStart w:id="52" w:name="_Toc515647766"/>
      <w:bookmarkStart w:id="53" w:name="_Toc30808"/>
      <w:bookmarkStart w:id="54" w:name="_Toc7636"/>
      <w:bookmarkStart w:id="55" w:name="_Toc4302"/>
      <w:bookmarkStart w:id="56" w:name="_Toc216582807"/>
      <w:bookmarkStart w:id="57" w:name="_Toc520356150"/>
      <w:r>
        <w:rPr>
          <w:rFonts w:hint="eastAsia" w:ascii="宋体" w:hAnsi="宋体" w:eastAsia="宋体" w:cs="宋体"/>
          <w:color w:val="000000" w:themeColor="text1"/>
          <w:sz w:val="28"/>
          <w:highlight w:val="none"/>
          <w14:textFill>
            <w14:solidFill>
              <w14:schemeClr w14:val="tx1"/>
            </w14:solidFill>
          </w14:textFill>
        </w:rPr>
        <w:t>三、响应文件</w:t>
      </w:r>
      <w:bookmarkEnd w:id="51"/>
      <w:r>
        <w:rPr>
          <w:rFonts w:hint="eastAsia" w:ascii="宋体" w:hAnsi="宋体" w:eastAsia="宋体" w:cs="宋体"/>
          <w:color w:val="000000" w:themeColor="text1"/>
          <w:sz w:val="28"/>
          <w:highlight w:val="none"/>
          <w14:textFill>
            <w14:solidFill>
              <w14:schemeClr w14:val="tx1"/>
            </w14:solidFill>
          </w14:textFill>
        </w:rPr>
        <w:t>的编制</w:t>
      </w:r>
      <w:bookmarkEnd w:id="52"/>
      <w:bookmarkEnd w:id="53"/>
      <w:bookmarkEnd w:id="54"/>
      <w:bookmarkEnd w:id="55"/>
      <w:bookmarkEnd w:id="56"/>
      <w:bookmarkEnd w:id="57"/>
    </w:p>
    <w:p w14:paraId="1C6BD7C0">
      <w:pPr>
        <w:pStyle w:val="5"/>
        <w:spacing w:before="0" w:after="0" w:line="480" w:lineRule="exact"/>
        <w:rPr>
          <w:rFonts w:hAnsi="宋体" w:cs="宋体"/>
          <w:color w:val="000000" w:themeColor="text1"/>
          <w:highlight w:val="none"/>
          <w:u w:val="none"/>
          <w14:textFill>
            <w14:solidFill>
              <w14:schemeClr w14:val="tx1"/>
            </w14:solidFill>
          </w14:textFill>
        </w:rPr>
      </w:pPr>
      <w:bookmarkStart w:id="58" w:name="_Toc51176589"/>
      <w:bookmarkStart w:id="59" w:name="_Toc30764"/>
      <w:r>
        <w:rPr>
          <w:rFonts w:hint="eastAsia" w:hAnsi="宋体" w:cs="宋体"/>
          <w:color w:val="000000" w:themeColor="text1"/>
          <w:highlight w:val="none"/>
          <w:u w:val="none"/>
          <w14:textFill>
            <w14:solidFill>
              <w14:schemeClr w14:val="tx1"/>
            </w14:solidFill>
          </w14:textFill>
        </w:rPr>
        <w:t>8. 编制要求</w:t>
      </w:r>
      <w:bookmarkEnd w:id="58"/>
      <w:bookmarkEnd w:id="59"/>
    </w:p>
    <w:p w14:paraId="18E4D458">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8.1 供应商应仔细阅读磋商文件的所有内容，按照磋商文件的要求及格式编制响应</w:t>
      </w:r>
      <w:r>
        <w:rPr>
          <w:rFonts w:hint="eastAsia" w:ascii="宋体" w:hAnsi="宋体" w:cs="宋体"/>
          <w:color w:val="000000" w:themeColor="text1"/>
          <w:sz w:val="24"/>
          <w:highlight w:val="none"/>
          <w:lang w:eastAsia="zh-CN"/>
          <w14:textFill>
            <w14:solidFill>
              <w14:schemeClr w14:val="tx1"/>
            </w14:solidFill>
          </w14:textFill>
        </w:rPr>
        <w:t>文件</w:t>
      </w:r>
      <w:r>
        <w:rPr>
          <w:rFonts w:hint="eastAsia" w:ascii="宋体" w:hAnsi="宋体" w:cs="宋体"/>
          <w:color w:val="000000" w:themeColor="text1"/>
          <w:sz w:val="24"/>
          <w:highlight w:val="none"/>
          <w14:textFill>
            <w14:solidFill>
              <w14:schemeClr w14:val="tx1"/>
            </w14:solidFill>
          </w14:textFill>
        </w:rPr>
        <w:t>，并保证其真实性。若供应商没有按照磋商文件要求提交全部实质性要求资料或对实质性要求未作响应是供应商的风险，其</w:t>
      </w:r>
      <w:r>
        <w:rPr>
          <w:rFonts w:hint="eastAsia" w:ascii="宋体" w:hAnsi="宋体" w:cs="宋体"/>
          <w:b/>
          <w:color w:val="000000" w:themeColor="text1"/>
          <w:sz w:val="24"/>
          <w:highlight w:val="none"/>
          <w14:textFill>
            <w14:solidFill>
              <w14:schemeClr w14:val="tx1"/>
            </w14:solidFill>
          </w14:textFill>
        </w:rPr>
        <w:t>响应文件将会被拒绝</w:t>
      </w:r>
      <w:r>
        <w:rPr>
          <w:rFonts w:hint="eastAsia" w:ascii="宋体" w:hAnsi="宋体" w:cs="宋体"/>
          <w:color w:val="000000" w:themeColor="text1"/>
          <w:sz w:val="24"/>
          <w:highlight w:val="none"/>
          <w14:textFill>
            <w14:solidFill>
              <w14:schemeClr w14:val="tx1"/>
            </w14:solidFill>
          </w14:textFill>
        </w:rPr>
        <w:t>。</w:t>
      </w:r>
    </w:p>
    <w:p w14:paraId="0307C3B4">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8.2 供应商对多个分包进行响应文件的，应以分包为单位编制响应文件，每一包响应文件均需满足本响应文件对响应文件的签署、盖章要求。</w:t>
      </w:r>
    </w:p>
    <w:p w14:paraId="4633FE2E">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8.3 封面设置</w:t>
      </w:r>
    </w:p>
    <w:p w14:paraId="0273E564">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响应文件材料封面设置包括：“响应文件”、项目名称、项目编号、所投包号、供应商名称。</w:t>
      </w:r>
    </w:p>
    <w:p w14:paraId="0E019693">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8.4 供应商应按响应文件的要求及格式编写其响应文件；不得缺少或留空任何响应文件要求填写的表格或资料。</w:t>
      </w:r>
    </w:p>
    <w:p w14:paraId="11E1CE36">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8.5</w:t>
      </w:r>
      <w:r>
        <w:rPr>
          <w:rFonts w:hint="eastAsia" w:ascii="宋体" w:hAnsi="宋体" w:cs="宋体"/>
          <w:color w:val="000000" w:themeColor="text1"/>
          <w:sz w:val="24"/>
          <w:highlight w:val="none"/>
          <w:lang w:val="en-US"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供应商应编制响应文件目录、内容，标注连续页码。</w:t>
      </w:r>
    </w:p>
    <w:p w14:paraId="530E94CE">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8.6 关于兼投不兼中要求详见：</w:t>
      </w:r>
      <w:r>
        <w:rPr>
          <w:rFonts w:hint="eastAsia" w:ascii="宋体" w:hAnsi="宋体" w:cs="宋体"/>
          <w:color w:val="000000" w:themeColor="text1"/>
          <w:sz w:val="24"/>
          <w:highlight w:val="none"/>
          <w:u w:val="single"/>
          <w14:textFill>
            <w14:solidFill>
              <w14:schemeClr w14:val="tx1"/>
            </w14:solidFill>
          </w14:textFill>
        </w:rPr>
        <w:t>供应商须知资料表</w:t>
      </w:r>
      <w:r>
        <w:rPr>
          <w:rFonts w:hint="eastAsia" w:ascii="宋体" w:hAnsi="宋体" w:cs="宋体"/>
          <w:color w:val="000000" w:themeColor="text1"/>
          <w:sz w:val="24"/>
          <w:highlight w:val="none"/>
          <w14:textFill>
            <w14:solidFill>
              <w14:schemeClr w14:val="tx1"/>
            </w14:solidFill>
          </w14:textFill>
        </w:rPr>
        <w:t>。</w:t>
      </w:r>
    </w:p>
    <w:p w14:paraId="342C11B1">
      <w:pPr>
        <w:tabs>
          <w:tab w:val="left" w:pos="0"/>
        </w:tabs>
        <w:spacing w:line="480" w:lineRule="exact"/>
        <w:ind w:firstLine="547" w:firstLineChars="227"/>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b/>
          <w:bCs/>
          <w:sz w:val="24"/>
          <w:highlight w:val="none"/>
        </w:rPr>
        <w:t>8.7</w:t>
      </w:r>
      <w:r>
        <w:rPr>
          <w:rFonts w:ascii="宋体" w:hAnsi="宋体" w:cs="宋体"/>
          <w:b/>
          <w:bCs/>
          <w:sz w:val="24"/>
          <w:highlight w:val="none"/>
        </w:rPr>
        <w:t>“除必要的商务文书或要求的证书复印件外，</w:t>
      </w:r>
      <w:r>
        <w:rPr>
          <w:rFonts w:hint="eastAsia" w:ascii="宋体" w:hAnsi="宋体" w:cs="宋体"/>
          <w:b/>
          <w:bCs/>
          <w:sz w:val="24"/>
          <w:highlight w:val="none"/>
        </w:rPr>
        <w:t>响应文件</w:t>
      </w:r>
      <w:r>
        <w:rPr>
          <w:rFonts w:ascii="宋体" w:hAnsi="宋体" w:cs="宋体"/>
          <w:b/>
          <w:bCs/>
          <w:sz w:val="24"/>
          <w:highlight w:val="none"/>
        </w:rPr>
        <w:t>的正本和副本均须A4纸双面打印”</w:t>
      </w:r>
      <w:r>
        <w:rPr>
          <w:rFonts w:hint="eastAsia" w:ascii="宋体" w:hAnsi="宋体" w:cs="宋体"/>
          <w:b/>
          <w:bCs/>
          <w:sz w:val="24"/>
          <w:highlight w:val="none"/>
        </w:rPr>
        <w:t>感谢支持！！</w:t>
      </w:r>
    </w:p>
    <w:p w14:paraId="651692FC">
      <w:pPr>
        <w:pStyle w:val="5"/>
        <w:tabs>
          <w:tab w:val="left" w:pos="900"/>
        </w:tabs>
        <w:spacing w:before="0" w:after="0" w:line="480" w:lineRule="exact"/>
        <w:rPr>
          <w:rFonts w:hAnsi="宋体" w:cs="宋体"/>
          <w:color w:val="000000" w:themeColor="text1"/>
          <w:highlight w:val="none"/>
          <w:u w:val="none"/>
          <w14:textFill>
            <w14:solidFill>
              <w14:schemeClr w14:val="tx1"/>
            </w14:solidFill>
          </w14:textFill>
        </w:rPr>
      </w:pPr>
      <w:bookmarkStart w:id="60" w:name="_Toc516367021"/>
      <w:bookmarkStart w:id="61" w:name="_Toc520356151"/>
      <w:bookmarkStart w:id="62" w:name="_Toc3553"/>
      <w:bookmarkStart w:id="63" w:name="_Toc515647767"/>
      <w:bookmarkStart w:id="64" w:name="_Toc7786"/>
      <w:bookmarkStart w:id="65" w:name="_Toc13687"/>
      <w:r>
        <w:rPr>
          <w:rFonts w:hint="eastAsia" w:hAnsi="宋体" w:cs="宋体"/>
          <w:color w:val="000000" w:themeColor="text1"/>
          <w:highlight w:val="none"/>
          <w:u w:val="none"/>
          <w14:textFill>
            <w14:solidFill>
              <w14:schemeClr w14:val="tx1"/>
            </w14:solidFill>
          </w14:textFill>
        </w:rPr>
        <w:t>9.响应范围及响应文件中标准和计量单位的使用</w:t>
      </w:r>
      <w:bookmarkEnd w:id="60"/>
      <w:bookmarkEnd w:id="61"/>
      <w:bookmarkEnd w:id="62"/>
      <w:bookmarkEnd w:id="63"/>
      <w:bookmarkEnd w:id="64"/>
      <w:bookmarkEnd w:id="65"/>
    </w:p>
    <w:p w14:paraId="72F4794F">
      <w:pPr>
        <w:tabs>
          <w:tab w:val="left" w:pos="0"/>
        </w:tabs>
        <w:spacing w:line="480" w:lineRule="exact"/>
        <w:ind w:firstLine="544" w:firstLineChars="227"/>
        <w:rPr>
          <w:rFonts w:ascii="宋体" w:hAnsi="宋体" w:cs="宋体"/>
          <w:sz w:val="24"/>
          <w:highlight w:val="none"/>
        </w:rPr>
      </w:pPr>
      <w:bookmarkStart w:id="66" w:name="_Toc516367022"/>
      <w:bookmarkStart w:id="67" w:name="_Ref467306676"/>
      <w:bookmarkStart w:id="68" w:name="_Ref467306195"/>
      <w:bookmarkStart w:id="69" w:name="_Toc10364"/>
      <w:bookmarkStart w:id="70" w:name="_Toc520356152"/>
      <w:bookmarkStart w:id="71" w:name="_Toc28307"/>
      <w:bookmarkStart w:id="72" w:name="_Toc515647768"/>
      <w:r>
        <w:rPr>
          <w:rFonts w:hint="eastAsia" w:ascii="宋体" w:hAnsi="宋体" w:cs="宋体"/>
          <w:sz w:val="24"/>
          <w:highlight w:val="none"/>
        </w:rPr>
        <w:t>9.1 供应商可对竞争性磋商文件其中一个或几个分包进行响应。除非在供应商须知资料表中另有规定。</w:t>
      </w:r>
    </w:p>
    <w:p w14:paraId="6B3D7E26">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9.2 供应商应当对竞争性磋商文件中“服务需求”所列的所有内容进行响应，如仅响应某一包中的部分内容，其响应文件将被认定为无效。</w:t>
      </w:r>
    </w:p>
    <w:p w14:paraId="3E374028">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9.3 无论竞争性磋商文件第4章服务需求中是否要求，供应商所报服务均应符合国家强制性标准。</w:t>
      </w:r>
    </w:p>
    <w:p w14:paraId="2BC81549">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9.4 除竞争性磋商文件中有特殊要求外，响应文件中所使用的计量单位，应采用中华人民共和国法定计量单位。</w:t>
      </w:r>
    </w:p>
    <w:p w14:paraId="2A0448ED">
      <w:pPr>
        <w:pStyle w:val="5"/>
        <w:tabs>
          <w:tab w:val="left" w:pos="900"/>
        </w:tabs>
        <w:spacing w:before="0" w:after="0" w:line="480" w:lineRule="exact"/>
        <w:rPr>
          <w:rFonts w:hAnsi="宋体" w:cs="宋体"/>
          <w:color w:val="000000" w:themeColor="text1"/>
          <w:highlight w:val="none"/>
          <w:u w:val="none"/>
          <w14:textFill>
            <w14:solidFill>
              <w14:schemeClr w14:val="tx1"/>
            </w14:solidFill>
          </w14:textFill>
        </w:rPr>
      </w:pPr>
      <w:bookmarkStart w:id="73" w:name="_Toc21206"/>
      <w:r>
        <w:rPr>
          <w:rFonts w:hint="eastAsia" w:hAnsi="宋体" w:cs="宋体"/>
          <w:color w:val="000000" w:themeColor="text1"/>
          <w:highlight w:val="none"/>
          <w:u w:val="none"/>
          <w14:textFill>
            <w14:solidFill>
              <w14:schemeClr w14:val="tx1"/>
            </w14:solidFill>
          </w14:textFill>
        </w:rPr>
        <w:t>10.响应文件</w:t>
      </w:r>
      <w:bookmarkEnd w:id="66"/>
      <w:bookmarkEnd w:id="67"/>
      <w:bookmarkEnd w:id="68"/>
      <w:r>
        <w:rPr>
          <w:rFonts w:hint="eastAsia" w:hAnsi="宋体" w:cs="宋体"/>
          <w:color w:val="000000" w:themeColor="text1"/>
          <w:highlight w:val="none"/>
          <w:u w:val="none"/>
          <w14:textFill>
            <w14:solidFill>
              <w14:schemeClr w14:val="tx1"/>
            </w14:solidFill>
          </w14:textFill>
        </w:rPr>
        <w:t>构成</w:t>
      </w:r>
      <w:bookmarkEnd w:id="69"/>
      <w:bookmarkEnd w:id="70"/>
      <w:bookmarkEnd w:id="71"/>
      <w:bookmarkEnd w:id="72"/>
      <w:bookmarkEnd w:id="73"/>
    </w:p>
    <w:p w14:paraId="22ECBCF7">
      <w:pPr>
        <w:tabs>
          <w:tab w:val="left" w:pos="0"/>
        </w:tabs>
        <w:spacing w:line="480" w:lineRule="exact"/>
        <w:ind w:firstLine="544" w:firstLineChars="227"/>
        <w:rPr>
          <w:rFonts w:ascii="宋体" w:hAnsi="宋体" w:cs="宋体"/>
          <w:sz w:val="24"/>
          <w:highlight w:val="none"/>
        </w:rPr>
      </w:pPr>
      <w:bookmarkStart w:id="74" w:name="_Ref467052588"/>
      <w:bookmarkStart w:id="75" w:name="_Toc2248"/>
      <w:bookmarkStart w:id="76" w:name="_Toc515647770"/>
      <w:bookmarkStart w:id="77" w:name="_Toc23231"/>
      <w:bookmarkStart w:id="78" w:name="_Toc520356155"/>
      <w:r>
        <w:rPr>
          <w:rFonts w:hint="eastAsia" w:ascii="宋体" w:hAnsi="宋体" w:cs="宋体"/>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14:paraId="4DEC5B65">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10.2 上述文件应按照竞争性磋商文件规定签署和盖公章或经公章授权的其他单位章（以下统称公章）。采用公章授权方式的，应当在响应文件第一部分附公章授权书（格式自定）。</w:t>
      </w:r>
    </w:p>
    <w:p w14:paraId="16C32168">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10.3 供应商应提交证明文件，证明其提供内容符合响应文件规定。该证明文件是响应文件的一部分。</w:t>
      </w:r>
    </w:p>
    <w:p w14:paraId="0312E79E">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10.4 上款所述的证明文件，可以是文字资料、图纸和数据等。</w:t>
      </w:r>
    </w:p>
    <w:p w14:paraId="33ADD7C5">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10.5 本项目采用纸质版响应文件。</w:t>
      </w:r>
    </w:p>
    <w:p w14:paraId="027573EF">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 供应商提交的响应文件应包含以下各个部分，具体组成内容见第6章响应文件格式。</w:t>
      </w:r>
    </w:p>
    <w:p w14:paraId="463E7B1E">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10.6.1 商务部分</w:t>
      </w:r>
    </w:p>
    <w:p w14:paraId="247FB1E9">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10.6.2 资信部分</w:t>
      </w:r>
    </w:p>
    <w:p w14:paraId="2A69C2CF">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10.6.2.1 供应商须对提交的资格证明真实性、有效性、完整性负责，并保证无不诚信记录。</w:t>
      </w:r>
    </w:p>
    <w:p w14:paraId="11D4A56D">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10.6.2.2 资格证明的字迹、印章必须完整、清晰，否则其响应文件将会被拒绝。</w:t>
      </w:r>
    </w:p>
    <w:p w14:paraId="14AA2B51">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10.6.3 技术部分</w:t>
      </w:r>
    </w:p>
    <w:p w14:paraId="50B8EC91">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10.6.3.1 针对本项目的服务方案及相关承诺</w:t>
      </w:r>
    </w:p>
    <w:p w14:paraId="7C27EB31">
      <w:pPr>
        <w:tabs>
          <w:tab w:val="left" w:pos="0"/>
        </w:tabs>
        <w:spacing w:line="480" w:lineRule="exact"/>
        <w:ind w:firstLine="547" w:firstLineChars="227"/>
        <w:rPr>
          <w:rFonts w:ascii="宋体" w:hAnsi="宋体" w:cs="宋体"/>
          <w:b/>
          <w:sz w:val="24"/>
          <w:highlight w:val="none"/>
        </w:rPr>
      </w:pPr>
      <w:r>
        <w:rPr>
          <w:rFonts w:hint="eastAsia" w:ascii="宋体" w:hAnsi="宋体" w:cs="宋体"/>
          <w:b/>
          <w:sz w:val="24"/>
          <w:highlight w:val="none"/>
        </w:rPr>
        <w:t xml:space="preserve">10.6.3.2 用于评分的其它材料 </w:t>
      </w:r>
    </w:p>
    <w:bookmarkEnd w:id="74"/>
    <w:p w14:paraId="6818E487">
      <w:pPr>
        <w:pStyle w:val="5"/>
        <w:spacing w:before="0" w:after="0" w:line="480" w:lineRule="exact"/>
        <w:rPr>
          <w:rFonts w:hAnsi="宋体" w:cs="宋体"/>
          <w:color w:val="000000" w:themeColor="text1"/>
          <w:highlight w:val="none"/>
          <w:u w:val="none"/>
          <w14:textFill>
            <w14:solidFill>
              <w14:schemeClr w14:val="tx1"/>
            </w14:solidFill>
          </w14:textFill>
        </w:rPr>
      </w:pPr>
      <w:bookmarkStart w:id="79" w:name="_Toc11430"/>
      <w:r>
        <w:rPr>
          <w:rFonts w:hint="eastAsia" w:hAnsi="宋体" w:cs="宋体"/>
          <w:color w:val="000000" w:themeColor="text1"/>
          <w:highlight w:val="none"/>
          <w:u w:val="none"/>
          <w14:textFill>
            <w14:solidFill>
              <w14:schemeClr w14:val="tx1"/>
            </w14:solidFill>
          </w14:textFill>
        </w:rPr>
        <w:t>11.</w:t>
      </w:r>
      <w:bookmarkEnd w:id="75"/>
      <w:bookmarkEnd w:id="76"/>
      <w:bookmarkEnd w:id="77"/>
      <w:bookmarkEnd w:id="78"/>
      <w:r>
        <w:rPr>
          <w:rFonts w:hint="eastAsia" w:hAnsi="宋体" w:cs="宋体"/>
          <w:color w:val="000000" w:themeColor="text1"/>
          <w:highlight w:val="none"/>
          <w:u w:val="none"/>
          <w14:textFill>
            <w14:solidFill>
              <w14:schemeClr w14:val="tx1"/>
            </w14:solidFill>
          </w14:textFill>
        </w:rPr>
        <w:t>报价</w:t>
      </w:r>
      <w:bookmarkEnd w:id="79"/>
    </w:p>
    <w:p w14:paraId="2A33AB67">
      <w:pPr>
        <w:tabs>
          <w:tab w:val="left" w:pos="0"/>
        </w:tabs>
        <w:spacing w:line="480" w:lineRule="exact"/>
        <w:ind w:firstLine="544" w:firstLineChars="227"/>
        <w:rPr>
          <w:rFonts w:ascii="宋体" w:hAnsi="宋体" w:cs="宋体"/>
          <w:sz w:val="24"/>
          <w:highlight w:val="none"/>
        </w:rPr>
      </w:pPr>
      <w:bookmarkStart w:id="80" w:name="_Ref467306513"/>
      <w:bookmarkStart w:id="81" w:name="_Toc17788"/>
      <w:bookmarkStart w:id="82" w:name="_Toc515647771"/>
      <w:bookmarkStart w:id="83" w:name="_Toc520356156"/>
      <w:bookmarkStart w:id="84" w:name="_Toc11514"/>
      <w:r>
        <w:rPr>
          <w:rFonts w:hint="eastAsia" w:ascii="宋体" w:hAnsi="宋体" w:cs="宋体"/>
          <w:sz w:val="24"/>
          <w:highlight w:val="none"/>
        </w:rPr>
        <w:t>11.1 供应商的报价应当包括满足本次磋商全部采购需求所应提供的服务，以及伴随的货物或工程。报价要求详见供应商须知资料表。供应商的报价应遵守《中华人民共和国价格法》。</w:t>
      </w:r>
    </w:p>
    <w:p w14:paraId="181CED49">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11.2 供应商应在分项报价表上标明响应服务单价和总价，并由法定代表人（非法人组织的负责人）或其委托代理人签署。</w:t>
      </w:r>
    </w:p>
    <w:p w14:paraId="2E62A9C3">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11.3 分项报价表上的价格应包括：服务人员、税金、管理和竞争性磋商文件要求提供的所有伴随费用。</w:t>
      </w:r>
    </w:p>
    <w:p w14:paraId="187D0BF9">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11.4</w:t>
      </w:r>
      <w:r>
        <w:rPr>
          <w:rFonts w:hint="eastAsia" w:ascii="宋体" w:hAnsi="宋体" w:cs="宋体"/>
          <w:sz w:val="24"/>
          <w:highlight w:val="none"/>
        </w:rPr>
        <w:tab/>
      </w:r>
      <w:r>
        <w:rPr>
          <w:rFonts w:hint="eastAsia" w:ascii="宋体" w:hAnsi="宋体" w:cs="宋体"/>
          <w:sz w:val="24"/>
          <w:highlight w:val="none"/>
        </w:rPr>
        <w:t>供应商所报的各分项单价在合同履行过程中是固定不变的，不得以任何理由予以变更。任何包含价格调整要求的响应文件，其响应文件将被认定为无效。</w:t>
      </w:r>
    </w:p>
    <w:p w14:paraId="25DCAD51">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11.5</w:t>
      </w:r>
      <w:r>
        <w:rPr>
          <w:rFonts w:hint="eastAsia" w:ascii="宋体" w:hAnsi="宋体" w:cs="宋体"/>
          <w:sz w:val="24"/>
          <w:highlight w:val="none"/>
        </w:rPr>
        <w:tab/>
      </w:r>
      <w:r>
        <w:rPr>
          <w:rFonts w:hint="eastAsia" w:ascii="宋体" w:hAnsi="宋体" w:cs="宋体"/>
          <w:sz w:val="24"/>
          <w:highlight w:val="none"/>
        </w:rPr>
        <w:t>采购人不接受具有附加条件的报价或多个方案的报价。</w:t>
      </w:r>
    </w:p>
    <w:p w14:paraId="09DABD4C">
      <w:pPr>
        <w:tabs>
          <w:tab w:val="left" w:pos="0"/>
        </w:tabs>
        <w:spacing w:line="480" w:lineRule="exact"/>
        <w:ind w:firstLine="544" w:firstLineChars="227"/>
        <w:rPr>
          <w:rFonts w:ascii="宋体" w:hAnsi="宋体" w:cs="宋体"/>
          <w:sz w:val="24"/>
          <w:highlight w:val="none"/>
        </w:rPr>
      </w:pPr>
      <w:r>
        <w:rPr>
          <w:rFonts w:hint="eastAsia" w:ascii="宋体" w:hAnsi="宋体" w:cs="宋体"/>
          <w:sz w:val="24"/>
          <w:highlight w:val="none"/>
        </w:rPr>
        <w:t>11.6 通过资格性审查和符合性审查的供应商有再次报价的机会，但每一次报价均应以书面形式确认。价格的评审以最后报价为准。</w:t>
      </w:r>
    </w:p>
    <w:p w14:paraId="4427773C">
      <w:pPr>
        <w:pStyle w:val="5"/>
        <w:spacing w:before="0" w:after="0" w:line="480" w:lineRule="exact"/>
        <w:rPr>
          <w:rFonts w:hAnsi="宋体" w:cs="宋体"/>
          <w:color w:val="000000" w:themeColor="text1"/>
          <w:highlight w:val="none"/>
          <w:u w:val="none"/>
          <w14:textFill>
            <w14:solidFill>
              <w14:schemeClr w14:val="tx1"/>
            </w14:solidFill>
          </w14:textFill>
        </w:rPr>
      </w:pPr>
      <w:bookmarkStart w:id="85" w:name="_Toc13404"/>
      <w:r>
        <w:rPr>
          <w:rFonts w:hint="eastAsia" w:hAnsi="宋体" w:cs="宋体"/>
          <w:color w:val="000000" w:themeColor="text1"/>
          <w:highlight w:val="none"/>
          <w:u w:val="none"/>
          <w14:textFill>
            <w14:solidFill>
              <w14:schemeClr w14:val="tx1"/>
            </w14:solidFill>
          </w14:textFill>
        </w:rPr>
        <w:t>12.磋商保证金</w:t>
      </w:r>
      <w:bookmarkEnd w:id="80"/>
      <w:bookmarkEnd w:id="81"/>
      <w:bookmarkEnd w:id="82"/>
      <w:bookmarkEnd w:id="83"/>
      <w:bookmarkEnd w:id="84"/>
      <w:bookmarkEnd w:id="85"/>
    </w:p>
    <w:p w14:paraId="655AC2C0">
      <w:pPr>
        <w:spacing w:line="480" w:lineRule="exact"/>
        <w:ind w:firstLine="420" w:firstLineChars="175"/>
        <w:rPr>
          <w:rFonts w:ascii="宋体" w:hAnsi="宋体" w:cs="宋体"/>
          <w:color w:val="000000" w:themeColor="text1"/>
          <w:sz w:val="24"/>
          <w:highlight w:val="none"/>
          <w14:textFill>
            <w14:solidFill>
              <w14:schemeClr w14:val="tx1"/>
            </w14:solidFill>
          </w14:textFill>
        </w:rPr>
      </w:pPr>
      <w:bookmarkStart w:id="86" w:name="_Ref467306302"/>
      <w:bookmarkStart w:id="87" w:name="_Toc520356157"/>
      <w:bookmarkStart w:id="88" w:name="_Toc515647772"/>
      <w:bookmarkStart w:id="89" w:name="_Toc23590"/>
      <w:bookmarkStart w:id="90" w:name="_Toc32569"/>
      <w:r>
        <w:rPr>
          <w:rFonts w:hint="eastAsia" w:ascii="宋体" w:hAnsi="宋体" w:cs="宋体"/>
          <w:color w:val="000000" w:themeColor="text1"/>
          <w:sz w:val="24"/>
          <w:highlight w:val="none"/>
          <w14:textFill>
            <w14:solidFill>
              <w14:schemeClr w14:val="tx1"/>
            </w14:solidFill>
          </w14:textFill>
        </w:rPr>
        <w:t>12.1</w:t>
      </w:r>
      <w:bookmarkEnd w:id="86"/>
      <w:r>
        <w:rPr>
          <w:rFonts w:hint="eastAsia" w:ascii="宋体" w:hAnsi="宋体" w:cs="宋体"/>
          <w:b/>
          <w:color w:val="000000" w:themeColor="text1"/>
          <w:sz w:val="24"/>
          <w:highlight w:val="none"/>
          <w14:textFill>
            <w14:solidFill>
              <w14:schemeClr w14:val="tx1"/>
            </w14:solidFill>
          </w14:textFill>
        </w:rPr>
        <w:t>本项目不向诚信记录良好的供应商收取磋商保证金。</w:t>
      </w:r>
    </w:p>
    <w:p w14:paraId="254B8B54">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12.2</w:t>
      </w:r>
      <w:r>
        <w:rPr>
          <w:rStyle w:val="44"/>
          <w:rFonts w:hint="default" w:cs="宋体"/>
          <w:color w:val="000000" w:themeColor="text1"/>
          <w:sz w:val="24"/>
          <w:szCs w:val="24"/>
          <w:highlight w:val="none"/>
          <w14:textFill>
            <w14:solidFill>
              <w14:schemeClr w14:val="tx1"/>
            </w14:solidFill>
          </w14:textFill>
        </w:rPr>
        <w:t>供应商在磋商过程及成交后如有违反法律法规的情形，采购代理机构将如实上报</w:t>
      </w:r>
      <w:r>
        <w:rPr>
          <w:rStyle w:val="44"/>
          <w:rFonts w:hint="eastAsia" w:cs="宋体"/>
          <w:color w:val="000000" w:themeColor="text1"/>
          <w:sz w:val="24"/>
          <w:szCs w:val="24"/>
          <w:highlight w:val="none"/>
          <w:lang w:val="en-US" w:eastAsia="zh-CN"/>
          <w14:textFill>
            <w14:solidFill>
              <w14:schemeClr w14:val="tx1"/>
            </w14:solidFill>
          </w14:textFill>
        </w:rPr>
        <w:t>相关</w:t>
      </w:r>
      <w:r>
        <w:rPr>
          <w:rStyle w:val="44"/>
          <w:rFonts w:hint="default" w:cs="宋体"/>
          <w:color w:val="000000" w:themeColor="text1"/>
          <w:sz w:val="24"/>
          <w:szCs w:val="24"/>
          <w:highlight w:val="none"/>
          <w14:textFill>
            <w14:solidFill>
              <w14:schemeClr w14:val="tx1"/>
            </w14:solidFill>
          </w14:textFill>
        </w:rPr>
        <w:t>监管部门。</w:t>
      </w:r>
    </w:p>
    <w:p w14:paraId="6A4B4693">
      <w:pPr>
        <w:pStyle w:val="5"/>
        <w:spacing w:before="0" w:after="0" w:line="480" w:lineRule="exact"/>
        <w:rPr>
          <w:rFonts w:hAnsi="宋体" w:cs="宋体"/>
          <w:color w:val="000000" w:themeColor="text1"/>
          <w:highlight w:val="none"/>
          <w:u w:val="none"/>
          <w14:textFill>
            <w14:solidFill>
              <w14:schemeClr w14:val="tx1"/>
            </w14:solidFill>
          </w14:textFill>
        </w:rPr>
      </w:pPr>
      <w:bookmarkStart w:id="91" w:name="_Toc7417"/>
      <w:r>
        <w:rPr>
          <w:rFonts w:hint="eastAsia" w:hAnsi="宋体" w:cs="宋体"/>
          <w:color w:val="000000" w:themeColor="text1"/>
          <w:highlight w:val="none"/>
          <w:u w:val="none"/>
          <w14:textFill>
            <w14:solidFill>
              <w14:schemeClr w14:val="tx1"/>
            </w14:solidFill>
          </w14:textFill>
        </w:rPr>
        <w:t>13.响应有效期</w:t>
      </w:r>
      <w:bookmarkEnd w:id="87"/>
      <w:bookmarkEnd w:id="88"/>
      <w:bookmarkEnd w:id="89"/>
      <w:bookmarkEnd w:id="90"/>
      <w:bookmarkEnd w:id="91"/>
    </w:p>
    <w:p w14:paraId="2DB417C9">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13.1响应应在</w:t>
      </w:r>
      <w:r>
        <w:rPr>
          <w:rFonts w:hint="eastAsia" w:ascii="宋体" w:hAnsi="宋体" w:cs="宋体"/>
          <w:color w:val="000000" w:themeColor="text1"/>
          <w:sz w:val="24"/>
          <w:highlight w:val="none"/>
          <w:u w:val="single"/>
          <w14:textFill>
            <w14:solidFill>
              <w14:schemeClr w14:val="tx1"/>
            </w14:solidFill>
          </w14:textFill>
        </w:rPr>
        <w:t>供应商须知资料表</w:t>
      </w:r>
      <w:r>
        <w:rPr>
          <w:rFonts w:hint="eastAsia" w:ascii="宋体" w:hAnsi="宋体" w:cs="宋体"/>
          <w:color w:val="000000" w:themeColor="text1"/>
          <w:sz w:val="24"/>
          <w:highlight w:val="none"/>
          <w14:textFill>
            <w14:solidFill>
              <w14:schemeClr w14:val="tx1"/>
            </w14:solidFill>
          </w14:textFill>
        </w:rPr>
        <w:t>中规定时间内保持有效。响应有效期不满足要求的响应，其响应文件将被认定为</w:t>
      </w:r>
      <w:r>
        <w:rPr>
          <w:rFonts w:hint="eastAsia" w:ascii="宋体" w:hAnsi="宋体" w:cs="宋体"/>
          <w:b/>
          <w:color w:val="000000" w:themeColor="text1"/>
          <w:sz w:val="24"/>
          <w:highlight w:val="none"/>
          <w14:textFill>
            <w14:solidFill>
              <w14:schemeClr w14:val="tx1"/>
            </w14:solidFill>
          </w14:textFill>
        </w:rPr>
        <w:t>无效</w:t>
      </w:r>
      <w:r>
        <w:rPr>
          <w:rFonts w:hint="eastAsia" w:ascii="宋体" w:hAnsi="宋体" w:cs="宋体"/>
          <w:color w:val="000000" w:themeColor="text1"/>
          <w:sz w:val="24"/>
          <w:highlight w:val="none"/>
          <w14:textFill>
            <w14:solidFill>
              <w14:schemeClr w14:val="tx1"/>
            </w14:solidFill>
          </w14:textFill>
        </w:rPr>
        <w:t>。</w:t>
      </w:r>
    </w:p>
    <w:p w14:paraId="3A5B04F5">
      <w:pPr>
        <w:spacing w:line="480" w:lineRule="exact"/>
        <w:ind w:firstLine="420" w:firstLineChars="175"/>
        <w:rPr>
          <w:rFonts w:ascii="宋体" w:hAnsi="宋体" w:cs="宋体"/>
          <w:color w:val="000000" w:themeColor="text1"/>
          <w:sz w:val="24"/>
          <w:highlight w:val="none"/>
          <w14:textFill>
            <w14:solidFill>
              <w14:schemeClr w14:val="tx1"/>
            </w14:solidFill>
          </w14:textFill>
        </w:rPr>
      </w:pPr>
      <w:bookmarkStart w:id="92" w:name="_Toc520356158"/>
      <w:bookmarkStart w:id="93" w:name="_Toc17074"/>
      <w:bookmarkStart w:id="94" w:name="_Toc515647773"/>
      <w:bookmarkStart w:id="95" w:name="_Toc493"/>
      <w:r>
        <w:rPr>
          <w:rFonts w:hint="eastAsia" w:ascii="宋体" w:hAnsi="宋体" w:cs="宋体"/>
          <w:color w:val="000000" w:themeColor="text1"/>
          <w:sz w:val="24"/>
          <w:highlight w:val="none"/>
          <w14:textFill>
            <w14:solidFill>
              <w14:schemeClr w14:val="tx1"/>
            </w14:solidFill>
          </w14:textFill>
        </w:rPr>
        <w:t>13.2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92"/>
    <w:bookmarkEnd w:id="93"/>
    <w:bookmarkEnd w:id="94"/>
    <w:bookmarkEnd w:id="95"/>
    <w:p w14:paraId="0EBF405B">
      <w:pPr>
        <w:pStyle w:val="5"/>
        <w:spacing w:before="0" w:after="0" w:line="480" w:lineRule="exact"/>
        <w:rPr>
          <w:rFonts w:hint="eastAsia" w:hAnsi="宋体" w:cs="宋体"/>
          <w:color w:val="000000" w:themeColor="text1"/>
          <w:highlight w:val="none"/>
          <w:u w:val="none"/>
          <w14:textFill>
            <w14:solidFill>
              <w14:schemeClr w14:val="tx1"/>
            </w14:solidFill>
          </w14:textFill>
        </w:rPr>
      </w:pPr>
      <w:bookmarkStart w:id="96" w:name="_Toc518923077"/>
      <w:bookmarkStart w:id="97" w:name="_Toc19087083"/>
      <w:bookmarkStart w:id="98" w:name="_Toc26201"/>
      <w:r>
        <w:rPr>
          <w:rFonts w:hint="eastAsia" w:hAnsi="宋体" w:cs="宋体"/>
          <w:color w:val="000000" w:themeColor="text1"/>
          <w:highlight w:val="none"/>
          <w:u w:val="none"/>
          <w14:textFill>
            <w14:solidFill>
              <w14:schemeClr w14:val="tx1"/>
            </w14:solidFill>
          </w14:textFill>
        </w:rPr>
        <w:t>14.响应文件的</w:t>
      </w:r>
      <w:bookmarkEnd w:id="96"/>
      <w:bookmarkEnd w:id="97"/>
      <w:r>
        <w:rPr>
          <w:rFonts w:hint="eastAsia" w:hAnsi="宋体" w:cs="宋体"/>
          <w:color w:val="000000" w:themeColor="text1"/>
          <w:highlight w:val="none"/>
          <w:u w:val="none"/>
          <w14:textFill>
            <w14:solidFill>
              <w14:schemeClr w14:val="tx1"/>
            </w14:solidFill>
          </w14:textFill>
        </w:rPr>
        <w:t>签署及规定</w:t>
      </w:r>
      <w:bookmarkEnd w:id="98"/>
    </w:p>
    <w:p w14:paraId="5B6A5436">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14.1 按商务、资信、技术及报价四部分装订成一册响应文件，每册文件正本一份，副本份数见供应商须知资料表。正本和副本的封面上应清楚地标记“正本”或“副本”的字样。当副本和正本不一致时，以正本为准。</w:t>
      </w:r>
    </w:p>
    <w:p w14:paraId="44E6EF53">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14.2 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14:paraId="17B301BC">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14.3 供应商在响应文件及相关文件的签订、履行、通知等事项书面文件中的单位盖章、印章、公章等处均仅指与当事人名称全称相一致的标准公章，不得使用其他形式（如带有“专用章”、“合同章”、“财务章”、“业务章”等字样）的印章；否则，磋商小组有权据此对其响应作无效报价处理。</w:t>
      </w:r>
    </w:p>
    <w:p w14:paraId="3A95BE2F">
      <w:pPr>
        <w:pStyle w:val="4"/>
        <w:spacing w:before="0" w:line="480" w:lineRule="exact"/>
        <w:ind w:left="565" w:leftChars="12" w:hanging="540"/>
        <w:rPr>
          <w:rFonts w:hint="eastAsia" w:ascii="宋体" w:hAnsi="宋体" w:eastAsia="宋体" w:cs="宋体"/>
          <w:color w:val="000000" w:themeColor="text1"/>
          <w:sz w:val="28"/>
          <w:szCs w:val="28"/>
          <w:highlight w:val="none"/>
          <w14:textFill>
            <w14:solidFill>
              <w14:schemeClr w14:val="tx1"/>
            </w14:solidFill>
          </w14:textFill>
        </w:rPr>
      </w:pPr>
      <w:bookmarkStart w:id="99" w:name="_Toc515647774"/>
      <w:bookmarkStart w:id="100" w:name="_Toc216582808"/>
      <w:bookmarkStart w:id="101" w:name="_Toc11179"/>
      <w:bookmarkStart w:id="102" w:name="_Toc520356159"/>
      <w:bookmarkStart w:id="103" w:name="_Toc16865"/>
    </w:p>
    <w:p w14:paraId="63A48CCE">
      <w:pPr>
        <w:pStyle w:val="4"/>
        <w:spacing w:before="0" w:line="480" w:lineRule="exact"/>
        <w:ind w:left="565" w:leftChars="12" w:hanging="540"/>
        <w:rPr>
          <w:rFonts w:ascii="宋体" w:hAnsi="宋体" w:eastAsia="宋体" w:cs="宋体"/>
          <w:color w:val="000000" w:themeColor="text1"/>
          <w:sz w:val="28"/>
          <w:szCs w:val="28"/>
          <w:highlight w:val="none"/>
          <w14:textFill>
            <w14:solidFill>
              <w14:schemeClr w14:val="tx1"/>
            </w14:solidFill>
          </w14:textFill>
        </w:rPr>
      </w:pPr>
      <w:bookmarkStart w:id="104" w:name="_Toc14660"/>
      <w:r>
        <w:rPr>
          <w:rFonts w:hint="eastAsia" w:ascii="宋体" w:hAnsi="宋体" w:eastAsia="宋体" w:cs="宋体"/>
          <w:color w:val="000000" w:themeColor="text1"/>
          <w:sz w:val="28"/>
          <w:szCs w:val="28"/>
          <w:highlight w:val="none"/>
          <w14:textFill>
            <w14:solidFill>
              <w14:schemeClr w14:val="tx1"/>
            </w14:solidFill>
          </w14:textFill>
        </w:rPr>
        <w:t>四、响应文件的递交</w:t>
      </w:r>
      <w:bookmarkEnd w:id="99"/>
      <w:bookmarkEnd w:id="100"/>
      <w:bookmarkEnd w:id="101"/>
      <w:bookmarkEnd w:id="102"/>
      <w:bookmarkEnd w:id="103"/>
      <w:bookmarkEnd w:id="104"/>
    </w:p>
    <w:p w14:paraId="7943A27C">
      <w:pPr>
        <w:pStyle w:val="5"/>
        <w:spacing w:before="0" w:after="0" w:line="480" w:lineRule="exact"/>
        <w:rPr>
          <w:rFonts w:hAnsi="宋体" w:cs="宋体"/>
          <w:color w:val="000000" w:themeColor="text1"/>
          <w:highlight w:val="none"/>
          <w:u w:val="none"/>
          <w14:textFill>
            <w14:solidFill>
              <w14:schemeClr w14:val="tx1"/>
            </w14:solidFill>
          </w14:textFill>
        </w:rPr>
      </w:pPr>
      <w:bookmarkStart w:id="105" w:name="_Toc520356160"/>
      <w:bookmarkStart w:id="106" w:name="_Toc32337"/>
      <w:bookmarkStart w:id="107" w:name="_Toc21645"/>
      <w:bookmarkStart w:id="108" w:name="_Toc18764"/>
      <w:bookmarkStart w:id="109" w:name="_Toc515647775"/>
      <w:r>
        <w:rPr>
          <w:rFonts w:hint="eastAsia" w:hAnsi="宋体" w:cs="宋体"/>
          <w:color w:val="000000" w:themeColor="text1"/>
          <w:highlight w:val="none"/>
          <w:u w:val="none"/>
          <w14:textFill>
            <w14:solidFill>
              <w14:schemeClr w14:val="tx1"/>
            </w14:solidFill>
          </w14:textFill>
        </w:rPr>
        <w:t>15.响应文件的密封和标记</w:t>
      </w:r>
      <w:bookmarkEnd w:id="105"/>
      <w:bookmarkEnd w:id="106"/>
      <w:bookmarkEnd w:id="107"/>
      <w:bookmarkEnd w:id="108"/>
      <w:bookmarkEnd w:id="109"/>
    </w:p>
    <w:p w14:paraId="5687FE4D">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bookmarkStart w:id="110" w:name="_Toc12751"/>
      <w:bookmarkStart w:id="111" w:name="_Toc9840"/>
      <w:bookmarkStart w:id="112" w:name="_Toc515647776"/>
      <w:bookmarkStart w:id="113" w:name="_Toc46238229"/>
      <w:bookmarkStart w:id="114" w:name="_Toc520356161"/>
      <w:r>
        <w:rPr>
          <w:rFonts w:hint="eastAsia" w:ascii="宋体" w:hAnsi="宋体" w:cs="宋体"/>
          <w:color w:val="000000" w:themeColor="text1"/>
          <w:sz w:val="24"/>
          <w:highlight w:val="none"/>
          <w14:textFill>
            <w14:solidFill>
              <w14:schemeClr w14:val="tx1"/>
            </w14:solidFill>
          </w14:textFill>
        </w:rPr>
        <w:t>15.1</w:t>
      </w:r>
      <w:r>
        <w:rPr>
          <w:rFonts w:hint="eastAsia" w:ascii="宋体" w:hAnsi="宋体" w:cs="宋体"/>
          <w:b/>
          <w:bCs/>
          <w:color w:val="000000" w:themeColor="text1"/>
          <w:sz w:val="24"/>
          <w:highlight w:val="none"/>
          <w14:textFill>
            <w14:solidFill>
              <w14:schemeClr w14:val="tx1"/>
            </w14:solidFill>
          </w14:textFill>
        </w:rPr>
        <w:t>供应商应将响应文件以正本、副本、报价一览表（一式三份）、电子版为单位分别密封</w:t>
      </w:r>
      <w:r>
        <w:rPr>
          <w:rFonts w:hint="eastAsia" w:ascii="宋体" w:hAnsi="宋体" w:cs="宋体"/>
          <w:color w:val="000000" w:themeColor="text1"/>
          <w:sz w:val="24"/>
          <w:highlight w:val="none"/>
          <w14:textFill>
            <w14:solidFill>
              <w14:schemeClr w14:val="tx1"/>
            </w14:solidFill>
          </w14:textFill>
        </w:rPr>
        <w:t xml:space="preserve">，并在密封件上标明密封件内容、项目编号、项目名称、供应商名称、包号等。 </w:t>
      </w:r>
    </w:p>
    <w:p w14:paraId="44977054">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15.2供应商将每部分响应文件装入信袋内加以密封后，并在封签处加盖公章或授权代表签字，如无公章或授权代表签字，响应文件将会被拒收。</w:t>
      </w:r>
    </w:p>
    <w:p w14:paraId="509EE184">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15.3 因供应商对其响应文件密封不当或签署不当而造成响应文件被拒收，由供应商自行负责。</w:t>
      </w:r>
    </w:p>
    <w:p w14:paraId="528EAC91">
      <w:pPr>
        <w:pStyle w:val="5"/>
        <w:spacing w:before="0" w:after="0" w:line="480" w:lineRule="exact"/>
        <w:rPr>
          <w:rFonts w:hint="eastAsia" w:hAnsi="宋体" w:cs="宋体"/>
          <w:color w:val="000000" w:themeColor="text1"/>
          <w:highlight w:val="none"/>
          <w:u w:val="none"/>
          <w14:textFill>
            <w14:solidFill>
              <w14:schemeClr w14:val="tx1"/>
            </w14:solidFill>
          </w14:textFill>
        </w:rPr>
      </w:pPr>
      <w:bookmarkStart w:id="115" w:name="_Toc32006"/>
      <w:r>
        <w:rPr>
          <w:rFonts w:hint="eastAsia" w:hAnsi="宋体" w:cs="宋体"/>
          <w:color w:val="000000" w:themeColor="text1"/>
          <w:highlight w:val="none"/>
          <w:u w:val="none"/>
          <w14:textFill>
            <w14:solidFill>
              <w14:schemeClr w14:val="tx1"/>
            </w14:solidFill>
          </w14:textFill>
        </w:rPr>
        <w:t>16.响应文件截止</w:t>
      </w:r>
      <w:bookmarkEnd w:id="110"/>
      <w:bookmarkEnd w:id="111"/>
      <w:bookmarkEnd w:id="112"/>
      <w:bookmarkEnd w:id="113"/>
      <w:bookmarkEnd w:id="114"/>
      <w:bookmarkEnd w:id="115"/>
    </w:p>
    <w:p w14:paraId="270A7411">
      <w:pPr>
        <w:spacing w:line="480" w:lineRule="exact"/>
        <w:ind w:firstLine="420" w:firstLineChars="175"/>
        <w:rPr>
          <w:rFonts w:ascii="宋体" w:hAnsi="宋体" w:cs="宋体"/>
          <w:color w:val="000000" w:themeColor="text1"/>
          <w:sz w:val="24"/>
          <w:highlight w:val="none"/>
          <w14:textFill>
            <w14:solidFill>
              <w14:schemeClr w14:val="tx1"/>
            </w14:solidFill>
          </w14:textFill>
        </w:rPr>
      </w:pPr>
      <w:bookmarkStart w:id="116" w:name="_Toc46235089"/>
      <w:bookmarkStart w:id="117" w:name="_Toc518923081"/>
      <w:bookmarkStart w:id="118" w:name="_Toc520356162"/>
      <w:r>
        <w:rPr>
          <w:rFonts w:hint="eastAsia" w:ascii="宋体" w:hAnsi="宋体" w:cs="宋体"/>
          <w:color w:val="000000" w:themeColor="text1"/>
          <w:sz w:val="24"/>
          <w:highlight w:val="none"/>
          <w14:textFill>
            <w14:solidFill>
              <w14:schemeClr w14:val="tx1"/>
            </w14:solidFill>
          </w14:textFill>
        </w:rPr>
        <w:t>16.1供应商递交响应文件的时间和地点：见</w:t>
      </w:r>
      <w:r>
        <w:rPr>
          <w:rFonts w:hint="eastAsia" w:ascii="宋体" w:hAnsi="宋体" w:cs="宋体"/>
          <w:color w:val="000000" w:themeColor="text1"/>
          <w:sz w:val="24"/>
          <w:highlight w:val="none"/>
          <w:u w:val="single"/>
          <w14:textFill>
            <w14:solidFill>
              <w14:schemeClr w14:val="tx1"/>
            </w14:solidFill>
          </w14:textFill>
        </w:rPr>
        <w:t>供应商须知资料表</w:t>
      </w:r>
      <w:r>
        <w:rPr>
          <w:rFonts w:hint="eastAsia" w:ascii="宋体" w:hAnsi="宋体" w:cs="宋体"/>
          <w:color w:val="000000" w:themeColor="text1"/>
          <w:sz w:val="24"/>
          <w:highlight w:val="none"/>
          <w14:textFill>
            <w14:solidFill>
              <w14:schemeClr w14:val="tx1"/>
            </w14:solidFill>
          </w14:textFill>
        </w:rPr>
        <w:t>。</w:t>
      </w:r>
    </w:p>
    <w:p w14:paraId="4960F339">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16.2采购人和采购代理机构将拒绝接收在提交响应文件截止时间后递交的响应文件。</w:t>
      </w:r>
    </w:p>
    <w:p w14:paraId="6E35A953">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16.3 供应商所递交的响应文件不予退还。</w:t>
      </w:r>
    </w:p>
    <w:p w14:paraId="0CC6B096">
      <w:pPr>
        <w:pStyle w:val="5"/>
        <w:spacing w:before="0" w:after="0" w:line="480" w:lineRule="exact"/>
        <w:rPr>
          <w:rFonts w:hint="eastAsia" w:hAnsi="宋体" w:cs="宋体"/>
          <w:color w:val="000000" w:themeColor="text1"/>
          <w:highlight w:val="none"/>
          <w:u w:val="none"/>
          <w14:textFill>
            <w14:solidFill>
              <w14:schemeClr w14:val="tx1"/>
            </w14:solidFill>
          </w14:textFill>
        </w:rPr>
      </w:pPr>
      <w:bookmarkStart w:id="119" w:name="_Toc31697"/>
      <w:r>
        <w:rPr>
          <w:rFonts w:hint="eastAsia" w:hAnsi="宋体" w:cs="宋体"/>
          <w:color w:val="000000" w:themeColor="text1"/>
          <w:highlight w:val="none"/>
          <w:u w:val="none"/>
          <w14:textFill>
            <w14:solidFill>
              <w14:schemeClr w14:val="tx1"/>
            </w14:solidFill>
          </w14:textFill>
        </w:rPr>
        <w:t>17.响应文件的接收、修改与撤回</w:t>
      </w:r>
      <w:bookmarkEnd w:id="116"/>
      <w:bookmarkEnd w:id="117"/>
      <w:bookmarkEnd w:id="118"/>
      <w:bookmarkEnd w:id="119"/>
    </w:p>
    <w:p w14:paraId="56A96F37">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bookmarkStart w:id="120" w:name="_Toc12436"/>
      <w:bookmarkStart w:id="121" w:name="_Toc520356163"/>
      <w:bookmarkStart w:id="122" w:name="_Toc28398"/>
      <w:bookmarkStart w:id="123" w:name="_Toc515647778"/>
      <w:bookmarkStart w:id="124" w:name="_Toc216582809"/>
      <w:r>
        <w:rPr>
          <w:rFonts w:hint="eastAsia" w:ascii="宋体" w:hAnsi="宋体" w:cs="宋体"/>
          <w:color w:val="000000" w:themeColor="text1"/>
          <w:sz w:val="24"/>
          <w:highlight w:val="none"/>
          <w14:textFill>
            <w14:solidFill>
              <w14:schemeClr w14:val="tx1"/>
            </w14:solidFill>
          </w14:textFill>
        </w:rPr>
        <w:t>17.1 供应商在磋商文件要求提交响应文件的截止时间前，可以修改或者撤回已提交的响应文件，并书面形式通知代理机构。</w:t>
      </w:r>
    </w:p>
    <w:p w14:paraId="0A78CA83">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17.2 任何修改内容必须由供应商的法定代表人或其委托代理人签字，不得涂抹。经法定代表人或其委托代理人正式签署的修改文件组成响应文件的一部分，份数和密封要求同响应文件一致。</w:t>
      </w:r>
    </w:p>
    <w:p w14:paraId="60238EE9">
      <w:pPr>
        <w:pStyle w:val="4"/>
        <w:spacing w:before="0" w:line="480" w:lineRule="exact"/>
        <w:ind w:firstLine="492" w:firstLineChars="175"/>
        <w:rPr>
          <w:rFonts w:ascii="宋体" w:hAnsi="宋体" w:eastAsia="宋体" w:cs="宋体"/>
          <w:color w:val="000000" w:themeColor="text1"/>
          <w:sz w:val="28"/>
          <w:szCs w:val="28"/>
          <w:highlight w:val="none"/>
          <w14:textFill>
            <w14:solidFill>
              <w14:schemeClr w14:val="tx1"/>
            </w14:solidFill>
          </w14:textFill>
        </w:rPr>
      </w:pPr>
      <w:bookmarkStart w:id="125" w:name="_Toc8505"/>
      <w:r>
        <w:rPr>
          <w:rFonts w:hint="eastAsia" w:ascii="宋体" w:hAnsi="宋体" w:eastAsia="宋体" w:cs="宋体"/>
          <w:color w:val="000000" w:themeColor="text1"/>
          <w:sz w:val="28"/>
          <w:szCs w:val="28"/>
          <w:highlight w:val="none"/>
          <w14:textFill>
            <w14:solidFill>
              <w14:schemeClr w14:val="tx1"/>
            </w14:solidFill>
          </w14:textFill>
        </w:rPr>
        <w:t>五、提交响应文件截止及磋商</w:t>
      </w:r>
      <w:bookmarkEnd w:id="120"/>
      <w:bookmarkEnd w:id="121"/>
      <w:bookmarkEnd w:id="122"/>
      <w:bookmarkEnd w:id="123"/>
      <w:bookmarkEnd w:id="124"/>
      <w:bookmarkEnd w:id="125"/>
    </w:p>
    <w:p w14:paraId="5C742ACC">
      <w:pPr>
        <w:pStyle w:val="5"/>
        <w:numPr>
          <w:ilvl w:val="0"/>
          <w:numId w:val="4"/>
        </w:numPr>
        <w:spacing w:before="0" w:after="0" w:line="480" w:lineRule="exact"/>
        <w:ind w:firstLine="422" w:firstLineChars="175"/>
        <w:rPr>
          <w:rFonts w:hAnsi="宋体" w:cs="宋体"/>
          <w:color w:val="000000" w:themeColor="text1"/>
          <w:szCs w:val="24"/>
          <w:highlight w:val="none"/>
          <w14:textFill>
            <w14:solidFill>
              <w14:schemeClr w14:val="tx1"/>
            </w14:solidFill>
          </w14:textFill>
        </w:rPr>
      </w:pPr>
      <w:bookmarkStart w:id="126" w:name="_Toc15514"/>
      <w:r>
        <w:rPr>
          <w:rFonts w:hint="eastAsia" w:hAnsi="宋体" w:cs="宋体"/>
          <w:color w:val="000000" w:themeColor="text1"/>
          <w:szCs w:val="24"/>
          <w:highlight w:val="none"/>
          <w:u w:val="none"/>
          <w14:textFill>
            <w14:solidFill>
              <w14:schemeClr w14:val="tx1"/>
            </w14:solidFill>
          </w14:textFill>
        </w:rPr>
        <w:t>提交响应文件截止</w:t>
      </w:r>
      <w:bookmarkEnd w:id="126"/>
    </w:p>
    <w:p w14:paraId="070886D3">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bookmarkStart w:id="127" w:name="_Toc411637993"/>
      <w:bookmarkStart w:id="128" w:name="_Toc520356165"/>
      <w:bookmarkStart w:id="129" w:name="_Toc21372"/>
      <w:bookmarkStart w:id="130" w:name="_Toc19296"/>
      <w:bookmarkStart w:id="131" w:name="_Toc515647780"/>
      <w:r>
        <w:rPr>
          <w:rFonts w:hint="eastAsia" w:ascii="宋体" w:hAnsi="宋体" w:cs="宋体"/>
          <w:color w:val="000000" w:themeColor="text1"/>
          <w:sz w:val="24"/>
          <w:highlight w:val="none"/>
          <w14:textFill>
            <w14:solidFill>
              <w14:schemeClr w14:val="tx1"/>
            </w14:solidFill>
          </w14:textFill>
        </w:rPr>
        <w:t>18.1 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14:paraId="1D8E8CF5">
      <w:pPr>
        <w:spacing w:line="480" w:lineRule="exact"/>
        <w:ind w:firstLine="420" w:firstLineChars="175"/>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18.2</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磋商截止时间后，不允许对响应文件做实质性修改，同时采购人和采购代理机构对所接收响应文件概不退回。</w:t>
      </w:r>
    </w:p>
    <w:p w14:paraId="48AF32BA">
      <w:pPr>
        <w:pStyle w:val="5"/>
        <w:spacing w:before="0" w:after="0" w:line="480" w:lineRule="exact"/>
        <w:rPr>
          <w:rFonts w:hAnsi="宋体" w:cs="宋体"/>
          <w:color w:val="000000" w:themeColor="text1"/>
          <w:highlight w:val="none"/>
          <w:u w:val="none"/>
          <w14:textFill>
            <w14:solidFill>
              <w14:schemeClr w14:val="tx1"/>
            </w14:solidFill>
          </w14:textFill>
        </w:rPr>
      </w:pPr>
      <w:bookmarkStart w:id="132" w:name="_Toc13530"/>
      <w:r>
        <w:rPr>
          <w:rFonts w:hint="eastAsia" w:hAnsi="宋体" w:cs="宋体"/>
          <w:color w:val="000000" w:themeColor="text1"/>
          <w:highlight w:val="none"/>
          <w:u w:val="none"/>
          <w14:textFill>
            <w14:solidFill>
              <w14:schemeClr w14:val="tx1"/>
            </w14:solidFill>
          </w14:textFill>
        </w:rPr>
        <w:t>19. 磋商小组</w:t>
      </w:r>
      <w:bookmarkEnd w:id="127"/>
      <w:bookmarkEnd w:id="132"/>
    </w:p>
    <w:p w14:paraId="30262017">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19.1 采购代理机构将</w:t>
      </w:r>
      <w:r>
        <w:rPr>
          <w:rFonts w:hint="eastAsia" w:ascii="宋体" w:hAnsi="宋体" w:cs="宋体"/>
          <w:color w:val="000000" w:themeColor="text1"/>
          <w:sz w:val="24"/>
          <w:highlight w:val="none"/>
          <w:lang w:val="en-US" w:eastAsia="zh-CN"/>
          <w14:textFill>
            <w14:solidFill>
              <w14:schemeClr w14:val="tx1"/>
            </w14:solidFill>
          </w14:textFill>
        </w:rPr>
        <w:t>参照</w:t>
      </w:r>
      <w:r>
        <w:rPr>
          <w:rFonts w:hint="eastAsia" w:ascii="宋体" w:hAnsi="宋体" w:cs="宋体"/>
          <w:color w:val="000000" w:themeColor="text1"/>
          <w:sz w:val="24"/>
          <w:highlight w:val="none"/>
          <w14:textFill>
            <w14:solidFill>
              <w14:schemeClr w14:val="tx1"/>
            </w14:solidFill>
          </w14:textFill>
        </w:rPr>
        <w:t>《中华人民共和国政府采购法》及有关规定组建磋商小组。</w:t>
      </w:r>
      <w:r>
        <w:rPr>
          <w:rFonts w:hint="eastAsia" w:ascii="宋体" w:hAnsi="宋体" w:cs="宋体"/>
          <w:b/>
          <w:bCs/>
          <w:color w:val="000000" w:themeColor="text1"/>
          <w:sz w:val="24"/>
          <w:highlight w:val="none"/>
          <w14:textFill>
            <w14:solidFill>
              <w14:schemeClr w14:val="tx1"/>
            </w14:solidFill>
          </w14:textFill>
        </w:rPr>
        <w:t>磋商小组由采购人代表及有关经济、技术等方面的专家</w:t>
      </w:r>
      <w:r>
        <w:rPr>
          <w:rFonts w:hint="eastAsia" w:ascii="宋体" w:hAnsi="宋体" w:cs="宋体"/>
          <w:b/>
          <w:bCs/>
          <w:color w:val="000000" w:themeColor="text1"/>
          <w:sz w:val="24"/>
          <w:highlight w:val="none"/>
          <w:u w:val="single"/>
          <w14:textFill>
            <w14:solidFill>
              <w14:schemeClr w14:val="tx1"/>
            </w14:solidFill>
          </w14:textFill>
        </w:rPr>
        <w:t>3</w:t>
      </w:r>
      <w:r>
        <w:rPr>
          <w:rFonts w:hint="eastAsia" w:ascii="宋体" w:hAnsi="宋体" w:cs="宋体"/>
          <w:b/>
          <w:bCs/>
          <w:color w:val="000000" w:themeColor="text1"/>
          <w:sz w:val="24"/>
          <w:highlight w:val="none"/>
          <w14:textFill>
            <w14:solidFill>
              <w14:schemeClr w14:val="tx1"/>
            </w14:solidFill>
          </w14:textFill>
        </w:rPr>
        <w:t>人组成。</w:t>
      </w:r>
    </w:p>
    <w:p w14:paraId="3742A965">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0B915720">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19.3 磋商小组的职责：</w:t>
      </w:r>
    </w:p>
    <w:p w14:paraId="0F267E6D">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19.3.1磋商小组的职责</w:t>
      </w:r>
    </w:p>
    <w:p w14:paraId="116D143F">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（1）审查响应文件是否符合磋商文件要求；</w:t>
      </w:r>
    </w:p>
    <w:p w14:paraId="3625A5E8">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（2）要求供应商对响应文件有关事项做出解释或者澄清；</w:t>
      </w:r>
    </w:p>
    <w:p w14:paraId="071B657F">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（3）按照磋商文件规定的评分标准进行评比和打分；</w:t>
      </w:r>
    </w:p>
    <w:p w14:paraId="1199ACED">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（4）推荐成交候选供应商名单，或者受采购人委托按照事先确定的办法直接确定成交供应商；</w:t>
      </w:r>
    </w:p>
    <w:p w14:paraId="513BAE73">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（5）向采购单位或者有关部门报告非法干预评审工作的行为。</w:t>
      </w:r>
    </w:p>
    <w:p w14:paraId="573B9954">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19.4磋商小组的义务：</w:t>
      </w:r>
    </w:p>
    <w:p w14:paraId="46727D59">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19.4.1磋商小组的义务</w:t>
      </w:r>
    </w:p>
    <w:p w14:paraId="74713202">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（1）遵纪守法，客观、公正、廉洁地履行职责；</w:t>
      </w:r>
    </w:p>
    <w:p w14:paraId="28FBED4C">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（2）按照磋商文件规定的评审办法和评审标准进行评审，对评审意见承担个人责任；</w:t>
      </w:r>
    </w:p>
    <w:p w14:paraId="3AE89F68">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（3）对评审过程和结果，以及供应商的商业秘密保密；</w:t>
      </w:r>
    </w:p>
    <w:p w14:paraId="20E76D8D">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（4）参与评审报告的起草；</w:t>
      </w:r>
    </w:p>
    <w:p w14:paraId="19263CE2">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（5）配合财政部门的投诉处理工作；</w:t>
      </w:r>
    </w:p>
    <w:p w14:paraId="10F2469F">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（6）配合采购单位答复与会供应商提出的质疑。</w:t>
      </w:r>
    </w:p>
    <w:p w14:paraId="4D007ABD">
      <w:pPr>
        <w:pStyle w:val="5"/>
        <w:spacing w:before="0" w:after="0" w:line="480" w:lineRule="exact"/>
        <w:rPr>
          <w:rFonts w:hAnsi="宋体" w:cs="宋体"/>
          <w:color w:val="000000" w:themeColor="text1"/>
          <w:szCs w:val="24"/>
          <w:highlight w:val="none"/>
          <w:u w:val="none"/>
          <w14:textFill>
            <w14:solidFill>
              <w14:schemeClr w14:val="tx1"/>
            </w14:solidFill>
          </w14:textFill>
        </w:rPr>
      </w:pPr>
      <w:bookmarkStart w:id="133" w:name="_Toc25952"/>
      <w:r>
        <w:rPr>
          <w:rFonts w:hint="eastAsia" w:hAnsi="宋体" w:cs="宋体"/>
          <w:color w:val="000000" w:themeColor="text1"/>
          <w:szCs w:val="24"/>
          <w:highlight w:val="none"/>
          <w:u w:val="none"/>
          <w14:textFill>
            <w14:solidFill>
              <w14:schemeClr w14:val="tx1"/>
            </w14:solidFill>
          </w14:textFill>
        </w:rPr>
        <w:t>20.</w:t>
      </w:r>
      <w:bookmarkEnd w:id="128"/>
      <w:r>
        <w:rPr>
          <w:rFonts w:hint="eastAsia" w:hAnsi="宋体" w:cs="宋体"/>
          <w:color w:val="000000" w:themeColor="text1"/>
          <w:szCs w:val="24"/>
          <w:highlight w:val="none"/>
          <w:u w:val="none"/>
          <w14:textFill>
            <w14:solidFill>
              <w14:schemeClr w14:val="tx1"/>
            </w14:solidFill>
          </w14:textFill>
        </w:rPr>
        <w:t>资格审查</w:t>
      </w:r>
      <w:bookmarkEnd w:id="129"/>
      <w:bookmarkEnd w:id="130"/>
      <w:bookmarkEnd w:id="131"/>
      <w:bookmarkEnd w:id="133"/>
    </w:p>
    <w:p w14:paraId="2AC83DEF">
      <w:pPr>
        <w:spacing w:line="480" w:lineRule="exact"/>
        <w:ind w:firstLine="420" w:firstLineChars="175"/>
        <w:rPr>
          <w:rFonts w:ascii="宋体" w:hAnsi="宋体" w:cs="宋体"/>
          <w:color w:val="000000" w:themeColor="text1"/>
          <w:sz w:val="24"/>
          <w:highlight w:val="none"/>
          <w14:textFill>
            <w14:solidFill>
              <w14:schemeClr w14:val="tx1"/>
            </w14:solidFill>
          </w14:textFill>
        </w:rPr>
      </w:pPr>
      <w:bookmarkStart w:id="134" w:name="_Toc520356166"/>
      <w:bookmarkStart w:id="135" w:name="_Toc515647781"/>
      <w:bookmarkStart w:id="136" w:name="_Toc28479"/>
      <w:bookmarkStart w:id="137" w:name="_Toc19949"/>
      <w:r>
        <w:rPr>
          <w:rFonts w:hint="eastAsia" w:ascii="宋体" w:hAnsi="宋体" w:cs="宋体"/>
          <w:color w:val="000000" w:themeColor="text1"/>
          <w:sz w:val="24"/>
          <w:highlight w:val="none"/>
          <w14:textFill>
            <w14:solidFill>
              <w14:schemeClr w14:val="tx1"/>
            </w14:solidFill>
          </w14:textFill>
        </w:rPr>
        <w:t>20.1 磋商小组依据法律法规和竞争性磋商文件中规定的内容，对供应商的资格进行审查。未通过资格审查的供应商不进入磋商；通过资格审查的供应商不足3家的，不得磋商。</w:t>
      </w:r>
    </w:p>
    <w:p w14:paraId="4235166B">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20.2 采购人或采购代理机构将按</w:t>
      </w:r>
      <w:r>
        <w:rPr>
          <w:rFonts w:hint="eastAsia" w:ascii="宋体" w:hAnsi="宋体" w:cs="宋体"/>
          <w:color w:val="000000" w:themeColor="text1"/>
          <w:sz w:val="24"/>
          <w:highlight w:val="none"/>
          <w:u w:val="single"/>
          <w14:textFill>
            <w14:solidFill>
              <w14:schemeClr w14:val="tx1"/>
            </w14:solidFill>
          </w14:textFill>
        </w:rPr>
        <w:t>供应商须知资料表</w:t>
      </w:r>
      <w:r>
        <w:rPr>
          <w:rFonts w:hint="eastAsia" w:ascii="宋体" w:hAnsi="宋体" w:cs="宋体"/>
          <w:color w:val="000000" w:themeColor="text1"/>
          <w:sz w:val="24"/>
          <w:highlight w:val="none"/>
          <w14:textFill>
            <w14:solidFill>
              <w14:schemeClr w14:val="tx1"/>
            </w14:solidFill>
          </w14:textFill>
        </w:rPr>
        <w:t>查询供应商的信用记录。</w:t>
      </w:r>
    </w:p>
    <w:p w14:paraId="680E8CB1">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20.2.1供应商在中国政府采购网（</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"http://www.ccgp.gov.cn" </w:instrText>
      </w:r>
      <w:r>
        <w:rPr>
          <w:color w:val="000000" w:themeColor="text1"/>
          <w:highlight w:val="none"/>
          <w14:textFill>
            <w14:solidFill>
              <w14:schemeClr w14:val="tx1"/>
            </w14:solidFill>
          </w14:textFill>
        </w:rPr>
        <w:fldChar w:fldCharType="separate"/>
      </w:r>
      <w:r>
        <w:rPr>
          <w:rStyle w:val="38"/>
          <w:rFonts w:hint="eastAsia" w:ascii="宋体" w:hAnsi="宋体" w:cs="宋体"/>
          <w:color w:val="000000" w:themeColor="text1"/>
          <w:sz w:val="24"/>
          <w:highlight w:val="none"/>
          <w14:textFill>
            <w14:solidFill>
              <w14:schemeClr w14:val="tx1"/>
            </w14:solidFill>
          </w14:textFill>
        </w:rPr>
        <w:t>www.ccgp.gov.cn</w:t>
      </w:r>
      <w:r>
        <w:rPr>
          <w:rStyle w:val="38"/>
          <w:rFonts w:ascii="宋体" w:hAnsi="宋体" w:cs="宋体"/>
          <w:color w:val="000000" w:themeColor="text1"/>
          <w:sz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）被列入政府采购严重违法失信行为记录名单，或在“信用中国”网站（</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"http://www.creditchina.gov.cn" </w:instrText>
      </w:r>
      <w:r>
        <w:rPr>
          <w:color w:val="000000" w:themeColor="text1"/>
          <w:highlight w:val="none"/>
          <w14:textFill>
            <w14:solidFill>
              <w14:schemeClr w14:val="tx1"/>
            </w14:solidFill>
          </w14:textFill>
        </w:rPr>
        <w:fldChar w:fldCharType="separate"/>
      </w:r>
      <w:r>
        <w:rPr>
          <w:rStyle w:val="38"/>
          <w:rFonts w:hint="eastAsia" w:ascii="宋体" w:hAnsi="宋体" w:cs="宋体"/>
          <w:color w:val="000000" w:themeColor="text1"/>
          <w:sz w:val="24"/>
          <w:highlight w:val="none"/>
          <w14:textFill>
            <w14:solidFill>
              <w14:schemeClr w14:val="tx1"/>
            </w14:solidFill>
          </w14:textFill>
        </w:rPr>
        <w:t>www.creditchina.gov.cn</w:t>
      </w:r>
      <w:r>
        <w:rPr>
          <w:rStyle w:val="38"/>
          <w:rFonts w:ascii="宋体" w:hAnsi="宋体" w:cs="宋体"/>
          <w:color w:val="000000" w:themeColor="text1"/>
          <w:sz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）或“信用山东”网站（</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"http://www.creditsd.gov.cn" </w:instrText>
      </w:r>
      <w:r>
        <w:rPr>
          <w:color w:val="000000" w:themeColor="text1"/>
          <w:highlight w:val="none"/>
          <w14:textFill>
            <w14:solidFill>
              <w14:schemeClr w14:val="tx1"/>
            </w14:solidFill>
          </w14:textFill>
        </w:rPr>
        <w:fldChar w:fldCharType="separate"/>
      </w:r>
      <w:r>
        <w:rPr>
          <w:rStyle w:val="38"/>
          <w:rFonts w:hint="eastAsia" w:ascii="宋体" w:hAnsi="宋体" w:cs="宋体"/>
          <w:color w:val="000000" w:themeColor="text1"/>
          <w:sz w:val="24"/>
          <w:highlight w:val="none"/>
          <w14:textFill>
            <w14:solidFill>
              <w14:schemeClr w14:val="tx1"/>
            </w14:solidFill>
          </w14:textFill>
        </w:rPr>
        <w:t>www.creditsd.gov.cn</w:t>
      </w:r>
      <w:r>
        <w:rPr>
          <w:rStyle w:val="38"/>
          <w:rFonts w:ascii="宋体" w:hAnsi="宋体" w:cs="宋体"/>
          <w:color w:val="000000" w:themeColor="text1"/>
          <w:sz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）被列入失信被执行人、</w:t>
      </w:r>
      <w:r>
        <w:rPr>
          <w:rFonts w:hint="eastAsia" w:ascii="宋体" w:hAnsi="宋体" w:cs="宋体"/>
          <w:color w:val="000000" w:themeColor="text1"/>
          <w:sz w:val="24"/>
          <w:highlight w:val="none"/>
          <w:lang w:eastAsia="zh-CN"/>
          <w14:textFill>
            <w14:solidFill>
              <w14:schemeClr w14:val="tx1"/>
            </w14:solidFill>
          </w14:textFill>
        </w:rPr>
        <w:t>重大税收违法失信主体</w:t>
      </w:r>
      <w:r>
        <w:rPr>
          <w:rFonts w:hint="eastAsia" w:ascii="宋体" w:hAnsi="宋体" w:cs="宋体"/>
          <w:color w:val="000000" w:themeColor="text1"/>
          <w:sz w:val="24"/>
          <w:highlight w:val="none"/>
          <w14:textFill>
            <w14:solidFill>
              <w14:schemeClr w14:val="tx1"/>
            </w14:solidFill>
          </w14:textFill>
        </w:rPr>
        <w:t>，以及存在《中华人民共和国政府采购法实施条例》第十九条规定的行政处罚记录。</w:t>
      </w:r>
    </w:p>
    <w:p w14:paraId="23827A66">
      <w:pPr>
        <w:spacing w:line="480" w:lineRule="exact"/>
        <w:ind w:firstLine="420" w:firstLineChars="175"/>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以联合体形式进行响应的，联合体任何成员存在以上不良信用记录的，联合体其响应文件将被认定为无效</w:t>
      </w:r>
    </w:p>
    <w:p w14:paraId="05B8E48D">
      <w:pPr>
        <w:pStyle w:val="8"/>
        <w:spacing w:line="480" w:lineRule="exact"/>
        <w:ind w:firstLineChars="175"/>
        <w:jc w:val="both"/>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20.2.2 采购人</w:t>
      </w:r>
      <w:r>
        <w:rPr>
          <w:rFonts w:hint="eastAsia" w:hAnsi="宋体" w:cs="宋体"/>
          <w:bCs/>
          <w:color w:val="000000" w:themeColor="text1"/>
          <w:highlight w:val="none"/>
          <w14:textFill>
            <w14:solidFill>
              <w14:schemeClr w14:val="tx1"/>
            </w14:solidFill>
          </w14:textFill>
        </w:rPr>
        <w:t>或采购代理机构</w:t>
      </w:r>
      <w:r>
        <w:rPr>
          <w:rFonts w:hint="eastAsia" w:hAnsi="宋体" w:cs="宋体"/>
          <w:color w:val="000000" w:themeColor="text1"/>
          <w:highlight w:val="none"/>
          <w14:textFill>
            <w14:solidFill>
              <w14:schemeClr w14:val="tx1"/>
            </w14:solidFill>
          </w14:textFill>
        </w:rPr>
        <w:t>将信用记录查询网页打印并存档备查。供应商信用记录以采购人</w:t>
      </w:r>
      <w:r>
        <w:rPr>
          <w:rFonts w:hint="eastAsia" w:hAnsi="宋体" w:cs="宋体"/>
          <w:bCs/>
          <w:color w:val="000000" w:themeColor="text1"/>
          <w:highlight w:val="none"/>
          <w14:textFill>
            <w14:solidFill>
              <w14:schemeClr w14:val="tx1"/>
            </w14:solidFill>
          </w14:textFill>
        </w:rPr>
        <w:t>或采购代理机构</w:t>
      </w:r>
      <w:r>
        <w:rPr>
          <w:rFonts w:hint="eastAsia" w:hAnsi="宋体" w:cs="宋体"/>
          <w:color w:val="000000" w:themeColor="text1"/>
          <w:highlight w:val="none"/>
          <w14:textFill>
            <w14:solidFill>
              <w14:schemeClr w14:val="tx1"/>
            </w14:solidFill>
          </w14:textFill>
        </w:rPr>
        <w:t>查询结果为准。供应商自行提供的与网站信息不一致的其他证明材料亦不作为资格审查的依据。</w:t>
      </w:r>
    </w:p>
    <w:p w14:paraId="7722B447">
      <w:pPr>
        <w:pStyle w:val="8"/>
        <w:spacing w:line="480" w:lineRule="exact"/>
        <w:ind w:firstLineChars="175"/>
        <w:jc w:val="both"/>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在本竞争性磋商文件规定的查询时间之后，网站信息发生的任何变更均不再作为磋商依据。</w:t>
      </w:r>
    </w:p>
    <w:p w14:paraId="639CE00F">
      <w:pPr>
        <w:pStyle w:val="5"/>
        <w:spacing w:before="0" w:after="0" w:line="480" w:lineRule="exact"/>
        <w:rPr>
          <w:rFonts w:hAnsi="宋体" w:cs="宋体"/>
          <w:b w:val="0"/>
          <w:bCs/>
          <w:color w:val="000000" w:themeColor="text1"/>
          <w:szCs w:val="24"/>
          <w:highlight w:val="none"/>
          <w:bdr w:val="single" w:color="auto" w:sz="4" w:space="0"/>
          <w14:textFill>
            <w14:solidFill>
              <w14:schemeClr w14:val="tx1"/>
            </w14:solidFill>
          </w14:textFill>
        </w:rPr>
      </w:pPr>
      <w:bookmarkStart w:id="138" w:name="_Toc24236"/>
      <w:r>
        <w:rPr>
          <w:rFonts w:hint="eastAsia" w:hAnsi="宋体" w:cs="宋体"/>
          <w:color w:val="000000" w:themeColor="text1"/>
          <w:szCs w:val="24"/>
          <w:highlight w:val="none"/>
          <w:u w:val="none"/>
          <w14:textFill>
            <w14:solidFill>
              <w14:schemeClr w14:val="tx1"/>
            </w14:solidFill>
          </w14:textFill>
        </w:rPr>
        <w:t>21.响应文件</w:t>
      </w:r>
      <w:bookmarkEnd w:id="134"/>
      <w:r>
        <w:rPr>
          <w:rFonts w:hint="eastAsia" w:hAnsi="宋体" w:cs="宋体"/>
          <w:color w:val="000000" w:themeColor="text1"/>
          <w:szCs w:val="24"/>
          <w:highlight w:val="none"/>
          <w:u w:val="none"/>
          <w14:textFill>
            <w14:solidFill>
              <w14:schemeClr w14:val="tx1"/>
            </w14:solidFill>
          </w14:textFill>
        </w:rPr>
        <w:t>符合性审查与澄清</w:t>
      </w:r>
      <w:bookmarkEnd w:id="135"/>
      <w:bookmarkEnd w:id="136"/>
      <w:bookmarkEnd w:id="137"/>
      <w:bookmarkEnd w:id="138"/>
    </w:p>
    <w:p w14:paraId="5E57B1DD">
      <w:pPr>
        <w:spacing w:line="480" w:lineRule="exact"/>
        <w:ind w:firstLine="480"/>
        <w:rPr>
          <w:rFonts w:ascii="宋体" w:hAnsi="宋体" w:cs="宋体"/>
          <w:sz w:val="24"/>
          <w:highlight w:val="none"/>
        </w:rPr>
      </w:pPr>
      <w:bookmarkStart w:id="139" w:name="_Toc520356167"/>
      <w:r>
        <w:rPr>
          <w:rFonts w:hint="eastAsia" w:ascii="宋体" w:hAnsi="宋体" w:cs="宋体"/>
          <w:sz w:val="24"/>
          <w:highlight w:val="none"/>
        </w:rPr>
        <w:t>21.1  符合性审查是指依据竞争性磋商文件的规定，从响应文件的有效性、完整性和响应程度对竞争性磋商文件的响应程度进行审查，以确定是否对竞争性磋商文件的实质性要求做出响应。</w:t>
      </w:r>
      <w:bookmarkStart w:id="140" w:name="_Hlt522424701"/>
      <w:bookmarkEnd w:id="140"/>
    </w:p>
    <w:p w14:paraId="4AE68A6B">
      <w:pPr>
        <w:spacing w:line="480" w:lineRule="exact"/>
        <w:ind w:firstLine="480"/>
        <w:rPr>
          <w:rFonts w:ascii="宋体" w:hAnsi="宋体" w:cs="宋体"/>
          <w:sz w:val="24"/>
          <w:highlight w:val="none"/>
        </w:rPr>
      </w:pPr>
      <w:r>
        <w:rPr>
          <w:rFonts w:hint="eastAsia" w:ascii="宋体" w:hAnsi="宋体" w:cs="宋体"/>
          <w:sz w:val="24"/>
          <w:highlight w:val="none"/>
        </w:rPr>
        <w:t>21.2  经磋商小组集体审核通过，对于不符合条件的供应商要说明其不符合要求的原因，由其法定代表人或授权代表签字确认，供应商代表拒不签字的，并不影响磋商小组所做出的结论。</w:t>
      </w:r>
    </w:p>
    <w:p w14:paraId="30FCB17D">
      <w:pPr>
        <w:spacing w:line="480" w:lineRule="exact"/>
        <w:ind w:firstLine="480"/>
        <w:rPr>
          <w:rFonts w:ascii="宋体" w:hAnsi="宋体" w:cs="宋体"/>
          <w:sz w:val="24"/>
          <w:highlight w:val="none"/>
        </w:rPr>
      </w:pPr>
      <w:r>
        <w:rPr>
          <w:rFonts w:hint="eastAsia" w:ascii="宋体" w:hAnsi="宋体" w:cs="宋体"/>
          <w:sz w:val="24"/>
          <w:highlight w:val="none"/>
        </w:rPr>
        <w:t>21.3</w:t>
      </w:r>
      <w:r>
        <w:rPr>
          <w:rFonts w:hint="eastAsia" w:ascii="宋体" w:hAnsi="宋体" w:cs="宋体"/>
          <w:sz w:val="24"/>
          <w:highlight w:val="none"/>
        </w:rPr>
        <w:tab/>
      </w:r>
      <w:r>
        <w:rPr>
          <w:rFonts w:hint="eastAsia" w:ascii="宋体" w:hAnsi="宋体" w:cs="宋体"/>
          <w:sz w:val="24"/>
          <w:highlight w:val="none"/>
        </w:rPr>
        <w:t>响应文件的澄清</w:t>
      </w:r>
    </w:p>
    <w:p w14:paraId="5BABE53D">
      <w:pPr>
        <w:spacing w:line="480" w:lineRule="exact"/>
        <w:ind w:firstLine="480"/>
        <w:rPr>
          <w:rFonts w:ascii="宋体" w:hAnsi="宋体" w:cs="宋体"/>
          <w:sz w:val="24"/>
          <w:highlight w:val="none"/>
        </w:rPr>
      </w:pPr>
      <w:r>
        <w:rPr>
          <w:rFonts w:hint="eastAsia" w:ascii="宋体" w:hAnsi="宋体" w:cs="宋体"/>
          <w:sz w:val="24"/>
          <w:highlight w:val="none"/>
        </w:rPr>
        <w:t>21.3.1 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14:paraId="5059D31D">
      <w:pPr>
        <w:spacing w:line="480" w:lineRule="exact"/>
        <w:ind w:firstLine="480"/>
        <w:rPr>
          <w:rFonts w:ascii="宋体" w:hAnsi="宋体" w:cs="宋体"/>
          <w:sz w:val="24"/>
          <w:highlight w:val="none"/>
        </w:rPr>
      </w:pPr>
      <w:r>
        <w:rPr>
          <w:rFonts w:hint="eastAsia" w:ascii="宋体" w:hAnsi="宋体" w:cs="宋体"/>
          <w:sz w:val="24"/>
          <w:highlight w:val="none"/>
        </w:rPr>
        <w:t>21.3.2 供应商的澄清、说明或补正将作为响应文件的一部分。</w:t>
      </w:r>
    </w:p>
    <w:p w14:paraId="5300F3DA">
      <w:pPr>
        <w:spacing w:line="480" w:lineRule="exact"/>
        <w:ind w:firstLine="480"/>
        <w:rPr>
          <w:rFonts w:ascii="宋体" w:hAnsi="宋体" w:cs="宋体"/>
          <w:sz w:val="24"/>
          <w:highlight w:val="none"/>
        </w:rPr>
      </w:pPr>
      <w:r>
        <w:rPr>
          <w:rFonts w:hint="eastAsia" w:ascii="宋体" w:hAnsi="宋体" w:cs="宋体"/>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3C306444">
      <w:pPr>
        <w:spacing w:line="480" w:lineRule="exact"/>
        <w:ind w:firstLine="480"/>
        <w:rPr>
          <w:rFonts w:ascii="宋体" w:hAnsi="宋体" w:cs="宋体"/>
          <w:sz w:val="24"/>
          <w:highlight w:val="none"/>
        </w:rPr>
      </w:pPr>
      <w:r>
        <w:rPr>
          <w:rFonts w:hint="eastAsia" w:ascii="宋体" w:hAnsi="宋体" w:cs="宋体"/>
          <w:sz w:val="24"/>
          <w:highlight w:val="none"/>
        </w:rPr>
        <w:t>21.4  已提交响应文件的供应商，在提交最后报价之前，可以根据磋商情况退出磋商。</w:t>
      </w:r>
    </w:p>
    <w:p w14:paraId="7BDDF497">
      <w:pPr>
        <w:spacing w:line="480" w:lineRule="exact"/>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sz w:val="24"/>
          <w:highlight w:val="none"/>
        </w:rPr>
        <w:t>21.5 磋商小组可以接受响应文件中不构成实质性偏离的不正规或不一致。</w:t>
      </w:r>
    </w:p>
    <w:p w14:paraId="7853B812">
      <w:pPr>
        <w:pStyle w:val="5"/>
        <w:spacing w:before="0" w:after="0" w:line="480" w:lineRule="exact"/>
        <w:rPr>
          <w:rFonts w:hAnsi="宋体" w:cs="宋体"/>
          <w:color w:val="000000" w:themeColor="text1"/>
          <w:szCs w:val="24"/>
          <w:highlight w:val="none"/>
          <w:u w:val="none"/>
          <w14:textFill>
            <w14:solidFill>
              <w14:schemeClr w14:val="tx1"/>
            </w14:solidFill>
          </w14:textFill>
        </w:rPr>
      </w:pPr>
      <w:bookmarkStart w:id="141" w:name="_Toc515647783"/>
      <w:bookmarkStart w:id="142" w:name="_Toc6092"/>
      <w:bookmarkStart w:id="143" w:name="_Toc4950"/>
      <w:bookmarkStart w:id="144" w:name="_Toc3615"/>
      <w:r>
        <w:rPr>
          <w:rFonts w:hint="eastAsia" w:hAnsi="宋体" w:cs="宋体"/>
          <w:color w:val="000000" w:themeColor="text1"/>
          <w:szCs w:val="24"/>
          <w:highlight w:val="none"/>
          <w:u w:val="none"/>
          <w14:textFill>
            <w14:solidFill>
              <w14:schemeClr w14:val="tx1"/>
            </w14:solidFill>
          </w14:textFill>
        </w:rPr>
        <w:t>22.</w:t>
      </w:r>
      <w:bookmarkEnd w:id="141"/>
      <w:r>
        <w:rPr>
          <w:rFonts w:hint="eastAsia" w:hAnsi="宋体" w:cs="宋体"/>
          <w:color w:val="000000" w:themeColor="text1"/>
          <w:szCs w:val="24"/>
          <w:highlight w:val="none"/>
          <w:u w:val="none"/>
          <w14:textFill>
            <w14:solidFill>
              <w14:schemeClr w14:val="tx1"/>
            </w14:solidFill>
          </w14:textFill>
        </w:rPr>
        <w:t>无效</w:t>
      </w:r>
      <w:bookmarkEnd w:id="142"/>
      <w:bookmarkEnd w:id="143"/>
      <w:r>
        <w:rPr>
          <w:rFonts w:hint="eastAsia" w:hAnsi="宋体" w:cs="宋体"/>
          <w:color w:val="000000" w:themeColor="text1"/>
          <w:szCs w:val="24"/>
          <w:highlight w:val="none"/>
          <w:u w:val="none"/>
          <w14:textFill>
            <w14:solidFill>
              <w14:schemeClr w14:val="tx1"/>
            </w14:solidFill>
          </w14:textFill>
        </w:rPr>
        <w:t>响应</w:t>
      </w:r>
      <w:bookmarkEnd w:id="144"/>
    </w:p>
    <w:p w14:paraId="512FAEAF">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22.1在比较与评价之前，根据本须知的规定，磋商小组要审查每份响应文件是否实质上响应了竞争性磋商文件的要求，未实质性响应磋商文件的响应文件按无效响应处理。</w:t>
      </w:r>
    </w:p>
    <w:p w14:paraId="61FBF6C7">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22.2如发现下列情况之一的，其响应将被认定为</w:t>
      </w:r>
      <w:r>
        <w:rPr>
          <w:rFonts w:hint="eastAsia" w:ascii="宋体" w:hAnsi="宋体" w:cs="宋体"/>
          <w:bCs/>
          <w:color w:val="000000" w:themeColor="text1"/>
          <w:sz w:val="24"/>
          <w:highlight w:val="none"/>
          <w14:textFill>
            <w14:solidFill>
              <w14:schemeClr w14:val="tx1"/>
            </w14:solidFill>
          </w14:textFill>
        </w:rPr>
        <w:t>无效响应</w:t>
      </w:r>
      <w:r>
        <w:rPr>
          <w:rFonts w:hint="eastAsia" w:ascii="宋体" w:hAnsi="宋体" w:cs="宋体"/>
          <w:color w:val="000000" w:themeColor="text1"/>
          <w:sz w:val="24"/>
          <w:highlight w:val="none"/>
          <w14:textFill>
            <w14:solidFill>
              <w14:schemeClr w14:val="tx1"/>
            </w14:solidFill>
          </w14:textFill>
        </w:rPr>
        <w:t>：</w:t>
      </w:r>
    </w:p>
    <w:p w14:paraId="17464E68">
      <w:pPr>
        <w:spacing w:line="480" w:lineRule="exact"/>
        <w:ind w:firstLine="420" w:firstLineChars="175"/>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1</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未按照竞争性磋商文件规定要求签署、盖章的；</w:t>
      </w:r>
    </w:p>
    <w:p w14:paraId="76B3F04C">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（2）未满足竞争性磋商文件商务和技术条款的实质性要求的；</w:t>
      </w:r>
    </w:p>
    <w:p w14:paraId="772A72F0">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（3）违反竞争性磋商文件规定提供进口产品的；</w:t>
      </w:r>
    </w:p>
    <w:p w14:paraId="137A3BEF">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（4）未按竞争性磋商文件规定提供政府强制采购节能产品的认证证明材料的；</w:t>
      </w:r>
    </w:p>
    <w:p w14:paraId="38CBAC8D">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（5）报价超过项目预算或最高限价的；</w:t>
      </w:r>
    </w:p>
    <w:p w14:paraId="0EF92634">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（6）响应有效期不足的；</w:t>
      </w:r>
    </w:p>
    <w:p w14:paraId="70ABAF95">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（7）联合体响应文件未附联合体响应协议书的；</w:t>
      </w:r>
    </w:p>
    <w:p w14:paraId="50274004">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（8）不符合竞争性磋商文件中有关分包规定的；</w:t>
      </w:r>
    </w:p>
    <w:p w14:paraId="4CA9061F">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（9）属于串通响应，或者依法被视为串通响应；</w:t>
      </w:r>
    </w:p>
    <w:p w14:paraId="5408F615">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（10）响应文件含有采购人不能接受的附加条件的；</w:t>
      </w:r>
    </w:p>
    <w:p w14:paraId="298F9BEC">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（11）属于竞争性磋商文件规定的其他无效响应情形的；</w:t>
      </w:r>
    </w:p>
    <w:p w14:paraId="192D5620">
      <w:pPr>
        <w:tabs>
          <w:tab w:val="left" w:pos="0"/>
        </w:tabs>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（12）不符合法规和竞争性磋商文件中规定的其他实质性要求的。</w:t>
      </w:r>
    </w:p>
    <w:p w14:paraId="46C783A9">
      <w:pPr>
        <w:pStyle w:val="5"/>
        <w:spacing w:before="0" w:after="0" w:line="480" w:lineRule="exact"/>
        <w:rPr>
          <w:rFonts w:hAnsi="宋体" w:cs="宋体"/>
          <w:color w:val="000000" w:themeColor="text1"/>
          <w:szCs w:val="24"/>
          <w:highlight w:val="none"/>
          <w:u w:val="none"/>
          <w14:textFill>
            <w14:solidFill>
              <w14:schemeClr w14:val="tx1"/>
            </w14:solidFill>
          </w14:textFill>
        </w:rPr>
      </w:pPr>
      <w:bookmarkStart w:id="145" w:name="_Toc14837"/>
      <w:r>
        <w:rPr>
          <w:rFonts w:hint="eastAsia" w:hAnsi="宋体" w:cs="宋体"/>
          <w:color w:val="000000" w:themeColor="text1"/>
          <w:szCs w:val="24"/>
          <w:highlight w:val="none"/>
          <w:u w:val="none"/>
          <w14:textFill>
            <w14:solidFill>
              <w14:schemeClr w14:val="tx1"/>
            </w14:solidFill>
          </w14:textFill>
        </w:rPr>
        <w:t>23.磋商</w:t>
      </w:r>
      <w:bookmarkEnd w:id="145"/>
    </w:p>
    <w:p w14:paraId="74B19EB0">
      <w:pPr>
        <w:spacing w:line="480" w:lineRule="exact"/>
        <w:ind w:firstLine="480"/>
        <w:rPr>
          <w:rFonts w:ascii="宋体" w:hAnsi="宋体" w:cs="宋体"/>
          <w:color w:val="000000" w:themeColor="text1"/>
          <w:sz w:val="24"/>
          <w:highlight w:val="none"/>
          <w14:textFill>
            <w14:solidFill>
              <w14:schemeClr w14:val="tx1"/>
            </w14:solidFill>
          </w14:textFill>
        </w:rPr>
      </w:pPr>
      <w:bookmarkStart w:id="146" w:name="_Toc13652"/>
      <w:bookmarkStart w:id="147" w:name="_Toc22941"/>
      <w:bookmarkStart w:id="148" w:name="_Toc515647784"/>
      <w:r>
        <w:rPr>
          <w:rFonts w:hint="eastAsia" w:ascii="宋体" w:hAnsi="宋体" w:cs="宋体"/>
          <w:color w:val="000000" w:themeColor="text1"/>
          <w:sz w:val="24"/>
          <w:highlight w:val="none"/>
          <w14:textFill>
            <w14:solidFill>
              <w14:schemeClr w14:val="tx1"/>
            </w14:solidFill>
          </w14:textFill>
        </w:rPr>
        <w:t>23.1 磋商小组所有成员集中与供应商分别单独进行磋商。</w:t>
      </w:r>
    </w:p>
    <w:p w14:paraId="2F2E268C">
      <w:pPr>
        <w:spacing w:line="480" w:lineRule="exact"/>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23.2 在磋商过程中，磋商小组可以根据磋商文件和磋商情况实质性变动采购需求中的技术、服务要求以及合同条款，但不得变动磋商文件中的其他内容。实质性变动的内容，须经采购人代表确认。</w:t>
      </w:r>
    </w:p>
    <w:p w14:paraId="53F5249A">
      <w:pPr>
        <w:spacing w:line="480" w:lineRule="exact"/>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23.3 对磋商文件作出的实质性变动是磋商文件的有效组成部分，磋商小组应当及时以书面形式同时通知所有参加磋商的供应商。</w:t>
      </w:r>
    </w:p>
    <w:p w14:paraId="5632A64B">
      <w:pPr>
        <w:spacing w:line="480" w:lineRule="exact"/>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23.4 供应商应当按照磋商文件的变动情况和磋商小组的要求重新提交响应文件，并由其法定代表人/负责人或委托代理人签字。供应商为自然人的，应当由本人签字并附身份证明。</w:t>
      </w:r>
    </w:p>
    <w:p w14:paraId="49E4AEAE">
      <w:pPr>
        <w:spacing w:line="480" w:lineRule="exact"/>
        <w:ind w:firstLine="480"/>
        <w:rPr>
          <w:rFonts w:ascii="宋体" w:hAnsi="宋体" w:cs="宋体"/>
          <w:sz w:val="24"/>
          <w:highlight w:val="none"/>
        </w:rPr>
      </w:pPr>
      <w:r>
        <w:rPr>
          <w:rFonts w:hint="eastAsia" w:ascii="宋体" w:hAnsi="宋体" w:cs="宋体"/>
          <w:color w:val="000000" w:themeColor="text1"/>
          <w:sz w:val="24"/>
          <w:highlight w:val="none"/>
          <w14:textFill>
            <w14:solidFill>
              <w14:schemeClr w14:val="tx1"/>
            </w14:solidFill>
          </w14:textFill>
        </w:rPr>
        <w:t>23.5</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sz w:val="24"/>
          <w:highlight w:val="none"/>
        </w:rPr>
        <w:t>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cs="宋体"/>
          <w:b/>
          <w:bCs/>
          <w:sz w:val="24"/>
          <w:highlight w:val="none"/>
        </w:rPr>
        <w:t>分项报价按总价下浮比例同比例下调。</w:t>
      </w:r>
    </w:p>
    <w:p w14:paraId="74AC98F5">
      <w:pPr>
        <w:spacing w:line="480" w:lineRule="exact"/>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23.6</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最后报价是供应商响应文件的有效组成部分，供应商法定代表人/负责人或委托代理人对最后报价书面签字确认。节能、环保产品、中小微企业产品价格认定均按照最后报价后的浮动比例同比例进行调整。</w:t>
      </w:r>
    </w:p>
    <w:p w14:paraId="71D0A566">
      <w:pPr>
        <w:spacing w:line="480" w:lineRule="exact"/>
        <w:ind w:firstLine="48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23.7</w:t>
      </w:r>
      <w:r>
        <w:rPr>
          <w:rFonts w:hint="eastAsia" w:ascii="宋体" w:hAnsi="宋体" w:cs="宋体"/>
          <w:color w:val="000000" w:themeColor="text1"/>
          <w:sz w:val="24"/>
          <w:highlight w:val="none"/>
          <w:lang w:val="en-US"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已提交响应文件的供应商，在提交最后报价之前，可以根据磋商情况退出磋商。该退出申请由供应商法定代表人/负责人或委托代理人书面签字确认。</w:t>
      </w:r>
    </w:p>
    <w:p w14:paraId="42FE9F66">
      <w:pPr>
        <w:pStyle w:val="5"/>
        <w:spacing w:before="0" w:after="0" w:line="480" w:lineRule="exact"/>
        <w:ind w:left="14" w:hanging="14" w:hangingChars="6"/>
        <w:rPr>
          <w:rFonts w:hAnsi="宋体" w:cs="宋体"/>
          <w:color w:val="000000" w:themeColor="text1"/>
          <w:szCs w:val="24"/>
          <w:highlight w:val="none"/>
          <w:u w:val="none"/>
          <w14:textFill>
            <w14:solidFill>
              <w14:schemeClr w14:val="tx1"/>
            </w14:solidFill>
          </w14:textFill>
        </w:rPr>
      </w:pPr>
      <w:bookmarkStart w:id="149" w:name="_Toc9042"/>
      <w:r>
        <w:rPr>
          <w:rFonts w:hint="eastAsia" w:hAnsi="宋体" w:cs="宋体"/>
          <w:color w:val="000000" w:themeColor="text1"/>
          <w:szCs w:val="24"/>
          <w:highlight w:val="none"/>
          <w:u w:val="none"/>
          <w14:textFill>
            <w14:solidFill>
              <w14:schemeClr w14:val="tx1"/>
            </w14:solidFill>
          </w14:textFill>
        </w:rPr>
        <w:t>24.</w:t>
      </w:r>
      <w:bookmarkEnd w:id="139"/>
      <w:bookmarkEnd w:id="146"/>
      <w:bookmarkEnd w:id="147"/>
      <w:bookmarkEnd w:id="148"/>
      <w:r>
        <w:rPr>
          <w:rFonts w:hint="eastAsia" w:hAnsi="宋体" w:cs="宋体"/>
          <w:color w:val="000000" w:themeColor="text1"/>
          <w:szCs w:val="24"/>
          <w:highlight w:val="none"/>
          <w:u w:val="none"/>
          <w14:textFill>
            <w14:solidFill>
              <w14:schemeClr w14:val="tx1"/>
            </w14:solidFill>
          </w14:textFill>
        </w:rPr>
        <w:t>比较和评价</w:t>
      </w:r>
      <w:bookmarkEnd w:id="149"/>
    </w:p>
    <w:p w14:paraId="4D27560F">
      <w:pPr>
        <w:spacing w:line="480" w:lineRule="exact"/>
        <w:ind w:firstLine="48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24.1经磋商确定最终采购需求和提交最后报价的供应商后，磋商小组将根据竞争性磋商文件确定的评审方法和标准，对其技术部分和商务部分作进一步的比较和评价。</w:t>
      </w:r>
    </w:p>
    <w:p w14:paraId="3A8CFAC7">
      <w:pPr>
        <w:spacing w:line="480" w:lineRule="exact"/>
        <w:ind w:firstLine="48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24.2 磋商严格按照竞争性磋商文件的要求和条件进行。详细评审标准见竞争性磋商文件第5章。</w:t>
      </w:r>
    </w:p>
    <w:p w14:paraId="0E6F26C8">
      <w:pPr>
        <w:spacing w:line="480" w:lineRule="exact"/>
        <w:ind w:firstLine="48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综合评分法，是指响应文件满足竞争性磋商文件全部要求，且按照评审因素的量化指标评审得分最高的供应商为成交候选供应商的评审方法。</w:t>
      </w:r>
    </w:p>
    <w:p w14:paraId="7B4989AF">
      <w:pPr>
        <w:spacing w:line="480" w:lineRule="exact"/>
        <w:ind w:firstLine="48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24.3 根据《政府采购促进中小企业发展管理办法》（财库﹝2020﹞46 号）、《财政部司法部关于政府采购支持监狱企业发展有关问题的通知》（财库〔2014〕68号）和《三部门联合发布关于促进残疾人就业政府采购政策的通知》（</w:t>
      </w:r>
      <w:bookmarkStart w:id="150" w:name="sendNo"/>
      <w:r>
        <w:rPr>
          <w:rFonts w:hint="eastAsia" w:ascii="宋体" w:hAnsi="宋体" w:cs="宋体"/>
          <w:color w:val="000000" w:themeColor="text1"/>
          <w:sz w:val="24"/>
          <w:highlight w:val="none"/>
          <w14:textFill>
            <w14:solidFill>
              <w14:schemeClr w14:val="tx1"/>
            </w14:solidFill>
          </w14:textFill>
        </w:rPr>
        <w:t>财库〔</w:t>
      </w:r>
      <w:bookmarkEnd w:id="150"/>
      <w:r>
        <w:rPr>
          <w:rFonts w:hint="eastAsia" w:ascii="宋体" w:hAnsi="宋体" w:cs="宋体"/>
          <w:color w:val="000000" w:themeColor="text1"/>
          <w:sz w:val="24"/>
          <w:highlight w:val="none"/>
          <w14:textFill>
            <w14:solidFill>
              <w14:schemeClr w14:val="tx1"/>
            </w14:solidFill>
          </w14:textFill>
        </w:rPr>
        <w:t>2017〕141号）的规定，对满足价格扣除条件且在响应文件中提交了《供应商企业类型声明函》或省级以上监狱管理局、戒毒管理局（含新疆生产建设兵团）出具的属于监狱企业的证明文件的供应商，其响应扣除</w:t>
      </w:r>
      <w:r>
        <w:rPr>
          <w:rFonts w:hint="eastAsia" w:ascii="宋体" w:hAnsi="宋体" w:cs="宋体"/>
          <w:color w:val="000000" w:themeColor="text1"/>
          <w:sz w:val="24"/>
          <w:highlight w:val="none"/>
          <w:lang w:val="en-US" w:eastAsia="zh-CN"/>
          <w14:textFill>
            <w14:solidFill>
              <w14:schemeClr w14:val="tx1"/>
            </w14:solidFill>
          </w14:textFill>
        </w:rPr>
        <w:t>10</w:t>
      </w:r>
      <w:r>
        <w:rPr>
          <w:rFonts w:hint="eastAsia" w:ascii="宋体" w:hAnsi="宋体" w:cs="宋体"/>
          <w:color w:val="000000" w:themeColor="text1"/>
          <w:sz w:val="24"/>
          <w:highlight w:val="none"/>
          <w14:textFill>
            <w14:solidFill>
              <w14:schemeClr w14:val="tx1"/>
            </w14:solidFill>
          </w14:textFill>
        </w:rPr>
        <w:t>%后参与磋商。具体办法及比例详见竞争性磋商文件第5章。</w:t>
      </w:r>
    </w:p>
    <w:p w14:paraId="49A45BFA">
      <w:pPr>
        <w:spacing w:line="480" w:lineRule="exact"/>
        <w:ind w:firstLine="48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24.4 根据国家有关节能、环保政策，对满足加分条件且在响应文件中提交了国家确定的认证机构出具的、处于有效期之内的节能产品、环境标志产品认证证书的供应商，可给予认证产品</w:t>
      </w:r>
      <w:r>
        <w:rPr>
          <w:rFonts w:hint="eastAsia" w:ascii="宋体" w:hAnsi="宋体" w:cs="宋体"/>
          <w:color w:val="000000" w:themeColor="text1"/>
          <w:sz w:val="24"/>
          <w:highlight w:val="none"/>
          <w:lang w:val="en-US" w:eastAsia="zh-CN"/>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%的评审加分，同等条件下，优先采购认证产品。具体办法及比例详见竞争性磋商文件第5章。</w:t>
      </w:r>
    </w:p>
    <w:p w14:paraId="3ACC098A">
      <w:pPr>
        <w:pStyle w:val="5"/>
        <w:spacing w:before="0" w:after="0" w:line="480" w:lineRule="exact"/>
        <w:ind w:left="14" w:hanging="14" w:hangingChars="6"/>
        <w:rPr>
          <w:rFonts w:hAnsi="宋体" w:cs="宋体"/>
          <w:color w:val="000000" w:themeColor="text1"/>
          <w:szCs w:val="24"/>
          <w:highlight w:val="none"/>
          <w:u w:val="none"/>
          <w14:textFill>
            <w14:solidFill>
              <w14:schemeClr w14:val="tx1"/>
            </w14:solidFill>
          </w14:textFill>
        </w:rPr>
      </w:pPr>
      <w:bookmarkStart w:id="151" w:name="_Toc520356168"/>
      <w:bookmarkStart w:id="152" w:name="_Toc9378"/>
      <w:bookmarkStart w:id="153" w:name="_Toc20227"/>
      <w:bookmarkStart w:id="154" w:name="_Toc515647785"/>
      <w:bookmarkStart w:id="155" w:name="_Toc3662"/>
      <w:r>
        <w:rPr>
          <w:rFonts w:hint="eastAsia" w:hAnsi="宋体" w:cs="宋体"/>
          <w:color w:val="000000" w:themeColor="text1"/>
          <w:szCs w:val="24"/>
          <w:highlight w:val="none"/>
          <w:u w:val="none"/>
          <w14:textFill>
            <w14:solidFill>
              <w14:schemeClr w14:val="tx1"/>
            </w14:solidFill>
          </w14:textFill>
        </w:rPr>
        <w:t>2</w:t>
      </w:r>
      <w:bookmarkEnd w:id="151"/>
      <w:r>
        <w:rPr>
          <w:rFonts w:hint="eastAsia" w:hAnsi="宋体" w:cs="宋体"/>
          <w:color w:val="000000" w:themeColor="text1"/>
          <w:szCs w:val="24"/>
          <w:highlight w:val="none"/>
          <w:u w:val="none"/>
          <w14:textFill>
            <w14:solidFill>
              <w14:schemeClr w14:val="tx1"/>
            </w14:solidFill>
          </w14:textFill>
        </w:rPr>
        <w:t>5.</w:t>
      </w:r>
      <w:bookmarkEnd w:id="152"/>
      <w:bookmarkEnd w:id="153"/>
      <w:bookmarkEnd w:id="154"/>
      <w:r>
        <w:rPr>
          <w:rFonts w:hint="eastAsia" w:hAnsi="宋体" w:cs="宋体"/>
          <w:color w:val="000000" w:themeColor="text1"/>
          <w:szCs w:val="24"/>
          <w:highlight w:val="none"/>
          <w:u w:val="none"/>
          <w14:textFill>
            <w14:solidFill>
              <w14:schemeClr w14:val="tx1"/>
            </w14:solidFill>
          </w14:textFill>
        </w:rPr>
        <w:t>采购项目终止</w:t>
      </w:r>
      <w:bookmarkEnd w:id="155"/>
    </w:p>
    <w:p w14:paraId="56C86687">
      <w:pPr>
        <w:spacing w:line="480" w:lineRule="exact"/>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出现下列情形之一的，采购人应当终止竞争性磋商采购活动，发布项目终止公告并说明原因，重新开展采购活动：</w:t>
      </w:r>
    </w:p>
    <w:p w14:paraId="581D57FC">
      <w:pPr>
        <w:spacing w:line="480" w:lineRule="exact"/>
        <w:ind w:left="13" w:leftChars="6" w:firstLine="405" w:firstLineChars="169"/>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（1）因情况变化，不再符合规定的竞争性磋商采购方式适用情形的；</w:t>
      </w:r>
    </w:p>
    <w:p w14:paraId="660E53D8">
      <w:pPr>
        <w:spacing w:line="480" w:lineRule="exact"/>
        <w:ind w:left="13" w:leftChars="6" w:firstLine="405" w:firstLineChars="169"/>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（2）出现影响采购公正的违法、违规行为的；</w:t>
      </w:r>
    </w:p>
    <w:p w14:paraId="5750062B">
      <w:pPr>
        <w:spacing w:line="480" w:lineRule="exact"/>
        <w:ind w:left="13" w:leftChars="6" w:firstLine="405" w:firstLineChars="169"/>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（3）除《政府采购竞争性磋商采购方式管理暂行办法》第三条第四项规定的情形外，在采购过程中符合要求的供应商或者报价未超过采购预算的供应商不足3家的。</w:t>
      </w:r>
    </w:p>
    <w:p w14:paraId="0647E152">
      <w:pPr>
        <w:pStyle w:val="5"/>
        <w:spacing w:before="0" w:after="0" w:line="480" w:lineRule="exact"/>
        <w:ind w:left="14" w:hanging="14" w:hangingChars="6"/>
        <w:rPr>
          <w:rFonts w:hAnsi="宋体" w:cs="宋体"/>
          <w:color w:val="000000" w:themeColor="text1"/>
          <w:szCs w:val="24"/>
          <w:highlight w:val="none"/>
          <w:u w:val="none"/>
          <w14:textFill>
            <w14:solidFill>
              <w14:schemeClr w14:val="tx1"/>
            </w14:solidFill>
          </w14:textFill>
        </w:rPr>
      </w:pPr>
      <w:bookmarkStart w:id="156" w:name="_Toc24972"/>
      <w:bookmarkStart w:id="157" w:name="_Toc31289"/>
      <w:bookmarkStart w:id="158" w:name="_Toc515647786"/>
      <w:bookmarkStart w:id="159" w:name="_Toc20246"/>
      <w:bookmarkStart w:id="160" w:name="_Toc520356169"/>
      <w:r>
        <w:rPr>
          <w:rFonts w:hint="eastAsia" w:hAnsi="宋体" w:cs="宋体"/>
          <w:color w:val="000000" w:themeColor="text1"/>
          <w:szCs w:val="24"/>
          <w:highlight w:val="none"/>
          <w:u w:val="none"/>
          <w14:textFill>
            <w14:solidFill>
              <w14:schemeClr w14:val="tx1"/>
            </w14:solidFill>
          </w14:textFill>
        </w:rPr>
        <w:t>26.保密</w:t>
      </w:r>
      <w:bookmarkEnd w:id="156"/>
      <w:bookmarkEnd w:id="157"/>
      <w:bookmarkEnd w:id="158"/>
      <w:r>
        <w:rPr>
          <w:rFonts w:hint="eastAsia" w:hAnsi="宋体" w:cs="宋体"/>
          <w:color w:val="000000" w:themeColor="text1"/>
          <w:szCs w:val="24"/>
          <w:highlight w:val="none"/>
          <w:u w:val="none"/>
          <w14:textFill>
            <w14:solidFill>
              <w14:schemeClr w14:val="tx1"/>
            </w14:solidFill>
          </w14:textFill>
        </w:rPr>
        <w:t>要求</w:t>
      </w:r>
      <w:bookmarkEnd w:id="159"/>
    </w:p>
    <w:p w14:paraId="0A7AF095">
      <w:pPr>
        <w:spacing w:line="480" w:lineRule="exact"/>
        <w:ind w:left="13" w:leftChars="6" w:firstLine="405" w:firstLineChars="169"/>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26.1磋商将在严格保密的情况下进行。</w:t>
      </w:r>
    </w:p>
    <w:p w14:paraId="40BA28EE">
      <w:pPr>
        <w:spacing w:line="480" w:lineRule="exact"/>
        <w:ind w:left="13" w:leftChars="6" w:firstLine="405" w:firstLineChars="169"/>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26.2政府采购评审专家应当遵守磋商工作纪律，不得记录、复制或者带走任何评标资料，不得泄露磋商文件、磋商情况和磋商中获悉的商业秘密。</w:t>
      </w:r>
    </w:p>
    <w:p w14:paraId="63D14397">
      <w:pPr>
        <w:spacing w:line="480" w:lineRule="exact"/>
        <w:ind w:left="1080" w:leftChars="257" w:hanging="540"/>
        <w:rPr>
          <w:rFonts w:ascii="宋体" w:hAnsi="宋体" w:cs="宋体"/>
          <w:color w:val="000000" w:themeColor="text1"/>
          <w:sz w:val="24"/>
          <w:highlight w:val="none"/>
          <w14:textFill>
            <w14:solidFill>
              <w14:schemeClr w14:val="tx1"/>
            </w14:solidFill>
          </w14:textFill>
        </w:rPr>
      </w:pPr>
    </w:p>
    <w:p w14:paraId="573D6570">
      <w:pPr>
        <w:pStyle w:val="4"/>
        <w:spacing w:before="0" w:line="480" w:lineRule="exact"/>
        <w:ind w:left="565" w:leftChars="12" w:hanging="540"/>
        <w:rPr>
          <w:rFonts w:ascii="宋体" w:hAnsi="宋体" w:eastAsia="宋体" w:cs="宋体"/>
          <w:color w:val="000000" w:themeColor="text1"/>
          <w:sz w:val="28"/>
          <w:szCs w:val="28"/>
          <w:highlight w:val="none"/>
          <w14:textFill>
            <w14:solidFill>
              <w14:schemeClr w14:val="tx1"/>
            </w14:solidFill>
          </w14:textFill>
        </w:rPr>
      </w:pPr>
      <w:bookmarkStart w:id="161" w:name="_Toc216582810"/>
      <w:bookmarkStart w:id="162" w:name="_Toc23904"/>
      <w:bookmarkStart w:id="163" w:name="_Toc25271"/>
      <w:bookmarkStart w:id="164" w:name="_Toc12143"/>
      <w:bookmarkStart w:id="165" w:name="_Toc515647787"/>
      <w:r>
        <w:rPr>
          <w:rFonts w:hint="eastAsia" w:ascii="宋体" w:hAnsi="宋体" w:eastAsia="宋体" w:cs="宋体"/>
          <w:color w:val="000000" w:themeColor="text1"/>
          <w:sz w:val="28"/>
          <w:szCs w:val="28"/>
          <w:highlight w:val="none"/>
          <w14:textFill>
            <w14:solidFill>
              <w14:schemeClr w14:val="tx1"/>
            </w14:solidFill>
          </w14:textFill>
        </w:rPr>
        <w:t>六</w:t>
      </w:r>
      <w:bookmarkEnd w:id="160"/>
      <w:r>
        <w:rPr>
          <w:rFonts w:hint="eastAsia" w:ascii="宋体" w:hAnsi="宋体" w:eastAsia="宋体" w:cs="宋体"/>
          <w:color w:val="000000" w:themeColor="text1"/>
          <w:sz w:val="28"/>
          <w:szCs w:val="28"/>
          <w:highlight w:val="none"/>
          <w14:textFill>
            <w14:solidFill>
              <w14:schemeClr w14:val="tx1"/>
            </w14:solidFill>
          </w14:textFill>
        </w:rPr>
        <w:t>、确定成交</w:t>
      </w:r>
      <w:bookmarkEnd w:id="161"/>
      <w:bookmarkEnd w:id="162"/>
      <w:bookmarkEnd w:id="163"/>
      <w:bookmarkEnd w:id="164"/>
      <w:bookmarkEnd w:id="165"/>
    </w:p>
    <w:p w14:paraId="4B212CCD">
      <w:pPr>
        <w:pStyle w:val="5"/>
        <w:spacing w:before="0" w:after="0" w:line="480" w:lineRule="exact"/>
        <w:rPr>
          <w:rFonts w:hAnsi="宋体" w:cs="宋体"/>
          <w:color w:val="000000" w:themeColor="text1"/>
          <w:highlight w:val="none"/>
          <w:u w:val="none"/>
          <w14:textFill>
            <w14:solidFill>
              <w14:schemeClr w14:val="tx1"/>
            </w14:solidFill>
          </w14:textFill>
        </w:rPr>
      </w:pPr>
      <w:bookmarkStart w:id="166" w:name="_Toc23617"/>
      <w:bookmarkStart w:id="167" w:name="_Ref467307010"/>
      <w:bookmarkStart w:id="168" w:name="_Toc21594"/>
      <w:bookmarkStart w:id="169" w:name="_Toc515647788"/>
      <w:bookmarkStart w:id="170" w:name="_Toc23762"/>
      <w:bookmarkStart w:id="171" w:name="_Toc520356170"/>
      <w:r>
        <w:rPr>
          <w:rFonts w:hint="eastAsia" w:hAnsi="宋体" w:cs="宋体"/>
          <w:color w:val="000000" w:themeColor="text1"/>
          <w:highlight w:val="none"/>
          <w:u w:val="none"/>
          <w14:textFill>
            <w14:solidFill>
              <w14:schemeClr w14:val="tx1"/>
            </w14:solidFill>
          </w14:textFill>
        </w:rPr>
        <w:t>27.成交候选供应商的确定原则及标准</w:t>
      </w:r>
      <w:bookmarkEnd w:id="166"/>
      <w:bookmarkEnd w:id="167"/>
      <w:bookmarkEnd w:id="168"/>
      <w:bookmarkEnd w:id="169"/>
      <w:bookmarkEnd w:id="170"/>
      <w:bookmarkEnd w:id="171"/>
    </w:p>
    <w:p w14:paraId="7EE2AC17">
      <w:pPr>
        <w:spacing w:line="480" w:lineRule="exact"/>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除29条规定外，对实质上响应磋商文件的供应商按下列方法进行排序，确定成交候选供应商。</w:t>
      </w:r>
    </w:p>
    <w:p w14:paraId="2D53759B">
      <w:pPr>
        <w:spacing w:line="480" w:lineRule="exact"/>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14:paraId="34613CCA">
      <w:pPr>
        <w:pStyle w:val="5"/>
        <w:tabs>
          <w:tab w:val="left" w:pos="900"/>
        </w:tabs>
        <w:spacing w:before="0" w:after="0" w:line="480" w:lineRule="exact"/>
        <w:rPr>
          <w:rFonts w:hAnsi="宋体" w:cs="宋体"/>
          <w:color w:val="000000" w:themeColor="text1"/>
          <w:highlight w:val="none"/>
          <w:u w:val="none"/>
          <w14:textFill>
            <w14:solidFill>
              <w14:schemeClr w14:val="tx1"/>
            </w14:solidFill>
          </w14:textFill>
        </w:rPr>
      </w:pPr>
      <w:bookmarkStart w:id="172" w:name="_Toc23951"/>
      <w:bookmarkStart w:id="173" w:name="_Toc9653"/>
      <w:bookmarkStart w:id="174" w:name="_Toc11920"/>
      <w:bookmarkStart w:id="175" w:name="_Toc515647789"/>
      <w:r>
        <w:rPr>
          <w:rFonts w:hint="eastAsia" w:hAnsi="宋体" w:cs="宋体"/>
          <w:color w:val="000000" w:themeColor="text1"/>
          <w:highlight w:val="none"/>
          <w:u w:val="none"/>
          <w14:textFill>
            <w14:solidFill>
              <w14:schemeClr w14:val="tx1"/>
            </w14:solidFill>
          </w14:textFill>
        </w:rPr>
        <w:t>28.确定成交候选供应商和成交供应商</w:t>
      </w:r>
      <w:bookmarkEnd w:id="172"/>
      <w:bookmarkEnd w:id="173"/>
      <w:bookmarkEnd w:id="174"/>
      <w:bookmarkEnd w:id="175"/>
    </w:p>
    <w:p w14:paraId="6E8C6ECA">
      <w:pPr>
        <w:spacing w:line="480" w:lineRule="exact"/>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磋商小组将根据评标标准，按</w:t>
      </w:r>
      <w:r>
        <w:rPr>
          <w:rFonts w:hint="eastAsia" w:ascii="宋体" w:hAnsi="宋体" w:cs="宋体"/>
          <w:color w:val="000000" w:themeColor="text1"/>
          <w:sz w:val="24"/>
          <w:highlight w:val="none"/>
          <w:u w:val="single"/>
          <w14:textFill>
            <w14:solidFill>
              <w14:schemeClr w14:val="tx1"/>
            </w14:solidFill>
          </w14:textFill>
        </w:rPr>
        <w:t>供应商须知资料表中</w:t>
      </w:r>
      <w:r>
        <w:rPr>
          <w:rFonts w:hint="eastAsia" w:ascii="宋体" w:hAnsi="宋体" w:cs="宋体"/>
          <w:color w:val="000000" w:themeColor="text1"/>
          <w:sz w:val="24"/>
          <w:highlight w:val="none"/>
          <w14:textFill>
            <w14:solidFill>
              <w14:schemeClr w14:val="tx1"/>
            </w14:solidFill>
          </w14:textFill>
        </w:rPr>
        <w:t>规定数量推荐</w:t>
      </w:r>
      <w:r>
        <w:rPr>
          <w:rFonts w:hint="eastAsia" w:ascii="宋体" w:hAnsi="宋体" w:cs="宋体"/>
          <w:color w:val="000000" w:themeColor="text1"/>
          <w:sz w:val="24"/>
          <w:highlight w:val="none"/>
          <w:lang w:eastAsia="zh-CN"/>
          <w14:textFill>
            <w14:solidFill>
              <w14:schemeClr w14:val="tx1"/>
            </w14:solidFill>
          </w14:textFill>
        </w:rPr>
        <w:t>成交候选人</w:t>
      </w:r>
      <w:r>
        <w:rPr>
          <w:rFonts w:hint="eastAsia" w:ascii="宋体" w:hAnsi="宋体" w:cs="宋体"/>
          <w:color w:val="000000" w:themeColor="text1"/>
          <w:sz w:val="24"/>
          <w:highlight w:val="none"/>
          <w14:textFill>
            <w14:solidFill>
              <w14:schemeClr w14:val="tx1"/>
            </w14:solidFill>
          </w14:textFill>
        </w:rPr>
        <w:t>或根据采购人的委托直接确定成交供应商。</w:t>
      </w:r>
    </w:p>
    <w:p w14:paraId="2060D60D">
      <w:pPr>
        <w:pStyle w:val="5"/>
        <w:spacing w:before="0" w:after="0" w:line="480" w:lineRule="exact"/>
        <w:rPr>
          <w:rFonts w:hAnsi="宋体" w:cs="宋体"/>
          <w:color w:val="000000" w:themeColor="text1"/>
          <w:highlight w:val="none"/>
          <w14:textFill>
            <w14:solidFill>
              <w14:schemeClr w14:val="tx1"/>
            </w14:solidFill>
          </w14:textFill>
        </w:rPr>
      </w:pPr>
      <w:bookmarkStart w:id="176" w:name="_Toc51176613"/>
      <w:bookmarkStart w:id="177" w:name="_Toc13440"/>
      <w:r>
        <w:rPr>
          <w:rFonts w:hint="eastAsia" w:hAnsi="宋体" w:cs="宋体"/>
          <w:color w:val="000000" w:themeColor="text1"/>
          <w:highlight w:val="none"/>
          <w14:textFill>
            <w14:solidFill>
              <w14:schemeClr w14:val="tx1"/>
            </w14:solidFill>
          </w14:textFill>
        </w:rPr>
        <w:t>29.采购任务取消</w:t>
      </w:r>
      <w:bookmarkEnd w:id="176"/>
      <w:bookmarkEnd w:id="177"/>
    </w:p>
    <w:p w14:paraId="28C2024A">
      <w:pPr>
        <w:spacing w:line="480" w:lineRule="exact"/>
        <w:ind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因重大变故采购任务取消时，采购人有权拒绝任何供应商成交，对受影响的供应商不承担任何责任。</w:t>
      </w:r>
    </w:p>
    <w:p w14:paraId="169B8748">
      <w:pPr>
        <w:pStyle w:val="5"/>
        <w:spacing w:before="0" w:after="0" w:line="480" w:lineRule="exact"/>
        <w:rPr>
          <w:rFonts w:hAnsi="宋体" w:cs="宋体"/>
          <w:color w:val="000000" w:themeColor="text1"/>
          <w:highlight w:val="none"/>
          <w:u w:val="none"/>
          <w14:textFill>
            <w14:solidFill>
              <w14:schemeClr w14:val="tx1"/>
            </w14:solidFill>
          </w14:textFill>
        </w:rPr>
      </w:pPr>
      <w:bookmarkStart w:id="178" w:name="_Toc520356174"/>
      <w:bookmarkStart w:id="179" w:name="_Toc16172"/>
      <w:bookmarkStart w:id="180" w:name="_Toc19087101"/>
      <w:bookmarkStart w:id="181" w:name="_Toc518923095"/>
      <w:r>
        <w:rPr>
          <w:rFonts w:hint="eastAsia" w:hAnsi="宋体" w:cs="宋体"/>
          <w:color w:val="000000" w:themeColor="text1"/>
          <w:highlight w:val="none"/>
          <w:u w:val="none"/>
          <w14:textFill>
            <w14:solidFill>
              <w14:schemeClr w14:val="tx1"/>
            </w14:solidFill>
          </w14:textFill>
        </w:rPr>
        <w:t>30.发出成交</w:t>
      </w:r>
      <w:bookmarkEnd w:id="178"/>
      <w:r>
        <w:rPr>
          <w:rFonts w:hint="eastAsia" w:hAnsi="宋体" w:cs="宋体"/>
          <w:color w:val="000000" w:themeColor="text1"/>
          <w:highlight w:val="none"/>
          <w:u w:val="none"/>
          <w14:textFill>
            <w14:solidFill>
              <w14:schemeClr w14:val="tx1"/>
            </w14:solidFill>
          </w14:textFill>
        </w:rPr>
        <w:t>通知书</w:t>
      </w:r>
      <w:bookmarkEnd w:id="179"/>
      <w:bookmarkEnd w:id="180"/>
      <w:bookmarkEnd w:id="181"/>
    </w:p>
    <w:p w14:paraId="21829C98">
      <w:pPr>
        <w:spacing w:line="480" w:lineRule="exact"/>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在响应有效期内，成交供应商确定后，采购人或者采购代理机构按照规定应同时公告供应商未中标的原因，发布成交公告，在公告成交结果的同时，向成交供应商发出成交通知书，成交通知书是合同的组成部分。</w:t>
      </w:r>
    </w:p>
    <w:p w14:paraId="5F13062F">
      <w:pPr>
        <w:pStyle w:val="5"/>
        <w:spacing w:before="0" w:after="0" w:line="480" w:lineRule="exact"/>
        <w:rPr>
          <w:rFonts w:hAnsi="宋体" w:cs="宋体"/>
          <w:color w:val="000000" w:themeColor="text1"/>
          <w:highlight w:val="none"/>
          <w:u w:val="none"/>
          <w14:textFill>
            <w14:solidFill>
              <w14:schemeClr w14:val="tx1"/>
            </w14:solidFill>
          </w14:textFill>
        </w:rPr>
      </w:pPr>
      <w:bookmarkStart w:id="182" w:name="_Toc518923096"/>
      <w:bookmarkStart w:id="183" w:name="_Ref467307062"/>
      <w:bookmarkStart w:id="184" w:name="_Toc31518"/>
      <w:bookmarkStart w:id="185" w:name="_Ref467307204"/>
      <w:bookmarkStart w:id="186" w:name="_Ref467306978"/>
      <w:bookmarkStart w:id="187" w:name="_Toc520356175"/>
      <w:bookmarkStart w:id="188" w:name="_Toc19087104"/>
      <w:bookmarkStart w:id="189" w:name="_Ref467306377"/>
      <w:r>
        <w:rPr>
          <w:rFonts w:hint="eastAsia" w:hAnsi="宋体" w:cs="宋体"/>
          <w:color w:val="000000" w:themeColor="text1"/>
          <w:highlight w:val="none"/>
          <w:u w:val="none"/>
          <w14:textFill>
            <w14:solidFill>
              <w14:schemeClr w14:val="tx1"/>
            </w14:solidFill>
          </w14:textFill>
        </w:rPr>
        <w:t>31.签订合同</w:t>
      </w:r>
      <w:bookmarkEnd w:id="182"/>
      <w:bookmarkEnd w:id="183"/>
      <w:bookmarkEnd w:id="184"/>
      <w:bookmarkEnd w:id="185"/>
      <w:bookmarkEnd w:id="186"/>
      <w:bookmarkEnd w:id="187"/>
      <w:bookmarkEnd w:id="188"/>
      <w:bookmarkEnd w:id="189"/>
    </w:p>
    <w:p w14:paraId="23E982E3">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31.1</w:t>
      </w:r>
      <w:r>
        <w:rPr>
          <w:rFonts w:hint="eastAsia" w:ascii="宋体" w:hAnsi="宋体" w:cs="宋体"/>
          <w:color w:val="000000" w:themeColor="text1"/>
          <w:sz w:val="24"/>
          <w:highlight w:val="none"/>
          <w:lang w:eastAsia="zh-CN"/>
          <w14:textFill>
            <w14:solidFill>
              <w14:schemeClr w14:val="tx1"/>
            </w14:solidFill>
          </w14:textFill>
        </w:rPr>
        <w:t>成交供应商应当自发出成交通知书之日起10日内</w:t>
      </w:r>
      <w:r>
        <w:rPr>
          <w:rFonts w:hint="eastAsia" w:ascii="宋体" w:hAnsi="宋体" w:cs="宋体"/>
          <w:color w:val="000000" w:themeColor="text1"/>
          <w:sz w:val="24"/>
          <w:highlight w:val="none"/>
          <w14:textFill>
            <w14:solidFill>
              <w14:schemeClr w14:val="tx1"/>
            </w14:solidFill>
          </w14:textFill>
        </w:rPr>
        <w:t>，与采购人签订合同。</w:t>
      </w:r>
    </w:p>
    <w:p w14:paraId="251F72CC">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31.2</w:t>
      </w:r>
      <w:bookmarkStart w:id="190" w:name="_Ref467307090"/>
      <w:bookmarkStart w:id="191" w:name="_Ref467306425"/>
      <w:bookmarkStart w:id="192" w:name="_Toc520356176"/>
      <w:r>
        <w:rPr>
          <w:rFonts w:hint="eastAsia" w:ascii="宋体" w:hAnsi="宋体" w:cs="宋体"/>
          <w:color w:val="000000" w:themeColor="text1"/>
          <w:sz w:val="24"/>
          <w:highlight w:val="none"/>
          <w14:textFill>
            <w14:solidFill>
              <w14:schemeClr w14:val="tx1"/>
            </w14:solidFill>
          </w14:textFill>
        </w:rPr>
        <w:t>竞争性磋商文件、成交供应商的响应文件及其澄清文件等，均为签订合同的依据。</w:t>
      </w:r>
    </w:p>
    <w:p w14:paraId="296EAC55">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31.3 如成交供应商拒绝与采购人签订合同的，采购人可以按照评审报告推荐的成交候选供应商名单排序，确定下一成交候选供应商为成交供应商，也可以重新开展</w:t>
      </w:r>
      <w:r>
        <w:rPr>
          <w:rFonts w:hint="eastAsia" w:ascii="宋体" w:hAnsi="宋体" w:cs="宋体"/>
          <w:color w:val="000000" w:themeColor="text1"/>
          <w:sz w:val="24"/>
          <w:highlight w:val="none"/>
          <w:lang w:val="en-US" w:eastAsia="zh-CN"/>
          <w14:textFill>
            <w14:solidFill>
              <w14:schemeClr w14:val="tx1"/>
            </w14:solidFill>
          </w14:textFill>
        </w:rPr>
        <w:t>本次</w:t>
      </w:r>
      <w:r>
        <w:rPr>
          <w:rFonts w:hint="eastAsia" w:ascii="宋体" w:hAnsi="宋体" w:cs="宋体"/>
          <w:color w:val="000000" w:themeColor="text1"/>
          <w:sz w:val="24"/>
          <w:highlight w:val="none"/>
          <w14:textFill>
            <w14:solidFill>
              <w14:schemeClr w14:val="tx1"/>
            </w14:solidFill>
          </w14:textFill>
        </w:rPr>
        <w:t>采购活动。</w:t>
      </w:r>
    </w:p>
    <w:p w14:paraId="4F8C250B">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31.4 当出现法规规定的成交无效或成交结果无效情形时，采购人依规可与排名下一位的成交候选供应商另行签订合同，或依法重新开展采购活动。</w:t>
      </w:r>
    </w:p>
    <w:bookmarkEnd w:id="190"/>
    <w:bookmarkEnd w:id="191"/>
    <w:bookmarkEnd w:id="192"/>
    <w:p w14:paraId="591659A6">
      <w:pPr>
        <w:pStyle w:val="5"/>
        <w:spacing w:before="0" w:after="0" w:line="480" w:lineRule="exact"/>
        <w:rPr>
          <w:rFonts w:hint="eastAsia" w:hAnsi="宋体" w:cs="宋体"/>
          <w:color w:val="000000" w:themeColor="text1"/>
          <w:highlight w:val="none"/>
          <w:u w:val="none"/>
          <w14:textFill>
            <w14:solidFill>
              <w14:schemeClr w14:val="tx1"/>
            </w14:solidFill>
          </w14:textFill>
        </w:rPr>
      </w:pPr>
      <w:bookmarkStart w:id="193" w:name="_Toc518923097"/>
      <w:bookmarkStart w:id="194" w:name="_Toc24339"/>
      <w:bookmarkStart w:id="195" w:name="_Toc19087105"/>
      <w:bookmarkStart w:id="196" w:name="_Toc518923098"/>
      <w:bookmarkStart w:id="197" w:name="_Toc19087106"/>
      <w:bookmarkStart w:id="198" w:name="_Toc19016170"/>
      <w:bookmarkStart w:id="199" w:name="_Toc518923100"/>
      <w:r>
        <w:rPr>
          <w:rFonts w:hint="eastAsia" w:hAnsi="宋体" w:cs="宋体"/>
          <w:color w:val="000000" w:themeColor="text1"/>
          <w:highlight w:val="none"/>
          <w:u w:val="none"/>
          <w14:textFill>
            <w14:solidFill>
              <w14:schemeClr w14:val="tx1"/>
            </w14:solidFill>
          </w14:textFill>
        </w:rPr>
        <w:t>32.履约保证金</w:t>
      </w:r>
      <w:bookmarkEnd w:id="193"/>
      <w:bookmarkEnd w:id="194"/>
      <w:bookmarkEnd w:id="195"/>
    </w:p>
    <w:p w14:paraId="0F92E3C6">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如果需要履约保证金，成交供应商应按照供应商须知资料表规定向采购人缴纳履约保证金（如采用保函形式，格式见本章附件1）</w:t>
      </w:r>
    </w:p>
    <w:p w14:paraId="4C41B045">
      <w:pPr>
        <w:pStyle w:val="5"/>
        <w:spacing w:before="0" w:after="0" w:line="480" w:lineRule="exact"/>
        <w:rPr>
          <w:rFonts w:hAnsi="宋体" w:cs="宋体"/>
          <w:color w:val="000000" w:themeColor="text1"/>
          <w:highlight w:val="none"/>
          <w:u w:val="none"/>
          <w14:textFill>
            <w14:solidFill>
              <w14:schemeClr w14:val="tx1"/>
            </w14:solidFill>
          </w14:textFill>
        </w:rPr>
      </w:pPr>
      <w:bookmarkStart w:id="200" w:name="_Toc10439"/>
      <w:r>
        <w:rPr>
          <w:rFonts w:hint="eastAsia" w:hAnsi="宋体" w:cs="宋体"/>
          <w:color w:val="000000" w:themeColor="text1"/>
          <w:highlight w:val="none"/>
          <w:u w:val="none"/>
          <w14:textFill>
            <w14:solidFill>
              <w14:schemeClr w14:val="tx1"/>
            </w14:solidFill>
          </w14:textFill>
        </w:rPr>
        <w:t>3</w:t>
      </w:r>
      <w:r>
        <w:rPr>
          <w:rFonts w:hint="eastAsia" w:hAnsi="宋体" w:cs="宋体"/>
          <w:color w:val="000000" w:themeColor="text1"/>
          <w:highlight w:val="none"/>
          <w:u w:val="none"/>
          <w:lang w:val="en-US" w:eastAsia="zh-CN"/>
          <w14:textFill>
            <w14:solidFill>
              <w14:schemeClr w14:val="tx1"/>
            </w14:solidFill>
          </w14:textFill>
        </w:rPr>
        <w:t>3</w:t>
      </w:r>
      <w:r>
        <w:rPr>
          <w:rFonts w:hint="eastAsia" w:hAnsi="宋体" w:cs="宋体"/>
          <w:color w:val="000000" w:themeColor="text1"/>
          <w:highlight w:val="none"/>
          <w:u w:val="none"/>
          <w14:textFill>
            <w14:solidFill>
              <w14:schemeClr w14:val="tx1"/>
            </w14:solidFill>
          </w14:textFill>
        </w:rPr>
        <w:t>.</w:t>
      </w:r>
      <w:bookmarkEnd w:id="196"/>
      <w:r>
        <w:rPr>
          <w:rFonts w:hint="eastAsia" w:hAnsi="宋体" w:cs="宋体"/>
          <w:color w:val="000000" w:themeColor="text1"/>
          <w:highlight w:val="none"/>
          <w:u w:val="none"/>
          <w14:textFill>
            <w14:solidFill>
              <w14:schemeClr w14:val="tx1"/>
            </w14:solidFill>
          </w14:textFill>
        </w:rPr>
        <w:t>预付款</w:t>
      </w:r>
      <w:bookmarkEnd w:id="197"/>
      <w:bookmarkEnd w:id="198"/>
      <w:bookmarkEnd w:id="200"/>
    </w:p>
    <w:p w14:paraId="10554E6B">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33</w:t>
      </w:r>
      <w:r>
        <w:rPr>
          <w:rFonts w:hint="eastAsia" w:ascii="宋体" w:hAnsi="宋体" w:cs="宋体"/>
          <w:color w:val="000000" w:themeColor="text1"/>
          <w:sz w:val="24"/>
          <w:highlight w:val="none"/>
          <w14:textFill>
            <w14:solidFill>
              <w14:schemeClr w14:val="tx1"/>
            </w14:solidFill>
          </w14:textFill>
        </w:rPr>
        <w:t>.1预付款是在指采购合同签订后、履行前，采购人向成交供应商预先支付部分合同款项，预付款比例按照</w:t>
      </w:r>
      <w:r>
        <w:rPr>
          <w:rFonts w:hint="eastAsia" w:ascii="宋体" w:hAnsi="宋体" w:cs="宋体"/>
          <w:color w:val="000000" w:themeColor="text1"/>
          <w:sz w:val="24"/>
          <w:highlight w:val="none"/>
          <w:u w:val="single"/>
          <w14:textFill>
            <w14:solidFill>
              <w14:schemeClr w14:val="tx1"/>
            </w14:solidFill>
          </w14:textFill>
        </w:rPr>
        <w:t>供应商须知资料表</w:t>
      </w:r>
      <w:r>
        <w:rPr>
          <w:rFonts w:hint="eastAsia" w:ascii="宋体" w:hAnsi="宋体" w:cs="宋体"/>
          <w:color w:val="000000" w:themeColor="text1"/>
          <w:sz w:val="24"/>
          <w:highlight w:val="none"/>
          <w14:textFill>
            <w14:solidFill>
              <w14:schemeClr w14:val="tx1"/>
            </w14:solidFill>
          </w14:textFill>
        </w:rPr>
        <w:t>规定执行。</w:t>
      </w:r>
    </w:p>
    <w:p w14:paraId="7E46C928">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r>
        <w:rPr>
          <w:rFonts w:hint="eastAsia" w:ascii="宋体" w:hAnsi="宋体" w:cs="宋体"/>
          <w:color w:val="000000" w:themeColor="text1"/>
          <w:sz w:val="24"/>
          <w:highlight w:val="none"/>
          <w:lang w:val="en-US" w:eastAsia="zh-CN"/>
          <w14:textFill>
            <w14:solidFill>
              <w14:schemeClr w14:val="tx1"/>
            </w14:solidFill>
          </w14:textFill>
        </w:rPr>
        <w:t>3</w:t>
      </w:r>
      <w:r>
        <w:rPr>
          <w:rFonts w:hint="eastAsia" w:ascii="宋体" w:hAnsi="宋体" w:cs="宋体"/>
          <w:color w:val="000000" w:themeColor="text1"/>
          <w:sz w:val="24"/>
          <w:highlight w:val="none"/>
          <w14:textFill>
            <w14:solidFill>
              <w14:schemeClr w14:val="tx1"/>
            </w14:solidFill>
          </w14:textFill>
        </w:rPr>
        <w:t>.2本项目采购人不需要支付预付款的情形，见</w:t>
      </w:r>
      <w:r>
        <w:rPr>
          <w:rFonts w:hint="eastAsia" w:ascii="宋体" w:hAnsi="宋体" w:cs="宋体"/>
          <w:color w:val="000000" w:themeColor="text1"/>
          <w:sz w:val="24"/>
          <w:highlight w:val="none"/>
          <w:u w:val="single"/>
          <w14:textFill>
            <w14:solidFill>
              <w14:schemeClr w14:val="tx1"/>
            </w14:solidFill>
          </w14:textFill>
        </w:rPr>
        <w:t>供应商须知资料表</w:t>
      </w:r>
      <w:r>
        <w:rPr>
          <w:rFonts w:hint="eastAsia" w:ascii="宋体" w:hAnsi="宋体" w:cs="宋体"/>
          <w:color w:val="000000" w:themeColor="text1"/>
          <w:sz w:val="24"/>
          <w:highlight w:val="none"/>
          <w14:textFill>
            <w14:solidFill>
              <w14:schemeClr w14:val="tx1"/>
            </w14:solidFill>
          </w14:textFill>
        </w:rPr>
        <w:t>。</w:t>
      </w:r>
    </w:p>
    <w:p w14:paraId="446E03BD">
      <w:pPr>
        <w:pStyle w:val="5"/>
        <w:spacing w:before="0" w:after="0" w:line="480" w:lineRule="exact"/>
        <w:rPr>
          <w:rFonts w:hAnsi="宋体" w:cs="宋体"/>
          <w:color w:val="000000" w:themeColor="text1"/>
          <w:highlight w:val="none"/>
          <w:u w:val="none"/>
          <w14:textFill>
            <w14:solidFill>
              <w14:schemeClr w14:val="tx1"/>
            </w14:solidFill>
          </w14:textFill>
        </w:rPr>
      </w:pPr>
      <w:bookmarkStart w:id="201" w:name="_Toc29737"/>
      <w:bookmarkStart w:id="202" w:name="_Toc19087107"/>
      <w:r>
        <w:rPr>
          <w:rFonts w:hint="eastAsia" w:hAnsi="宋体" w:cs="宋体"/>
          <w:color w:val="000000" w:themeColor="text1"/>
          <w:highlight w:val="none"/>
          <w:u w:val="none"/>
          <w14:textFill>
            <w14:solidFill>
              <w14:schemeClr w14:val="tx1"/>
            </w14:solidFill>
          </w14:textFill>
        </w:rPr>
        <w:t>3</w:t>
      </w:r>
      <w:r>
        <w:rPr>
          <w:rFonts w:hint="eastAsia" w:hAnsi="宋体" w:cs="宋体"/>
          <w:color w:val="000000" w:themeColor="text1"/>
          <w:highlight w:val="none"/>
          <w:u w:val="none"/>
          <w:lang w:val="en-US" w:eastAsia="zh-CN"/>
          <w14:textFill>
            <w14:solidFill>
              <w14:schemeClr w14:val="tx1"/>
            </w14:solidFill>
          </w14:textFill>
        </w:rPr>
        <w:t>4</w:t>
      </w:r>
      <w:r>
        <w:rPr>
          <w:rFonts w:hint="eastAsia" w:hAnsi="宋体" w:cs="宋体"/>
          <w:color w:val="000000" w:themeColor="text1"/>
          <w:highlight w:val="none"/>
          <w:u w:val="none"/>
          <w14:textFill>
            <w14:solidFill>
              <w14:schemeClr w14:val="tx1"/>
            </w14:solidFill>
          </w14:textFill>
        </w:rPr>
        <w:t>.廉洁自律规定</w:t>
      </w:r>
      <w:bookmarkEnd w:id="199"/>
      <w:bookmarkEnd w:id="201"/>
      <w:bookmarkEnd w:id="202"/>
    </w:p>
    <w:p w14:paraId="27FED9AE">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35.1 采购代理机构工作人员不得与采购人、供应商恶意串通操纵采购活动。</w:t>
      </w:r>
    </w:p>
    <w:p w14:paraId="5D86BFC5">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35.2 采购代理机构工作人员不得接受采购人或者供应商组织的宴请、旅游、娱乐，不得收受礼品、现金、有价证券等，不得向采购人或者供应商报销应当由个人承担的费用。</w:t>
      </w:r>
    </w:p>
    <w:p w14:paraId="5C288638">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35.3 为强化采购代理机构内部监督机制，供应商可按</w:t>
      </w:r>
      <w:r>
        <w:rPr>
          <w:rFonts w:hint="eastAsia" w:ascii="宋体" w:hAnsi="宋体" w:cs="宋体"/>
          <w:color w:val="000000" w:themeColor="text1"/>
          <w:sz w:val="24"/>
          <w:highlight w:val="none"/>
          <w:u w:val="single"/>
          <w14:textFill>
            <w14:solidFill>
              <w14:schemeClr w14:val="tx1"/>
            </w14:solidFill>
          </w14:textFill>
        </w:rPr>
        <w:t>供应商须知资料表</w:t>
      </w:r>
      <w:r>
        <w:rPr>
          <w:rFonts w:hint="eastAsia" w:ascii="宋体" w:hAnsi="宋体" w:cs="宋体"/>
          <w:color w:val="000000" w:themeColor="text1"/>
          <w:sz w:val="24"/>
          <w:highlight w:val="none"/>
          <w14:textFill>
            <w14:solidFill>
              <w14:schemeClr w14:val="tx1"/>
            </w14:solidFill>
          </w14:textFill>
        </w:rPr>
        <w:t>中的监督电话和邮箱，反映采购代理机构的廉洁自律等问题。</w:t>
      </w:r>
    </w:p>
    <w:p w14:paraId="6A1B7D73">
      <w:pPr>
        <w:pStyle w:val="5"/>
        <w:spacing w:before="0" w:after="0" w:line="480" w:lineRule="exact"/>
        <w:rPr>
          <w:rFonts w:hAnsi="宋体" w:cs="宋体"/>
          <w:color w:val="000000" w:themeColor="text1"/>
          <w:highlight w:val="none"/>
          <w:u w:val="none"/>
          <w14:textFill>
            <w14:solidFill>
              <w14:schemeClr w14:val="tx1"/>
            </w14:solidFill>
          </w14:textFill>
        </w:rPr>
      </w:pPr>
      <w:bookmarkStart w:id="203" w:name="_Toc19087108"/>
      <w:bookmarkStart w:id="204" w:name="_Toc518923101"/>
      <w:bookmarkStart w:id="205" w:name="_Toc15606"/>
      <w:r>
        <w:rPr>
          <w:rFonts w:hint="eastAsia" w:hAnsi="宋体" w:cs="宋体"/>
          <w:color w:val="000000" w:themeColor="text1"/>
          <w:highlight w:val="none"/>
          <w:u w:val="none"/>
          <w14:textFill>
            <w14:solidFill>
              <w14:schemeClr w14:val="tx1"/>
            </w14:solidFill>
          </w14:textFill>
        </w:rPr>
        <w:t>3</w:t>
      </w:r>
      <w:r>
        <w:rPr>
          <w:rFonts w:hint="eastAsia" w:hAnsi="宋体" w:cs="宋体"/>
          <w:color w:val="000000" w:themeColor="text1"/>
          <w:highlight w:val="none"/>
          <w:u w:val="none"/>
          <w:lang w:val="en-US" w:eastAsia="zh-CN"/>
          <w14:textFill>
            <w14:solidFill>
              <w14:schemeClr w14:val="tx1"/>
            </w14:solidFill>
          </w14:textFill>
        </w:rPr>
        <w:t>5</w:t>
      </w:r>
      <w:r>
        <w:rPr>
          <w:rFonts w:hint="eastAsia" w:hAnsi="宋体" w:cs="宋体"/>
          <w:color w:val="000000" w:themeColor="text1"/>
          <w:highlight w:val="none"/>
          <w:u w:val="none"/>
          <w14:textFill>
            <w14:solidFill>
              <w14:schemeClr w14:val="tx1"/>
            </w14:solidFill>
          </w14:textFill>
        </w:rPr>
        <w:t>.人员回避</w:t>
      </w:r>
      <w:bookmarkEnd w:id="203"/>
      <w:bookmarkEnd w:id="204"/>
      <w:bookmarkEnd w:id="205"/>
    </w:p>
    <w:p w14:paraId="60A8A225">
      <w:pPr>
        <w:spacing w:line="480" w:lineRule="exact"/>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14:paraId="6963506D">
      <w:pPr>
        <w:pStyle w:val="5"/>
        <w:spacing w:before="0" w:after="0" w:line="480" w:lineRule="exact"/>
        <w:rPr>
          <w:rFonts w:hAnsi="宋体" w:cs="宋体"/>
          <w:color w:val="000000" w:themeColor="text1"/>
          <w:highlight w:val="none"/>
          <w:u w:val="none"/>
          <w14:textFill>
            <w14:solidFill>
              <w14:schemeClr w14:val="tx1"/>
            </w14:solidFill>
          </w14:textFill>
        </w:rPr>
      </w:pPr>
      <w:bookmarkStart w:id="206" w:name="_Toc13407"/>
      <w:bookmarkStart w:id="207" w:name="_Toc19087109"/>
      <w:bookmarkStart w:id="208" w:name="_Toc518923102"/>
      <w:r>
        <w:rPr>
          <w:rFonts w:hint="eastAsia" w:hAnsi="宋体" w:cs="宋体"/>
          <w:color w:val="000000" w:themeColor="text1"/>
          <w:highlight w:val="none"/>
          <w:u w:val="none"/>
          <w14:textFill>
            <w14:solidFill>
              <w14:schemeClr w14:val="tx1"/>
            </w14:solidFill>
          </w14:textFill>
        </w:rPr>
        <w:t>3</w:t>
      </w:r>
      <w:r>
        <w:rPr>
          <w:rFonts w:hint="eastAsia" w:hAnsi="宋体" w:cs="宋体"/>
          <w:color w:val="000000" w:themeColor="text1"/>
          <w:highlight w:val="none"/>
          <w:u w:val="none"/>
          <w:lang w:val="en-US" w:eastAsia="zh-CN"/>
          <w14:textFill>
            <w14:solidFill>
              <w14:schemeClr w14:val="tx1"/>
            </w14:solidFill>
          </w14:textFill>
        </w:rPr>
        <w:t>6</w:t>
      </w:r>
      <w:r>
        <w:rPr>
          <w:rFonts w:hint="eastAsia" w:hAnsi="宋体" w:cs="宋体"/>
          <w:color w:val="000000" w:themeColor="text1"/>
          <w:highlight w:val="none"/>
          <w:u w:val="none"/>
          <w14:textFill>
            <w14:solidFill>
              <w14:schemeClr w14:val="tx1"/>
            </w14:solidFill>
          </w14:textFill>
        </w:rPr>
        <w:t>.质疑与接收</w:t>
      </w:r>
      <w:bookmarkEnd w:id="206"/>
      <w:bookmarkEnd w:id="207"/>
      <w:bookmarkEnd w:id="208"/>
    </w:p>
    <w:p w14:paraId="64F91A12">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r>
        <w:rPr>
          <w:rFonts w:hint="eastAsia" w:ascii="宋体" w:hAnsi="宋体" w:cs="宋体"/>
          <w:color w:val="000000" w:themeColor="text1"/>
          <w:sz w:val="24"/>
          <w:highlight w:val="none"/>
          <w:lang w:val="en-US" w:eastAsia="zh-CN"/>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1供应商认为竞争性磋商文件、磋商过程和成交结果使自己的权益受到损害的，可以根据《中华人民共和国政府采购法》、《中华人民共和国政府采购法实施条例》和《政府采购质疑和投诉办法》的有关规定，依法向采购人或其委托的采购代理机构提出质疑。</w:t>
      </w:r>
    </w:p>
    <w:p w14:paraId="7BA6C791">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r>
        <w:rPr>
          <w:rFonts w:hint="eastAsia" w:ascii="宋体" w:hAnsi="宋体" w:cs="宋体"/>
          <w:color w:val="000000" w:themeColor="text1"/>
          <w:sz w:val="24"/>
          <w:highlight w:val="none"/>
          <w:lang w:val="en-US" w:eastAsia="zh-CN"/>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.2</w:t>
      </w:r>
      <w:r>
        <w:rPr>
          <w:rFonts w:hint="eastAsia" w:ascii="宋体" w:hAnsi="宋体" w:cs="宋体"/>
          <w:color w:val="000000" w:themeColor="text1"/>
          <w:sz w:val="24"/>
          <w:highlight w:val="none"/>
          <w:lang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质疑供应商应按照财政部制定的《政府采购质疑函范本》格式（可从财政部官方网站下载）和《政府采购质疑和投诉办法》的要求，在法定质疑期内以书面形式提出质疑，针对同一采购程序环节的质疑应一次性提出。</w:t>
      </w:r>
    </w:p>
    <w:p w14:paraId="66E2CEBA">
      <w:pPr>
        <w:spacing w:line="480" w:lineRule="exact"/>
        <w:ind w:firstLine="420" w:firstLineChars="17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超出法定质疑期的、重复提出的、分次提出的或内容、形式不符合《政府采购质疑和投诉办法》的，质疑供应商将依法承担不利后果。</w:t>
      </w:r>
    </w:p>
    <w:p w14:paraId="038B0F8A">
      <w:pPr>
        <w:spacing w:line="480" w:lineRule="exact"/>
        <w:ind w:firstLine="420" w:firstLineChars="175"/>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r>
        <w:rPr>
          <w:rFonts w:hint="eastAsia" w:ascii="宋体" w:hAnsi="宋体" w:cs="宋体"/>
          <w:color w:val="000000" w:themeColor="text1"/>
          <w:sz w:val="24"/>
          <w:highlight w:val="none"/>
          <w:lang w:val="en-US" w:eastAsia="zh-CN"/>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.3 采购人或采购代理机构质疑函接收部门、联系电话和通讯地址</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xml:space="preserve"> 见</w:t>
      </w:r>
      <w:r>
        <w:rPr>
          <w:rFonts w:hint="eastAsia" w:ascii="宋体" w:hAnsi="宋体" w:cs="宋体"/>
          <w:color w:val="000000" w:themeColor="text1"/>
          <w:sz w:val="24"/>
          <w:highlight w:val="none"/>
          <w:u w:val="single"/>
          <w14:textFill>
            <w14:solidFill>
              <w14:schemeClr w14:val="tx1"/>
            </w14:solidFill>
          </w14:textFill>
        </w:rPr>
        <w:t>供应商须知资料表。</w:t>
      </w:r>
    </w:p>
    <w:p w14:paraId="6656919E">
      <w:pPr>
        <w:pStyle w:val="5"/>
        <w:spacing w:before="0" w:after="0" w:line="480" w:lineRule="exact"/>
        <w:rPr>
          <w:rFonts w:hAnsi="宋体" w:cs="宋体"/>
          <w:color w:val="000000" w:themeColor="text1"/>
          <w:highlight w:val="none"/>
          <w14:textFill>
            <w14:solidFill>
              <w14:schemeClr w14:val="tx1"/>
            </w14:solidFill>
          </w14:textFill>
        </w:rPr>
      </w:pPr>
      <w:bookmarkStart w:id="209" w:name="_Toc8353"/>
      <w:bookmarkStart w:id="210" w:name="_Toc51176622"/>
      <w:r>
        <w:rPr>
          <w:rFonts w:hint="eastAsia" w:hAnsi="宋体" w:cs="宋体"/>
          <w:color w:val="000000" w:themeColor="text1"/>
          <w:highlight w:val="none"/>
          <w14:textFill>
            <w14:solidFill>
              <w14:schemeClr w14:val="tx1"/>
            </w14:solidFill>
          </w14:textFill>
        </w:rPr>
        <w:t>3</w:t>
      </w:r>
      <w:r>
        <w:rPr>
          <w:rFonts w:hint="eastAsia" w:hAnsi="宋体" w:cs="宋体"/>
          <w:color w:val="000000" w:themeColor="text1"/>
          <w:highlight w:val="none"/>
          <w:lang w:val="en-US" w:eastAsia="zh-CN"/>
          <w14:textFill>
            <w14:solidFill>
              <w14:schemeClr w14:val="tx1"/>
            </w14:solidFill>
          </w14:textFill>
        </w:rPr>
        <w:t>7</w:t>
      </w:r>
      <w:r>
        <w:rPr>
          <w:rFonts w:hint="eastAsia" w:hAnsi="宋体" w:cs="宋体"/>
          <w:color w:val="000000" w:themeColor="text1"/>
          <w:highlight w:val="none"/>
          <w14:textFill>
            <w14:solidFill>
              <w14:schemeClr w14:val="tx1"/>
            </w14:solidFill>
          </w14:textFill>
        </w:rPr>
        <w:t>.项目其他相关费用</w:t>
      </w:r>
      <w:bookmarkEnd w:id="209"/>
      <w:bookmarkEnd w:id="210"/>
    </w:p>
    <w:p w14:paraId="686F00E4">
      <w:pPr>
        <w:spacing w:line="480" w:lineRule="exact"/>
        <w:rPr>
          <w:rFonts w:ascii="宋体" w:hAnsi="宋体" w:cs="宋体"/>
          <w:color w:val="000000" w:themeColor="text1"/>
          <w:sz w:val="24"/>
          <w:highlight w:val="none"/>
          <w14:textFill>
            <w14:solidFill>
              <w14:schemeClr w14:val="tx1"/>
            </w14:solidFill>
          </w14:textFill>
        </w:rPr>
      </w:pPr>
      <w:bookmarkStart w:id="211" w:name="_Toc411637995"/>
      <w:r>
        <w:rPr>
          <w:rFonts w:hint="eastAsia" w:ascii="宋体" w:hAnsi="宋体" w:cs="宋体"/>
          <w:color w:val="000000" w:themeColor="text1"/>
          <w:sz w:val="24"/>
          <w:highlight w:val="none"/>
          <w14:textFill>
            <w14:solidFill>
              <w14:schemeClr w14:val="tx1"/>
            </w14:solidFill>
          </w14:textFill>
        </w:rPr>
        <w:t>3</w:t>
      </w:r>
      <w:r>
        <w:rPr>
          <w:rFonts w:hint="eastAsia" w:ascii="宋体" w:hAnsi="宋体" w:cs="宋体"/>
          <w:color w:val="000000" w:themeColor="text1"/>
          <w:sz w:val="24"/>
          <w:highlight w:val="none"/>
          <w:lang w:val="en-US" w:eastAsia="zh-CN"/>
          <w14:textFill>
            <w14:solidFill>
              <w14:schemeClr w14:val="tx1"/>
            </w14:solidFill>
          </w14:textFill>
        </w:rPr>
        <w:t>7</w:t>
      </w:r>
      <w:r>
        <w:rPr>
          <w:rFonts w:hint="eastAsia" w:ascii="宋体" w:hAnsi="宋体" w:cs="宋体"/>
          <w:color w:val="000000" w:themeColor="text1"/>
          <w:sz w:val="24"/>
          <w:highlight w:val="none"/>
          <w14:textFill>
            <w14:solidFill>
              <w14:schemeClr w14:val="tx1"/>
            </w14:solidFill>
          </w14:textFill>
        </w:rPr>
        <w:t>.1 成交服务费</w:t>
      </w:r>
      <w:bookmarkEnd w:id="211"/>
    </w:p>
    <w:p w14:paraId="1C8E0DC9">
      <w:pPr>
        <w:spacing w:line="480" w:lineRule="exact"/>
        <w:ind w:left="630" w:leftChars="3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成交服务费收取标准：</w:t>
      </w:r>
      <w:r>
        <w:rPr>
          <w:rFonts w:hint="eastAsia" w:ascii="宋体" w:hAnsi="宋体" w:cs="宋体"/>
          <w:color w:val="000000" w:themeColor="text1"/>
          <w:sz w:val="24"/>
          <w:highlight w:val="none"/>
          <w:u w:val="single"/>
          <w14:textFill>
            <w14:solidFill>
              <w14:schemeClr w14:val="tx1"/>
            </w14:solidFill>
          </w14:textFill>
        </w:rPr>
        <w:t>见供应商须知资料表。</w:t>
      </w:r>
    </w:p>
    <w:p w14:paraId="2EF3C0FE">
      <w:pPr>
        <w:spacing w:line="480" w:lineRule="exact"/>
        <w:rPr>
          <w:rFonts w:ascii="宋体" w:hAnsi="宋体" w:cs="宋体"/>
          <w:color w:val="000000" w:themeColor="text1"/>
          <w:sz w:val="24"/>
          <w:highlight w:val="none"/>
          <w14:textFill>
            <w14:solidFill>
              <w14:schemeClr w14:val="tx1"/>
            </w14:solidFill>
          </w14:textFill>
        </w:rPr>
      </w:pPr>
      <w:bookmarkStart w:id="212" w:name="_Toc411637996"/>
      <w:r>
        <w:rPr>
          <w:rFonts w:hint="eastAsia" w:ascii="宋体" w:hAnsi="宋体" w:cs="宋体"/>
          <w:color w:val="000000" w:themeColor="text1"/>
          <w:sz w:val="24"/>
          <w:highlight w:val="none"/>
          <w14:textFill>
            <w14:solidFill>
              <w14:schemeClr w14:val="tx1"/>
            </w14:solidFill>
          </w14:textFill>
        </w:rPr>
        <w:t>3</w:t>
      </w:r>
      <w:r>
        <w:rPr>
          <w:rFonts w:hint="eastAsia" w:ascii="宋体" w:hAnsi="宋体" w:cs="宋体"/>
          <w:color w:val="000000" w:themeColor="text1"/>
          <w:sz w:val="24"/>
          <w:highlight w:val="none"/>
          <w:lang w:val="en-US" w:eastAsia="zh-CN"/>
          <w14:textFill>
            <w14:solidFill>
              <w14:schemeClr w14:val="tx1"/>
            </w14:solidFill>
          </w14:textFill>
        </w:rPr>
        <w:t>7</w:t>
      </w:r>
      <w:r>
        <w:rPr>
          <w:rFonts w:hint="eastAsia" w:ascii="宋体" w:hAnsi="宋体" w:cs="宋体"/>
          <w:color w:val="000000" w:themeColor="text1"/>
          <w:sz w:val="24"/>
          <w:highlight w:val="none"/>
          <w14:textFill>
            <w14:solidFill>
              <w14:schemeClr w14:val="tx1"/>
            </w14:solidFill>
          </w14:textFill>
        </w:rPr>
        <w:t>.2 公证费</w:t>
      </w:r>
      <w:bookmarkEnd w:id="212"/>
      <w:r>
        <w:rPr>
          <w:rFonts w:hint="eastAsia" w:ascii="宋体" w:hAnsi="宋体" w:cs="宋体"/>
          <w:color w:val="000000" w:themeColor="text1"/>
          <w:sz w:val="24"/>
          <w:highlight w:val="none"/>
          <w14:textFill>
            <w14:solidFill>
              <w14:schemeClr w14:val="tx1"/>
            </w14:solidFill>
          </w14:textFill>
        </w:rPr>
        <w:t>/见证律师费</w:t>
      </w:r>
    </w:p>
    <w:p w14:paraId="311755FA">
      <w:pPr>
        <w:spacing w:line="480" w:lineRule="exact"/>
        <w:ind w:left="630" w:leftChars="300"/>
        <w:rPr>
          <w:rFonts w:ascii="宋体" w:hAnsi="宋体" w:cs="宋体"/>
          <w:color w:val="000000" w:themeColor="text1"/>
          <w:sz w:val="24"/>
          <w:highlight w:val="none"/>
          <w:lang w:val="en-GB"/>
          <w14:textFill>
            <w14:solidFill>
              <w14:schemeClr w14:val="tx1"/>
            </w14:solidFill>
          </w14:textFill>
        </w:rPr>
      </w:pPr>
      <w:r>
        <w:rPr>
          <w:rFonts w:hint="eastAsia" w:ascii="宋体" w:hAnsi="宋体" w:cs="宋体"/>
          <w:color w:val="000000" w:themeColor="text1"/>
          <w:sz w:val="24"/>
          <w:highlight w:val="none"/>
          <w:lang w:val="en-GB"/>
          <w14:textFill>
            <w14:solidFill>
              <w14:schemeClr w14:val="tx1"/>
            </w14:solidFill>
          </w14:textFill>
        </w:rPr>
        <w:t>公证费/见证律师费的收费标准：</w:t>
      </w:r>
      <w:r>
        <w:rPr>
          <w:rFonts w:hint="eastAsia" w:ascii="宋体" w:hAnsi="宋体" w:cs="宋体"/>
          <w:color w:val="000000" w:themeColor="text1"/>
          <w:sz w:val="24"/>
          <w:highlight w:val="none"/>
          <w:u w:val="single"/>
          <w14:textFill>
            <w14:solidFill>
              <w14:schemeClr w14:val="tx1"/>
            </w14:solidFill>
          </w14:textFill>
        </w:rPr>
        <w:t>见供应商须知资料表</w:t>
      </w:r>
      <w:r>
        <w:rPr>
          <w:rFonts w:hint="eastAsia" w:ascii="宋体" w:hAnsi="宋体" w:cs="宋体"/>
          <w:color w:val="000000" w:themeColor="text1"/>
          <w:sz w:val="24"/>
          <w:highlight w:val="none"/>
          <w:lang w:val="en-GB"/>
          <w14:textFill>
            <w14:solidFill>
              <w14:schemeClr w14:val="tx1"/>
            </w14:solidFill>
          </w14:textFill>
        </w:rPr>
        <w:t>。</w:t>
      </w:r>
    </w:p>
    <w:p w14:paraId="0868C033">
      <w:pPr>
        <w:pStyle w:val="5"/>
        <w:spacing w:before="0" w:after="0" w:line="480" w:lineRule="exact"/>
        <w:rPr>
          <w:rFonts w:hAnsi="宋体" w:cs="宋体"/>
          <w:color w:val="000000" w:themeColor="text1"/>
          <w:szCs w:val="28"/>
          <w:highlight w:val="none"/>
          <w14:textFill>
            <w14:solidFill>
              <w14:schemeClr w14:val="tx1"/>
            </w14:solidFill>
          </w14:textFill>
        </w:rPr>
      </w:pPr>
      <w:bookmarkStart w:id="213" w:name="_Toc51176623"/>
      <w:bookmarkStart w:id="214" w:name="_Toc19608"/>
      <w:r>
        <w:rPr>
          <w:rFonts w:hint="eastAsia" w:hAnsi="宋体" w:cs="宋体"/>
          <w:color w:val="000000" w:themeColor="text1"/>
          <w:szCs w:val="28"/>
          <w:highlight w:val="none"/>
          <w14:textFill>
            <w14:solidFill>
              <w14:schemeClr w14:val="tx1"/>
            </w14:solidFill>
          </w14:textFill>
        </w:rPr>
        <w:t>3</w:t>
      </w:r>
      <w:r>
        <w:rPr>
          <w:rFonts w:hint="eastAsia" w:hAnsi="宋体" w:cs="宋体"/>
          <w:color w:val="000000" w:themeColor="text1"/>
          <w:szCs w:val="28"/>
          <w:highlight w:val="none"/>
          <w:lang w:val="en-US" w:eastAsia="zh-CN"/>
          <w14:textFill>
            <w14:solidFill>
              <w14:schemeClr w14:val="tx1"/>
            </w14:solidFill>
          </w14:textFill>
        </w:rPr>
        <w:t>8</w:t>
      </w:r>
      <w:r>
        <w:rPr>
          <w:rFonts w:hint="eastAsia" w:hAnsi="宋体" w:cs="宋体"/>
          <w:color w:val="000000" w:themeColor="text1"/>
          <w:highlight w:val="none"/>
          <w14:textFill>
            <w14:solidFill>
              <w14:schemeClr w14:val="tx1"/>
            </w14:solidFill>
          </w14:textFill>
        </w:rPr>
        <w:t>.</w:t>
      </w:r>
      <w:r>
        <w:rPr>
          <w:rFonts w:hint="eastAsia" w:hAnsi="宋体" w:cs="宋体"/>
          <w:color w:val="000000" w:themeColor="text1"/>
          <w:szCs w:val="28"/>
          <w:highlight w:val="none"/>
          <w14:textFill>
            <w14:solidFill>
              <w14:schemeClr w14:val="tx1"/>
            </w14:solidFill>
          </w14:textFill>
        </w:rPr>
        <w:t>磋商文件解释权</w:t>
      </w:r>
      <w:bookmarkEnd w:id="213"/>
      <w:bookmarkEnd w:id="214"/>
    </w:p>
    <w:p w14:paraId="1EAE53AA">
      <w:pPr>
        <w:spacing w:line="480" w:lineRule="exact"/>
        <w:ind w:firstLine="480" w:firstLineChars="200"/>
        <w:rPr>
          <w:rFonts w:ascii="宋体" w:hAnsi="宋体" w:cs="宋体"/>
          <w:color w:val="000000" w:themeColor="text1"/>
          <w:sz w:val="24"/>
          <w:highlight w:val="none"/>
          <w:lang w:val="en-GB"/>
          <w14:textFill>
            <w14:solidFill>
              <w14:schemeClr w14:val="tx1"/>
            </w14:solidFill>
          </w14:textFill>
        </w:rPr>
      </w:pPr>
      <w:r>
        <w:rPr>
          <w:rFonts w:hint="eastAsia" w:ascii="宋体" w:hAnsi="宋体" w:cs="宋体"/>
          <w:color w:val="000000" w:themeColor="text1"/>
          <w:sz w:val="24"/>
          <w:highlight w:val="none"/>
          <w:u w:val="single"/>
          <w:lang w:val="en-GB"/>
          <w14:textFill>
            <w14:solidFill>
              <w14:schemeClr w14:val="tx1"/>
            </w14:solidFill>
          </w14:textFill>
        </w:rPr>
        <w:t>见</w:t>
      </w:r>
      <w:r>
        <w:rPr>
          <w:rFonts w:hint="eastAsia" w:ascii="宋体" w:hAnsi="宋体" w:cs="宋体"/>
          <w:color w:val="000000" w:themeColor="text1"/>
          <w:sz w:val="24"/>
          <w:highlight w:val="none"/>
          <w:u w:val="single"/>
          <w14:textFill>
            <w14:solidFill>
              <w14:schemeClr w14:val="tx1"/>
            </w14:solidFill>
          </w14:textFill>
        </w:rPr>
        <w:t>供应商</w:t>
      </w:r>
      <w:r>
        <w:rPr>
          <w:rFonts w:hint="eastAsia" w:ascii="宋体" w:hAnsi="宋体" w:cs="宋体"/>
          <w:color w:val="000000" w:themeColor="text1"/>
          <w:sz w:val="24"/>
          <w:highlight w:val="none"/>
          <w:u w:val="single"/>
          <w:lang w:val="en-GB"/>
          <w14:textFill>
            <w14:solidFill>
              <w14:schemeClr w14:val="tx1"/>
            </w14:solidFill>
          </w14:textFill>
        </w:rPr>
        <w:t>须知资料表</w:t>
      </w:r>
      <w:r>
        <w:rPr>
          <w:rFonts w:hint="eastAsia" w:ascii="宋体" w:hAnsi="宋体" w:cs="宋体"/>
          <w:color w:val="000000" w:themeColor="text1"/>
          <w:sz w:val="24"/>
          <w:highlight w:val="none"/>
          <w:lang w:val="en-GB"/>
          <w14:textFill>
            <w14:solidFill>
              <w14:schemeClr w14:val="tx1"/>
            </w14:solidFill>
          </w14:textFill>
        </w:rPr>
        <w:t>。</w:t>
      </w:r>
    </w:p>
    <w:p w14:paraId="4CE8BDEF">
      <w:pPr>
        <w:widowControl/>
        <w:spacing w:line="480" w:lineRule="exact"/>
        <w:jc w:val="left"/>
        <w:rPr>
          <w:rFonts w:ascii="宋体" w:hAnsi="宋体" w:cs="宋体"/>
          <w:color w:val="000000" w:themeColor="text1"/>
          <w:sz w:val="24"/>
          <w:highlight w:val="none"/>
          <w:lang w:val="en-GB"/>
          <w14:textFill>
            <w14:solidFill>
              <w14:schemeClr w14:val="tx1"/>
            </w14:solidFill>
          </w14:textFill>
        </w:rPr>
      </w:pPr>
      <w:r>
        <w:rPr>
          <w:rFonts w:hint="eastAsia" w:ascii="宋体" w:hAnsi="宋体" w:cs="宋体"/>
          <w:color w:val="000000" w:themeColor="text1"/>
          <w:sz w:val="24"/>
          <w:highlight w:val="none"/>
          <w:lang w:val="en-GB"/>
          <w14:textFill>
            <w14:solidFill>
              <w14:schemeClr w14:val="tx1"/>
            </w14:solidFill>
          </w14:textFill>
        </w:rPr>
        <w:br w:type="page"/>
      </w:r>
    </w:p>
    <w:p w14:paraId="01BF9B59">
      <w:pPr>
        <w:spacing w:line="240" w:lineRule="atLeast"/>
        <w:ind w:left="1080" w:leftChars="257" w:hanging="540"/>
        <w:jc w:val="center"/>
        <w:rPr>
          <w:rFonts w:ascii="宋体" w:hAnsi="宋体" w:cs="宋体"/>
          <w:b/>
          <w:color w:val="000000" w:themeColor="text1"/>
          <w:sz w:val="52"/>
          <w:szCs w:val="52"/>
          <w:highlight w:val="none"/>
          <w14:textFill>
            <w14:solidFill>
              <w14:schemeClr w14:val="tx1"/>
            </w14:solidFill>
          </w14:textFill>
        </w:rPr>
      </w:pPr>
    </w:p>
    <w:p w14:paraId="4347C151">
      <w:pPr>
        <w:spacing w:line="240" w:lineRule="atLeast"/>
        <w:ind w:left="1080" w:leftChars="257" w:hanging="540"/>
        <w:jc w:val="center"/>
        <w:rPr>
          <w:rFonts w:ascii="宋体" w:hAnsi="宋体" w:cs="宋体"/>
          <w:b/>
          <w:color w:val="000000" w:themeColor="text1"/>
          <w:sz w:val="52"/>
          <w:szCs w:val="52"/>
          <w:highlight w:val="none"/>
          <w14:textFill>
            <w14:solidFill>
              <w14:schemeClr w14:val="tx1"/>
            </w14:solidFill>
          </w14:textFill>
        </w:rPr>
      </w:pPr>
    </w:p>
    <w:p w14:paraId="0D40C1C0">
      <w:pPr>
        <w:spacing w:line="240" w:lineRule="atLeast"/>
        <w:ind w:left="1080" w:leftChars="257" w:hanging="540"/>
        <w:jc w:val="center"/>
        <w:rPr>
          <w:rFonts w:ascii="宋体" w:hAnsi="宋体" w:cs="宋体"/>
          <w:b/>
          <w:bCs/>
          <w:color w:val="000000" w:themeColor="text1"/>
          <w:sz w:val="70"/>
          <w:szCs w:val="52"/>
          <w:highlight w:val="none"/>
          <w14:textFill>
            <w14:solidFill>
              <w14:schemeClr w14:val="tx1"/>
            </w14:solidFill>
          </w14:textFill>
        </w:rPr>
      </w:pPr>
      <w:r>
        <w:rPr>
          <w:rFonts w:hint="eastAsia" w:ascii="宋体" w:hAnsi="宋体" w:cs="宋体"/>
          <w:b/>
          <w:bCs/>
          <w:color w:val="000000" w:themeColor="text1"/>
          <w:sz w:val="70"/>
          <w:szCs w:val="52"/>
          <w:highlight w:val="none"/>
          <w14:textFill>
            <w14:solidFill>
              <w14:schemeClr w14:val="tx1"/>
            </w14:solidFill>
          </w14:textFill>
        </w:rPr>
        <w:t>竞</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争</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性</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磋</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商</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文</w:t>
      </w:r>
      <w:r>
        <w:rPr>
          <w:rFonts w:hint="eastAsia" w:ascii="宋体" w:hAnsi="宋体" w:cs="宋体"/>
          <w:b/>
          <w:bCs/>
          <w:color w:val="000000" w:themeColor="text1"/>
          <w:sz w:val="70"/>
          <w:szCs w:val="52"/>
          <w:highlight w:val="none"/>
          <w:lang w:val="en-US" w:eastAsia="zh-CN"/>
          <w14:textFill>
            <w14:solidFill>
              <w14:schemeClr w14:val="tx1"/>
            </w14:solidFill>
          </w14:textFill>
        </w:rPr>
        <w:t xml:space="preserve"> </w:t>
      </w:r>
      <w:r>
        <w:rPr>
          <w:rFonts w:hint="eastAsia" w:ascii="宋体" w:hAnsi="宋体" w:cs="宋体"/>
          <w:b/>
          <w:bCs/>
          <w:color w:val="000000" w:themeColor="text1"/>
          <w:sz w:val="70"/>
          <w:szCs w:val="52"/>
          <w:highlight w:val="none"/>
          <w14:textFill>
            <w14:solidFill>
              <w14:schemeClr w14:val="tx1"/>
            </w14:solidFill>
          </w14:textFill>
        </w:rPr>
        <w:t>件</w:t>
      </w:r>
    </w:p>
    <w:p w14:paraId="6DE58F48">
      <w:pPr>
        <w:spacing w:line="240" w:lineRule="atLeast"/>
        <w:ind w:left="1080" w:leftChars="257" w:hanging="540"/>
        <w:jc w:val="center"/>
        <w:rPr>
          <w:rFonts w:ascii="宋体" w:hAnsi="宋体" w:cs="宋体"/>
          <w:b/>
          <w:bCs/>
          <w:color w:val="000000" w:themeColor="text1"/>
          <w:sz w:val="36"/>
          <w:szCs w:val="36"/>
          <w:highlight w:val="none"/>
          <w14:textFill>
            <w14:solidFill>
              <w14:schemeClr w14:val="tx1"/>
            </w14:solidFill>
          </w14:textFill>
        </w:rPr>
      </w:pPr>
    </w:p>
    <w:p w14:paraId="47BEB06E">
      <w:pPr>
        <w:pStyle w:val="13"/>
        <w:rPr>
          <w:color w:val="000000" w:themeColor="text1"/>
          <w:highlight w:val="none"/>
          <w14:textFill>
            <w14:solidFill>
              <w14:schemeClr w14:val="tx1"/>
            </w14:solidFill>
          </w14:textFill>
        </w:rPr>
      </w:pPr>
    </w:p>
    <w:p w14:paraId="7D6DD65E">
      <w:pPr>
        <w:spacing w:line="240" w:lineRule="atLeast"/>
        <w:ind w:left="1080" w:leftChars="257" w:hanging="540"/>
        <w:jc w:val="center"/>
        <w:rPr>
          <w:rFonts w:ascii="宋体" w:hAnsi="宋体" w:cs="宋体"/>
          <w:b/>
          <w:color w:val="000000" w:themeColor="text1"/>
          <w:sz w:val="32"/>
          <w:szCs w:val="32"/>
          <w:highlight w:val="none"/>
          <w14:textFill>
            <w14:solidFill>
              <w14:schemeClr w14:val="tx1"/>
            </w14:solidFill>
          </w14:textFill>
        </w:rPr>
      </w:pPr>
    </w:p>
    <w:p w14:paraId="3466348B">
      <w:pPr>
        <w:spacing w:line="240" w:lineRule="atLeast"/>
        <w:ind w:left="1080" w:leftChars="257" w:hanging="540"/>
        <w:rPr>
          <w:rFonts w:ascii="宋体" w:hAnsi="宋体" w:cs="宋体"/>
          <w:b/>
          <w:color w:val="000000" w:themeColor="text1"/>
          <w:sz w:val="28"/>
          <w:highlight w:val="none"/>
          <w14:textFill>
            <w14:solidFill>
              <w14:schemeClr w14:val="tx1"/>
            </w14:solidFill>
          </w14:textFill>
        </w:rPr>
      </w:pPr>
    </w:p>
    <w:p w14:paraId="5460AB43">
      <w:pPr>
        <w:spacing w:line="240" w:lineRule="atLeast"/>
        <w:ind w:left="1080" w:leftChars="257" w:hanging="540"/>
        <w:jc w:val="center"/>
        <w:rPr>
          <w:rFonts w:ascii="宋体" w:hAnsi="宋体" w:cs="宋体"/>
          <w:b/>
          <w:color w:val="000000" w:themeColor="text1"/>
          <w:sz w:val="36"/>
          <w:szCs w:val="36"/>
          <w:highlight w:val="none"/>
          <w14:textFill>
            <w14:solidFill>
              <w14:schemeClr w14:val="tx1"/>
            </w14:solidFill>
          </w14:textFill>
        </w:rPr>
      </w:pPr>
      <w:r>
        <w:rPr>
          <w:rFonts w:hint="eastAsia" w:ascii="宋体" w:hAnsi="宋体" w:cs="宋体"/>
          <w:b/>
          <w:color w:val="000000" w:themeColor="text1"/>
          <w:sz w:val="36"/>
          <w:szCs w:val="36"/>
          <w:highlight w:val="none"/>
          <w14:textFill>
            <w14:solidFill>
              <w14:schemeClr w14:val="tx1"/>
            </w14:solidFill>
          </w14:textFill>
        </w:rPr>
        <w:t>第</w:t>
      </w:r>
      <w:r>
        <w:rPr>
          <w:rFonts w:hint="eastAsia" w:ascii="宋体" w:hAnsi="宋体" w:cs="宋体"/>
          <w:b/>
          <w:color w:val="000000" w:themeColor="text1"/>
          <w:sz w:val="36"/>
          <w:szCs w:val="36"/>
          <w:highlight w:val="none"/>
          <w:lang w:val="en-US" w:eastAsia="zh-CN"/>
          <w14:textFill>
            <w14:solidFill>
              <w14:schemeClr w14:val="tx1"/>
            </w14:solidFill>
          </w14:textFill>
        </w:rPr>
        <w:t>二</w:t>
      </w:r>
      <w:r>
        <w:rPr>
          <w:rFonts w:hint="eastAsia" w:ascii="宋体" w:hAnsi="宋体" w:cs="宋体"/>
          <w:b/>
          <w:color w:val="000000" w:themeColor="text1"/>
          <w:sz w:val="36"/>
          <w:szCs w:val="36"/>
          <w:highlight w:val="none"/>
          <w14:textFill>
            <w14:solidFill>
              <w14:schemeClr w14:val="tx1"/>
            </w14:solidFill>
          </w14:textFill>
        </w:rPr>
        <w:t>册</w:t>
      </w:r>
    </w:p>
    <w:p w14:paraId="24F96823">
      <w:pPr>
        <w:spacing w:line="240" w:lineRule="atLeast"/>
        <w:ind w:left="1080" w:leftChars="257" w:hanging="540"/>
        <w:jc w:val="center"/>
        <w:rPr>
          <w:rFonts w:ascii="宋体" w:hAnsi="宋体" w:cs="宋体"/>
          <w:b/>
          <w:color w:val="000000" w:themeColor="text1"/>
          <w:sz w:val="52"/>
          <w:highlight w:val="none"/>
          <w14:textFill>
            <w14:solidFill>
              <w14:schemeClr w14:val="tx1"/>
            </w14:solidFill>
          </w14:textFill>
        </w:rPr>
      </w:pPr>
    </w:p>
    <w:p w14:paraId="3482FE6A">
      <w:pPr>
        <w:spacing w:line="240" w:lineRule="atLeast"/>
        <w:ind w:left="1080" w:leftChars="257" w:hanging="540"/>
        <w:jc w:val="center"/>
        <w:rPr>
          <w:rFonts w:ascii="宋体" w:hAnsi="宋体" w:cs="宋体"/>
          <w:b/>
          <w:color w:val="000000" w:themeColor="text1"/>
          <w:sz w:val="52"/>
          <w:highlight w:val="none"/>
          <w14:textFill>
            <w14:solidFill>
              <w14:schemeClr w14:val="tx1"/>
            </w14:solidFill>
          </w14:textFill>
        </w:rPr>
      </w:pPr>
    </w:p>
    <w:p w14:paraId="47C60922">
      <w:pPr>
        <w:spacing w:line="360" w:lineRule="auto"/>
        <w:ind w:left="417" w:leftChars="93" w:hanging="222" w:hangingChars="69"/>
        <w:jc w:val="left"/>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cs="宋体"/>
          <w:b/>
          <w:color w:val="000000" w:themeColor="text1"/>
          <w:sz w:val="32"/>
          <w:szCs w:val="32"/>
          <w:highlight w:val="none"/>
          <w:lang w:eastAsia="zh-CN"/>
          <w14:textFill>
            <w14:solidFill>
              <w14:schemeClr w14:val="tx1"/>
            </w14:solidFill>
          </w14:textFill>
        </w:rPr>
        <w:t>项目编号：SDCS2025110</w:t>
      </w:r>
    </w:p>
    <w:p w14:paraId="16DD5EF1">
      <w:pPr>
        <w:spacing w:line="360" w:lineRule="auto"/>
        <w:ind w:left="1702" w:leftChars="93" w:hanging="1507" w:hangingChars="469"/>
        <w:jc w:val="left"/>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项目名称：</w:t>
      </w:r>
      <w:r>
        <w:rPr>
          <w:rFonts w:hint="eastAsia" w:ascii="宋体" w:hAnsi="宋体" w:cs="宋体"/>
          <w:b/>
          <w:color w:val="000000" w:themeColor="text1"/>
          <w:sz w:val="32"/>
          <w:szCs w:val="32"/>
          <w:highlight w:val="none"/>
          <w:lang w:eastAsia="zh-CN"/>
          <w14:textFill>
            <w14:solidFill>
              <w14:schemeClr w14:val="tx1"/>
            </w14:solidFill>
          </w14:textFill>
        </w:rPr>
        <w:t>临沂大学沂水校区直饮水项目</w:t>
      </w:r>
    </w:p>
    <w:p w14:paraId="4E4BB3F6">
      <w:pPr>
        <w:spacing w:line="360" w:lineRule="auto"/>
        <w:ind w:firstLine="3148" w:firstLineChars="980"/>
        <w:jc w:val="left"/>
        <w:rPr>
          <w:rFonts w:ascii="宋体" w:hAnsi="宋体" w:cs="宋体"/>
          <w:b/>
          <w:color w:val="000000" w:themeColor="text1"/>
          <w:sz w:val="32"/>
          <w:szCs w:val="32"/>
          <w:highlight w:val="none"/>
          <w:u w:val="single"/>
          <w14:textFill>
            <w14:solidFill>
              <w14:schemeClr w14:val="tx1"/>
            </w14:solidFill>
          </w14:textFill>
        </w:rPr>
      </w:pPr>
    </w:p>
    <w:p w14:paraId="7A5CD7DA">
      <w:pPr>
        <w:spacing w:line="240" w:lineRule="atLeast"/>
        <w:ind w:left="1080" w:leftChars="257" w:hanging="540"/>
        <w:jc w:val="center"/>
        <w:rPr>
          <w:rFonts w:ascii="宋体" w:hAnsi="宋体" w:cs="宋体"/>
          <w:b/>
          <w:color w:val="000000" w:themeColor="text1"/>
          <w:sz w:val="32"/>
          <w:szCs w:val="32"/>
          <w:highlight w:val="none"/>
          <w14:textFill>
            <w14:solidFill>
              <w14:schemeClr w14:val="tx1"/>
            </w14:solidFill>
          </w14:textFill>
        </w:rPr>
      </w:pPr>
    </w:p>
    <w:p w14:paraId="79AD3BB4">
      <w:pPr>
        <w:spacing w:line="240" w:lineRule="atLeast"/>
        <w:ind w:left="1080" w:leftChars="257" w:hanging="540"/>
        <w:jc w:val="center"/>
        <w:rPr>
          <w:rFonts w:ascii="宋体" w:hAnsi="宋体" w:cs="宋体"/>
          <w:b/>
          <w:color w:val="000000" w:themeColor="text1"/>
          <w:sz w:val="32"/>
          <w:szCs w:val="32"/>
          <w:highlight w:val="none"/>
          <w14:textFill>
            <w14:solidFill>
              <w14:schemeClr w14:val="tx1"/>
            </w14:solidFill>
          </w14:textFill>
        </w:rPr>
      </w:pPr>
    </w:p>
    <w:p w14:paraId="05FBD4BE">
      <w:pPr>
        <w:pStyle w:val="40"/>
        <w:rPr>
          <w:rFonts w:ascii="宋体" w:hAnsi="宋体" w:cs="宋体"/>
          <w:b/>
          <w:color w:val="000000" w:themeColor="text1"/>
          <w:sz w:val="32"/>
          <w:szCs w:val="32"/>
          <w:highlight w:val="none"/>
          <w14:textFill>
            <w14:solidFill>
              <w14:schemeClr w14:val="tx1"/>
            </w14:solidFill>
          </w14:textFill>
        </w:rPr>
      </w:pPr>
    </w:p>
    <w:p w14:paraId="3ED4AEFA">
      <w:pPr>
        <w:pStyle w:val="40"/>
        <w:rPr>
          <w:rFonts w:ascii="宋体" w:hAnsi="宋体" w:cs="宋体"/>
          <w:b/>
          <w:color w:val="000000" w:themeColor="text1"/>
          <w:sz w:val="32"/>
          <w:szCs w:val="32"/>
          <w:highlight w:val="none"/>
          <w14:textFill>
            <w14:solidFill>
              <w14:schemeClr w14:val="tx1"/>
            </w14:solidFill>
          </w14:textFill>
        </w:rPr>
      </w:pPr>
    </w:p>
    <w:p w14:paraId="6F651B57">
      <w:pPr>
        <w:pStyle w:val="40"/>
        <w:rPr>
          <w:rFonts w:ascii="宋体" w:hAnsi="宋体" w:cs="宋体"/>
          <w:b/>
          <w:color w:val="000000" w:themeColor="text1"/>
          <w:sz w:val="32"/>
          <w:szCs w:val="32"/>
          <w:highlight w:val="none"/>
          <w14:textFill>
            <w14:solidFill>
              <w14:schemeClr w14:val="tx1"/>
            </w14:solidFill>
          </w14:textFill>
        </w:rPr>
      </w:pPr>
    </w:p>
    <w:p w14:paraId="44785B4B">
      <w:pPr>
        <w:spacing w:line="240" w:lineRule="atLeast"/>
        <w:ind w:left="1080" w:leftChars="257" w:hanging="540"/>
        <w:jc w:val="center"/>
        <w:rPr>
          <w:rFonts w:ascii="宋体" w:hAnsi="宋体" w:cs="宋体"/>
          <w:b/>
          <w:color w:val="000000" w:themeColor="text1"/>
          <w:sz w:val="32"/>
          <w:szCs w:val="32"/>
          <w:highlight w:val="none"/>
          <w14:textFill>
            <w14:solidFill>
              <w14:schemeClr w14:val="tx1"/>
            </w14:solidFill>
          </w14:textFill>
        </w:rPr>
      </w:pPr>
    </w:p>
    <w:p w14:paraId="7B6E301E">
      <w:pPr>
        <w:spacing w:line="360" w:lineRule="auto"/>
        <w:ind w:firstLine="1285" w:firstLineChars="400"/>
        <w:rPr>
          <w:rFonts w:hint="eastAsia" w:ascii="宋体" w:hAnsi="宋体" w:eastAsia="宋体" w:cs="宋体"/>
          <w:b/>
          <w:bCs/>
          <w:color w:val="000000" w:themeColor="text1"/>
          <w:sz w:val="32"/>
          <w:szCs w:val="32"/>
          <w:highlight w:val="none"/>
          <w:lang w:eastAsia="zh-CN"/>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采   购   人：</w:t>
      </w:r>
      <w:r>
        <w:rPr>
          <w:rFonts w:hint="eastAsia" w:ascii="宋体" w:hAnsi="宋体" w:cs="宋体"/>
          <w:b/>
          <w:color w:val="000000" w:themeColor="text1"/>
          <w:sz w:val="32"/>
          <w:szCs w:val="32"/>
          <w:highlight w:val="none"/>
          <w:lang w:eastAsia="zh-CN"/>
          <w14:textFill>
            <w14:solidFill>
              <w14:schemeClr w14:val="tx1"/>
            </w14:solidFill>
          </w14:textFill>
        </w:rPr>
        <w:t>临沂大学</w:t>
      </w:r>
    </w:p>
    <w:p w14:paraId="44A3CF65">
      <w:pPr>
        <w:spacing w:line="360" w:lineRule="auto"/>
        <w:ind w:firstLine="1282" w:firstLineChars="399"/>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采购代理机构：临沂市沂蒙国际招标有限公司</w:t>
      </w:r>
    </w:p>
    <w:p w14:paraId="3639B27F">
      <w:pPr>
        <w:spacing w:line="240" w:lineRule="atLeast"/>
        <w:ind w:left="1080" w:leftChars="257" w:hanging="540"/>
        <w:rPr>
          <w:rFonts w:ascii="宋体" w:hAnsi="宋体" w:cs="宋体"/>
          <w:b/>
          <w:color w:val="000000" w:themeColor="text1"/>
          <w:szCs w:val="21"/>
          <w:highlight w:val="none"/>
          <w14:textFill>
            <w14:solidFill>
              <w14:schemeClr w14:val="tx1"/>
            </w14:solidFill>
          </w14:textFill>
        </w:rPr>
      </w:pPr>
    </w:p>
    <w:p w14:paraId="3002EF7B">
      <w:pPr>
        <w:spacing w:line="240" w:lineRule="atLeast"/>
        <w:ind w:left="1075" w:leftChars="512" w:firstLine="596" w:firstLineChars="198"/>
        <w:rPr>
          <w:rFonts w:ascii="宋体" w:hAnsi="宋体" w:cs="宋体"/>
          <w:b/>
          <w:bCs/>
          <w:color w:val="000000" w:themeColor="text1"/>
          <w:sz w:val="30"/>
          <w:szCs w:val="30"/>
          <w:highlight w:val="none"/>
          <w14:textFill>
            <w14:solidFill>
              <w14:schemeClr w14:val="tx1"/>
            </w14:solidFill>
          </w14:textFill>
        </w:rPr>
      </w:pPr>
    </w:p>
    <w:p w14:paraId="0B42AF8C">
      <w:pPr>
        <w:spacing w:line="240" w:lineRule="atLeast"/>
        <w:ind w:left="1075" w:leftChars="512" w:firstLine="636" w:firstLineChars="198"/>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发出日期：</w:t>
      </w:r>
      <w:r>
        <w:rPr>
          <w:rFonts w:hint="eastAsia" w:ascii="宋体" w:hAnsi="宋体" w:cs="宋体"/>
          <w:b/>
          <w:bCs/>
          <w:color w:val="000000" w:themeColor="text1"/>
          <w:sz w:val="32"/>
          <w:szCs w:val="32"/>
          <w:highlight w:val="none"/>
          <w:lang w:eastAsia="zh-CN"/>
          <w14:textFill>
            <w14:solidFill>
              <w14:schemeClr w14:val="tx1"/>
            </w14:solidFill>
          </w14:textFill>
        </w:rPr>
        <w:t>二〇二五年</w:t>
      </w:r>
      <w:r>
        <w:rPr>
          <w:rFonts w:hint="eastAsia" w:ascii="宋体" w:hAnsi="宋体" w:cs="宋体"/>
          <w:b/>
          <w:bCs/>
          <w:color w:val="000000" w:themeColor="text1"/>
          <w:sz w:val="32"/>
          <w:szCs w:val="32"/>
          <w:highlight w:val="none"/>
          <w:lang w:val="en-US" w:eastAsia="zh-CN"/>
          <w14:textFill>
            <w14:solidFill>
              <w14:schemeClr w14:val="tx1"/>
            </w14:solidFill>
          </w14:textFill>
        </w:rPr>
        <w:t>八</w:t>
      </w:r>
      <w:r>
        <w:rPr>
          <w:rFonts w:hint="eastAsia" w:ascii="宋体" w:hAnsi="宋体" w:cs="宋体"/>
          <w:b/>
          <w:bCs/>
          <w:color w:val="000000" w:themeColor="text1"/>
          <w:sz w:val="32"/>
          <w:szCs w:val="32"/>
          <w:highlight w:val="none"/>
          <w:lang w:eastAsia="zh-CN"/>
          <w14:textFill>
            <w14:solidFill>
              <w14:schemeClr w14:val="tx1"/>
            </w14:solidFill>
          </w14:textFill>
        </w:rPr>
        <w:t>月</w:t>
      </w:r>
      <w:r>
        <w:rPr>
          <w:rFonts w:hint="eastAsia" w:ascii="宋体" w:hAnsi="宋体" w:cs="宋体"/>
          <w:b/>
          <w:bCs/>
          <w:color w:val="000000" w:themeColor="text1"/>
          <w:sz w:val="32"/>
          <w:szCs w:val="32"/>
          <w:highlight w:val="none"/>
          <w:lang w:val="en-US" w:eastAsia="zh-CN"/>
          <w14:textFill>
            <w14:solidFill>
              <w14:schemeClr w14:val="tx1"/>
            </w14:solidFill>
          </w14:textFill>
        </w:rPr>
        <w:t>七</w:t>
      </w:r>
      <w:r>
        <w:rPr>
          <w:rFonts w:hint="eastAsia" w:ascii="宋体" w:hAnsi="宋体" w:cs="宋体"/>
          <w:b/>
          <w:bCs/>
          <w:color w:val="000000" w:themeColor="text1"/>
          <w:sz w:val="32"/>
          <w:szCs w:val="32"/>
          <w:highlight w:val="none"/>
          <w:lang w:eastAsia="zh-CN"/>
          <w14:textFill>
            <w14:solidFill>
              <w14:schemeClr w14:val="tx1"/>
            </w14:solidFill>
          </w14:textFill>
        </w:rPr>
        <w:t xml:space="preserve">日 </w:t>
      </w:r>
    </w:p>
    <w:p w14:paraId="0B69C6BE">
      <w:pPr>
        <w:spacing w:line="360" w:lineRule="exact"/>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 w:val="52"/>
          <w:highlight w:val="none"/>
          <w14:textFill>
            <w14:solidFill>
              <w14:schemeClr w14:val="tx1"/>
            </w14:solidFill>
          </w14:textFill>
        </w:rPr>
        <w:br w:type="page"/>
      </w:r>
    </w:p>
    <w:p w14:paraId="3F27A522">
      <w:pPr>
        <w:spacing w:line="360" w:lineRule="exact"/>
        <w:ind w:left="1079" w:leftChars="257" w:hanging="539"/>
        <w:jc w:val="center"/>
        <w:rPr>
          <w:rFonts w:ascii="宋体" w:hAnsi="宋体" w:cs="宋体"/>
          <w:b/>
          <w:color w:val="000000" w:themeColor="text1"/>
          <w:sz w:val="32"/>
          <w:szCs w:val="32"/>
          <w:highlight w:val="none"/>
          <w14:textFill>
            <w14:solidFill>
              <w14:schemeClr w14:val="tx1"/>
            </w14:solidFill>
          </w14:textFill>
        </w:rPr>
      </w:pPr>
    </w:p>
    <w:p w14:paraId="286A9473">
      <w:pPr>
        <w:pStyle w:val="3"/>
        <w:tabs>
          <w:tab w:val="left" w:pos="0"/>
        </w:tabs>
        <w:spacing w:before="0" w:after="0" w:line="240" w:lineRule="atLeast"/>
        <w:rPr>
          <w:rFonts w:hAnsi="宋体" w:cs="宋体"/>
          <w:color w:val="000000" w:themeColor="text1"/>
          <w:highlight w:val="none"/>
          <w14:textFill>
            <w14:solidFill>
              <w14:schemeClr w14:val="tx1"/>
            </w14:solidFill>
          </w14:textFill>
        </w:rPr>
      </w:pPr>
      <w:bookmarkStart w:id="215" w:name="_Toc32241"/>
      <w:r>
        <w:rPr>
          <w:rFonts w:hint="eastAsia" w:hAnsi="宋体" w:cs="宋体"/>
          <w:color w:val="000000" w:themeColor="text1"/>
          <w:highlight w:val="none"/>
          <w14:textFill>
            <w14:solidFill>
              <w14:schemeClr w14:val="tx1"/>
            </w14:solidFill>
          </w14:textFill>
        </w:rPr>
        <w:t>第2章</w:t>
      </w:r>
      <w:bookmarkStart w:id="216" w:name="_Toc4766813"/>
      <w:r>
        <w:rPr>
          <w:rFonts w:hint="eastAsia" w:hAnsi="宋体" w:cs="宋体"/>
          <w:color w:val="000000" w:themeColor="text1"/>
          <w:highlight w:val="none"/>
          <w14:textFill>
            <w14:solidFill>
              <w14:schemeClr w14:val="tx1"/>
            </w14:solidFill>
          </w14:textFill>
        </w:rPr>
        <w:t xml:space="preserve">  采购邀请</w:t>
      </w:r>
      <w:bookmarkEnd w:id="215"/>
      <w:bookmarkEnd w:id="216"/>
    </w:p>
    <w:p w14:paraId="089E3E2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临沂市沂蒙国际招标有限公司受</w:t>
      </w:r>
      <w:r>
        <w:rPr>
          <w:rFonts w:hint="eastAsia" w:ascii="宋体" w:hAnsi="宋体" w:cs="宋体"/>
          <w:color w:val="000000" w:themeColor="text1"/>
          <w:sz w:val="24"/>
          <w:highlight w:val="none"/>
          <w:lang w:eastAsia="zh-CN"/>
          <w14:textFill>
            <w14:solidFill>
              <w14:schemeClr w14:val="tx1"/>
            </w14:solidFill>
          </w14:textFill>
        </w:rPr>
        <w:t>临沂大学</w:t>
      </w:r>
      <w:r>
        <w:rPr>
          <w:rFonts w:hint="eastAsia" w:ascii="宋体" w:hAnsi="宋体" w:cs="宋体"/>
          <w:color w:val="000000" w:themeColor="text1"/>
          <w:sz w:val="24"/>
          <w:highlight w:val="none"/>
          <w14:textFill>
            <w14:solidFill>
              <w14:schemeClr w14:val="tx1"/>
            </w14:solidFill>
          </w14:textFill>
        </w:rPr>
        <w:t>委托，对下述内容进行国内竞争性磋商。现邀请合格的供应商前来响应。</w:t>
      </w:r>
    </w:p>
    <w:p w14:paraId="32E6B30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themeColor="text1"/>
          <w:sz w:val="24"/>
          <w:highlight w:val="none"/>
          <w14:textFill>
            <w14:solidFill>
              <w14:schemeClr w14:val="tx1"/>
            </w14:solidFill>
          </w14:textFill>
        </w:rPr>
      </w:pPr>
      <w:bookmarkStart w:id="217" w:name="_Toc35393621"/>
      <w:bookmarkStart w:id="218" w:name="_Toc28359079"/>
      <w:bookmarkStart w:id="219" w:name="_Toc28359002"/>
      <w:bookmarkStart w:id="220" w:name="_Toc35393790"/>
      <w:bookmarkStart w:id="221" w:name="_Hlk24379207"/>
      <w:r>
        <w:rPr>
          <w:rFonts w:hint="eastAsia" w:ascii="宋体" w:hAnsi="宋体" w:eastAsia="宋体" w:cs="宋体"/>
          <w:color w:val="000000" w:themeColor="text1"/>
          <w:sz w:val="24"/>
          <w:highlight w:val="none"/>
          <w14:textFill>
            <w14:solidFill>
              <w14:schemeClr w14:val="tx1"/>
            </w14:solidFill>
          </w14:textFill>
        </w:rPr>
        <w:t>一、项目基本情况</w:t>
      </w:r>
      <w:bookmarkEnd w:id="217"/>
      <w:bookmarkEnd w:id="218"/>
      <w:bookmarkEnd w:id="219"/>
      <w:bookmarkEnd w:id="220"/>
    </w:p>
    <w:bookmarkEnd w:id="221"/>
    <w:p w14:paraId="28D611A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项目编号：</w:t>
      </w:r>
      <w:r>
        <w:rPr>
          <w:rFonts w:hint="eastAsia" w:ascii="宋体" w:hAnsi="宋体" w:cs="宋体"/>
          <w:color w:val="000000" w:themeColor="text1"/>
          <w:sz w:val="24"/>
          <w:highlight w:val="none"/>
          <w:lang w:eastAsia="zh-CN"/>
          <w14:textFill>
            <w14:solidFill>
              <w14:schemeClr w14:val="tx1"/>
            </w14:solidFill>
          </w14:textFill>
        </w:rPr>
        <w:t>SDCS2025110</w:t>
      </w:r>
    </w:p>
    <w:p w14:paraId="3588769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项目名称：</w:t>
      </w:r>
      <w:r>
        <w:rPr>
          <w:rFonts w:hint="eastAsia" w:ascii="宋体" w:hAnsi="宋体" w:cs="宋体"/>
          <w:color w:val="000000" w:themeColor="text1"/>
          <w:sz w:val="24"/>
          <w:highlight w:val="none"/>
          <w:lang w:eastAsia="zh-CN"/>
          <w14:textFill>
            <w14:solidFill>
              <w14:schemeClr w14:val="tx1"/>
            </w14:solidFill>
          </w14:textFill>
        </w:rPr>
        <w:t>临沂大学沂水校区直饮水项目</w:t>
      </w:r>
    </w:p>
    <w:p w14:paraId="6B8269D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最高限价：</w:t>
      </w:r>
      <w:r>
        <w:rPr>
          <w:rFonts w:hint="eastAsia" w:ascii="宋体" w:hAnsi="宋体" w:cs="宋体"/>
          <w:color w:val="000000" w:themeColor="text1"/>
          <w:sz w:val="24"/>
          <w:highlight w:val="none"/>
          <w:lang w:val="en-US" w:eastAsia="zh-CN"/>
          <w14:textFill>
            <w14:solidFill>
              <w14:schemeClr w14:val="tx1"/>
            </w14:solidFill>
          </w14:textFill>
        </w:rPr>
        <w:t>直饮</w:t>
      </w:r>
      <w:r>
        <w:rPr>
          <w:rFonts w:hint="eastAsia" w:ascii="宋体" w:hAnsi="宋体" w:eastAsia="宋体" w:cs="宋体"/>
          <w:color w:val="000000" w:themeColor="text1"/>
          <w:sz w:val="24"/>
          <w:highlight w:val="none"/>
          <w14:textFill>
            <w14:solidFill>
              <w14:schemeClr w14:val="tx1"/>
            </w14:solidFill>
          </w14:textFill>
        </w:rPr>
        <w:t>热水</w:t>
      </w:r>
      <w:r>
        <w:rPr>
          <w:rFonts w:hint="eastAsia" w:ascii="宋体" w:hAnsi="宋体" w:cs="宋体"/>
          <w:color w:val="000000" w:themeColor="text1"/>
          <w:sz w:val="24"/>
          <w:highlight w:val="none"/>
          <w:lang w:val="en-US" w:eastAsia="zh-CN"/>
          <w14:textFill>
            <w14:solidFill>
              <w14:schemeClr w14:val="tx1"/>
            </w14:solidFill>
          </w14:textFill>
        </w:rPr>
        <w:t>不高于</w:t>
      </w:r>
      <w:r>
        <w:rPr>
          <w:rFonts w:hint="eastAsia" w:ascii="宋体" w:hAnsi="宋体" w:eastAsia="宋体" w:cs="宋体"/>
          <w:color w:val="000000" w:themeColor="text1"/>
          <w:sz w:val="24"/>
          <w:highlight w:val="none"/>
          <w14:textFill>
            <w14:solidFill>
              <w14:schemeClr w14:val="tx1"/>
            </w14:solidFill>
          </w14:textFill>
        </w:rPr>
        <w:t>0.13元/升，直饮凉水</w:t>
      </w:r>
      <w:r>
        <w:rPr>
          <w:rFonts w:hint="eastAsia" w:ascii="宋体" w:hAnsi="宋体" w:cs="宋体"/>
          <w:color w:val="000000" w:themeColor="text1"/>
          <w:sz w:val="24"/>
          <w:highlight w:val="none"/>
          <w:lang w:val="en-US" w:eastAsia="zh-CN"/>
          <w14:textFill>
            <w14:solidFill>
              <w14:schemeClr w14:val="tx1"/>
            </w14:solidFill>
          </w14:textFill>
        </w:rPr>
        <w:t>不高于</w:t>
      </w:r>
      <w:r>
        <w:rPr>
          <w:rFonts w:hint="eastAsia" w:ascii="宋体" w:hAnsi="宋体" w:eastAsia="宋体" w:cs="宋体"/>
          <w:color w:val="000000" w:themeColor="text1"/>
          <w:sz w:val="24"/>
          <w:highlight w:val="none"/>
          <w14:textFill>
            <w14:solidFill>
              <w14:schemeClr w14:val="tx1"/>
            </w14:solidFill>
          </w14:textFill>
        </w:rPr>
        <w:t>0.07元/升</w:t>
      </w:r>
    </w:p>
    <w:p w14:paraId="4EE4A17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采购需求：</w:t>
      </w:r>
    </w:p>
    <w:tbl>
      <w:tblPr>
        <w:tblStyle w:val="32"/>
        <w:tblW w:w="51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
        <w:gridCol w:w="1722"/>
        <w:gridCol w:w="926"/>
        <w:gridCol w:w="3000"/>
        <w:gridCol w:w="2981"/>
      </w:tblGrid>
      <w:tr w14:paraId="08DA5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433" w:type="pct"/>
            <w:noWrap w:val="0"/>
            <w:vAlign w:val="center"/>
          </w:tcPr>
          <w:p w14:paraId="6450B014">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标包</w:t>
            </w:r>
          </w:p>
        </w:tc>
        <w:tc>
          <w:tcPr>
            <w:tcW w:w="911" w:type="pct"/>
            <w:noWrap w:val="0"/>
            <w:vAlign w:val="center"/>
          </w:tcPr>
          <w:p w14:paraId="1FADF212">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标的</w:t>
            </w:r>
            <w:r>
              <w:rPr>
                <w:rFonts w:hint="eastAsia" w:ascii="宋体" w:hAnsi="宋体" w:eastAsia="宋体" w:cs="宋体"/>
                <w:color w:val="000000" w:themeColor="text1"/>
                <w:sz w:val="24"/>
                <w:highlight w:val="none"/>
                <w14:textFill>
                  <w14:solidFill>
                    <w14:schemeClr w14:val="tx1"/>
                  </w14:solidFill>
                </w14:textFill>
              </w:rPr>
              <w:t>名称</w:t>
            </w:r>
          </w:p>
        </w:tc>
        <w:tc>
          <w:tcPr>
            <w:tcW w:w="490" w:type="pct"/>
            <w:noWrap w:val="0"/>
            <w:vAlign w:val="center"/>
          </w:tcPr>
          <w:p w14:paraId="339B3BB7">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数量</w:t>
            </w:r>
          </w:p>
        </w:tc>
        <w:tc>
          <w:tcPr>
            <w:tcW w:w="1587" w:type="pct"/>
            <w:noWrap w:val="0"/>
            <w:vAlign w:val="center"/>
          </w:tcPr>
          <w:p w14:paraId="56231BB9">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auto"/>
                <w:sz w:val="24"/>
                <w:szCs w:val="24"/>
                <w:highlight w:val="none"/>
                <w:lang w:eastAsia="zh-CN"/>
              </w:rPr>
              <w:t>简要技术需求或服务要求</w:t>
            </w:r>
          </w:p>
        </w:tc>
        <w:tc>
          <w:tcPr>
            <w:tcW w:w="1577" w:type="pct"/>
            <w:noWrap w:val="0"/>
            <w:vAlign w:val="center"/>
          </w:tcPr>
          <w:p w14:paraId="67283E5C">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最高限价</w:t>
            </w:r>
          </w:p>
        </w:tc>
      </w:tr>
      <w:tr w14:paraId="68820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433" w:type="pct"/>
            <w:noWrap w:val="0"/>
            <w:vAlign w:val="center"/>
          </w:tcPr>
          <w:p w14:paraId="496480CE">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A</w:t>
            </w:r>
          </w:p>
        </w:tc>
        <w:tc>
          <w:tcPr>
            <w:tcW w:w="911" w:type="pct"/>
            <w:noWrap w:val="0"/>
            <w:vAlign w:val="center"/>
          </w:tcPr>
          <w:p w14:paraId="58C3063D">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eastAsia="zh-CN"/>
                <w14:textFill>
                  <w14:solidFill>
                    <w14:schemeClr w14:val="tx1"/>
                  </w14:solidFill>
                </w14:textFill>
              </w:rPr>
              <w:t>临沂大学沂水校区直饮水项目</w:t>
            </w:r>
          </w:p>
        </w:tc>
        <w:tc>
          <w:tcPr>
            <w:tcW w:w="490" w:type="pct"/>
            <w:noWrap w:val="0"/>
            <w:vAlign w:val="center"/>
          </w:tcPr>
          <w:p w14:paraId="11FC66FC">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val="en-US" w:eastAsia="zh-CN"/>
                <w14:textFill>
                  <w14:solidFill>
                    <w14:schemeClr w14:val="tx1"/>
                  </w14:solidFill>
                </w14:textFill>
              </w:rPr>
              <w:t>宗</w:t>
            </w:r>
          </w:p>
        </w:tc>
        <w:tc>
          <w:tcPr>
            <w:tcW w:w="1587" w:type="pct"/>
            <w:noWrap w:val="0"/>
            <w:vAlign w:val="center"/>
          </w:tcPr>
          <w:p w14:paraId="63BBE3CB">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eastAsia="zh-CN"/>
                <w14:textFill>
                  <w14:solidFill>
                    <w14:schemeClr w14:val="tx1"/>
                  </w14:solidFill>
                </w14:textFill>
              </w:rPr>
              <w:t>临沂大学沂水校区直饮水项目，</w:t>
            </w:r>
            <w:r>
              <w:rPr>
                <w:rFonts w:hint="eastAsia" w:ascii="宋体" w:hAnsi="宋体" w:eastAsia="宋体" w:cs="宋体"/>
                <w:color w:val="000000" w:themeColor="text1"/>
                <w:sz w:val="24"/>
                <w:highlight w:val="none"/>
                <w14:textFill>
                  <w14:solidFill>
                    <w14:schemeClr w14:val="tx1"/>
                  </w14:solidFill>
                </w14:textFill>
              </w:rPr>
              <w:t>详见磋商文件。</w:t>
            </w:r>
          </w:p>
        </w:tc>
        <w:tc>
          <w:tcPr>
            <w:tcW w:w="1577" w:type="pct"/>
            <w:noWrap w:val="0"/>
            <w:vAlign w:val="center"/>
          </w:tcPr>
          <w:p w14:paraId="53B0A4D6">
            <w:pPr>
              <w:keepNext w:val="0"/>
              <w:keepLines w:val="0"/>
              <w:pageBreakBefore w:val="0"/>
              <w:widowControl w:val="0"/>
              <w:kinsoku/>
              <w:wordWrap/>
              <w:overflowPunct/>
              <w:topLinePunct w:val="0"/>
              <w:autoSpaceDE/>
              <w:autoSpaceDN/>
              <w:bidi w:val="0"/>
              <w:adjustRightInd/>
              <w:snapToGrid/>
              <w:spacing w:line="500" w:lineRule="exact"/>
              <w:ind w:left="-1"/>
              <w:jc w:val="center"/>
              <w:textAlignment w:val="auto"/>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直饮</w:t>
            </w:r>
            <w:r>
              <w:rPr>
                <w:rFonts w:hint="eastAsia" w:ascii="宋体" w:hAnsi="宋体" w:eastAsia="宋体" w:cs="宋体"/>
                <w:color w:val="000000" w:themeColor="text1"/>
                <w:sz w:val="24"/>
                <w:highlight w:val="none"/>
                <w14:textFill>
                  <w14:solidFill>
                    <w14:schemeClr w14:val="tx1"/>
                  </w14:solidFill>
                </w14:textFill>
              </w:rPr>
              <w:t>热水</w:t>
            </w:r>
            <w:r>
              <w:rPr>
                <w:rFonts w:hint="eastAsia" w:ascii="宋体" w:hAnsi="宋体" w:cs="宋体"/>
                <w:color w:val="000000" w:themeColor="text1"/>
                <w:sz w:val="24"/>
                <w:highlight w:val="none"/>
                <w:lang w:val="en-US" w:eastAsia="zh-CN"/>
                <w14:textFill>
                  <w14:solidFill>
                    <w14:schemeClr w14:val="tx1"/>
                  </w14:solidFill>
                </w14:textFill>
              </w:rPr>
              <w:t>不高于</w:t>
            </w:r>
            <w:r>
              <w:rPr>
                <w:rFonts w:hint="eastAsia" w:ascii="宋体" w:hAnsi="宋体" w:eastAsia="宋体" w:cs="宋体"/>
                <w:color w:val="000000" w:themeColor="text1"/>
                <w:sz w:val="24"/>
                <w:highlight w:val="none"/>
                <w14:textFill>
                  <w14:solidFill>
                    <w14:schemeClr w14:val="tx1"/>
                  </w14:solidFill>
                </w14:textFill>
              </w:rPr>
              <w:t>0.13元/升，直饮凉水</w:t>
            </w:r>
            <w:r>
              <w:rPr>
                <w:rFonts w:hint="eastAsia" w:ascii="宋体" w:hAnsi="宋体" w:cs="宋体"/>
                <w:color w:val="000000" w:themeColor="text1"/>
                <w:sz w:val="24"/>
                <w:highlight w:val="none"/>
                <w:lang w:val="en-US" w:eastAsia="zh-CN"/>
                <w14:textFill>
                  <w14:solidFill>
                    <w14:schemeClr w14:val="tx1"/>
                  </w14:solidFill>
                </w14:textFill>
              </w:rPr>
              <w:t>不高于</w:t>
            </w:r>
            <w:r>
              <w:rPr>
                <w:rFonts w:hint="eastAsia" w:ascii="宋体" w:hAnsi="宋体" w:eastAsia="宋体" w:cs="宋体"/>
                <w:color w:val="000000" w:themeColor="text1"/>
                <w:sz w:val="24"/>
                <w:highlight w:val="none"/>
                <w14:textFill>
                  <w14:solidFill>
                    <w14:schemeClr w14:val="tx1"/>
                  </w14:solidFill>
                </w14:textFill>
              </w:rPr>
              <w:t>0.07元/升</w:t>
            </w:r>
            <w:r>
              <w:rPr>
                <w:rFonts w:hint="eastAsia" w:ascii="宋体" w:hAnsi="宋体" w:eastAsia="宋体" w:cs="宋体"/>
                <w:color w:val="000000" w:themeColor="text1"/>
                <w:sz w:val="24"/>
                <w:highlight w:val="none"/>
                <w:lang w:eastAsia="zh-CN"/>
                <w14:textFill>
                  <w14:solidFill>
                    <w14:schemeClr w14:val="tx1"/>
                  </w14:solidFill>
                </w14:textFill>
              </w:rPr>
              <w:t>。</w:t>
            </w:r>
          </w:p>
        </w:tc>
      </w:tr>
    </w:tbl>
    <w:p w14:paraId="17B93E0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合同履行期限：</w:t>
      </w:r>
      <w:r>
        <w:rPr>
          <w:rFonts w:hint="eastAsia" w:ascii="宋体" w:hAnsi="宋体" w:cs="宋体"/>
          <w:color w:val="000000" w:themeColor="text1"/>
          <w:sz w:val="24"/>
          <w:highlight w:val="none"/>
          <w:lang w:val="en-US" w:eastAsia="zh-CN"/>
          <w14:textFill>
            <w14:solidFill>
              <w14:schemeClr w14:val="tx1"/>
            </w14:solidFill>
          </w14:textFill>
        </w:rPr>
        <w:t>合同期10年，详见磋商文件</w:t>
      </w:r>
      <w:r>
        <w:rPr>
          <w:rFonts w:hint="eastAsia" w:ascii="宋体" w:hAnsi="宋体" w:cs="宋体"/>
          <w:color w:val="000000" w:themeColor="text1"/>
          <w:sz w:val="24"/>
          <w:highlight w:val="none"/>
          <w:lang w:eastAsia="zh-CN"/>
          <w14:textFill>
            <w14:solidFill>
              <w14:schemeClr w14:val="tx1"/>
            </w14:solidFill>
          </w14:textFill>
        </w:rPr>
        <w:t>。</w:t>
      </w:r>
    </w:p>
    <w:p w14:paraId="6E40090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themeColor="text1"/>
          <w:sz w:val="24"/>
          <w:highlight w:val="none"/>
          <w14:textFill>
            <w14:solidFill>
              <w14:schemeClr w14:val="tx1"/>
            </w14:solidFill>
          </w14:textFill>
        </w:rPr>
      </w:pPr>
      <w:bookmarkStart w:id="222" w:name="_Toc28359003"/>
      <w:bookmarkStart w:id="223" w:name="_Toc35393791"/>
      <w:bookmarkStart w:id="224" w:name="_Toc35393622"/>
      <w:bookmarkStart w:id="225" w:name="_Toc28359080"/>
      <w:r>
        <w:rPr>
          <w:rFonts w:hint="eastAsia" w:ascii="宋体" w:hAnsi="宋体" w:eastAsia="宋体" w:cs="宋体"/>
          <w:color w:val="000000" w:themeColor="text1"/>
          <w:sz w:val="24"/>
          <w:highlight w:val="none"/>
          <w14:textFill>
            <w14:solidFill>
              <w14:schemeClr w14:val="tx1"/>
            </w14:solidFill>
          </w14:textFill>
        </w:rPr>
        <w:t>二、申请人的资格要求：</w:t>
      </w:r>
      <w:bookmarkEnd w:id="222"/>
      <w:bookmarkEnd w:id="223"/>
      <w:bookmarkEnd w:id="224"/>
      <w:bookmarkEnd w:id="225"/>
    </w:p>
    <w:p w14:paraId="38B373A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1.满足《中华人民共和国政府采购法》第二十二条规定；</w:t>
      </w:r>
    </w:p>
    <w:p w14:paraId="71A714E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bookmarkStart w:id="226" w:name="_Toc28359081"/>
      <w:bookmarkStart w:id="227" w:name="_Toc28359004"/>
      <w:r>
        <w:rPr>
          <w:rFonts w:hint="eastAsia" w:ascii="宋体" w:hAnsi="宋体" w:eastAsia="宋体" w:cs="宋体"/>
          <w:color w:val="000000" w:themeColor="text1"/>
          <w:sz w:val="24"/>
          <w:highlight w:val="none"/>
          <w14:textFill>
            <w14:solidFill>
              <w14:schemeClr w14:val="tx1"/>
            </w14:solidFill>
          </w14:textFill>
        </w:rPr>
        <w:t>2.落实政府采购政策需满足的资格要求：</w:t>
      </w:r>
      <w:r>
        <w:rPr>
          <w:rFonts w:hint="eastAsia" w:ascii="宋体" w:hAnsi="宋体" w:eastAsia="宋体" w:cs="宋体"/>
          <w:color w:val="000000" w:themeColor="text1"/>
          <w:sz w:val="24"/>
          <w:highlight w:val="none"/>
          <w:lang w:val="en-US" w:eastAsia="zh-CN"/>
          <w14:textFill>
            <w14:solidFill>
              <w14:schemeClr w14:val="tx1"/>
            </w14:solidFill>
          </w14:textFill>
        </w:rPr>
        <w:t>无</w:t>
      </w:r>
      <w:r>
        <w:rPr>
          <w:rFonts w:hint="eastAsia" w:ascii="宋体" w:hAnsi="宋体" w:eastAsia="宋体" w:cs="宋体"/>
          <w:color w:val="000000" w:themeColor="text1"/>
          <w:sz w:val="24"/>
          <w:highlight w:val="none"/>
          <w14:textFill>
            <w14:solidFill>
              <w14:schemeClr w14:val="tx1"/>
            </w14:solidFill>
          </w14:textFill>
        </w:rPr>
        <w:t>。</w:t>
      </w:r>
    </w:p>
    <w:p w14:paraId="5680B99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3.本项目的特定资格要求：（1）在“信用中国”（www.creditchina.gov.cn）、“中国政府采购网”（www.ccgp.gov.cn）、“全国法院失信被执行人名单信息公布与查询”平台 （zxgk.court.gov.cn）未被列入失信被执行人名单、重大税收违法失信主体名单、政府采购严重违法失信行为记录名单；（2）单位负责人为同一人或者存在直接控股、管理关系的不同供应商，不得参加同一合同项下的政府采购活动</w:t>
      </w:r>
      <w:r>
        <w:rPr>
          <w:rFonts w:hint="eastAsia" w:ascii="宋体" w:hAnsi="宋体" w:cs="宋体"/>
          <w:color w:val="000000" w:themeColor="text1"/>
          <w:sz w:val="24"/>
          <w:highlight w:val="none"/>
          <w:lang w:val="en-US" w:eastAsia="zh-CN"/>
          <w14:textFill>
            <w14:solidFill>
              <w14:schemeClr w14:val="tx1"/>
            </w14:solidFill>
          </w14:textFill>
        </w:rPr>
        <w:t>；（3）</w:t>
      </w:r>
      <w:r>
        <w:rPr>
          <w:rFonts w:hint="eastAsia" w:ascii="宋体" w:cs="宋体"/>
          <w:sz w:val="24"/>
          <w:szCs w:val="24"/>
          <w:highlight w:val="none"/>
        </w:rPr>
        <w:t>成交后在服务期内直接建设、运营、维护，不得进行分包或转包</w:t>
      </w:r>
      <w:r>
        <w:rPr>
          <w:rFonts w:hint="eastAsia" w:ascii="宋体" w:cs="宋体"/>
          <w:sz w:val="24"/>
          <w:szCs w:val="24"/>
          <w:highlight w:val="none"/>
          <w:lang w:eastAsia="zh-CN"/>
        </w:rPr>
        <w:t>。</w:t>
      </w:r>
    </w:p>
    <w:p w14:paraId="73F5C1B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themeColor="text1"/>
          <w:sz w:val="24"/>
          <w:highlight w:val="none"/>
          <w14:textFill>
            <w14:solidFill>
              <w14:schemeClr w14:val="tx1"/>
            </w14:solidFill>
          </w14:textFill>
        </w:rPr>
      </w:pPr>
      <w:bookmarkStart w:id="228" w:name="_Toc35393623"/>
      <w:bookmarkStart w:id="229" w:name="_Toc35393792"/>
      <w:r>
        <w:rPr>
          <w:rFonts w:hint="eastAsia" w:ascii="宋体" w:hAnsi="宋体" w:eastAsia="宋体" w:cs="宋体"/>
          <w:color w:val="000000" w:themeColor="text1"/>
          <w:sz w:val="24"/>
          <w:highlight w:val="none"/>
          <w14:textFill>
            <w14:solidFill>
              <w14:schemeClr w14:val="tx1"/>
            </w14:solidFill>
          </w14:textFill>
        </w:rPr>
        <w:t>三、获取采购文件</w:t>
      </w:r>
      <w:bookmarkEnd w:id="226"/>
      <w:bookmarkEnd w:id="227"/>
      <w:bookmarkEnd w:id="228"/>
      <w:bookmarkEnd w:id="229"/>
    </w:p>
    <w:p w14:paraId="35560F5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w:t>
      </w:r>
      <w:r>
        <w:rPr>
          <w:rFonts w:hint="eastAsia" w:ascii="宋体" w:hAnsi="宋体" w:eastAsia="宋体" w:cs="宋体"/>
          <w:color w:val="000000" w:themeColor="text1"/>
          <w:sz w:val="24"/>
          <w:highlight w:val="none"/>
          <w14:textFill>
            <w14:solidFill>
              <w14:schemeClr w14:val="tx1"/>
            </w14:solidFill>
          </w14:textFill>
        </w:rPr>
        <w:t>时间：202</w:t>
      </w:r>
      <w:r>
        <w:rPr>
          <w:rFonts w:hint="eastAsia" w:ascii="宋体" w:hAnsi="宋体" w:cs="宋体"/>
          <w:color w:val="000000" w:themeColor="text1"/>
          <w:sz w:val="24"/>
          <w:highlight w:val="none"/>
          <w:lang w:val="en-US" w:eastAsia="zh-CN"/>
          <w14:textFill>
            <w14:solidFill>
              <w14:schemeClr w14:val="tx1"/>
            </w14:solidFill>
          </w14:textFill>
        </w:rPr>
        <w:t>5</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lang w:val="en-US" w:eastAsia="zh-CN"/>
          <w14:textFill>
            <w14:solidFill>
              <w14:schemeClr w14:val="tx1"/>
            </w14:solidFill>
          </w14:textFill>
        </w:rPr>
        <w:t>8</w:t>
      </w:r>
      <w:r>
        <w:rPr>
          <w:rFonts w:hint="eastAsia" w:ascii="宋体" w:hAnsi="宋体" w:eastAsia="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lang w:val="en-US" w:eastAsia="zh-CN"/>
          <w14:textFill>
            <w14:solidFill>
              <w14:schemeClr w14:val="tx1"/>
            </w14:solidFill>
          </w14:textFill>
        </w:rPr>
        <w:t>8</w:t>
      </w:r>
      <w:r>
        <w:rPr>
          <w:rFonts w:hint="eastAsia" w:ascii="宋体" w:hAnsi="宋体" w:eastAsia="宋体" w:cs="宋体"/>
          <w:color w:val="000000" w:themeColor="text1"/>
          <w:sz w:val="24"/>
          <w:highlight w:val="none"/>
          <w14:textFill>
            <w14:solidFill>
              <w14:schemeClr w14:val="tx1"/>
            </w14:solidFill>
          </w14:textFill>
        </w:rPr>
        <w:t>日8时30分至202</w:t>
      </w:r>
      <w:r>
        <w:rPr>
          <w:rFonts w:hint="eastAsia" w:ascii="宋体" w:hAnsi="宋体" w:cs="宋体"/>
          <w:color w:val="000000" w:themeColor="text1"/>
          <w:sz w:val="24"/>
          <w:highlight w:val="none"/>
          <w:lang w:val="en-US" w:eastAsia="zh-CN"/>
          <w14:textFill>
            <w14:solidFill>
              <w14:schemeClr w14:val="tx1"/>
            </w14:solidFill>
          </w14:textFill>
        </w:rPr>
        <w:t>5</w:t>
      </w:r>
      <w:r>
        <w:rPr>
          <w:rFonts w:hint="eastAsia" w:ascii="宋体" w:hAnsi="宋体" w:eastAsia="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lang w:val="en-US" w:eastAsia="zh-CN"/>
          <w14:textFill>
            <w14:solidFill>
              <w14:schemeClr w14:val="tx1"/>
            </w14:solidFill>
          </w14:textFill>
        </w:rPr>
        <w:t>8</w:t>
      </w:r>
      <w:r>
        <w:rPr>
          <w:rFonts w:hint="eastAsia" w:ascii="宋体" w:hAnsi="宋体" w:eastAsia="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lang w:val="en-US" w:eastAsia="zh-CN"/>
          <w14:textFill>
            <w14:solidFill>
              <w14:schemeClr w14:val="tx1"/>
            </w14:solidFill>
          </w14:textFill>
        </w:rPr>
        <w:t>14</w:t>
      </w:r>
      <w:r>
        <w:rPr>
          <w:rFonts w:hint="eastAsia" w:ascii="宋体" w:hAnsi="宋体" w:eastAsia="宋体" w:cs="宋体"/>
          <w:color w:val="000000" w:themeColor="text1"/>
          <w:sz w:val="24"/>
          <w:highlight w:val="none"/>
          <w14:textFill>
            <w14:solidFill>
              <w14:schemeClr w14:val="tx1"/>
            </w14:solidFill>
          </w14:textFill>
        </w:rPr>
        <w:t>日17时00分（报名截止时间）（北京时间，法定节假日除外）</w:t>
      </w:r>
    </w:p>
    <w:p w14:paraId="5874973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w:t>
      </w:r>
      <w:r>
        <w:rPr>
          <w:rFonts w:hint="eastAsia" w:ascii="宋体" w:hAnsi="宋体" w:eastAsia="宋体" w:cs="宋体"/>
          <w:color w:val="000000" w:themeColor="text1"/>
          <w:sz w:val="24"/>
          <w:highlight w:val="none"/>
          <w14:textFill>
            <w14:solidFill>
              <w14:schemeClr w14:val="tx1"/>
            </w14:solidFill>
          </w14:textFill>
        </w:rPr>
        <w:t>地点：</w:t>
      </w:r>
      <w:r>
        <w:rPr>
          <w:rFonts w:hint="eastAsia" w:ascii="宋体" w:hAnsi="宋体" w:eastAsia="宋体" w:cs="宋体"/>
          <w:color w:val="000000" w:themeColor="text1"/>
          <w:sz w:val="24"/>
          <w:highlight w:val="none"/>
          <w:lang w:eastAsia="zh-CN"/>
          <w14:textFill>
            <w14:solidFill>
              <w14:schemeClr w14:val="tx1"/>
            </w14:solidFill>
          </w14:textFill>
        </w:rPr>
        <w:t>临沂市兰山区柳青街道北京路与沭河路交汇北50米红日大厦20楼</w:t>
      </w:r>
      <w:r>
        <w:rPr>
          <w:rFonts w:hint="eastAsia" w:ascii="宋体" w:hAnsi="宋体" w:eastAsia="宋体" w:cs="宋体"/>
          <w:color w:val="000000" w:themeColor="text1"/>
          <w:sz w:val="24"/>
          <w:highlight w:val="none"/>
          <w14:textFill>
            <w14:solidFill>
              <w14:schemeClr w14:val="tx1"/>
            </w14:solidFill>
          </w14:textFill>
        </w:rPr>
        <w:t>临沂市沂蒙国际招标有限公司</w:t>
      </w:r>
    </w:p>
    <w:p w14:paraId="0AEB05E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w:t>
      </w:r>
      <w:r>
        <w:rPr>
          <w:rFonts w:hint="eastAsia" w:ascii="宋体" w:hAnsi="宋体" w:eastAsia="宋体" w:cs="宋体"/>
          <w:color w:val="000000" w:themeColor="text1"/>
          <w:sz w:val="24"/>
          <w:highlight w:val="none"/>
          <w14:textFill>
            <w14:solidFill>
              <w14:schemeClr w14:val="tx1"/>
            </w14:solidFill>
          </w14:textFill>
        </w:rPr>
        <w:t>方式：</w:t>
      </w:r>
      <w:r>
        <w:rPr>
          <w:rFonts w:hint="eastAsia" w:ascii="宋体" w:hAnsi="宋体" w:cs="宋体"/>
          <w:color w:val="000000" w:themeColor="text1"/>
          <w:sz w:val="24"/>
          <w:highlight w:val="none"/>
          <w14:textFill>
            <w14:solidFill>
              <w14:schemeClr w14:val="tx1"/>
            </w14:solidFill>
          </w14:textFill>
        </w:rPr>
        <w:t>携带以下资料前往上述地点购买：①营业执照副本；②参加本次采购活动前3年内在经营活动中没有重大违法记录的书面声明；③法定代表人授权委托书。以上资料请携带复印件装订一份留存，并在封面注明项目名称、</w:t>
      </w:r>
      <w:r>
        <w:rPr>
          <w:rFonts w:hint="eastAsia" w:ascii="宋体" w:hAnsi="宋体" w:cs="宋体"/>
          <w:color w:val="000000" w:themeColor="text1"/>
          <w:sz w:val="24"/>
          <w:highlight w:val="none"/>
          <w:lang w:val="en-US" w:eastAsia="zh-CN"/>
          <w14:textFill>
            <w14:solidFill>
              <w14:schemeClr w14:val="tx1"/>
            </w14:solidFill>
          </w14:textFill>
        </w:rPr>
        <w:t>标的、</w:t>
      </w:r>
      <w:r>
        <w:rPr>
          <w:rFonts w:hint="eastAsia" w:ascii="宋体" w:hAnsi="宋体" w:cs="宋体"/>
          <w:color w:val="000000" w:themeColor="text1"/>
          <w:sz w:val="24"/>
          <w:highlight w:val="none"/>
          <w14:textFill>
            <w14:solidFill>
              <w14:schemeClr w14:val="tx1"/>
            </w14:solidFill>
          </w14:textFill>
        </w:rPr>
        <w:t>联系人、联系方式等信息，否则不予受理。上述材料查验过程非资格预审，是否通过资格审查开标后审定。允许供应商通过电子邮件方式获取磋商文件，可将上述材料及联系人、联系电话发送到ymgjzb@163.com并电话告知代理机构；</w:t>
      </w:r>
    </w:p>
    <w:p w14:paraId="24AE6D7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r>
        <w:rPr>
          <w:rFonts w:hint="eastAsia" w:ascii="宋体" w:hAnsi="宋体" w:eastAsia="宋体" w:cs="宋体"/>
          <w:color w:val="000000" w:themeColor="text1"/>
          <w:sz w:val="24"/>
          <w:highlight w:val="none"/>
          <w14:textFill>
            <w14:solidFill>
              <w14:schemeClr w14:val="tx1"/>
            </w14:solidFill>
          </w14:textFill>
        </w:rPr>
        <w:t>售价：人民币200元/份，售后不退。</w:t>
      </w:r>
    </w:p>
    <w:p w14:paraId="6598AF4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themeColor="text1"/>
          <w:sz w:val="24"/>
          <w:highlight w:val="none"/>
          <w14:textFill>
            <w14:solidFill>
              <w14:schemeClr w14:val="tx1"/>
            </w14:solidFill>
          </w14:textFill>
        </w:rPr>
      </w:pPr>
      <w:bookmarkStart w:id="230" w:name="_Toc28359005"/>
      <w:bookmarkStart w:id="231" w:name="_Toc28359082"/>
      <w:bookmarkStart w:id="232" w:name="_Toc35393624"/>
      <w:bookmarkStart w:id="233" w:name="_Toc35393793"/>
      <w:r>
        <w:rPr>
          <w:rFonts w:hint="eastAsia" w:ascii="宋体" w:hAnsi="宋体" w:eastAsia="宋体" w:cs="宋体"/>
          <w:color w:val="000000" w:themeColor="text1"/>
          <w:sz w:val="24"/>
          <w:highlight w:val="none"/>
          <w14:textFill>
            <w14:solidFill>
              <w14:schemeClr w14:val="tx1"/>
            </w14:solidFill>
          </w14:textFill>
        </w:rPr>
        <w:t>四、提交响应文件</w:t>
      </w:r>
      <w:bookmarkEnd w:id="230"/>
      <w:bookmarkEnd w:id="231"/>
      <w:r>
        <w:rPr>
          <w:rFonts w:hint="eastAsia" w:ascii="宋体" w:hAnsi="宋体" w:eastAsia="宋体" w:cs="宋体"/>
          <w:color w:val="000000" w:themeColor="text1"/>
          <w:sz w:val="24"/>
          <w:highlight w:val="none"/>
          <w14:textFill>
            <w14:solidFill>
              <w14:schemeClr w14:val="tx1"/>
            </w14:solidFill>
          </w14:textFill>
        </w:rPr>
        <w:t>截止时间和地点</w:t>
      </w:r>
      <w:bookmarkEnd w:id="232"/>
      <w:bookmarkEnd w:id="233"/>
    </w:p>
    <w:p w14:paraId="3E0B05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1.时间：</w:t>
      </w:r>
      <w:r>
        <w:rPr>
          <w:rFonts w:hint="eastAsia" w:ascii="宋体" w:hAnsi="宋体" w:eastAsia="宋体" w:cs="宋体"/>
          <w:color w:val="000000" w:themeColor="text1"/>
          <w:sz w:val="24"/>
          <w:highlight w:val="none"/>
          <w:lang w:eastAsia="zh-CN"/>
          <w14:textFill>
            <w14:solidFill>
              <w14:schemeClr w14:val="tx1"/>
            </w14:solidFill>
          </w14:textFill>
        </w:rPr>
        <w:t>202</w:t>
      </w:r>
      <w:r>
        <w:rPr>
          <w:rFonts w:hint="eastAsia" w:ascii="宋体" w:hAnsi="宋体" w:cs="宋体"/>
          <w:color w:val="000000" w:themeColor="text1"/>
          <w:sz w:val="24"/>
          <w:highlight w:val="none"/>
          <w:lang w:val="en-US" w:eastAsia="zh-CN"/>
          <w14:textFill>
            <w14:solidFill>
              <w14:schemeClr w14:val="tx1"/>
            </w14:solidFill>
          </w14:textFill>
        </w:rPr>
        <w:t>5</w:t>
      </w:r>
      <w:r>
        <w:rPr>
          <w:rFonts w:hint="eastAsia" w:ascii="宋体" w:hAnsi="宋体" w:eastAsia="宋体" w:cs="宋体"/>
          <w:color w:val="000000" w:themeColor="text1"/>
          <w:sz w:val="24"/>
          <w:highlight w:val="none"/>
          <w:lang w:eastAsia="zh-CN"/>
          <w14:textFill>
            <w14:solidFill>
              <w14:schemeClr w14:val="tx1"/>
            </w14:solidFill>
          </w14:textFill>
        </w:rPr>
        <w:t>年</w:t>
      </w:r>
      <w:r>
        <w:rPr>
          <w:rFonts w:hint="eastAsia" w:ascii="宋体" w:hAnsi="宋体" w:cs="宋体"/>
          <w:color w:val="000000" w:themeColor="text1"/>
          <w:sz w:val="24"/>
          <w:highlight w:val="none"/>
          <w:lang w:val="en-US" w:eastAsia="zh-CN"/>
          <w14:textFill>
            <w14:solidFill>
              <w14:schemeClr w14:val="tx1"/>
            </w14:solidFill>
          </w14:textFill>
        </w:rPr>
        <w:t>8</w:t>
      </w:r>
      <w:r>
        <w:rPr>
          <w:rFonts w:hint="eastAsia" w:ascii="宋体" w:hAnsi="宋体" w:eastAsia="宋体" w:cs="宋体"/>
          <w:color w:val="000000" w:themeColor="text1"/>
          <w:sz w:val="24"/>
          <w:highlight w:val="none"/>
          <w:lang w:eastAsia="zh-CN"/>
          <w14:textFill>
            <w14:solidFill>
              <w14:schemeClr w14:val="tx1"/>
            </w14:solidFill>
          </w14:textFill>
        </w:rPr>
        <w:t>月</w:t>
      </w:r>
      <w:r>
        <w:rPr>
          <w:rFonts w:hint="eastAsia" w:ascii="宋体" w:hAnsi="宋体" w:cs="宋体"/>
          <w:color w:val="000000" w:themeColor="text1"/>
          <w:sz w:val="24"/>
          <w:highlight w:val="none"/>
          <w:lang w:val="en-US" w:eastAsia="zh-CN"/>
          <w14:textFill>
            <w14:solidFill>
              <w14:schemeClr w14:val="tx1"/>
            </w14:solidFill>
          </w14:textFill>
        </w:rPr>
        <w:t>18</w:t>
      </w:r>
      <w:r>
        <w:rPr>
          <w:rFonts w:hint="eastAsia" w:ascii="宋体" w:hAnsi="宋体" w:eastAsia="宋体" w:cs="宋体"/>
          <w:color w:val="000000" w:themeColor="text1"/>
          <w:sz w:val="24"/>
          <w:highlight w:val="none"/>
          <w14:textFill>
            <w14:solidFill>
              <w14:schemeClr w14:val="tx1"/>
            </w14:solidFill>
          </w14:textFill>
        </w:rPr>
        <w:t>日</w:t>
      </w:r>
      <w:r>
        <w:rPr>
          <w:rFonts w:hint="eastAsia" w:ascii="宋体" w:hAnsi="宋体" w:cs="宋体"/>
          <w:color w:val="000000" w:themeColor="text1"/>
          <w:sz w:val="24"/>
          <w:highlight w:val="none"/>
          <w:lang w:val="en-US" w:eastAsia="zh-CN"/>
          <w14:textFill>
            <w14:solidFill>
              <w14:schemeClr w14:val="tx1"/>
            </w14:solidFill>
          </w14:textFill>
        </w:rPr>
        <w:t>09</w:t>
      </w:r>
      <w:r>
        <w:rPr>
          <w:rFonts w:hint="eastAsia" w:ascii="宋体" w:hAnsi="宋体" w:eastAsia="宋体" w:cs="宋体"/>
          <w:color w:val="000000" w:themeColor="text1"/>
          <w:sz w:val="24"/>
          <w:highlight w:val="none"/>
          <w:lang w:val="en-US" w:eastAsia="zh-CN"/>
          <w14:textFill>
            <w14:solidFill>
              <w14:schemeClr w14:val="tx1"/>
            </w14:solidFill>
          </w14:textFill>
        </w:rPr>
        <w:t>时</w:t>
      </w:r>
      <w:r>
        <w:rPr>
          <w:rFonts w:hint="eastAsia" w:ascii="宋体" w:hAnsi="宋体" w:eastAsia="宋体" w:cs="宋体"/>
          <w:color w:val="000000" w:themeColor="text1"/>
          <w:sz w:val="24"/>
          <w:highlight w:val="none"/>
          <w14:textFill>
            <w14:solidFill>
              <w14:schemeClr w14:val="tx1"/>
            </w14:solidFill>
          </w14:textFill>
        </w:rPr>
        <w:t>30</w:t>
      </w:r>
      <w:r>
        <w:rPr>
          <w:rFonts w:hint="eastAsia" w:ascii="宋体" w:hAnsi="宋体" w:eastAsia="宋体" w:cs="宋体"/>
          <w:color w:val="000000" w:themeColor="text1"/>
          <w:sz w:val="24"/>
          <w:highlight w:val="none"/>
          <w:lang w:val="en-US" w:eastAsia="zh-CN"/>
          <w14:textFill>
            <w14:solidFill>
              <w14:schemeClr w14:val="tx1"/>
            </w14:solidFill>
          </w14:textFill>
        </w:rPr>
        <w:t>分</w:t>
      </w:r>
      <w:r>
        <w:rPr>
          <w:rFonts w:hint="eastAsia" w:ascii="宋体" w:hAnsi="宋体" w:eastAsia="宋体" w:cs="宋体"/>
          <w:color w:val="000000" w:themeColor="text1"/>
          <w:sz w:val="24"/>
          <w:highlight w:val="none"/>
          <w14:textFill>
            <w14:solidFill>
              <w14:schemeClr w14:val="tx1"/>
            </w14:solidFill>
          </w14:textFill>
        </w:rPr>
        <w:t>（北京时间）；</w:t>
      </w:r>
    </w:p>
    <w:p w14:paraId="1F394A0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2.地点：临沂市兰山区柳青街道北京路与沭河路交汇北50米红日大厦20楼2008室；</w:t>
      </w:r>
    </w:p>
    <w:p w14:paraId="583A960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3.递交方式：供应商现场递交。</w:t>
      </w:r>
    </w:p>
    <w:p w14:paraId="74A2262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themeColor="text1"/>
          <w:sz w:val="24"/>
          <w:highlight w:val="none"/>
          <w14:textFill>
            <w14:solidFill>
              <w14:schemeClr w14:val="tx1"/>
            </w14:solidFill>
          </w14:textFill>
        </w:rPr>
      </w:pPr>
      <w:bookmarkStart w:id="234" w:name="_Toc35393633"/>
      <w:bookmarkStart w:id="235" w:name="_Toc28359016"/>
      <w:bookmarkStart w:id="236" w:name="_Toc28359093"/>
      <w:bookmarkStart w:id="237" w:name="_Toc35393802"/>
      <w:r>
        <w:rPr>
          <w:rFonts w:hint="eastAsia" w:ascii="宋体" w:hAnsi="宋体" w:eastAsia="宋体" w:cs="宋体"/>
          <w:color w:val="000000" w:themeColor="text1"/>
          <w:sz w:val="24"/>
          <w:highlight w:val="none"/>
          <w14:textFill>
            <w14:solidFill>
              <w14:schemeClr w14:val="tx1"/>
            </w14:solidFill>
          </w14:textFill>
        </w:rPr>
        <w:t>五、开启</w:t>
      </w:r>
      <w:bookmarkEnd w:id="234"/>
      <w:bookmarkEnd w:id="235"/>
      <w:bookmarkEnd w:id="236"/>
      <w:bookmarkEnd w:id="237"/>
      <w:r>
        <w:rPr>
          <w:rFonts w:hint="eastAsia" w:ascii="宋体" w:hAnsi="宋体" w:eastAsia="宋体" w:cs="宋体"/>
          <w:color w:val="000000" w:themeColor="text1"/>
          <w:sz w:val="24"/>
          <w:highlight w:val="none"/>
          <w14:textFill>
            <w14:solidFill>
              <w14:schemeClr w14:val="tx1"/>
            </w14:solidFill>
          </w14:textFill>
        </w:rPr>
        <w:t xml:space="preserve"> </w:t>
      </w:r>
    </w:p>
    <w:p w14:paraId="6205E53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bookmarkStart w:id="238" w:name="_Toc28359017"/>
      <w:bookmarkStart w:id="239" w:name="_Toc28359094"/>
      <w:bookmarkStart w:id="240" w:name="_Toc35393803"/>
      <w:bookmarkStart w:id="241" w:name="_Toc35393634"/>
      <w:r>
        <w:rPr>
          <w:rFonts w:hint="eastAsia" w:ascii="宋体" w:hAnsi="宋体" w:eastAsia="宋体" w:cs="宋体"/>
          <w:color w:val="000000" w:themeColor="text1"/>
          <w:sz w:val="24"/>
          <w:highlight w:val="none"/>
          <w14:textFill>
            <w14:solidFill>
              <w14:schemeClr w14:val="tx1"/>
            </w14:solidFill>
          </w14:textFill>
        </w:rPr>
        <w:t>1.时间：</w:t>
      </w:r>
      <w:r>
        <w:rPr>
          <w:rFonts w:hint="eastAsia" w:ascii="宋体" w:hAnsi="宋体" w:cs="宋体"/>
          <w:color w:val="000000" w:themeColor="text1"/>
          <w:sz w:val="24"/>
          <w:highlight w:val="none"/>
          <w:lang w:eastAsia="zh-CN"/>
          <w14:textFill>
            <w14:solidFill>
              <w14:schemeClr w14:val="tx1"/>
            </w14:solidFill>
          </w14:textFill>
        </w:rPr>
        <w:t>202</w:t>
      </w:r>
      <w:r>
        <w:rPr>
          <w:rFonts w:hint="eastAsia" w:ascii="宋体" w:hAnsi="宋体" w:cs="宋体"/>
          <w:color w:val="000000" w:themeColor="text1"/>
          <w:sz w:val="24"/>
          <w:highlight w:val="none"/>
          <w:lang w:val="en-US" w:eastAsia="zh-CN"/>
          <w14:textFill>
            <w14:solidFill>
              <w14:schemeClr w14:val="tx1"/>
            </w14:solidFill>
          </w14:textFill>
        </w:rPr>
        <w:t>5</w:t>
      </w:r>
      <w:r>
        <w:rPr>
          <w:rFonts w:hint="eastAsia" w:ascii="宋体" w:hAnsi="宋体" w:cs="宋体"/>
          <w:color w:val="000000" w:themeColor="text1"/>
          <w:sz w:val="24"/>
          <w:highlight w:val="none"/>
          <w:lang w:eastAsia="zh-CN"/>
          <w14:textFill>
            <w14:solidFill>
              <w14:schemeClr w14:val="tx1"/>
            </w14:solidFill>
          </w14:textFill>
        </w:rPr>
        <w:t>年</w:t>
      </w:r>
      <w:r>
        <w:rPr>
          <w:rFonts w:hint="eastAsia" w:ascii="宋体" w:hAnsi="宋体" w:cs="宋体"/>
          <w:color w:val="000000" w:themeColor="text1"/>
          <w:sz w:val="24"/>
          <w:highlight w:val="none"/>
          <w:lang w:val="en-US" w:eastAsia="zh-CN"/>
          <w14:textFill>
            <w14:solidFill>
              <w14:schemeClr w14:val="tx1"/>
            </w14:solidFill>
          </w14:textFill>
        </w:rPr>
        <w:t>8</w:t>
      </w:r>
      <w:r>
        <w:rPr>
          <w:rFonts w:hint="eastAsia" w:ascii="宋体" w:hAnsi="宋体" w:cs="宋体"/>
          <w:color w:val="000000" w:themeColor="text1"/>
          <w:sz w:val="24"/>
          <w:highlight w:val="none"/>
          <w:lang w:eastAsia="zh-CN"/>
          <w14:textFill>
            <w14:solidFill>
              <w14:schemeClr w14:val="tx1"/>
            </w14:solidFill>
          </w14:textFill>
        </w:rPr>
        <w:t>月</w:t>
      </w:r>
      <w:r>
        <w:rPr>
          <w:rFonts w:hint="eastAsia" w:ascii="宋体" w:hAnsi="宋体" w:cs="宋体"/>
          <w:color w:val="000000" w:themeColor="text1"/>
          <w:sz w:val="24"/>
          <w:highlight w:val="none"/>
          <w:lang w:val="en-US" w:eastAsia="zh-CN"/>
          <w14:textFill>
            <w14:solidFill>
              <w14:schemeClr w14:val="tx1"/>
            </w14:solidFill>
          </w14:textFill>
        </w:rPr>
        <w:t>18</w:t>
      </w:r>
      <w:r>
        <w:rPr>
          <w:rFonts w:hint="eastAsia" w:ascii="宋体" w:hAnsi="宋体" w:cs="宋体"/>
          <w:color w:val="000000" w:themeColor="text1"/>
          <w:sz w:val="24"/>
          <w:highlight w:val="none"/>
          <w14:textFill>
            <w14:solidFill>
              <w14:schemeClr w14:val="tx1"/>
            </w14:solidFill>
          </w14:textFill>
        </w:rPr>
        <w:t>日</w:t>
      </w:r>
      <w:r>
        <w:rPr>
          <w:rFonts w:hint="eastAsia" w:ascii="宋体" w:hAnsi="宋体" w:cs="宋体"/>
          <w:color w:val="000000" w:themeColor="text1"/>
          <w:sz w:val="24"/>
          <w:highlight w:val="none"/>
          <w:lang w:val="en-US" w:eastAsia="zh-CN"/>
          <w14:textFill>
            <w14:solidFill>
              <w14:schemeClr w14:val="tx1"/>
            </w14:solidFill>
          </w14:textFill>
        </w:rPr>
        <w:t>09时</w:t>
      </w:r>
      <w:r>
        <w:rPr>
          <w:rFonts w:hint="eastAsia" w:ascii="宋体" w:hAnsi="宋体" w:cs="宋体"/>
          <w:color w:val="000000" w:themeColor="text1"/>
          <w:sz w:val="24"/>
          <w:highlight w:val="none"/>
          <w14:textFill>
            <w14:solidFill>
              <w14:schemeClr w14:val="tx1"/>
            </w14:solidFill>
          </w14:textFill>
        </w:rPr>
        <w:t>30</w:t>
      </w:r>
      <w:r>
        <w:rPr>
          <w:rFonts w:hint="eastAsia" w:ascii="宋体" w:hAnsi="宋体" w:cs="宋体"/>
          <w:color w:val="000000" w:themeColor="text1"/>
          <w:sz w:val="24"/>
          <w:highlight w:val="none"/>
          <w:lang w:val="en-US" w:eastAsia="zh-CN"/>
          <w14:textFill>
            <w14:solidFill>
              <w14:schemeClr w14:val="tx1"/>
            </w14:solidFill>
          </w14:textFill>
        </w:rPr>
        <w:t>分</w:t>
      </w:r>
      <w:r>
        <w:rPr>
          <w:rFonts w:hint="eastAsia" w:ascii="宋体" w:hAnsi="宋体" w:eastAsia="宋体" w:cs="宋体"/>
          <w:color w:val="000000" w:themeColor="text1"/>
          <w:sz w:val="24"/>
          <w:highlight w:val="none"/>
          <w14:textFill>
            <w14:solidFill>
              <w14:schemeClr w14:val="tx1"/>
            </w14:solidFill>
          </w14:textFill>
        </w:rPr>
        <w:t>（北京时间）；</w:t>
      </w:r>
    </w:p>
    <w:p w14:paraId="3D963A8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2.地点：临沂市兰山区柳青街道北京路与沭河路交汇北50米红日大厦20楼2008室</w:t>
      </w:r>
      <w:r>
        <w:rPr>
          <w:rFonts w:hint="eastAsia" w:ascii="宋体" w:hAnsi="宋体" w:eastAsia="宋体" w:cs="宋体"/>
          <w:color w:val="000000" w:themeColor="text1"/>
          <w:sz w:val="24"/>
          <w:highlight w:val="none"/>
          <w:lang w:val="zh-CN"/>
          <w14:textFill>
            <w14:solidFill>
              <w14:schemeClr w14:val="tx1"/>
            </w14:solidFill>
          </w14:textFill>
        </w:rPr>
        <w:t>。</w:t>
      </w:r>
    </w:p>
    <w:p w14:paraId="16303E6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六、公告期限</w:t>
      </w:r>
      <w:bookmarkEnd w:id="238"/>
      <w:bookmarkEnd w:id="239"/>
      <w:bookmarkEnd w:id="240"/>
      <w:bookmarkEnd w:id="241"/>
    </w:p>
    <w:p w14:paraId="3874631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自本公告发布之日起5个工作日。</w:t>
      </w:r>
    </w:p>
    <w:p w14:paraId="33FEAB90">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宋体" w:hAnsi="宋体" w:eastAsia="宋体" w:cs="宋体"/>
          <w:color w:val="000000" w:themeColor="text1"/>
          <w:sz w:val="24"/>
          <w:highlight w:val="none"/>
          <w:lang w:val="en-US" w:eastAsia="zh-CN"/>
          <w14:textFill>
            <w14:solidFill>
              <w14:schemeClr w14:val="tx1"/>
            </w14:solidFill>
          </w14:textFill>
        </w:rPr>
      </w:pPr>
      <w:bookmarkStart w:id="242" w:name="_Toc35393635"/>
      <w:bookmarkStart w:id="243" w:name="_Toc35393804"/>
      <w:r>
        <w:rPr>
          <w:rFonts w:hint="eastAsia" w:ascii="宋体" w:hAnsi="宋体" w:eastAsia="宋体" w:cs="宋体"/>
          <w:color w:val="000000" w:themeColor="text1"/>
          <w:sz w:val="24"/>
          <w:highlight w:val="none"/>
          <w14:textFill>
            <w14:solidFill>
              <w14:schemeClr w14:val="tx1"/>
            </w14:solidFill>
          </w14:textFill>
        </w:rPr>
        <w:t>七、其他补充事宜</w:t>
      </w:r>
      <w:bookmarkEnd w:id="242"/>
      <w:bookmarkEnd w:id="243"/>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val="en-US" w:eastAsia="zh-CN"/>
          <w14:textFill>
            <w14:solidFill>
              <w14:schemeClr w14:val="tx1"/>
            </w14:solidFill>
          </w14:textFill>
        </w:rPr>
        <w:t>无</w:t>
      </w:r>
    </w:p>
    <w:p w14:paraId="0317262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000000" w:themeColor="text1"/>
          <w:sz w:val="24"/>
          <w:highlight w:val="none"/>
          <w14:textFill>
            <w14:solidFill>
              <w14:schemeClr w14:val="tx1"/>
            </w14:solidFill>
          </w14:textFill>
        </w:rPr>
      </w:pPr>
      <w:bookmarkStart w:id="244" w:name="_Toc28359095"/>
      <w:bookmarkStart w:id="245" w:name="_Toc35393805"/>
      <w:bookmarkStart w:id="246" w:name="_Toc28359018"/>
      <w:bookmarkStart w:id="247" w:name="_Toc35393636"/>
      <w:r>
        <w:rPr>
          <w:rFonts w:hint="eastAsia" w:ascii="宋体" w:hAnsi="宋体" w:eastAsia="宋体" w:cs="宋体"/>
          <w:color w:val="000000" w:themeColor="text1"/>
          <w:sz w:val="24"/>
          <w:highlight w:val="none"/>
          <w14:textFill>
            <w14:solidFill>
              <w14:schemeClr w14:val="tx1"/>
            </w14:solidFill>
          </w14:textFill>
        </w:rPr>
        <w:t>八、凡对本次采购提出询问，请按以下方式联系</w:t>
      </w:r>
      <w:bookmarkEnd w:id="244"/>
      <w:bookmarkEnd w:id="245"/>
      <w:bookmarkEnd w:id="246"/>
      <w:bookmarkEnd w:id="247"/>
      <w:r>
        <w:rPr>
          <w:rFonts w:hint="eastAsia" w:ascii="宋体" w:hAnsi="宋体" w:eastAsia="宋体" w:cs="宋体"/>
          <w:color w:val="000000" w:themeColor="text1"/>
          <w:sz w:val="24"/>
          <w:highlight w:val="none"/>
          <w14:textFill>
            <w14:solidFill>
              <w14:schemeClr w14:val="tx1"/>
            </w14:solidFill>
          </w14:textFill>
        </w:rPr>
        <w:t>:</w:t>
      </w:r>
    </w:p>
    <w:p w14:paraId="1BF3BDC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1.采 购 人：</w:t>
      </w:r>
      <w:r>
        <w:rPr>
          <w:rFonts w:hint="eastAsia" w:ascii="宋体" w:hAnsi="宋体" w:cs="宋体"/>
          <w:color w:val="000000" w:themeColor="text1"/>
          <w:sz w:val="24"/>
          <w:highlight w:val="none"/>
          <w:lang w:eastAsia="zh-CN"/>
          <w14:textFill>
            <w14:solidFill>
              <w14:schemeClr w14:val="tx1"/>
            </w14:solidFill>
          </w14:textFill>
        </w:rPr>
        <w:t>临沂大学</w:t>
      </w:r>
    </w:p>
    <w:p w14:paraId="2FBC282A">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地址：</w:t>
      </w:r>
      <w:r>
        <w:rPr>
          <w:rFonts w:hint="eastAsia" w:ascii="宋体" w:hAnsi="Times New Roman" w:eastAsia="宋体" w:cs="Times New Roman"/>
          <w:color w:val="auto"/>
          <w:sz w:val="24"/>
          <w:szCs w:val="24"/>
          <w:highlight w:val="none"/>
        </w:rPr>
        <w:t>临沂市兰山区双岭路中段临沂大学 </w:t>
      </w:r>
    </w:p>
    <w:p w14:paraId="149B1030">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联系方式：</w:t>
      </w:r>
      <w:r>
        <w:rPr>
          <w:rFonts w:hint="eastAsia" w:ascii="宋体" w:hAnsi="宋体" w:cs="宋体"/>
          <w:color w:val="000000" w:themeColor="text1"/>
          <w:sz w:val="24"/>
          <w:highlight w:val="none"/>
          <w:lang w:eastAsia="zh-CN"/>
          <w14:textFill>
            <w14:solidFill>
              <w14:schemeClr w14:val="tx1"/>
            </w14:solidFill>
          </w14:textFill>
        </w:rPr>
        <w:t>0539-7258756</w:t>
      </w:r>
    </w:p>
    <w:p w14:paraId="79A006B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2.采购代理机构：临沂市沂蒙国际招标有限公司</w:t>
      </w:r>
    </w:p>
    <w:p w14:paraId="74812C72">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地址：山东省临沂市兰山区柳青街道北京路与沭河路交汇北50米红日大厦20楼2008室</w:t>
      </w:r>
    </w:p>
    <w:p w14:paraId="07DDC72A">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联系人：</w:t>
      </w:r>
      <w:r>
        <w:rPr>
          <w:rFonts w:hint="eastAsia" w:ascii="宋体" w:hAnsi="宋体" w:cs="宋体"/>
          <w:color w:val="000000" w:themeColor="text1"/>
          <w:sz w:val="24"/>
          <w:highlight w:val="none"/>
          <w:lang w:val="en-US" w:eastAsia="zh-CN"/>
          <w14:textFill>
            <w14:solidFill>
              <w14:schemeClr w14:val="tx1"/>
            </w14:solidFill>
          </w14:textFill>
        </w:rPr>
        <w:t>毛锟  申振</w:t>
      </w:r>
    </w:p>
    <w:p w14:paraId="55808420">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联系方式：0539-7578911</w:t>
      </w:r>
    </w:p>
    <w:p w14:paraId="4961E773">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电子邮箱：ymgjzb@163.com</w:t>
      </w:r>
    </w:p>
    <w:p w14:paraId="361250FE">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开 户 名：临沂市沂蒙国际招标有限公司</w:t>
      </w:r>
    </w:p>
    <w:p w14:paraId="0CA8A1B0">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开 户 行：建设银行临沂分行营业部</w:t>
      </w:r>
    </w:p>
    <w:p w14:paraId="372A8205">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账    号：37001828301050001489</w:t>
      </w:r>
    </w:p>
    <w:p w14:paraId="5C94897F">
      <w:pPr>
        <w:pStyle w:val="40"/>
        <w:rPr>
          <w:rFonts w:hint="eastAsia"/>
          <w:color w:val="000000" w:themeColor="text1"/>
          <w:highlight w:val="none"/>
          <w14:textFill>
            <w14:solidFill>
              <w14:schemeClr w14:val="tx1"/>
            </w14:solidFill>
          </w14:textFill>
        </w:rPr>
      </w:pPr>
    </w:p>
    <w:p w14:paraId="4706F653">
      <w:pPr>
        <w:pStyle w:val="41"/>
        <w:rPr>
          <w:rFonts w:hint="eastAsia" w:ascii="宋体" w:hAnsi="宋体" w:cs="宋体"/>
          <w:color w:val="000000" w:themeColor="text1"/>
          <w:sz w:val="24"/>
          <w:highlight w:val="none"/>
          <w14:textFill>
            <w14:solidFill>
              <w14:schemeClr w14:val="tx1"/>
            </w14:solidFill>
          </w14:textFill>
        </w:rPr>
        <w:sectPr>
          <w:headerReference r:id="rId3" w:type="default"/>
          <w:footerReference r:id="rId4" w:type="default"/>
          <w:pgSz w:w="11920" w:h="16840"/>
          <w:pgMar w:top="1560" w:right="1300" w:bottom="1417" w:left="1580" w:header="720" w:footer="720" w:gutter="0"/>
          <w:cols w:space="720" w:num="1"/>
        </w:sectPr>
      </w:pPr>
    </w:p>
    <w:p w14:paraId="36FE2603">
      <w:pPr>
        <w:pStyle w:val="41"/>
        <w:rPr>
          <w:rFonts w:hint="eastAsia" w:ascii="宋体" w:hAnsi="宋体" w:cs="宋体"/>
          <w:color w:val="000000" w:themeColor="text1"/>
          <w:sz w:val="24"/>
          <w:highlight w:val="none"/>
          <w14:textFill>
            <w14:solidFill>
              <w14:schemeClr w14:val="tx1"/>
            </w14:solidFill>
          </w14:textFill>
        </w:rPr>
      </w:pPr>
    </w:p>
    <w:p w14:paraId="6C181CEA">
      <w:pPr>
        <w:pStyle w:val="3"/>
        <w:tabs>
          <w:tab w:val="left" w:pos="0"/>
        </w:tabs>
        <w:spacing w:before="0" w:after="0" w:line="240" w:lineRule="atLeast"/>
        <w:ind w:firstLine="2088" w:firstLineChars="650"/>
        <w:jc w:val="both"/>
        <w:rPr>
          <w:rFonts w:hAnsi="宋体" w:cs="宋体"/>
          <w:color w:val="000000" w:themeColor="text1"/>
          <w:szCs w:val="32"/>
          <w:highlight w:val="none"/>
          <w14:textFill>
            <w14:solidFill>
              <w14:schemeClr w14:val="tx1"/>
            </w14:solidFill>
          </w14:textFill>
        </w:rPr>
      </w:pPr>
      <w:bookmarkStart w:id="248" w:name="cgrphone"/>
      <w:bookmarkEnd w:id="248"/>
      <w:bookmarkStart w:id="249" w:name="_Toc29657"/>
      <w:bookmarkStart w:id="250" w:name="_Toc512937850"/>
      <w:r>
        <w:rPr>
          <w:rFonts w:hint="eastAsia" w:hAnsi="宋体" w:cs="宋体"/>
          <w:color w:val="000000" w:themeColor="text1"/>
          <w:szCs w:val="32"/>
          <w:highlight w:val="none"/>
          <w14:textFill>
            <w14:solidFill>
              <w14:schemeClr w14:val="tx1"/>
            </w14:solidFill>
          </w14:textFill>
        </w:rPr>
        <w:t>第3章</w:t>
      </w:r>
      <w:bookmarkStart w:id="251" w:name="_Toc507399903"/>
      <w:bookmarkStart w:id="252" w:name="_Toc216582823"/>
      <w:bookmarkStart w:id="253" w:name="_Toc515647830"/>
      <w:bookmarkStart w:id="254" w:name="_Toc31583"/>
      <w:bookmarkStart w:id="255" w:name="_Toc4766814"/>
      <w:bookmarkStart w:id="256" w:name="_Toc10488"/>
      <w:r>
        <w:rPr>
          <w:rFonts w:hint="eastAsia" w:hAnsi="宋体" w:cs="宋体"/>
          <w:color w:val="000000" w:themeColor="text1"/>
          <w:szCs w:val="32"/>
          <w:highlight w:val="non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供应商须知</w:t>
      </w:r>
      <w:r>
        <w:rPr>
          <w:rFonts w:hint="eastAsia" w:hAnsi="宋体" w:cs="宋体"/>
          <w:color w:val="000000" w:themeColor="text1"/>
          <w:szCs w:val="32"/>
          <w:highlight w:val="none"/>
          <w14:textFill>
            <w14:solidFill>
              <w14:schemeClr w14:val="tx1"/>
            </w14:solidFill>
          </w14:textFill>
        </w:rPr>
        <w:t>资料表</w:t>
      </w:r>
      <w:bookmarkEnd w:id="249"/>
      <w:bookmarkEnd w:id="251"/>
      <w:bookmarkEnd w:id="252"/>
      <w:bookmarkEnd w:id="253"/>
      <w:bookmarkEnd w:id="254"/>
      <w:bookmarkEnd w:id="255"/>
      <w:bookmarkEnd w:id="256"/>
    </w:p>
    <w:p w14:paraId="6E061655">
      <w:pPr>
        <w:spacing w:line="480" w:lineRule="exact"/>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本表是本磋商项目的具体资料，是对供应商须知的具体补充和修改，如有矛盾，应</w:t>
      </w:r>
      <w:r>
        <w:rPr>
          <w:rFonts w:hint="eastAsia" w:ascii="宋体" w:hAnsi="宋体" w:cs="宋体"/>
          <w:b/>
          <w:color w:val="000000" w:themeColor="text1"/>
          <w:sz w:val="24"/>
          <w:highlight w:val="none"/>
          <w14:textFill>
            <w14:solidFill>
              <w14:schemeClr w14:val="tx1"/>
            </w14:solidFill>
          </w14:textFill>
        </w:rPr>
        <w:t>以本资料表为准</w:t>
      </w:r>
      <w:r>
        <w:rPr>
          <w:rFonts w:hint="eastAsia" w:ascii="宋体" w:hAnsi="宋体" w:cs="宋体"/>
          <w:color w:val="000000" w:themeColor="text1"/>
          <w:sz w:val="24"/>
          <w:highlight w:val="none"/>
          <w14:textFill>
            <w14:solidFill>
              <w14:schemeClr w14:val="tx1"/>
            </w14:solidFill>
          </w14:textFill>
        </w:rPr>
        <w:t>。</w:t>
      </w:r>
    </w:p>
    <w:tbl>
      <w:tblPr>
        <w:tblStyle w:val="32"/>
        <w:tblW w:w="934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319"/>
      </w:tblGrid>
      <w:tr w14:paraId="1EF4F9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12" w:space="0"/>
              <w:left w:val="single" w:color="auto" w:sz="12" w:space="0"/>
              <w:bottom w:val="single" w:color="auto" w:sz="6" w:space="0"/>
              <w:right w:val="single" w:color="auto" w:sz="6" w:space="0"/>
            </w:tcBorders>
            <w:vAlign w:val="center"/>
          </w:tcPr>
          <w:p w14:paraId="36F2E7E2">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条款号</w:t>
            </w:r>
          </w:p>
        </w:tc>
        <w:tc>
          <w:tcPr>
            <w:tcW w:w="8319" w:type="dxa"/>
            <w:tcBorders>
              <w:top w:val="single" w:color="auto" w:sz="12" w:space="0"/>
              <w:left w:val="single" w:color="auto" w:sz="6" w:space="0"/>
              <w:bottom w:val="single" w:color="auto" w:sz="6" w:space="0"/>
              <w:right w:val="single" w:color="auto" w:sz="12" w:space="0"/>
            </w:tcBorders>
            <w:vAlign w:val="center"/>
          </w:tcPr>
          <w:p w14:paraId="15D9ADE4">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内</w:t>
            </w:r>
            <w:r>
              <w:rPr>
                <w:rFonts w:hint="eastAsia" w:ascii="宋体" w:hAnsi="宋体" w:cs="宋体"/>
                <w:color w:val="000000" w:themeColor="text1"/>
                <w:sz w:val="24"/>
                <w:highlight w:val="none"/>
                <w:lang w:val="en-US"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容</w:t>
            </w:r>
          </w:p>
        </w:tc>
      </w:tr>
      <w:tr w14:paraId="764C1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1EE37502">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1.1</w:t>
            </w:r>
          </w:p>
        </w:tc>
        <w:tc>
          <w:tcPr>
            <w:tcW w:w="8319" w:type="dxa"/>
            <w:tcBorders>
              <w:top w:val="single" w:color="auto" w:sz="6" w:space="0"/>
              <w:left w:val="single" w:color="auto" w:sz="6" w:space="0"/>
              <w:bottom w:val="single" w:color="auto" w:sz="6" w:space="0"/>
              <w:right w:val="single" w:color="auto" w:sz="12" w:space="0"/>
            </w:tcBorders>
            <w:vAlign w:val="center"/>
          </w:tcPr>
          <w:p w14:paraId="710FF314">
            <w:pPr>
              <w:spacing w:line="480" w:lineRule="exac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 购 人：</w:t>
            </w:r>
            <w:r>
              <w:rPr>
                <w:rFonts w:hint="eastAsia" w:ascii="宋体" w:hAnsi="宋体" w:cs="宋体"/>
                <w:color w:val="000000" w:themeColor="text1"/>
                <w:sz w:val="24"/>
                <w:highlight w:val="none"/>
                <w:lang w:eastAsia="zh-CN"/>
                <w14:textFill>
                  <w14:solidFill>
                    <w14:schemeClr w14:val="tx1"/>
                  </w14:solidFill>
                </w14:textFill>
              </w:rPr>
              <w:t>临沂大学</w:t>
            </w:r>
          </w:p>
          <w:p w14:paraId="75194071">
            <w:pPr>
              <w:spacing w:line="480" w:lineRule="exac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地址：临沂市兰山区双岭路中段临沂大学</w:t>
            </w:r>
          </w:p>
          <w:p w14:paraId="2401B89C">
            <w:pPr>
              <w:spacing w:line="480" w:lineRule="exac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联系方式：</w:t>
            </w:r>
            <w:r>
              <w:rPr>
                <w:rFonts w:hint="eastAsia" w:ascii="宋体" w:hAnsi="宋体" w:cs="宋体"/>
                <w:color w:val="000000" w:themeColor="text1"/>
                <w:sz w:val="24"/>
                <w:highlight w:val="none"/>
                <w:lang w:eastAsia="zh-CN"/>
                <w14:textFill>
                  <w14:solidFill>
                    <w14:schemeClr w14:val="tx1"/>
                  </w14:solidFill>
                </w14:textFill>
              </w:rPr>
              <w:t>0539-7258756</w:t>
            </w:r>
          </w:p>
        </w:tc>
      </w:tr>
      <w:tr w14:paraId="4DA5E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73D68890">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1.2</w:t>
            </w:r>
          </w:p>
        </w:tc>
        <w:tc>
          <w:tcPr>
            <w:tcW w:w="8319" w:type="dxa"/>
            <w:tcBorders>
              <w:top w:val="single" w:color="auto" w:sz="6" w:space="0"/>
              <w:left w:val="single" w:color="auto" w:sz="6" w:space="0"/>
              <w:bottom w:val="single" w:color="auto" w:sz="6" w:space="0"/>
              <w:right w:val="single" w:color="auto" w:sz="12" w:space="0"/>
            </w:tcBorders>
            <w:vAlign w:val="center"/>
          </w:tcPr>
          <w:p w14:paraId="3059607A">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采购代理机构：临沂市沂蒙国际招标有限公司</w:t>
            </w:r>
          </w:p>
          <w:p w14:paraId="7388C37E">
            <w:pPr>
              <w:spacing w:line="480" w:lineRule="exac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w:t>
            </w:r>
            <w:r>
              <w:rPr>
                <w:rFonts w:hint="eastAsia" w:ascii="宋体" w:hAnsi="宋体" w:cs="宋体"/>
                <w:color w:val="000000" w:themeColor="text1"/>
                <w:sz w:val="24"/>
                <w:highlight w:val="none"/>
                <w:lang w:eastAsia="zh-CN"/>
                <w14:textFill>
                  <w14:solidFill>
                    <w14:schemeClr w14:val="tx1"/>
                  </w14:solidFill>
                </w14:textFill>
              </w:rPr>
              <w:t>临沂市兰山区柳青街道北京路与沭河路交汇北50米红日大厦20楼2008室</w:t>
            </w:r>
          </w:p>
          <w:p w14:paraId="38CD4080">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邮　　编：276000</w:t>
            </w:r>
          </w:p>
          <w:p w14:paraId="2A439996">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电　　话：0539-757891</w:t>
            </w:r>
          </w:p>
          <w:p w14:paraId="28A3407C">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电子信箱：ymgjzb@163.com</w:t>
            </w:r>
          </w:p>
          <w:p w14:paraId="53C0EFC8">
            <w:pPr>
              <w:spacing w:line="480" w:lineRule="exac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w:t>
            </w:r>
            <w:r>
              <w:rPr>
                <w:rFonts w:hint="eastAsia" w:ascii="宋体" w:hAnsi="宋体" w:cs="宋体"/>
                <w:color w:val="000000" w:themeColor="text1"/>
                <w:sz w:val="24"/>
                <w:highlight w:val="none"/>
                <w:lang w:val="en-US"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系</w:t>
            </w:r>
            <w:r>
              <w:rPr>
                <w:rFonts w:hint="eastAsia" w:ascii="宋体" w:hAnsi="宋体" w:cs="宋体"/>
                <w:color w:val="000000" w:themeColor="text1"/>
                <w:sz w:val="24"/>
                <w:highlight w:val="none"/>
                <w:lang w:val="en-US"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人：</w:t>
            </w:r>
            <w:r>
              <w:rPr>
                <w:rFonts w:hint="eastAsia" w:ascii="宋体" w:hAnsi="宋体" w:cs="宋体"/>
                <w:color w:val="000000" w:themeColor="text1"/>
                <w:sz w:val="24"/>
                <w:highlight w:val="none"/>
                <w:lang w:eastAsia="zh-CN"/>
                <w14:textFill>
                  <w14:solidFill>
                    <w14:schemeClr w14:val="tx1"/>
                  </w14:solidFill>
                </w14:textFill>
              </w:rPr>
              <w:t xml:space="preserve">毛锟  </w:t>
            </w:r>
            <w:r>
              <w:rPr>
                <w:rFonts w:hint="eastAsia" w:ascii="宋体" w:hAnsi="宋体" w:cs="宋体"/>
                <w:color w:val="000000" w:themeColor="text1"/>
                <w:sz w:val="24"/>
                <w:highlight w:val="none"/>
                <w:lang w:val="en-US" w:eastAsia="zh-CN"/>
                <w14:textFill>
                  <w14:solidFill>
                    <w14:schemeClr w14:val="tx1"/>
                  </w14:solidFill>
                </w14:textFill>
              </w:rPr>
              <w:t>申振</w:t>
            </w:r>
          </w:p>
          <w:p w14:paraId="6B54A732">
            <w:pPr>
              <w:spacing w:line="500" w:lineRule="exact"/>
              <w:ind w:left="900" w:hanging="900" w:hangingChars="37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开 户 名：临沂市沂蒙国际招标有限公司</w:t>
            </w:r>
          </w:p>
          <w:p w14:paraId="515CF33C">
            <w:pPr>
              <w:spacing w:line="500" w:lineRule="exact"/>
              <w:ind w:left="900" w:hanging="900" w:hangingChars="375"/>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开 户 行：建设银行临沂分行营业部</w:t>
            </w:r>
          </w:p>
          <w:p w14:paraId="08145643">
            <w:pPr>
              <w:spacing w:line="500" w:lineRule="exact"/>
              <w:ind w:left="900" w:hanging="900" w:hangingChars="375"/>
              <w:rPr>
                <w:rFonts w:ascii="宋体" w:hAnsi="宋体" w:cs="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账    号：37001828301050001489</w:t>
            </w:r>
          </w:p>
        </w:tc>
      </w:tr>
      <w:tr w14:paraId="7A51BC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77997DD0">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1.3.4</w:t>
            </w:r>
          </w:p>
        </w:tc>
        <w:tc>
          <w:tcPr>
            <w:tcW w:w="8319" w:type="dxa"/>
            <w:tcBorders>
              <w:top w:val="single" w:color="auto" w:sz="6" w:space="0"/>
              <w:left w:val="single" w:color="auto" w:sz="6" w:space="0"/>
              <w:bottom w:val="single" w:color="auto" w:sz="6" w:space="0"/>
              <w:right w:val="single" w:color="auto" w:sz="12" w:space="0"/>
            </w:tcBorders>
            <w:vAlign w:val="center"/>
          </w:tcPr>
          <w:p w14:paraId="6E4ED982">
            <w:pPr>
              <w:pStyle w:val="47"/>
              <w:tabs>
                <w:tab w:val="left" w:pos="4276"/>
                <w:tab w:val="left" w:pos="8522"/>
              </w:tabs>
              <w:spacing w:line="480" w:lineRule="exact"/>
              <w:ind w:hanging="6" w:firstLineChars="0"/>
              <w:jc w:val="lef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合格供应商的特定资格要求：</w:t>
            </w:r>
            <w:r>
              <w:rPr>
                <w:rFonts w:hint="eastAsia" w:ascii="宋体" w:hAnsi="宋体" w:cs="宋体"/>
                <w:color w:val="000000" w:themeColor="text1"/>
                <w:sz w:val="24"/>
                <w:highlight w:val="none"/>
                <w:lang w:val="en-US" w:eastAsia="zh-CN"/>
                <w14:textFill>
                  <w14:solidFill>
                    <w14:schemeClr w14:val="tx1"/>
                  </w14:solidFill>
                </w14:textFill>
              </w:rPr>
              <w:t>无</w:t>
            </w:r>
          </w:p>
        </w:tc>
      </w:tr>
      <w:tr w14:paraId="661FB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19E80802">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1.3.5</w:t>
            </w:r>
          </w:p>
        </w:tc>
        <w:tc>
          <w:tcPr>
            <w:tcW w:w="8319" w:type="dxa"/>
            <w:tcBorders>
              <w:top w:val="single" w:color="auto" w:sz="6" w:space="0"/>
              <w:left w:val="single" w:color="auto" w:sz="6" w:space="0"/>
              <w:bottom w:val="single" w:color="auto" w:sz="6" w:space="0"/>
              <w:right w:val="single" w:color="auto" w:sz="12" w:space="0"/>
            </w:tcBorders>
            <w:vAlign w:val="center"/>
          </w:tcPr>
          <w:p w14:paraId="015E4358">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是否为专门面向中小企业采购：否</w:t>
            </w:r>
          </w:p>
        </w:tc>
      </w:tr>
      <w:tr w14:paraId="1DC3E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17AE47DB">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1.3.6</w:t>
            </w:r>
          </w:p>
        </w:tc>
        <w:tc>
          <w:tcPr>
            <w:tcW w:w="8319" w:type="dxa"/>
            <w:tcBorders>
              <w:top w:val="single" w:color="auto" w:sz="6" w:space="0"/>
              <w:left w:val="single" w:color="auto" w:sz="6" w:space="0"/>
              <w:bottom w:val="single" w:color="auto" w:sz="6" w:space="0"/>
              <w:right w:val="single" w:color="auto" w:sz="12" w:space="0"/>
            </w:tcBorders>
            <w:vAlign w:val="center"/>
          </w:tcPr>
          <w:p w14:paraId="3780D212">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是否允许采购进口产品：否</w:t>
            </w:r>
          </w:p>
        </w:tc>
      </w:tr>
      <w:tr w14:paraId="156DC3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73CE40D7">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w:t>
            </w:r>
          </w:p>
        </w:tc>
        <w:tc>
          <w:tcPr>
            <w:tcW w:w="8319" w:type="dxa"/>
            <w:tcBorders>
              <w:top w:val="single" w:color="auto" w:sz="6" w:space="0"/>
              <w:left w:val="single" w:color="auto" w:sz="6" w:space="0"/>
              <w:bottom w:val="single" w:color="auto" w:sz="6" w:space="0"/>
              <w:right w:val="single" w:color="auto" w:sz="12" w:space="0"/>
            </w:tcBorders>
            <w:vAlign w:val="center"/>
          </w:tcPr>
          <w:p w14:paraId="3592776C">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是否允许联合体投标：不允许</w:t>
            </w:r>
          </w:p>
        </w:tc>
      </w:tr>
      <w:tr w14:paraId="785863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27E13B08">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1.4.1</w:t>
            </w:r>
          </w:p>
        </w:tc>
        <w:tc>
          <w:tcPr>
            <w:tcW w:w="8319" w:type="dxa"/>
            <w:tcBorders>
              <w:top w:val="single" w:color="auto" w:sz="6" w:space="0"/>
              <w:left w:val="single" w:color="auto" w:sz="6" w:space="0"/>
              <w:bottom w:val="single" w:color="auto" w:sz="6" w:space="0"/>
              <w:right w:val="single" w:color="auto" w:sz="12" w:space="0"/>
            </w:tcBorders>
            <w:vAlign w:val="center"/>
          </w:tcPr>
          <w:p w14:paraId="131644FE">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联合体的其他资格要求：不受联合体</w:t>
            </w:r>
          </w:p>
        </w:tc>
      </w:tr>
      <w:tr w14:paraId="741018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2930900D">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w:t>
            </w:r>
          </w:p>
        </w:tc>
        <w:tc>
          <w:tcPr>
            <w:tcW w:w="8319" w:type="dxa"/>
            <w:tcBorders>
              <w:top w:val="single" w:color="auto" w:sz="6" w:space="0"/>
              <w:left w:val="single" w:color="auto" w:sz="6" w:space="0"/>
              <w:bottom w:val="single" w:color="auto" w:sz="6" w:space="0"/>
              <w:right w:val="single" w:color="auto" w:sz="12" w:space="0"/>
            </w:tcBorders>
            <w:vAlign w:val="center"/>
          </w:tcPr>
          <w:p w14:paraId="1D347DAE">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w:t>
            </w:r>
            <w:r>
              <w:rPr>
                <w:rFonts w:hint="eastAsia" w:ascii="宋体" w:hAnsi="宋体" w:cs="宋体"/>
                <w:color w:val="000000" w:themeColor="text1"/>
                <w:sz w:val="24"/>
                <w:highlight w:val="none"/>
                <w:lang w:val="en-US" w:eastAsia="zh-CN"/>
                <w14:textFill>
                  <w14:solidFill>
                    <w14:schemeClr w14:val="tx1"/>
                  </w14:solidFill>
                </w14:textFill>
              </w:rPr>
              <w:t>项目最高限价</w:t>
            </w:r>
            <w:r>
              <w:rPr>
                <w:rFonts w:hint="eastAsia" w:ascii="宋体" w:hAnsi="宋体" w:cs="宋体"/>
                <w:color w:val="000000" w:themeColor="text1"/>
                <w:sz w:val="24"/>
                <w:highlight w:val="none"/>
                <w14:textFill>
                  <w14:solidFill>
                    <w14:schemeClr w14:val="tx1"/>
                  </w14:solidFill>
                </w14:textFill>
              </w:rPr>
              <w:t>：直饮热水不高于0.13元/升，直饮凉水不高于0.07元/升</w:t>
            </w:r>
            <w:r>
              <w:rPr>
                <w:rFonts w:hint="default" w:ascii="宋体" w:hAnsi="宋体" w:eastAsia="宋体" w:cs="宋体"/>
                <w:color w:val="000000" w:themeColor="text1"/>
                <w:sz w:val="24"/>
                <w:highlight w:val="none"/>
                <w:lang w:val="en-US" w:eastAsia="zh-CN"/>
                <w14:textFill>
                  <w14:solidFill>
                    <w14:schemeClr w14:val="tx1"/>
                  </w14:solidFill>
                </w14:textFill>
              </w:rPr>
              <w:t>。</w:t>
            </w:r>
          </w:p>
        </w:tc>
      </w:tr>
      <w:tr w14:paraId="6A37B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560C0D95">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p>
        </w:tc>
        <w:tc>
          <w:tcPr>
            <w:tcW w:w="8319" w:type="dxa"/>
            <w:tcBorders>
              <w:top w:val="single" w:color="auto" w:sz="6" w:space="0"/>
              <w:left w:val="single" w:color="auto" w:sz="6" w:space="0"/>
              <w:bottom w:val="single" w:color="auto" w:sz="6" w:space="0"/>
              <w:right w:val="single" w:color="auto" w:sz="12" w:space="0"/>
            </w:tcBorders>
            <w:vAlign w:val="center"/>
          </w:tcPr>
          <w:p w14:paraId="2669F638">
            <w:pPr>
              <w:spacing w:line="480" w:lineRule="exac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是否现场踏勘：（是</w:t>
            </w:r>
            <w:r>
              <w:rPr>
                <w:rFonts w:hint="eastAsia" w:ascii="宋体" w:hAnsi="宋体" w:cs="宋体"/>
                <w:color w:val="000000" w:themeColor="text1"/>
                <w:sz w:val="24"/>
                <w:highlight w:val="none"/>
                <w14:textFill>
                  <w14:solidFill>
                    <w14:schemeClr w14:val="tx1"/>
                  </w14:solidFill>
                </w14:textFill>
              </w:rPr>
              <w:sym w:font="Wingdings 2" w:char="0052"/>
            </w:r>
            <w:r>
              <w:rPr>
                <w:rFonts w:hint="eastAsia" w:ascii="宋体" w:hAnsi="宋体" w:cs="宋体"/>
                <w:color w:val="000000" w:themeColor="text1"/>
                <w:sz w:val="24"/>
                <w:highlight w:val="none"/>
                <w14:textFill>
                  <w14:solidFill>
                    <w14:schemeClr w14:val="tx1"/>
                  </w14:solidFill>
                </w14:textFill>
              </w:rPr>
              <w:t>　否</w:t>
            </w:r>
            <w:r>
              <w:rPr>
                <w:rFonts w:hint="eastAsia" w:ascii="宋体" w:hAnsi="宋体" w:cs="宋体"/>
                <w:color w:val="000000" w:themeColor="text1"/>
                <w:sz w:val="24"/>
                <w:highlight w:val="none"/>
                <w:lang w:eastAsia="zh-CN"/>
                <w14:textFill>
                  <w14:solidFill>
                    <w14:schemeClr w14:val="tx1"/>
                  </w14:solidFill>
                </w14:textFill>
              </w:rPr>
              <w:sym w:font="Wingdings 2" w:char="00A3"/>
            </w:r>
            <w:r>
              <w:rPr>
                <w:rFonts w:hint="eastAsia" w:ascii="宋体" w:hAnsi="宋体" w:cs="宋体"/>
                <w:color w:val="000000" w:themeColor="text1"/>
                <w:sz w:val="24"/>
                <w:highlight w:val="none"/>
                <w14:textFill>
                  <w14:solidFill>
                    <w14:schemeClr w14:val="tx1"/>
                  </w14:solidFill>
                </w14:textFill>
              </w:rPr>
              <w:t>）</w:t>
            </w:r>
          </w:p>
          <w:p w14:paraId="25F12CE4">
            <w:pPr>
              <w:spacing w:line="480" w:lineRule="exact"/>
              <w:rPr>
                <w:rFonts w:hint="default" w:ascii="宋体" w:hAnsi="宋体" w:cs="宋体"/>
                <w:color w:val="000000" w:themeColor="text1"/>
                <w:sz w:val="24"/>
                <w:highlight w:val="none"/>
                <w:lang w:val="en-US" w:eastAsia="zh-CN"/>
                <w14:textFill>
                  <w14:solidFill>
                    <w14:schemeClr w14:val="tx1"/>
                  </w14:solidFill>
                </w14:textFill>
              </w:rPr>
            </w:pPr>
            <w:r>
              <w:rPr>
                <w:rFonts w:hint="default" w:ascii="宋体" w:hAnsi="宋体" w:cs="宋体"/>
                <w:color w:val="000000" w:themeColor="text1"/>
                <w:sz w:val="24"/>
                <w:highlight w:val="none"/>
                <w:lang w:val="en-US" w:eastAsia="zh-CN"/>
                <w14:textFill>
                  <w14:solidFill>
                    <w14:schemeClr w14:val="tx1"/>
                  </w14:solidFill>
                </w14:textFill>
              </w:rPr>
              <w:t>（1）有意向的供应商应按照学校统一要求时间到安装现场实地勘察，统一现场勘察时间：202</w:t>
            </w:r>
            <w:r>
              <w:rPr>
                <w:rFonts w:hint="eastAsia" w:ascii="宋体" w:hAnsi="宋体" w:cs="宋体"/>
                <w:color w:val="000000" w:themeColor="text1"/>
                <w:sz w:val="24"/>
                <w:highlight w:val="none"/>
                <w:lang w:val="en-US" w:eastAsia="zh-CN"/>
                <w14:textFill>
                  <w14:solidFill>
                    <w14:schemeClr w14:val="tx1"/>
                  </w14:solidFill>
                </w14:textFill>
              </w:rPr>
              <w:t>5</w:t>
            </w:r>
            <w:r>
              <w:rPr>
                <w:rFonts w:hint="default" w:ascii="宋体" w:hAnsi="宋体" w:cs="宋体"/>
                <w:color w:val="000000" w:themeColor="text1"/>
                <w:sz w:val="24"/>
                <w:highlight w:val="none"/>
                <w:lang w:val="en-US" w:eastAsia="zh-CN"/>
                <w14:textFill>
                  <w14:solidFill>
                    <w14:schemeClr w14:val="tx1"/>
                  </w14:solidFill>
                </w14:textFill>
              </w:rPr>
              <w:t>年8月</w:t>
            </w:r>
            <w:r>
              <w:rPr>
                <w:rFonts w:hint="eastAsia" w:ascii="宋体" w:hAnsi="宋体" w:cs="宋体"/>
                <w:color w:val="000000" w:themeColor="text1"/>
                <w:sz w:val="24"/>
                <w:highlight w:val="none"/>
                <w:lang w:val="en-US" w:eastAsia="zh-CN"/>
                <w14:textFill>
                  <w14:solidFill>
                    <w14:schemeClr w14:val="tx1"/>
                  </w14:solidFill>
                </w14:textFill>
              </w:rPr>
              <w:t>15</w:t>
            </w:r>
            <w:r>
              <w:rPr>
                <w:rFonts w:hint="default" w:ascii="宋体" w:hAnsi="宋体" w:cs="宋体"/>
                <w:color w:val="000000" w:themeColor="text1"/>
                <w:sz w:val="24"/>
                <w:highlight w:val="none"/>
                <w:lang w:val="en-US" w:eastAsia="zh-CN"/>
                <w14:textFill>
                  <w14:solidFill>
                    <w14:schemeClr w14:val="tx1"/>
                  </w14:solidFill>
                </w14:textFill>
              </w:rPr>
              <w:t>日上午09:30，联系人：</w:t>
            </w:r>
            <w:r>
              <w:rPr>
                <w:rFonts w:hint="eastAsia" w:ascii="宋体" w:hAnsi="宋体" w:cs="宋体"/>
                <w:color w:val="000000" w:themeColor="text1"/>
                <w:sz w:val="24"/>
                <w:highlight w:val="none"/>
                <w:lang w:val="en-US" w:eastAsia="zh-CN"/>
                <w14:textFill>
                  <w14:solidFill>
                    <w14:schemeClr w14:val="tx1"/>
                  </w14:solidFill>
                </w14:textFill>
              </w:rPr>
              <w:t>秦猛</w:t>
            </w:r>
            <w:r>
              <w:rPr>
                <w:rFonts w:hint="default" w:ascii="宋体" w:hAnsi="宋体" w:cs="宋体"/>
                <w:color w:val="000000" w:themeColor="text1"/>
                <w:sz w:val="24"/>
                <w:highlight w:val="none"/>
                <w:lang w:val="en-US" w:eastAsia="zh-CN"/>
                <w14:textFill>
                  <w14:solidFill>
                    <w14:schemeClr w14:val="tx1"/>
                  </w14:solidFill>
                </w14:textFill>
              </w:rPr>
              <w:t>，电话：</w:t>
            </w:r>
            <w:r>
              <w:rPr>
                <w:rFonts w:hint="eastAsia" w:ascii="宋体" w:hAnsi="宋体" w:cs="宋体"/>
                <w:color w:val="000000" w:themeColor="text1"/>
                <w:sz w:val="24"/>
                <w:highlight w:val="none"/>
                <w:lang w:val="en-US" w:eastAsia="zh-CN"/>
                <w14:textFill>
                  <w14:solidFill>
                    <w14:schemeClr w14:val="tx1"/>
                  </w14:solidFill>
                </w14:textFill>
              </w:rPr>
              <w:t>13697800068</w:t>
            </w:r>
            <w:r>
              <w:rPr>
                <w:rFonts w:hint="default" w:ascii="宋体" w:hAnsi="宋体" w:cs="宋体"/>
                <w:color w:val="000000" w:themeColor="text1"/>
                <w:sz w:val="24"/>
                <w:highlight w:val="none"/>
                <w:lang w:val="en-US" w:eastAsia="zh-CN"/>
                <w14:textFill>
                  <w14:solidFill>
                    <w14:schemeClr w14:val="tx1"/>
                  </w14:solidFill>
                </w14:textFill>
              </w:rPr>
              <w:t>，因现场勘查产生的费用、安全责任等由潜在供应商自行承担。</w:t>
            </w:r>
          </w:p>
          <w:p w14:paraId="6103DFAE">
            <w:pPr>
              <w:spacing w:line="480" w:lineRule="exact"/>
              <w:rPr>
                <w:rFonts w:hint="default"/>
                <w:highlight w:val="none"/>
                <w:lang w:val="en-US" w:eastAsia="zh-CN"/>
              </w:rPr>
            </w:pPr>
            <w:r>
              <w:rPr>
                <w:rFonts w:hint="default" w:ascii="宋体" w:hAnsi="宋体" w:cs="宋体"/>
                <w:color w:val="000000" w:themeColor="text1"/>
                <w:sz w:val="24"/>
                <w:highlight w:val="none"/>
                <w:lang w:val="en-US" w:eastAsia="zh-CN"/>
                <w14:textFill>
                  <w14:solidFill>
                    <w14:schemeClr w14:val="tx1"/>
                  </w14:solidFill>
                </w14:textFill>
              </w:rPr>
              <w:t>（2）供应商因未参加统一现场勘察对现场情况不了解造成施工进度不能满足需要、成本测算不准确、非不可抗力因素放弃成交等情形的，需承担相应违约责任，所缴纳的履约保证金、投标保证金不予退还。</w:t>
            </w:r>
          </w:p>
        </w:tc>
      </w:tr>
      <w:tr w14:paraId="50A8F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414CDB8B">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4</w:t>
            </w:r>
          </w:p>
        </w:tc>
        <w:tc>
          <w:tcPr>
            <w:tcW w:w="8319" w:type="dxa"/>
            <w:tcBorders>
              <w:top w:val="single" w:color="auto" w:sz="6" w:space="0"/>
              <w:left w:val="single" w:color="auto" w:sz="6" w:space="0"/>
              <w:bottom w:val="single" w:color="auto" w:sz="6" w:space="0"/>
              <w:right w:val="single" w:color="auto" w:sz="12" w:space="0"/>
            </w:tcBorders>
            <w:vAlign w:val="center"/>
          </w:tcPr>
          <w:p w14:paraId="4F2D894D">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本项目是否采用电子投标：（是</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否</w:t>
            </w:r>
            <w:r>
              <w:rPr>
                <w:rFonts w:hint="eastAsia" w:ascii="宋体" w:hAnsi="宋体" w:cs="宋体"/>
                <w:color w:val="000000" w:themeColor="text1"/>
                <w:sz w:val="24"/>
                <w:highlight w:val="none"/>
                <w14:textFill>
                  <w14:solidFill>
                    <w14:schemeClr w14:val="tx1"/>
                  </w14:solidFill>
                </w14:textFill>
              </w:rPr>
              <w:sym w:font="Wingdings 2" w:char="0052"/>
            </w:r>
            <w:r>
              <w:rPr>
                <w:rFonts w:hint="eastAsia" w:ascii="宋体" w:hAnsi="宋体" w:cs="宋体"/>
                <w:color w:val="000000" w:themeColor="text1"/>
                <w:sz w:val="24"/>
                <w:highlight w:val="none"/>
                <w14:textFill>
                  <w14:solidFill>
                    <w14:schemeClr w14:val="tx1"/>
                  </w14:solidFill>
                </w14:textFill>
              </w:rPr>
              <w:t>）</w:t>
            </w:r>
          </w:p>
        </w:tc>
      </w:tr>
      <w:tr w14:paraId="21772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248DB0B6">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5</w:t>
            </w:r>
          </w:p>
        </w:tc>
        <w:tc>
          <w:tcPr>
            <w:tcW w:w="8319" w:type="dxa"/>
            <w:tcBorders>
              <w:top w:val="single" w:color="auto" w:sz="6" w:space="0"/>
              <w:left w:val="single" w:color="auto" w:sz="6" w:space="0"/>
              <w:bottom w:val="single" w:color="auto" w:sz="6" w:space="0"/>
              <w:right w:val="single" w:color="auto" w:sz="12" w:space="0"/>
            </w:tcBorders>
            <w:vAlign w:val="center"/>
          </w:tcPr>
          <w:p w14:paraId="3CED6512">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报价要求：</w:t>
            </w:r>
            <w:r>
              <w:rPr>
                <w:rFonts w:hint="eastAsia" w:ascii="宋体" w:hAnsi="宋体"/>
                <w:sz w:val="24"/>
                <w:highlight w:val="none"/>
              </w:rPr>
              <w:t>所有投标报价均以人民币元为计算单位，本项目为交钥匙工程，只要投报了一个确定数额的总价，无论分项价格是否全部填报了相应的金额或免费字样，报价应</w:t>
            </w:r>
            <w:r>
              <w:rPr>
                <w:rFonts w:hint="eastAsia" w:ascii="宋体" w:hAnsi="宋体"/>
                <w:sz w:val="24"/>
                <w:highlight w:val="none"/>
                <w:lang w:val="en-US" w:eastAsia="zh-CN"/>
              </w:rPr>
              <w:t>包括但不限于</w:t>
            </w:r>
            <w:r>
              <w:rPr>
                <w:rFonts w:hint="eastAsia" w:ascii="宋体" w:hAnsi="宋体"/>
                <w:sz w:val="24"/>
                <w:szCs w:val="24"/>
                <w:highlight w:val="none"/>
              </w:rPr>
              <w:t>设备设施购置、安全运输</w:t>
            </w:r>
            <w:r>
              <w:rPr>
                <w:rFonts w:ascii="宋体" w:hAnsi="宋体"/>
                <w:sz w:val="24"/>
                <w:szCs w:val="24"/>
                <w:highlight w:val="none"/>
              </w:rPr>
              <w:t>、装卸、</w:t>
            </w:r>
            <w:r>
              <w:rPr>
                <w:rFonts w:hint="eastAsia" w:ascii="宋体" w:hAnsi="宋体"/>
                <w:sz w:val="24"/>
                <w:szCs w:val="24"/>
                <w:highlight w:val="none"/>
              </w:rPr>
              <w:t>安装</w:t>
            </w:r>
            <w:r>
              <w:rPr>
                <w:rFonts w:ascii="宋体" w:hAnsi="宋体"/>
                <w:sz w:val="24"/>
                <w:szCs w:val="24"/>
                <w:highlight w:val="none"/>
              </w:rPr>
              <w:t>调试、日常运维、税费、售后服务的全部费用</w:t>
            </w:r>
            <w:r>
              <w:rPr>
                <w:rFonts w:hint="eastAsia" w:ascii="宋体" w:hAnsi="宋体"/>
                <w:sz w:val="24"/>
                <w:highlight w:val="none"/>
              </w:rPr>
              <w:t>。如果报价中有缺项，应视为漏报项价格已分摊在其他项目中。供应商免费提供的项目，应先填写该项目的实际价格，并注明免费，此项不计入总价或合计价。</w:t>
            </w:r>
          </w:p>
        </w:tc>
      </w:tr>
      <w:tr w14:paraId="42EE0E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5517BF1F">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6</w:t>
            </w:r>
          </w:p>
        </w:tc>
        <w:tc>
          <w:tcPr>
            <w:tcW w:w="8319" w:type="dxa"/>
            <w:tcBorders>
              <w:top w:val="single" w:color="auto" w:sz="6" w:space="0"/>
              <w:left w:val="single" w:color="auto" w:sz="6" w:space="0"/>
              <w:bottom w:val="single" w:color="auto" w:sz="6" w:space="0"/>
              <w:right w:val="single" w:color="auto" w:sz="12" w:space="0"/>
            </w:tcBorders>
            <w:vAlign w:val="center"/>
          </w:tcPr>
          <w:p w14:paraId="46C1A290">
            <w:pPr>
              <w:spacing w:line="480" w:lineRule="exac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是否需要提供样品    是</w:t>
            </w:r>
            <w:r>
              <w:rPr>
                <w:rFonts w:hint="eastAsia" w:ascii="宋体" w:hAnsi="宋体" w:cs="宋体"/>
                <w:color w:val="000000" w:themeColor="text1"/>
                <w:sz w:val="24"/>
                <w:highlight w:val="none"/>
                <w14:textFill>
                  <w14:solidFill>
                    <w14:schemeClr w14:val="tx1"/>
                  </w14:solidFill>
                </w14:textFill>
              </w:rPr>
              <w:sym w:font="Wingdings" w:char="00A8"/>
            </w:r>
            <w:r>
              <w:rPr>
                <w:rFonts w:hint="eastAsia" w:ascii="宋体" w:hAnsi="宋体" w:cs="宋体"/>
                <w:color w:val="000000" w:themeColor="text1"/>
                <w:sz w:val="24"/>
                <w:highlight w:val="none"/>
                <w14:textFill>
                  <w14:solidFill>
                    <w14:schemeClr w14:val="tx1"/>
                  </w14:solidFill>
                </w14:textFill>
              </w:rPr>
              <w:t xml:space="preserve">  否</w:t>
            </w:r>
            <w:r>
              <w:rPr>
                <w:rFonts w:hint="eastAsia" w:ascii="宋体" w:hAnsi="宋体" w:cs="宋体"/>
                <w:color w:val="000000" w:themeColor="text1"/>
                <w:sz w:val="24"/>
                <w:highlight w:val="none"/>
                <w14:textFill>
                  <w14:solidFill>
                    <w14:schemeClr w14:val="tx1"/>
                  </w14:solidFill>
                </w14:textFill>
              </w:rPr>
              <w:sym w:font="Wingdings" w:char="00FE"/>
            </w:r>
          </w:p>
        </w:tc>
      </w:tr>
      <w:tr w14:paraId="63959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6112DD15">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7</w:t>
            </w:r>
          </w:p>
        </w:tc>
        <w:tc>
          <w:tcPr>
            <w:tcW w:w="8319" w:type="dxa"/>
            <w:tcBorders>
              <w:top w:val="single" w:color="auto" w:sz="6" w:space="0"/>
              <w:left w:val="single" w:color="auto" w:sz="6" w:space="0"/>
              <w:bottom w:val="single" w:color="auto" w:sz="6" w:space="0"/>
              <w:right w:val="single" w:color="auto" w:sz="12" w:space="0"/>
            </w:tcBorders>
            <w:vAlign w:val="center"/>
          </w:tcPr>
          <w:p w14:paraId="7D3D20EE">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保证金形式：□保函</w:t>
            </w:r>
            <w:r>
              <w:rPr>
                <w:rFonts w:hint="eastAsia" w:ascii="宋体" w:hAnsi="宋体" w:cs="宋体"/>
                <w:color w:val="000000" w:themeColor="text1"/>
                <w:sz w:val="24"/>
                <w:highlight w:val="none"/>
                <w:lang w:val="en-US" w:eastAsia="zh-CN"/>
                <w14:textFill>
                  <w14:solidFill>
                    <w14:schemeClr w14:val="tx1"/>
                  </w14:solidFill>
                </w14:textFill>
              </w:rPr>
              <w:t xml:space="preserve"> </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电汇</w:t>
            </w:r>
            <w:r>
              <w:rPr>
                <w:rFonts w:hint="eastAsia" w:ascii="宋体" w:hAnsi="宋体" w:cs="宋体"/>
                <w:color w:val="000000" w:themeColor="text1"/>
                <w:sz w:val="24"/>
                <w:highlight w:val="none"/>
                <w:lang w:val="en-US"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□支票</w:t>
            </w:r>
          </w:p>
          <w:p w14:paraId="2D8D33B1">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□（本项目允许的其他形式）</w:t>
            </w:r>
          </w:p>
          <w:p w14:paraId="6487AF92">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保证金数额：0万元</w:t>
            </w:r>
          </w:p>
          <w:p w14:paraId="5A0E3D20">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保证金收款人：/</w:t>
            </w:r>
          </w:p>
        </w:tc>
      </w:tr>
      <w:tr w14:paraId="457613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67157613">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8</w:t>
            </w:r>
          </w:p>
        </w:tc>
        <w:tc>
          <w:tcPr>
            <w:tcW w:w="8319" w:type="dxa"/>
            <w:tcBorders>
              <w:top w:val="single" w:color="auto" w:sz="6" w:space="0"/>
              <w:left w:val="single" w:color="auto" w:sz="6" w:space="0"/>
              <w:bottom w:val="single" w:color="auto" w:sz="6" w:space="0"/>
              <w:right w:val="single" w:color="auto" w:sz="12" w:space="0"/>
            </w:tcBorders>
            <w:vAlign w:val="center"/>
          </w:tcPr>
          <w:p w14:paraId="082801C8">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响应有效期：</w:t>
            </w:r>
            <w:r>
              <w:rPr>
                <w:rFonts w:hint="eastAsia" w:ascii="宋体" w:hAnsi="宋体" w:cs="宋体"/>
                <w:color w:val="000000" w:themeColor="text1"/>
                <w:sz w:val="24"/>
                <w:highlight w:val="none"/>
                <w:lang w:val="en-US" w:eastAsia="zh-CN"/>
                <w14:textFill>
                  <w14:solidFill>
                    <w14:schemeClr w14:val="tx1"/>
                  </w14:solidFill>
                </w14:textFill>
              </w:rPr>
              <w:t>120日内</w:t>
            </w:r>
          </w:p>
        </w:tc>
      </w:tr>
      <w:tr w14:paraId="495C6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1021" w:type="dxa"/>
            <w:tcBorders>
              <w:top w:val="single" w:color="auto" w:sz="6" w:space="0"/>
              <w:left w:val="single" w:color="auto" w:sz="12" w:space="0"/>
              <w:bottom w:val="single" w:color="auto" w:sz="6" w:space="0"/>
              <w:right w:val="single" w:color="auto" w:sz="6" w:space="0"/>
            </w:tcBorders>
            <w:vAlign w:val="center"/>
          </w:tcPr>
          <w:p w14:paraId="14A7E160">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9</w:t>
            </w:r>
            <w:r>
              <w:rPr>
                <w:rFonts w:hint="eastAsia" w:ascii="宋体" w:hAnsi="宋体" w:cs="宋体"/>
                <w:color w:val="000000" w:themeColor="text1"/>
                <w:sz w:val="24"/>
                <w:highlight w:val="none"/>
                <w14:textFill>
                  <w14:solidFill>
                    <w14:schemeClr w14:val="tx1"/>
                  </w14:solidFill>
                </w14:textFill>
              </w:rPr>
              <w:t>.1</w:t>
            </w:r>
          </w:p>
        </w:tc>
        <w:tc>
          <w:tcPr>
            <w:tcW w:w="8319" w:type="dxa"/>
            <w:tcBorders>
              <w:top w:val="single" w:color="auto" w:sz="6" w:space="0"/>
              <w:left w:val="single" w:color="auto" w:sz="6" w:space="0"/>
              <w:bottom w:val="single" w:color="auto" w:sz="6" w:space="0"/>
              <w:right w:val="single" w:color="auto" w:sz="12" w:space="0"/>
            </w:tcBorders>
            <w:vAlign w:val="center"/>
          </w:tcPr>
          <w:p w14:paraId="453FF94A">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响应文件份数：四份（一份正本、三份副本），</w:t>
            </w:r>
            <w:r>
              <w:rPr>
                <w:rFonts w:hint="eastAsia" w:ascii="宋体" w:hAnsi="宋体"/>
                <w:b/>
                <w:color w:val="000000" w:themeColor="text1"/>
                <w:sz w:val="24"/>
                <w:highlight w:val="none"/>
                <w14:textFill>
                  <w14:solidFill>
                    <w14:schemeClr w14:val="tx1"/>
                  </w14:solidFill>
                </w14:textFill>
              </w:rPr>
              <w:t>各供应商须提供完整响应文件电子版一份（word格式，U盘或光盘存储）密封后随响应文件一起提交。</w:t>
            </w:r>
          </w:p>
        </w:tc>
      </w:tr>
      <w:tr w14:paraId="34D59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05EE2D43">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9</w:t>
            </w:r>
            <w:r>
              <w:rPr>
                <w:rFonts w:hint="eastAsia" w:ascii="宋体" w:hAnsi="宋体" w:cs="宋体"/>
                <w:color w:val="000000" w:themeColor="text1"/>
                <w:sz w:val="24"/>
                <w:highlight w:val="none"/>
                <w14:textFill>
                  <w14:solidFill>
                    <w14:schemeClr w14:val="tx1"/>
                  </w14:solidFill>
                </w14:textFill>
              </w:rPr>
              <w:t>．2</w:t>
            </w:r>
          </w:p>
        </w:tc>
        <w:tc>
          <w:tcPr>
            <w:tcW w:w="8319" w:type="dxa"/>
            <w:tcBorders>
              <w:top w:val="single" w:color="auto" w:sz="6" w:space="0"/>
              <w:left w:val="single" w:color="auto" w:sz="6" w:space="0"/>
              <w:bottom w:val="single" w:color="auto" w:sz="6" w:space="0"/>
              <w:right w:val="single" w:color="auto" w:sz="12" w:space="0"/>
            </w:tcBorders>
            <w:vAlign w:val="center"/>
          </w:tcPr>
          <w:p w14:paraId="0EABCB8D">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响应文件提交截止时间：见”竞争性磋商公告”，逾期送达或未按磋商文件要求密封的响应文件恕不接收</w:t>
            </w:r>
          </w:p>
        </w:tc>
      </w:tr>
      <w:tr w14:paraId="7634F5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1B06B76E">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9</w:t>
            </w:r>
            <w:r>
              <w:rPr>
                <w:rFonts w:hint="eastAsia" w:ascii="宋体" w:hAnsi="宋体" w:cs="宋体"/>
                <w:color w:val="000000" w:themeColor="text1"/>
                <w:sz w:val="24"/>
                <w:highlight w:val="none"/>
                <w14:textFill>
                  <w14:solidFill>
                    <w14:schemeClr w14:val="tx1"/>
                  </w14:solidFill>
                </w14:textFill>
              </w:rPr>
              <w:t>.3</w:t>
            </w:r>
          </w:p>
        </w:tc>
        <w:tc>
          <w:tcPr>
            <w:tcW w:w="8319" w:type="dxa"/>
            <w:tcBorders>
              <w:top w:val="single" w:color="auto" w:sz="6" w:space="0"/>
              <w:left w:val="single" w:color="auto" w:sz="6" w:space="0"/>
              <w:bottom w:val="single" w:color="auto" w:sz="6" w:space="0"/>
              <w:right w:val="single" w:color="auto" w:sz="12" w:space="0"/>
            </w:tcBorders>
            <w:vAlign w:val="center"/>
          </w:tcPr>
          <w:p w14:paraId="44378D1A">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开启响应文件时间：见”竞争性磋商公告”</w:t>
            </w:r>
          </w:p>
          <w:p w14:paraId="16ADCCC1">
            <w:pPr>
              <w:spacing w:line="480" w:lineRule="exac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开启地点：见”竞争性磋商公告”</w:t>
            </w:r>
          </w:p>
        </w:tc>
      </w:tr>
      <w:tr w14:paraId="04A36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4E86350D">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r>
              <w:rPr>
                <w:rFonts w:hint="eastAsia" w:ascii="宋体" w:hAnsi="宋体" w:cs="宋体"/>
                <w:color w:val="000000" w:themeColor="text1"/>
                <w:sz w:val="24"/>
                <w:highlight w:val="none"/>
                <w:lang w:val="en-US" w:eastAsia="zh-CN"/>
                <w14:textFill>
                  <w14:solidFill>
                    <w14:schemeClr w14:val="tx1"/>
                  </w14:solidFill>
                </w14:textFill>
              </w:rPr>
              <w:t>0</w:t>
            </w:r>
            <w:r>
              <w:rPr>
                <w:rFonts w:hint="eastAsia" w:ascii="宋体" w:hAnsi="宋体" w:cs="宋体"/>
                <w:color w:val="000000" w:themeColor="text1"/>
                <w:sz w:val="24"/>
                <w:highlight w:val="none"/>
                <w14:textFill>
                  <w14:solidFill>
                    <w14:schemeClr w14:val="tx1"/>
                  </w14:solidFill>
                </w14:textFill>
              </w:rPr>
              <w:t>.1</w:t>
            </w:r>
          </w:p>
        </w:tc>
        <w:tc>
          <w:tcPr>
            <w:tcW w:w="8319" w:type="dxa"/>
            <w:tcBorders>
              <w:top w:val="single" w:color="auto" w:sz="6" w:space="0"/>
              <w:left w:val="single" w:color="auto" w:sz="6" w:space="0"/>
              <w:bottom w:val="single" w:color="auto" w:sz="6" w:space="0"/>
              <w:right w:val="single" w:color="auto" w:sz="12" w:space="0"/>
            </w:tcBorders>
            <w:vAlign w:val="center"/>
          </w:tcPr>
          <w:p w14:paraId="1BB45C15">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二次报价程序及方法：详见磋商文件第一册第一章节“23.磋商”</w:t>
            </w:r>
          </w:p>
        </w:tc>
      </w:tr>
      <w:tr w14:paraId="437DA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02287885">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r>
              <w:rPr>
                <w:rFonts w:hint="eastAsia" w:ascii="宋体" w:hAnsi="宋体" w:cs="宋体"/>
                <w:color w:val="000000" w:themeColor="text1"/>
                <w:sz w:val="24"/>
                <w:highlight w:val="none"/>
                <w:lang w:val="en-US" w:eastAsia="zh-CN"/>
                <w14:textFill>
                  <w14:solidFill>
                    <w14:schemeClr w14:val="tx1"/>
                  </w14:solidFill>
                </w14:textFill>
              </w:rPr>
              <w:t>0</w:t>
            </w:r>
            <w:r>
              <w:rPr>
                <w:rFonts w:hint="eastAsia" w:ascii="宋体" w:hAnsi="宋体" w:cs="宋体"/>
                <w:color w:val="000000" w:themeColor="text1"/>
                <w:sz w:val="24"/>
                <w:highlight w:val="none"/>
                <w14:textFill>
                  <w14:solidFill>
                    <w14:schemeClr w14:val="tx1"/>
                  </w14:solidFill>
                </w14:textFill>
              </w:rPr>
              <w:t>.2</w:t>
            </w:r>
          </w:p>
        </w:tc>
        <w:tc>
          <w:tcPr>
            <w:tcW w:w="8319" w:type="dxa"/>
            <w:tcBorders>
              <w:top w:val="single" w:color="auto" w:sz="6" w:space="0"/>
              <w:left w:val="single" w:color="auto" w:sz="6" w:space="0"/>
              <w:bottom w:val="single" w:color="auto" w:sz="6" w:space="0"/>
              <w:right w:val="single" w:color="auto" w:sz="12" w:space="0"/>
            </w:tcBorders>
            <w:vAlign w:val="center"/>
          </w:tcPr>
          <w:p w14:paraId="460D466A">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推荐成交候选供应商的数量：不少于3家。</w:t>
            </w:r>
          </w:p>
        </w:tc>
      </w:tr>
      <w:tr w14:paraId="5091A2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69200674">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r>
              <w:rPr>
                <w:rFonts w:hint="eastAsia" w:ascii="宋体" w:hAnsi="宋体" w:cs="宋体"/>
                <w:color w:val="000000" w:themeColor="text1"/>
                <w:sz w:val="24"/>
                <w:highlight w:val="none"/>
                <w:lang w:val="en-US" w:eastAsia="zh-CN"/>
                <w14:textFill>
                  <w14:solidFill>
                    <w14:schemeClr w14:val="tx1"/>
                  </w14:solidFill>
                </w14:textFill>
              </w:rPr>
              <w:t>1</w:t>
            </w:r>
          </w:p>
        </w:tc>
        <w:tc>
          <w:tcPr>
            <w:tcW w:w="8319" w:type="dxa"/>
            <w:tcBorders>
              <w:top w:val="single" w:color="auto" w:sz="6" w:space="0"/>
              <w:left w:val="single" w:color="auto" w:sz="6" w:space="0"/>
              <w:bottom w:val="single" w:color="auto" w:sz="6" w:space="0"/>
              <w:right w:val="single" w:color="auto" w:sz="12" w:space="0"/>
            </w:tcBorders>
            <w:vAlign w:val="center"/>
          </w:tcPr>
          <w:p w14:paraId="3A7888B9">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采购人是否委托磋商小组直接确定成交供应商：是☑</w:t>
            </w:r>
            <w:r>
              <w:rPr>
                <w:rFonts w:hint="eastAsia" w:ascii="宋体" w:hAnsi="宋体" w:cs="宋体"/>
                <w:color w:val="000000" w:themeColor="text1"/>
                <w:sz w:val="24"/>
                <w:highlight w:val="none"/>
                <w:lang w:val="en-US"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否□</w:t>
            </w:r>
          </w:p>
        </w:tc>
      </w:tr>
      <w:tr w14:paraId="40FEDF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6808DE02">
            <w:pPr>
              <w:spacing w:line="480" w:lineRule="exact"/>
              <w:ind w:leftChars="-15" w:hanging="31" w:hangingChars="13"/>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r>
              <w:rPr>
                <w:rFonts w:hint="eastAsia" w:ascii="宋体" w:hAnsi="宋体" w:cs="宋体"/>
                <w:color w:val="000000" w:themeColor="text1"/>
                <w:sz w:val="24"/>
                <w:highlight w:val="none"/>
                <w:lang w:val="en-US" w:eastAsia="zh-CN"/>
                <w14:textFill>
                  <w14:solidFill>
                    <w14:schemeClr w14:val="tx1"/>
                  </w14:solidFill>
                </w14:textFill>
              </w:rPr>
              <w:t>2</w:t>
            </w:r>
          </w:p>
        </w:tc>
        <w:tc>
          <w:tcPr>
            <w:tcW w:w="8319" w:type="dxa"/>
            <w:tcBorders>
              <w:top w:val="single" w:color="auto" w:sz="6" w:space="0"/>
              <w:left w:val="single" w:color="auto" w:sz="6" w:space="0"/>
              <w:bottom w:val="single" w:color="auto" w:sz="6" w:space="0"/>
              <w:right w:val="single" w:color="auto" w:sz="12" w:space="0"/>
            </w:tcBorders>
            <w:vAlign w:val="center"/>
          </w:tcPr>
          <w:p w14:paraId="47086A85">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履约保证金金额：</w:t>
            </w:r>
            <w:r>
              <w:rPr>
                <w:rFonts w:hint="eastAsia" w:ascii="宋体" w:hAnsi="宋体" w:cs="宋体"/>
                <w:color w:val="000000" w:themeColor="text1"/>
                <w:sz w:val="24"/>
                <w:highlight w:val="none"/>
                <w:lang w:val="en-US" w:eastAsia="zh-CN"/>
                <w14:textFill>
                  <w14:solidFill>
                    <w14:schemeClr w14:val="tx1"/>
                  </w14:solidFill>
                </w14:textFill>
              </w:rPr>
              <w:t>无</w:t>
            </w:r>
            <w:r>
              <w:rPr>
                <w:rFonts w:hint="eastAsia" w:ascii="宋体" w:hAnsi="宋体" w:cs="宋体"/>
                <w:color w:val="000000" w:themeColor="text1"/>
                <w:sz w:val="24"/>
                <w:highlight w:val="none"/>
                <w14:textFill>
                  <w14:solidFill>
                    <w14:schemeClr w14:val="tx1"/>
                  </w14:solidFill>
                </w14:textFill>
              </w:rPr>
              <w:t>。</w:t>
            </w:r>
          </w:p>
        </w:tc>
      </w:tr>
      <w:tr w14:paraId="0C824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690FBB32">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r>
              <w:rPr>
                <w:rFonts w:hint="eastAsia" w:ascii="宋体" w:hAnsi="宋体" w:cs="宋体"/>
                <w:color w:val="000000" w:themeColor="text1"/>
                <w:sz w:val="24"/>
                <w:highlight w:val="none"/>
                <w:lang w:val="en-US" w:eastAsia="zh-CN"/>
                <w14:textFill>
                  <w14:solidFill>
                    <w14:schemeClr w14:val="tx1"/>
                  </w14:solidFill>
                </w14:textFill>
              </w:rPr>
              <w:t>3</w:t>
            </w:r>
          </w:p>
        </w:tc>
        <w:tc>
          <w:tcPr>
            <w:tcW w:w="8319" w:type="dxa"/>
            <w:tcBorders>
              <w:top w:val="single" w:color="auto" w:sz="6" w:space="0"/>
              <w:left w:val="single" w:color="auto" w:sz="6" w:space="0"/>
              <w:bottom w:val="single" w:color="auto" w:sz="6" w:space="0"/>
              <w:right w:val="single" w:color="auto" w:sz="12" w:space="0"/>
            </w:tcBorders>
            <w:vAlign w:val="center"/>
          </w:tcPr>
          <w:p w14:paraId="5460B63A">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预付款比例：</w:t>
            </w:r>
            <w:r>
              <w:rPr>
                <w:rFonts w:hint="eastAsia" w:ascii="宋体" w:hAnsi="宋体" w:cs="宋体"/>
                <w:color w:val="000000" w:themeColor="text1"/>
                <w:sz w:val="24"/>
                <w:highlight w:val="none"/>
                <w:lang w:val="en-US"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w:t>
            </w:r>
          </w:p>
        </w:tc>
      </w:tr>
      <w:tr w14:paraId="17642E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175" w:hRule="atLeast"/>
        </w:trPr>
        <w:tc>
          <w:tcPr>
            <w:tcW w:w="1021" w:type="dxa"/>
            <w:tcBorders>
              <w:top w:val="single" w:color="auto" w:sz="6" w:space="0"/>
              <w:left w:val="single" w:color="auto" w:sz="12" w:space="0"/>
              <w:bottom w:val="single" w:color="auto" w:sz="6" w:space="0"/>
              <w:right w:val="single" w:color="auto" w:sz="6" w:space="0"/>
            </w:tcBorders>
            <w:vAlign w:val="center"/>
          </w:tcPr>
          <w:p w14:paraId="75C51015">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r>
              <w:rPr>
                <w:rFonts w:hint="eastAsia" w:ascii="宋体" w:hAnsi="宋体" w:cs="宋体"/>
                <w:color w:val="000000" w:themeColor="text1"/>
                <w:sz w:val="24"/>
                <w:highlight w:val="none"/>
                <w:lang w:val="en-US" w:eastAsia="zh-CN"/>
                <w14:textFill>
                  <w14:solidFill>
                    <w14:schemeClr w14:val="tx1"/>
                  </w14:solidFill>
                </w14:textFill>
              </w:rPr>
              <w:t>4</w:t>
            </w:r>
          </w:p>
        </w:tc>
        <w:tc>
          <w:tcPr>
            <w:tcW w:w="8319" w:type="dxa"/>
            <w:tcBorders>
              <w:top w:val="single" w:color="auto" w:sz="6" w:space="0"/>
              <w:left w:val="single" w:color="auto" w:sz="6" w:space="0"/>
              <w:bottom w:val="single" w:color="auto" w:sz="6" w:space="0"/>
              <w:right w:val="single" w:color="auto" w:sz="12" w:space="0"/>
            </w:tcBorders>
            <w:vAlign w:val="center"/>
          </w:tcPr>
          <w:p w14:paraId="3C6F337D">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质疑函接收部门、联系电话和通讯地址：</w:t>
            </w:r>
          </w:p>
          <w:p w14:paraId="550EADA3">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联系部门：临沂市沂蒙国际招标有限公司</w:t>
            </w:r>
          </w:p>
          <w:p w14:paraId="19229C6C">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联系电话：0539-7578911</w:t>
            </w:r>
          </w:p>
          <w:p w14:paraId="5E2853D8">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通讯地址：山东省临沂市兰山区柳青北京路与沭河路交汇北50米红日大厦2008室</w:t>
            </w:r>
          </w:p>
        </w:tc>
      </w:tr>
      <w:tr w14:paraId="6D982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tcBorders>
              <w:top w:val="single" w:color="auto" w:sz="6" w:space="0"/>
              <w:left w:val="single" w:color="auto" w:sz="12" w:space="0"/>
              <w:bottom w:val="single" w:color="auto" w:sz="6" w:space="0"/>
              <w:right w:val="single" w:color="auto" w:sz="6" w:space="0"/>
            </w:tcBorders>
            <w:vAlign w:val="center"/>
          </w:tcPr>
          <w:p w14:paraId="62A3BD56">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r>
              <w:rPr>
                <w:rFonts w:hint="eastAsia" w:ascii="宋体" w:hAnsi="宋体" w:cs="宋体"/>
                <w:color w:val="000000" w:themeColor="text1"/>
                <w:sz w:val="24"/>
                <w:highlight w:val="none"/>
                <w:lang w:val="en-US" w:eastAsia="zh-CN"/>
                <w14:textFill>
                  <w14:solidFill>
                    <w14:schemeClr w14:val="tx1"/>
                  </w14:solidFill>
                </w14:textFill>
              </w:rPr>
              <w:t>5</w:t>
            </w:r>
          </w:p>
        </w:tc>
        <w:tc>
          <w:tcPr>
            <w:tcW w:w="8319" w:type="dxa"/>
            <w:tcBorders>
              <w:top w:val="single" w:color="auto" w:sz="6" w:space="0"/>
              <w:left w:val="single" w:color="auto" w:sz="6" w:space="0"/>
              <w:bottom w:val="single" w:color="auto" w:sz="6" w:space="0"/>
              <w:right w:val="single" w:color="auto" w:sz="12" w:space="0"/>
            </w:tcBorders>
            <w:vAlign w:val="center"/>
          </w:tcPr>
          <w:p w14:paraId="21E50394">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sz w:val="24"/>
                <w:highlight w:val="none"/>
              </w:rPr>
            </w:pPr>
            <w:r>
              <w:rPr>
                <w:rFonts w:hint="eastAsia" w:ascii="宋体" w:hAnsi="宋体" w:cs="宋体"/>
                <w:color w:val="000000" w:themeColor="text1"/>
                <w:sz w:val="24"/>
                <w:highlight w:val="none"/>
                <w14:textFill>
                  <w14:solidFill>
                    <w14:schemeClr w14:val="tx1"/>
                  </w14:solidFill>
                </w14:textFill>
              </w:rPr>
              <w:t>成交服务费：人民币3000元，由成交供应商支付，在领取成交通知书前支付给采购代理机构。</w:t>
            </w:r>
          </w:p>
          <w:p w14:paraId="066A1837">
            <w:pPr>
              <w:keepNext w:val="0"/>
              <w:keepLines w:val="0"/>
              <w:pageBreakBefore w:val="0"/>
              <w:kinsoku/>
              <w:wordWrap/>
              <w:overflowPunct/>
              <w:topLinePunct w:val="0"/>
              <w:autoSpaceDE/>
              <w:autoSpaceDN/>
              <w:bidi w:val="0"/>
              <w:adjustRightInd/>
              <w:snapToGrid/>
              <w:spacing w:line="520" w:lineRule="exact"/>
              <w:ind w:left="900" w:hanging="900" w:hangingChars="375"/>
              <w:textAlignment w:val="auto"/>
              <w:rPr>
                <w:rFonts w:hint="eastAsia" w:ascii="宋体" w:hAnsi="宋体" w:eastAsia="宋体" w:cs="宋体"/>
                <w:sz w:val="24"/>
                <w:highlight w:val="none"/>
              </w:rPr>
            </w:pPr>
            <w:r>
              <w:rPr>
                <w:rFonts w:hint="eastAsia" w:ascii="宋体" w:hAnsi="宋体" w:eastAsia="宋体" w:cs="宋体"/>
                <w:sz w:val="24"/>
                <w:highlight w:val="none"/>
              </w:rPr>
              <w:t>收款信息：</w:t>
            </w:r>
          </w:p>
          <w:p w14:paraId="79BD42FD">
            <w:pPr>
              <w:keepNext w:val="0"/>
              <w:keepLines w:val="0"/>
              <w:pageBreakBefore w:val="0"/>
              <w:kinsoku/>
              <w:wordWrap/>
              <w:overflowPunct/>
              <w:topLinePunct w:val="0"/>
              <w:autoSpaceDE/>
              <w:autoSpaceDN/>
              <w:bidi w:val="0"/>
              <w:adjustRightInd/>
              <w:snapToGrid/>
              <w:spacing w:line="520" w:lineRule="exact"/>
              <w:ind w:left="900" w:hanging="900" w:hangingChars="375"/>
              <w:textAlignment w:val="auto"/>
              <w:rPr>
                <w:rFonts w:hint="eastAsia" w:ascii="宋体" w:hAnsi="宋体" w:eastAsia="宋体" w:cs="宋体"/>
                <w:sz w:val="24"/>
                <w:highlight w:val="none"/>
              </w:rPr>
            </w:pPr>
            <w:r>
              <w:rPr>
                <w:rFonts w:hint="eastAsia" w:ascii="宋体" w:hAnsi="宋体" w:eastAsia="宋体" w:cs="宋体"/>
                <w:sz w:val="24"/>
                <w:highlight w:val="none"/>
              </w:rPr>
              <w:t>开 户 名：临沂市沂蒙国际招标有限公司</w:t>
            </w:r>
          </w:p>
          <w:p w14:paraId="1C1B646F">
            <w:pPr>
              <w:keepNext w:val="0"/>
              <w:keepLines w:val="0"/>
              <w:pageBreakBefore w:val="0"/>
              <w:kinsoku/>
              <w:wordWrap/>
              <w:overflowPunct/>
              <w:topLinePunct w:val="0"/>
              <w:autoSpaceDE/>
              <w:autoSpaceDN/>
              <w:bidi w:val="0"/>
              <w:adjustRightInd/>
              <w:snapToGrid/>
              <w:spacing w:line="520" w:lineRule="exact"/>
              <w:ind w:left="900" w:hanging="900" w:hangingChars="375"/>
              <w:textAlignment w:val="auto"/>
              <w:rPr>
                <w:rFonts w:hint="eastAsia" w:ascii="宋体" w:hAnsi="宋体" w:eastAsia="宋体" w:cs="宋体"/>
                <w:sz w:val="24"/>
                <w:highlight w:val="none"/>
              </w:rPr>
            </w:pPr>
            <w:r>
              <w:rPr>
                <w:rFonts w:hint="eastAsia" w:ascii="宋体" w:hAnsi="宋体" w:eastAsia="宋体" w:cs="宋体"/>
                <w:sz w:val="24"/>
                <w:highlight w:val="none"/>
              </w:rPr>
              <w:t>开 户 行：建设银行临沂分行营业部</w:t>
            </w:r>
          </w:p>
          <w:p w14:paraId="14A826CB">
            <w:pPr>
              <w:keepNext w:val="0"/>
              <w:keepLines w:val="0"/>
              <w:pageBreakBefore w:val="0"/>
              <w:kinsoku/>
              <w:wordWrap/>
              <w:overflowPunct/>
              <w:topLinePunct w:val="0"/>
              <w:autoSpaceDE/>
              <w:autoSpaceDN/>
              <w:bidi w:val="0"/>
              <w:adjustRightInd/>
              <w:snapToGrid/>
              <w:spacing w:line="520" w:lineRule="exact"/>
              <w:ind w:left="900" w:hanging="900" w:hangingChars="375"/>
              <w:textAlignment w:val="auto"/>
              <w:rPr>
                <w:rFonts w:hint="eastAsia" w:ascii="宋体" w:hAnsi="宋体" w:eastAsia="宋体" w:cs="宋体"/>
                <w:sz w:val="24"/>
                <w:highlight w:val="none"/>
              </w:rPr>
            </w:pPr>
            <w:r>
              <w:rPr>
                <w:rFonts w:hint="eastAsia" w:ascii="宋体" w:hAnsi="宋体" w:eastAsia="宋体" w:cs="宋体"/>
                <w:sz w:val="24"/>
                <w:highlight w:val="none"/>
              </w:rPr>
              <w:t>账    号：37001828301050001489</w:t>
            </w:r>
          </w:p>
          <w:p w14:paraId="21687103">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eastAsia="宋体" w:cs="宋体"/>
                <w:sz w:val="24"/>
                <w:highlight w:val="none"/>
              </w:rPr>
              <w:t>支付时间：确定成交结果后5个工作日内。</w:t>
            </w:r>
          </w:p>
        </w:tc>
      </w:tr>
      <w:tr w14:paraId="2EA11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9340" w:type="dxa"/>
            <w:gridSpan w:val="2"/>
            <w:vAlign w:val="center"/>
          </w:tcPr>
          <w:p w14:paraId="182ABF7F">
            <w:pPr>
              <w:spacing w:line="480" w:lineRule="exact"/>
              <w:ind w:leftChars="-15" w:hanging="31" w:hangingChars="1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适用于本供应商须知的额外增加的变动：</w:t>
            </w:r>
          </w:p>
        </w:tc>
      </w:tr>
      <w:tr w14:paraId="6637FA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vAlign w:val="center"/>
          </w:tcPr>
          <w:p w14:paraId="337F7B96">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8319" w:type="dxa"/>
            <w:vAlign w:val="center"/>
          </w:tcPr>
          <w:p w14:paraId="6F84F71B">
            <w:pPr>
              <w:spacing w:line="480" w:lineRule="exac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法律法规对相应货物规定的条件：无</w:t>
            </w:r>
          </w:p>
        </w:tc>
      </w:tr>
      <w:tr w14:paraId="56C61B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vAlign w:val="center"/>
          </w:tcPr>
          <w:p w14:paraId="4D2E6078">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2</w:t>
            </w:r>
          </w:p>
        </w:tc>
        <w:tc>
          <w:tcPr>
            <w:tcW w:w="8319" w:type="dxa"/>
            <w:vAlign w:val="center"/>
          </w:tcPr>
          <w:p w14:paraId="62D52120">
            <w:pPr>
              <w:spacing w:line="480" w:lineRule="exact"/>
              <w:ind w:leftChars="-15" w:hanging="31" w:hangingChars="1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是否允许供应商将项目非主体、非关键性工作交由他人完成：是□</w:t>
            </w:r>
            <w:r>
              <w:rPr>
                <w:rFonts w:hint="eastAsia" w:ascii="宋体" w:hAnsi="宋体" w:cs="宋体"/>
                <w:color w:val="000000" w:themeColor="text1"/>
                <w:sz w:val="24"/>
                <w:highlight w:val="none"/>
                <w:lang w:val="en-US" w:eastAsia="zh-CN"/>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否☑</w:t>
            </w:r>
          </w:p>
        </w:tc>
      </w:tr>
      <w:tr w14:paraId="1F7696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9340" w:type="dxa"/>
            <w:gridSpan w:val="2"/>
            <w:vAlign w:val="center"/>
          </w:tcPr>
          <w:p w14:paraId="6AC9F33B">
            <w:pPr>
              <w:spacing w:line="480" w:lineRule="exact"/>
              <w:ind w:leftChars="-15" w:hanging="31" w:hangingChars="1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合同条款</w:t>
            </w:r>
          </w:p>
        </w:tc>
      </w:tr>
      <w:tr w14:paraId="4DA3CA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vAlign w:val="center"/>
          </w:tcPr>
          <w:p w14:paraId="295B23C7">
            <w:pPr>
              <w:spacing w:line="48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8319" w:type="dxa"/>
            <w:vAlign w:val="center"/>
          </w:tcPr>
          <w:p w14:paraId="1FA6CD39">
            <w:pPr>
              <w:spacing w:line="480" w:lineRule="exact"/>
              <w:ind w:leftChars="-15" w:hanging="31" w:hangingChars="1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付款途径：采购人支付</w:t>
            </w:r>
          </w:p>
        </w:tc>
      </w:tr>
      <w:tr w14:paraId="3C1CB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vAlign w:val="center"/>
          </w:tcPr>
          <w:p w14:paraId="11E23A87">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2</w:t>
            </w:r>
          </w:p>
        </w:tc>
        <w:tc>
          <w:tcPr>
            <w:tcW w:w="8319" w:type="dxa"/>
            <w:vAlign w:val="center"/>
          </w:tcPr>
          <w:p w14:paraId="73EE488F">
            <w:pPr>
              <w:spacing w:line="480" w:lineRule="exact"/>
              <w:ind w:leftChars="-15" w:hanging="31" w:hangingChars="13"/>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交付日期：</w:t>
            </w:r>
            <w:r>
              <w:rPr>
                <w:rFonts w:hint="eastAsia" w:ascii="宋体" w:hAnsi="宋体" w:eastAsia="宋体" w:cs="宋体"/>
                <w:sz w:val="24"/>
                <w:szCs w:val="24"/>
                <w:highlight w:val="none"/>
              </w:rPr>
              <w:t>合同签订之日起15日历天以内</w:t>
            </w:r>
            <w:r>
              <w:rPr>
                <w:rFonts w:hint="eastAsia" w:ascii="宋体" w:hAnsi="宋体" w:eastAsia="宋体" w:cs="宋体"/>
                <w:sz w:val="24"/>
                <w:szCs w:val="24"/>
                <w:highlight w:val="none"/>
                <w:lang w:val="en-US" w:eastAsia="zh-CN"/>
              </w:rPr>
              <w:t>完成施工改造。合同期</w:t>
            </w:r>
            <w:r>
              <w:rPr>
                <w:rFonts w:hint="eastAsia" w:ascii="宋体" w:hAnsi="宋体" w:cs="宋体"/>
                <w:sz w:val="24"/>
                <w:szCs w:val="24"/>
                <w:highlight w:val="none"/>
                <w:lang w:val="en-US" w:eastAsia="zh-CN"/>
              </w:rPr>
              <w:t>合同约定起10</w:t>
            </w:r>
            <w:r>
              <w:rPr>
                <w:rFonts w:hint="eastAsia" w:ascii="宋体" w:hAnsi="宋体" w:eastAsia="宋体" w:cs="宋体"/>
                <w:sz w:val="24"/>
                <w:szCs w:val="24"/>
                <w:highlight w:val="none"/>
                <w:lang w:val="en-US" w:eastAsia="zh-CN"/>
              </w:rPr>
              <w:t>年。</w:t>
            </w:r>
          </w:p>
        </w:tc>
      </w:tr>
      <w:tr w14:paraId="4F3CBB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vAlign w:val="center"/>
          </w:tcPr>
          <w:p w14:paraId="667FD4B0">
            <w:pPr>
              <w:spacing w:line="480" w:lineRule="exact"/>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w:t>
            </w:r>
          </w:p>
        </w:tc>
        <w:tc>
          <w:tcPr>
            <w:tcW w:w="8319" w:type="dxa"/>
            <w:vAlign w:val="center"/>
          </w:tcPr>
          <w:p w14:paraId="2FE6B4E4">
            <w:pPr>
              <w:spacing w:line="480" w:lineRule="exact"/>
              <w:ind w:leftChars="-15" w:hanging="31" w:hangingChars="13"/>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交付地点：甲方指定地点</w:t>
            </w:r>
            <w:r>
              <w:rPr>
                <w:rFonts w:hint="eastAsia" w:ascii="宋体" w:hAnsi="宋体" w:cs="宋体"/>
                <w:color w:val="000000" w:themeColor="text1"/>
                <w:sz w:val="24"/>
                <w:highlight w:val="none"/>
                <w:lang w:eastAsia="zh-CN"/>
                <w14:textFill>
                  <w14:solidFill>
                    <w14:schemeClr w14:val="tx1"/>
                  </w14:solidFill>
                </w14:textFill>
              </w:rPr>
              <w:t>。</w:t>
            </w:r>
          </w:p>
        </w:tc>
      </w:tr>
      <w:tr w14:paraId="1C198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021" w:type="dxa"/>
            <w:vAlign w:val="center"/>
          </w:tcPr>
          <w:p w14:paraId="2F60EE05">
            <w:pPr>
              <w:spacing w:line="480" w:lineRule="exact"/>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4</w:t>
            </w:r>
          </w:p>
        </w:tc>
        <w:tc>
          <w:tcPr>
            <w:tcW w:w="8319" w:type="dxa"/>
            <w:vAlign w:val="center"/>
          </w:tcPr>
          <w:p w14:paraId="0444360B">
            <w:pPr>
              <w:spacing w:line="480" w:lineRule="exact"/>
              <w:ind w:leftChars="-15" w:hanging="31" w:hangingChars="1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争议的解决：</w:t>
            </w:r>
            <w:r>
              <w:rPr>
                <w:rFonts w:hint="eastAsia" w:ascii="宋体" w:hAnsi="宋体" w:cs="宋体"/>
                <w:sz w:val="24"/>
                <w:highlight w:val="none"/>
              </w:rPr>
              <w:t>提交采购人所在地人民法院</w:t>
            </w:r>
            <w:r>
              <w:rPr>
                <w:rFonts w:hint="eastAsia" w:ascii="宋体" w:hAnsi="宋体" w:cs="宋体"/>
                <w:color w:val="000000" w:themeColor="text1"/>
                <w:sz w:val="24"/>
                <w:highlight w:val="none"/>
                <w14:textFill>
                  <w14:solidFill>
                    <w14:schemeClr w14:val="tx1"/>
                  </w14:solidFill>
                </w14:textFill>
              </w:rPr>
              <w:t>。</w:t>
            </w:r>
          </w:p>
        </w:tc>
      </w:tr>
      <w:bookmarkEnd w:id="250"/>
    </w:tbl>
    <w:p w14:paraId="5CDC4D22">
      <w:pPr>
        <w:pStyle w:val="3"/>
        <w:tabs>
          <w:tab w:val="left" w:pos="0"/>
        </w:tabs>
        <w:spacing w:before="0" w:after="0" w:line="240" w:lineRule="atLeast"/>
        <w:ind w:left="1844"/>
        <w:jc w:val="both"/>
        <w:rPr>
          <w:rFonts w:hAnsi="宋体" w:cs="宋体"/>
          <w:color w:val="000000" w:themeColor="text1"/>
          <w:highlight w:val="none"/>
          <w14:textFill>
            <w14:solidFill>
              <w14:schemeClr w14:val="tx1"/>
            </w14:solidFill>
          </w14:textFill>
        </w:rPr>
        <w:sectPr>
          <w:pgSz w:w="11920" w:h="16840"/>
          <w:pgMar w:top="1560" w:right="1580" w:bottom="1417" w:left="1580" w:header="720" w:footer="720" w:gutter="0"/>
          <w:cols w:space="720" w:num="1"/>
        </w:sectPr>
      </w:pPr>
      <w:bookmarkStart w:id="257" w:name="_Toc515647831"/>
      <w:bookmarkStart w:id="258" w:name="_Toc507399906"/>
      <w:bookmarkStart w:id="259" w:name="_Toc46238255"/>
      <w:bookmarkStart w:id="260" w:name="_Toc218935354"/>
      <w:bookmarkStart w:id="261" w:name="_Toc216582825"/>
      <w:bookmarkStart w:id="262" w:name="_Toc9887"/>
      <w:bookmarkStart w:id="263" w:name="_Toc4766527"/>
      <w:bookmarkStart w:id="264" w:name="_Toc9032"/>
      <w:bookmarkStart w:id="265" w:name="_Toc219175638"/>
      <w:bookmarkStart w:id="266" w:name="_Toc512937852"/>
    </w:p>
    <w:p w14:paraId="315E6DA9">
      <w:pPr>
        <w:pStyle w:val="3"/>
        <w:tabs>
          <w:tab w:val="left" w:pos="0"/>
        </w:tabs>
        <w:spacing w:before="0" w:after="0" w:line="360" w:lineRule="auto"/>
        <w:rPr>
          <w:rFonts w:hint="default" w:hAnsi="宋体" w:eastAsia="宋体" w:cs="宋体"/>
          <w:color w:val="000000" w:themeColor="text1"/>
          <w:highlight w:val="none"/>
          <w:lang w:val="en-US" w:eastAsia="zh-CN"/>
          <w14:textFill>
            <w14:solidFill>
              <w14:schemeClr w14:val="tx1"/>
            </w14:solidFill>
          </w14:textFill>
        </w:rPr>
      </w:pPr>
      <w:bookmarkStart w:id="267" w:name="_Toc14135"/>
      <w:r>
        <w:rPr>
          <w:rFonts w:hint="eastAsia" w:hAnsi="宋体" w:cs="宋体"/>
          <w:color w:val="000000" w:themeColor="text1"/>
          <w:highlight w:val="none"/>
          <w14:textFill>
            <w14:solidFill>
              <w14:schemeClr w14:val="tx1"/>
            </w14:solidFill>
          </w14:textFill>
        </w:rPr>
        <w:t xml:space="preserve">第4章  </w:t>
      </w:r>
      <w:bookmarkEnd w:id="257"/>
      <w:bookmarkEnd w:id="258"/>
      <w:bookmarkEnd w:id="259"/>
      <w:bookmarkEnd w:id="260"/>
      <w:bookmarkEnd w:id="261"/>
      <w:bookmarkEnd w:id="262"/>
      <w:bookmarkEnd w:id="263"/>
      <w:bookmarkEnd w:id="264"/>
      <w:bookmarkEnd w:id="265"/>
      <w:r>
        <w:rPr>
          <w:rFonts w:hint="eastAsia" w:hAnsi="宋体" w:cs="宋体"/>
          <w:color w:val="000000" w:themeColor="text1"/>
          <w:highlight w:val="none"/>
          <w:lang w:val="en-US" w:eastAsia="zh-CN"/>
          <w14:textFill>
            <w14:solidFill>
              <w14:schemeClr w14:val="tx1"/>
            </w14:solidFill>
          </w14:textFill>
        </w:rPr>
        <w:t>服务需求</w:t>
      </w:r>
      <w:bookmarkEnd w:id="267"/>
    </w:p>
    <w:bookmarkEnd w:id="266"/>
    <w:p w14:paraId="6E7C0215">
      <w:pPr>
        <w:keepNext w:val="0"/>
        <w:keepLines w:val="0"/>
        <w:pageBreakBefore w:val="0"/>
        <w:kinsoku/>
        <w:wordWrap/>
        <w:overflowPunct/>
        <w:topLinePunct w:val="0"/>
        <w:autoSpaceDE w:val="0"/>
        <w:autoSpaceDN w:val="0"/>
        <w:bidi w:val="0"/>
        <w:spacing w:line="520" w:lineRule="exact"/>
        <w:rPr>
          <w:rFonts w:hint="eastAsia" w:ascii="宋体" w:hAnsi="宋体" w:eastAsia="宋体" w:cs="Times New Roman"/>
          <w:b/>
          <w:bCs w:val="0"/>
          <w:sz w:val="24"/>
          <w:highlight w:val="none"/>
          <w:lang w:val="en-US" w:eastAsia="zh-CN"/>
        </w:rPr>
      </w:pPr>
      <w:bookmarkStart w:id="268" w:name="_Toc216582826"/>
      <w:bookmarkStart w:id="269" w:name="_Toc218935355"/>
      <w:bookmarkStart w:id="270" w:name="_Toc219175639"/>
      <w:r>
        <w:rPr>
          <w:rFonts w:hint="eastAsia" w:ascii="宋体" w:hAnsi="宋体" w:eastAsia="宋体" w:cs="Times New Roman"/>
          <w:b/>
          <w:bCs w:val="0"/>
          <w:sz w:val="24"/>
          <w:highlight w:val="none"/>
          <w:lang w:val="en-US" w:eastAsia="zh-CN"/>
        </w:rPr>
        <w:t>一、项目概况</w:t>
      </w:r>
    </w:p>
    <w:p w14:paraId="6A4575B9">
      <w:pPr>
        <w:keepNext w:val="0"/>
        <w:keepLines w:val="0"/>
        <w:pageBreakBefore w:val="0"/>
        <w:kinsoku/>
        <w:wordWrap/>
        <w:overflowPunct/>
        <w:topLinePunct w:val="0"/>
        <w:autoSpaceDE w:val="0"/>
        <w:autoSpaceDN w:val="0"/>
        <w:bidi w:val="0"/>
        <w:spacing w:line="520" w:lineRule="exact"/>
        <w:ind w:firstLine="470" w:firstLineChars="196"/>
        <w:rPr>
          <w:rFonts w:hint="eastAsia" w:ascii="宋体" w:hAnsi="宋体" w:eastAsia="宋体" w:cs="Times New Roman"/>
          <w:bCs/>
          <w:sz w:val="24"/>
          <w:highlight w:val="none"/>
          <w:lang w:val="en-US" w:eastAsia="zh-CN"/>
        </w:rPr>
      </w:pPr>
      <w:r>
        <w:rPr>
          <w:rFonts w:hint="eastAsia" w:ascii="宋体" w:hAnsi="宋体" w:eastAsia="宋体" w:cs="Times New Roman"/>
          <w:bCs/>
          <w:sz w:val="24"/>
          <w:highlight w:val="none"/>
          <w:lang w:val="en-US" w:eastAsia="zh-CN"/>
        </w:rPr>
        <w:t>本项目为</w:t>
      </w:r>
      <w:r>
        <w:rPr>
          <w:rFonts w:hint="eastAsia" w:ascii="宋体" w:hAnsi="宋体" w:cs="Times New Roman"/>
          <w:bCs/>
          <w:sz w:val="24"/>
          <w:highlight w:val="none"/>
          <w:lang w:val="en-US" w:eastAsia="zh-CN"/>
        </w:rPr>
        <w:t>临沂大学沂水校区直饮水项目</w:t>
      </w:r>
      <w:r>
        <w:rPr>
          <w:rFonts w:hint="eastAsia" w:ascii="宋体" w:hAnsi="宋体" w:eastAsia="宋体" w:cs="Times New Roman"/>
          <w:bCs/>
          <w:sz w:val="24"/>
          <w:highlight w:val="none"/>
          <w:lang w:val="en-US" w:eastAsia="zh-CN"/>
        </w:rPr>
        <w:t>，由成交供应商出资运营与建设，负责设备购置、安装和供电线路铺设，以及日常运营服务管理等。</w:t>
      </w:r>
    </w:p>
    <w:p w14:paraId="6C653861">
      <w:pPr>
        <w:keepNext w:val="0"/>
        <w:keepLines w:val="0"/>
        <w:pageBreakBefore w:val="0"/>
        <w:kinsoku/>
        <w:wordWrap/>
        <w:overflowPunct/>
        <w:topLinePunct w:val="0"/>
        <w:autoSpaceDE w:val="0"/>
        <w:autoSpaceDN w:val="0"/>
        <w:bidi w:val="0"/>
        <w:spacing w:line="520" w:lineRule="exact"/>
        <w:rPr>
          <w:rFonts w:hint="default" w:ascii="宋体" w:hAnsi="宋体" w:eastAsia="宋体" w:cs="Times New Roman"/>
          <w:b/>
          <w:bCs w:val="0"/>
          <w:sz w:val="24"/>
          <w:highlight w:val="none"/>
          <w:lang w:val="en-US" w:eastAsia="zh-CN"/>
        </w:rPr>
      </w:pPr>
      <w:r>
        <w:rPr>
          <w:rFonts w:hint="eastAsia" w:ascii="宋体" w:hAnsi="宋体" w:eastAsia="宋体" w:cs="Times New Roman"/>
          <w:b/>
          <w:bCs w:val="0"/>
          <w:sz w:val="24"/>
          <w:highlight w:val="none"/>
          <w:lang w:val="en-US" w:eastAsia="zh-CN"/>
        </w:rPr>
        <w:t>二、项目要求：</w:t>
      </w:r>
    </w:p>
    <w:p w14:paraId="29310A90">
      <w:pPr>
        <w:keepNext w:val="0"/>
        <w:keepLines w:val="0"/>
        <w:pageBreakBefore w:val="0"/>
        <w:widowControl/>
        <w:kinsoku/>
        <w:wordWrap/>
        <w:overflowPunct/>
        <w:topLinePunct w:val="0"/>
        <w:autoSpaceDE/>
        <w:autoSpaceDN/>
        <w:bidi w:val="0"/>
        <w:adjustRightInd/>
        <w:snapToGrid/>
        <w:spacing w:line="500" w:lineRule="exact"/>
        <w:ind w:firstLine="482" w:firstLineChars="200"/>
        <w:jc w:val="both"/>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w:t>
      </w:r>
      <w:r>
        <w:rPr>
          <w:rFonts w:hint="eastAsia" w:ascii="宋体" w:hAnsi="宋体" w:cs="宋体"/>
          <w:b/>
          <w:bCs/>
          <w:sz w:val="24"/>
          <w:szCs w:val="24"/>
          <w:highlight w:val="none"/>
          <w:lang w:val="en-US" w:eastAsia="zh-CN"/>
        </w:rPr>
        <w:t>一</w:t>
      </w:r>
      <w:r>
        <w:rPr>
          <w:rFonts w:hint="eastAsia" w:ascii="宋体" w:hAnsi="宋体" w:cs="宋体"/>
          <w:b/>
          <w:bCs/>
          <w:sz w:val="24"/>
          <w:szCs w:val="24"/>
          <w:highlight w:val="none"/>
          <w:lang w:eastAsia="zh-CN"/>
        </w:rPr>
        <w:t>）</w:t>
      </w:r>
      <w:r>
        <w:rPr>
          <w:rFonts w:hint="eastAsia" w:ascii="宋体" w:hAnsi="宋体" w:eastAsia="宋体" w:cs="宋体"/>
          <w:b/>
          <w:bCs/>
          <w:sz w:val="24"/>
          <w:szCs w:val="24"/>
          <w:highlight w:val="none"/>
        </w:rPr>
        <w:t>供水质量</w:t>
      </w:r>
    </w:p>
    <w:p w14:paraId="7162C9A2">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rPr>
        <w:t>1.热水温度100度</w:t>
      </w:r>
      <w:r>
        <w:rPr>
          <w:rFonts w:hint="eastAsia" w:ascii="宋体" w:hAnsi="宋体" w:cs="宋体"/>
          <w:b w:val="0"/>
          <w:bCs w:val="0"/>
          <w:sz w:val="24"/>
          <w:szCs w:val="24"/>
          <w:highlight w:val="none"/>
          <w:lang w:eastAsia="zh-CN"/>
        </w:rPr>
        <w:t>。</w:t>
      </w:r>
    </w:p>
    <w:p w14:paraId="44F31B19">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rPr>
        <w:t>2.供水价格：最高限价，热水0.13元/升，直饮凉水0.07元/升</w:t>
      </w:r>
      <w:r>
        <w:rPr>
          <w:rFonts w:hint="eastAsia" w:ascii="宋体" w:hAnsi="宋体" w:cs="宋体"/>
          <w:b w:val="0"/>
          <w:bCs w:val="0"/>
          <w:sz w:val="24"/>
          <w:szCs w:val="24"/>
          <w:highlight w:val="none"/>
          <w:lang w:eastAsia="zh-CN"/>
        </w:rPr>
        <w:t>。</w:t>
      </w:r>
    </w:p>
    <w:p w14:paraId="086D2D4B">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3.每学期开学前需对直饮水抽样检测并公布结果，水质检测符合政府行政主管部门的要求。</w:t>
      </w:r>
    </w:p>
    <w:p w14:paraId="4F78EE05">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4.过滤水达到国家净化水可直接</w:t>
      </w:r>
      <w:r>
        <w:rPr>
          <w:rFonts w:hint="eastAsia" w:ascii="宋体" w:hAnsi="宋体" w:cs="宋体"/>
          <w:b w:val="0"/>
          <w:bCs w:val="0"/>
          <w:sz w:val="24"/>
          <w:szCs w:val="24"/>
          <w:highlight w:val="none"/>
          <w:lang w:val="en-US" w:eastAsia="zh-CN"/>
        </w:rPr>
        <w:t>饮用</w:t>
      </w:r>
      <w:r>
        <w:rPr>
          <w:rFonts w:hint="eastAsia" w:ascii="宋体" w:hAnsi="宋体" w:eastAsia="宋体" w:cs="宋体"/>
          <w:b w:val="0"/>
          <w:bCs w:val="0"/>
          <w:sz w:val="24"/>
          <w:szCs w:val="24"/>
          <w:highlight w:val="none"/>
        </w:rPr>
        <w:t>标准。</w:t>
      </w:r>
    </w:p>
    <w:p w14:paraId="058C7DD7">
      <w:pPr>
        <w:keepNext w:val="0"/>
        <w:keepLines w:val="0"/>
        <w:pageBreakBefore w:val="0"/>
        <w:widowControl/>
        <w:kinsoku/>
        <w:wordWrap/>
        <w:overflowPunct/>
        <w:topLinePunct w:val="0"/>
        <w:autoSpaceDE/>
        <w:autoSpaceDN/>
        <w:bidi w:val="0"/>
        <w:adjustRightInd/>
        <w:snapToGrid/>
        <w:spacing w:line="500" w:lineRule="exact"/>
        <w:ind w:firstLine="482" w:firstLineChars="200"/>
        <w:jc w:val="both"/>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w:t>
      </w:r>
      <w:r>
        <w:rPr>
          <w:rFonts w:hint="eastAsia" w:ascii="宋体" w:hAnsi="宋体" w:cs="宋体"/>
          <w:b/>
          <w:bCs/>
          <w:sz w:val="24"/>
          <w:szCs w:val="24"/>
          <w:highlight w:val="none"/>
          <w:lang w:val="en-US" w:eastAsia="zh-CN"/>
        </w:rPr>
        <w:t>二</w:t>
      </w:r>
      <w:r>
        <w:rPr>
          <w:rFonts w:hint="eastAsia" w:ascii="宋体" w:hAnsi="宋体" w:cs="宋体"/>
          <w:b/>
          <w:bCs/>
          <w:sz w:val="24"/>
          <w:szCs w:val="24"/>
          <w:highlight w:val="none"/>
          <w:lang w:eastAsia="zh-CN"/>
        </w:rPr>
        <w:t>）</w:t>
      </w:r>
      <w:r>
        <w:rPr>
          <w:rFonts w:hint="eastAsia" w:ascii="宋体" w:hAnsi="宋体" w:eastAsia="宋体" w:cs="宋体"/>
          <w:b/>
          <w:bCs/>
          <w:sz w:val="24"/>
          <w:szCs w:val="24"/>
          <w:highlight w:val="none"/>
        </w:rPr>
        <w:t>设备要求</w:t>
      </w:r>
    </w:p>
    <w:p w14:paraId="57DFEBDF">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1.设备常压设计，加热无压力。</w:t>
      </w:r>
    </w:p>
    <w:p w14:paraId="60E426A3">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2.设备等需有涉水产品卫生行政许可批件。所有管路全封闭，无二次污染。</w:t>
      </w:r>
    </w:p>
    <w:p w14:paraId="021BE798">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rPr>
        <w:t>.设备</w:t>
      </w:r>
      <w:r>
        <w:rPr>
          <w:rFonts w:hint="eastAsia" w:ascii="宋体" w:hAnsi="宋体" w:eastAsia="宋体" w:cs="宋体"/>
          <w:b w:val="0"/>
          <w:bCs w:val="0"/>
          <w:sz w:val="24"/>
          <w:szCs w:val="24"/>
          <w:highlight w:val="none"/>
          <w:lang w:val="en-US" w:eastAsia="zh-CN"/>
        </w:rPr>
        <w:t>出水符合</w:t>
      </w:r>
      <w:r>
        <w:rPr>
          <w:rFonts w:hint="eastAsia" w:ascii="宋体" w:hAnsi="宋体" w:eastAsia="宋体" w:cs="宋体"/>
          <w:b w:val="0"/>
          <w:bCs w:val="0"/>
          <w:sz w:val="24"/>
          <w:szCs w:val="24"/>
          <w:highlight w:val="none"/>
        </w:rPr>
        <w:t>《生活饮用水水质处理器卫生安全与功能评价规范-一反渗透处理装置》(2001)。</w:t>
      </w:r>
    </w:p>
    <w:p w14:paraId="751CAE38">
      <w:pPr>
        <w:keepNext w:val="0"/>
        <w:keepLines w:val="0"/>
        <w:pageBreakBefore w:val="0"/>
        <w:widowControl/>
        <w:kinsoku/>
        <w:wordWrap/>
        <w:overflowPunct/>
        <w:topLinePunct w:val="0"/>
        <w:autoSpaceDE/>
        <w:autoSpaceDN/>
        <w:bidi w:val="0"/>
        <w:adjustRightInd/>
        <w:snapToGrid/>
        <w:spacing w:line="500" w:lineRule="exact"/>
        <w:ind w:firstLine="482" w:firstLineChars="200"/>
        <w:jc w:val="both"/>
        <w:textAlignment w:val="auto"/>
        <w:rPr>
          <w:rFonts w:hint="eastAsia" w:ascii="宋体" w:hAnsi="宋体" w:eastAsia="宋体" w:cs="宋体"/>
          <w:b w:val="0"/>
          <w:bCs w:val="0"/>
          <w:sz w:val="24"/>
          <w:szCs w:val="24"/>
          <w:highlight w:val="none"/>
        </w:rPr>
      </w:pPr>
      <w:r>
        <w:rPr>
          <w:rFonts w:hint="eastAsia" w:ascii="宋体" w:hAnsi="宋体" w:cs="宋体"/>
          <w:b/>
          <w:bCs/>
          <w:sz w:val="24"/>
          <w:szCs w:val="24"/>
          <w:highlight w:val="none"/>
          <w:lang w:eastAsia="zh-CN"/>
        </w:rPr>
        <w:t>（</w:t>
      </w:r>
      <w:r>
        <w:rPr>
          <w:rFonts w:hint="eastAsia" w:ascii="宋体" w:hAnsi="宋体" w:cs="宋体"/>
          <w:b/>
          <w:bCs/>
          <w:sz w:val="24"/>
          <w:szCs w:val="24"/>
          <w:highlight w:val="none"/>
          <w:lang w:val="en-US" w:eastAsia="zh-CN"/>
        </w:rPr>
        <w:t>三</w:t>
      </w:r>
      <w:r>
        <w:rPr>
          <w:rFonts w:hint="eastAsia" w:ascii="宋体" w:hAnsi="宋体" w:cs="宋体"/>
          <w:b/>
          <w:bCs/>
          <w:sz w:val="24"/>
          <w:szCs w:val="24"/>
          <w:highlight w:val="none"/>
          <w:lang w:eastAsia="zh-CN"/>
        </w:rPr>
        <w:t>）</w:t>
      </w:r>
      <w:r>
        <w:rPr>
          <w:rFonts w:hint="eastAsia" w:ascii="宋体" w:hAnsi="宋体" w:eastAsia="宋体" w:cs="宋体"/>
          <w:b/>
          <w:bCs/>
          <w:sz w:val="24"/>
          <w:szCs w:val="24"/>
          <w:highlight w:val="none"/>
        </w:rPr>
        <w:t>责任</w:t>
      </w:r>
      <w:r>
        <w:rPr>
          <w:rFonts w:hint="eastAsia" w:ascii="宋体" w:hAnsi="宋体" w:eastAsia="宋体" w:cs="宋体"/>
          <w:b w:val="0"/>
          <w:bCs w:val="0"/>
          <w:sz w:val="24"/>
          <w:szCs w:val="24"/>
          <w:highlight w:val="none"/>
        </w:rPr>
        <w:tab/>
      </w:r>
    </w:p>
    <w:p w14:paraId="71D2AD1E">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直饮水设备造成的所有安全事故（包含饮用水安全），运营商承担全部责任。</w:t>
      </w:r>
    </w:p>
    <w:p w14:paraId="247AFE27">
      <w:pPr>
        <w:keepNext w:val="0"/>
        <w:keepLines w:val="0"/>
        <w:pageBreakBefore w:val="0"/>
        <w:widowControl/>
        <w:numPr>
          <w:ilvl w:val="0"/>
          <w:numId w:val="5"/>
        </w:numPr>
        <w:kinsoku/>
        <w:wordWrap/>
        <w:overflowPunct/>
        <w:topLinePunct w:val="0"/>
        <w:autoSpaceDE/>
        <w:autoSpaceDN/>
        <w:bidi w:val="0"/>
        <w:adjustRightInd/>
        <w:snapToGrid/>
        <w:spacing w:line="500" w:lineRule="exact"/>
        <w:ind w:firstLine="482" w:firstLineChars="200"/>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收费系统</w:t>
      </w:r>
    </w:p>
    <w:p w14:paraId="4EA83E50">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1.收费系统符合学校要求。</w:t>
      </w:r>
    </w:p>
    <w:p w14:paraId="76B0EABB">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2.学生通过手机，能随时对消费余额自由转取不受限制。</w:t>
      </w:r>
    </w:p>
    <w:p w14:paraId="7C473EBD">
      <w:pPr>
        <w:keepNext w:val="0"/>
        <w:keepLines w:val="0"/>
        <w:pageBreakBefore w:val="0"/>
        <w:widowControl/>
        <w:kinsoku/>
        <w:wordWrap/>
        <w:overflowPunct/>
        <w:topLinePunct w:val="0"/>
        <w:autoSpaceDE/>
        <w:autoSpaceDN/>
        <w:bidi w:val="0"/>
        <w:adjustRightInd/>
        <w:snapToGrid/>
        <w:spacing w:line="500" w:lineRule="exact"/>
        <w:ind w:firstLine="482" w:firstLineChars="200"/>
        <w:jc w:val="both"/>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w:t>
      </w:r>
      <w:r>
        <w:rPr>
          <w:rFonts w:hint="eastAsia" w:ascii="宋体" w:hAnsi="宋体" w:cs="宋体"/>
          <w:b/>
          <w:bCs/>
          <w:sz w:val="24"/>
          <w:szCs w:val="24"/>
          <w:highlight w:val="none"/>
          <w:lang w:val="en-US" w:eastAsia="zh-CN"/>
        </w:rPr>
        <w:t>五</w:t>
      </w:r>
      <w:r>
        <w:rPr>
          <w:rFonts w:hint="eastAsia" w:ascii="宋体" w:hAnsi="宋体" w:cs="宋体"/>
          <w:b/>
          <w:bCs/>
          <w:sz w:val="24"/>
          <w:szCs w:val="24"/>
          <w:highlight w:val="none"/>
          <w:lang w:eastAsia="zh-CN"/>
        </w:rPr>
        <w:t>）</w:t>
      </w:r>
      <w:r>
        <w:rPr>
          <w:rFonts w:hint="eastAsia" w:ascii="宋体" w:hAnsi="宋体" w:eastAsia="宋体" w:cs="宋体"/>
          <w:b/>
          <w:bCs/>
          <w:sz w:val="24"/>
          <w:szCs w:val="24"/>
          <w:highlight w:val="none"/>
        </w:rPr>
        <w:t>水电费</w:t>
      </w:r>
      <w:r>
        <w:rPr>
          <w:rFonts w:hint="eastAsia" w:ascii="宋体" w:hAnsi="宋体" w:eastAsia="宋体" w:cs="宋体"/>
          <w:b/>
          <w:bCs/>
          <w:sz w:val="24"/>
          <w:szCs w:val="24"/>
          <w:highlight w:val="none"/>
        </w:rPr>
        <w:tab/>
      </w:r>
    </w:p>
    <w:p w14:paraId="4AAAD6ED">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按照学校要求及时缴纳水电费。</w:t>
      </w:r>
    </w:p>
    <w:p w14:paraId="71021B59">
      <w:pPr>
        <w:keepNext w:val="0"/>
        <w:keepLines w:val="0"/>
        <w:pageBreakBefore w:val="0"/>
        <w:widowControl/>
        <w:numPr>
          <w:ilvl w:val="0"/>
          <w:numId w:val="5"/>
        </w:numPr>
        <w:kinsoku/>
        <w:wordWrap/>
        <w:overflowPunct/>
        <w:topLinePunct w:val="0"/>
        <w:autoSpaceDE/>
        <w:autoSpaceDN/>
        <w:bidi w:val="0"/>
        <w:adjustRightInd/>
        <w:snapToGrid/>
        <w:spacing w:line="500" w:lineRule="exact"/>
        <w:ind w:left="0" w:leftChars="0" w:firstLine="482" w:firstLineChars="200"/>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服务质量</w:t>
      </w:r>
    </w:p>
    <w:p w14:paraId="3A784916">
      <w:pPr>
        <w:keepNext w:val="0"/>
        <w:keepLines w:val="0"/>
        <w:pageBreakBefore w:val="0"/>
        <w:widowControl/>
        <w:numPr>
          <w:ilvl w:val="0"/>
          <w:numId w:val="0"/>
        </w:numPr>
        <w:kinsoku/>
        <w:wordWrap/>
        <w:overflowPunct/>
        <w:topLinePunct w:val="0"/>
        <w:autoSpaceDE/>
        <w:autoSpaceDN/>
        <w:bidi w:val="0"/>
        <w:adjustRightInd/>
        <w:snapToGrid/>
        <w:spacing w:line="500" w:lineRule="exact"/>
        <w:ind w:left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w:t>
      </w:r>
      <w:r>
        <w:rPr>
          <w:rFonts w:hint="eastAsia" w:ascii="宋体" w:hAnsi="宋体" w:cs="宋体"/>
          <w:b w:val="0"/>
          <w:bCs w:val="0"/>
          <w:sz w:val="24"/>
          <w:szCs w:val="24"/>
          <w:highlight w:val="none"/>
          <w:lang w:eastAsia="zh-CN"/>
        </w:rPr>
        <w:t>成交供应商</w:t>
      </w:r>
      <w:r>
        <w:rPr>
          <w:rFonts w:hint="eastAsia" w:ascii="宋体" w:hAnsi="宋体" w:eastAsia="宋体" w:cs="宋体"/>
          <w:b w:val="0"/>
          <w:bCs w:val="0"/>
          <w:sz w:val="24"/>
          <w:szCs w:val="24"/>
          <w:highlight w:val="none"/>
        </w:rPr>
        <w:t>派专人24小时服务；</w:t>
      </w:r>
    </w:p>
    <w:p w14:paraId="3D50C0DB">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2.在设备显眼位置，标注直饮水价格，服务电话；</w:t>
      </w:r>
    </w:p>
    <w:p w14:paraId="556D961C">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rPr>
        <w:t>.营业场所和设备卫生整洁</w:t>
      </w:r>
      <w:r>
        <w:rPr>
          <w:rFonts w:hint="eastAsia" w:ascii="宋体" w:hAnsi="宋体" w:cs="宋体"/>
          <w:b w:val="0"/>
          <w:bCs w:val="0"/>
          <w:sz w:val="24"/>
          <w:szCs w:val="24"/>
          <w:highlight w:val="none"/>
          <w:lang w:eastAsia="zh-CN"/>
        </w:rPr>
        <w:t>。</w:t>
      </w:r>
    </w:p>
    <w:p w14:paraId="16870A27">
      <w:pPr>
        <w:keepNext w:val="0"/>
        <w:keepLines w:val="0"/>
        <w:pageBreakBefore w:val="0"/>
        <w:widowControl/>
        <w:kinsoku/>
        <w:wordWrap/>
        <w:overflowPunct/>
        <w:topLinePunct w:val="0"/>
        <w:autoSpaceDE/>
        <w:autoSpaceDN/>
        <w:bidi w:val="0"/>
        <w:adjustRightInd/>
        <w:snapToGrid/>
        <w:spacing w:line="500" w:lineRule="exact"/>
        <w:ind w:firstLine="482" w:firstLineChars="200"/>
        <w:jc w:val="both"/>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w:t>
      </w:r>
      <w:r>
        <w:rPr>
          <w:rFonts w:hint="eastAsia" w:ascii="宋体" w:hAnsi="宋体" w:cs="宋体"/>
          <w:b/>
          <w:bCs/>
          <w:sz w:val="24"/>
          <w:szCs w:val="24"/>
          <w:highlight w:val="none"/>
          <w:lang w:val="en-US" w:eastAsia="zh-CN"/>
        </w:rPr>
        <w:t>六</w:t>
      </w:r>
      <w:r>
        <w:rPr>
          <w:rFonts w:hint="eastAsia" w:ascii="宋体" w:hAnsi="宋体" w:cs="宋体"/>
          <w:b/>
          <w:bCs/>
          <w:sz w:val="24"/>
          <w:szCs w:val="24"/>
          <w:highlight w:val="none"/>
          <w:lang w:eastAsia="zh-CN"/>
        </w:rPr>
        <w:t>）</w:t>
      </w:r>
      <w:r>
        <w:rPr>
          <w:rFonts w:hint="eastAsia" w:ascii="宋体" w:hAnsi="宋体" w:eastAsia="宋体" w:cs="宋体"/>
          <w:b/>
          <w:bCs/>
          <w:sz w:val="24"/>
          <w:szCs w:val="24"/>
          <w:highlight w:val="none"/>
        </w:rPr>
        <w:t>合同终止</w:t>
      </w:r>
    </w:p>
    <w:p w14:paraId="324A15ED">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1.学生投诉拒不整改；</w:t>
      </w:r>
    </w:p>
    <w:p w14:paraId="79B36FF5">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2.出现严重安全事故；</w:t>
      </w:r>
    </w:p>
    <w:p w14:paraId="7F7EDD88">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3.出现重大舆情</w:t>
      </w:r>
    </w:p>
    <w:p w14:paraId="47DCA314">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4.拖欠水电费；</w:t>
      </w:r>
    </w:p>
    <w:p w14:paraId="7541A8DB">
      <w:pPr>
        <w:keepNext w:val="0"/>
        <w:keepLines w:val="0"/>
        <w:pageBreakBefore w:val="0"/>
        <w:widowControl/>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5.合同终止后，水电线路归学校处置，饮水机、净水机归</w:t>
      </w:r>
      <w:r>
        <w:rPr>
          <w:rFonts w:hint="eastAsia" w:ascii="宋体" w:hAnsi="宋体" w:cs="宋体"/>
          <w:b w:val="0"/>
          <w:bCs w:val="0"/>
          <w:sz w:val="24"/>
          <w:szCs w:val="24"/>
          <w:highlight w:val="none"/>
          <w:lang w:eastAsia="zh-CN"/>
        </w:rPr>
        <w:t>成交供应商</w:t>
      </w:r>
      <w:r>
        <w:rPr>
          <w:rFonts w:hint="eastAsia" w:ascii="宋体" w:hAnsi="宋体" w:eastAsia="宋体" w:cs="宋体"/>
          <w:b w:val="0"/>
          <w:bCs w:val="0"/>
          <w:sz w:val="24"/>
          <w:szCs w:val="24"/>
          <w:highlight w:val="none"/>
        </w:rPr>
        <w:t>处置。</w:t>
      </w:r>
    </w:p>
    <w:p w14:paraId="68B4B5D7">
      <w:pPr>
        <w:keepNext w:val="0"/>
        <w:keepLines w:val="0"/>
        <w:pageBreakBefore w:val="0"/>
        <w:widowControl/>
        <w:kinsoku/>
        <w:wordWrap/>
        <w:overflowPunct/>
        <w:topLinePunct w:val="0"/>
        <w:autoSpaceDE/>
        <w:autoSpaceDN/>
        <w:bidi w:val="0"/>
        <w:spacing w:line="500" w:lineRule="exact"/>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三、合作方式</w:t>
      </w:r>
    </w:p>
    <w:p w14:paraId="4B41B51B">
      <w:pPr>
        <w:keepNext w:val="0"/>
        <w:keepLines w:val="0"/>
        <w:pageBreakBefore w:val="0"/>
        <w:widowControl/>
        <w:kinsoku/>
        <w:wordWrap/>
        <w:overflowPunct/>
        <w:topLinePunct w:val="0"/>
        <w:autoSpaceDE/>
        <w:autoSpaceDN/>
        <w:bidi w:val="0"/>
        <w:adjustRightInd/>
        <w:snapToGrid/>
        <w:spacing w:line="500" w:lineRule="exact"/>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rPr>
        <w:t>委托运营。引入信誉好、实力强、服务优的服务商，由学校提供服务场地，成交供应商全额投资，按照双方确定的方案设计、施工建设，按约管理。</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向学校缴纳电费、水费，如相关部门进行价格调整，则按照调整后的价格执行。</w:t>
      </w:r>
    </w:p>
    <w:p w14:paraId="68E4B5E3">
      <w:pPr>
        <w:keepNext w:val="0"/>
        <w:keepLines w:val="0"/>
        <w:pageBreakBefore w:val="0"/>
        <w:widowControl/>
        <w:kinsoku/>
        <w:wordWrap/>
        <w:overflowPunct/>
        <w:topLinePunct w:val="0"/>
        <w:autoSpaceDE/>
        <w:autoSpaceDN/>
        <w:bidi w:val="0"/>
        <w:spacing w:line="500" w:lineRule="exact"/>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四、服务期限</w:t>
      </w:r>
    </w:p>
    <w:p w14:paraId="04D2234B">
      <w:pPr>
        <w:keepNext w:val="0"/>
        <w:keepLines w:val="0"/>
        <w:pageBreakBefore w:val="0"/>
        <w:widowControl/>
        <w:kinsoku/>
        <w:wordWrap/>
        <w:overflowPunct/>
        <w:topLinePunct w:val="0"/>
        <w:autoSpaceDE/>
        <w:autoSpaceDN/>
        <w:bidi w:val="0"/>
        <w:adjustRightInd/>
        <w:snapToGrid/>
        <w:spacing w:line="500" w:lineRule="exact"/>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本项目合同期</w:t>
      </w:r>
      <w:r>
        <w:rPr>
          <w:rFonts w:hint="eastAsia" w:ascii="宋体" w:hAnsi="宋体" w:cs="宋体"/>
          <w:sz w:val="24"/>
          <w:szCs w:val="24"/>
          <w:highlight w:val="none"/>
          <w:lang w:val="en-US" w:eastAsia="zh-CN"/>
        </w:rPr>
        <w:t>合同约定起10</w:t>
      </w:r>
      <w:r>
        <w:rPr>
          <w:rFonts w:hint="eastAsia" w:ascii="宋体" w:hAnsi="宋体" w:eastAsia="宋体" w:cs="宋体"/>
          <w:sz w:val="24"/>
          <w:szCs w:val="24"/>
          <w:highlight w:val="none"/>
          <w:lang w:val="en-US" w:eastAsia="zh-CN"/>
        </w:rPr>
        <w:t>年，不收取场地管理费。</w:t>
      </w:r>
      <w:r>
        <w:rPr>
          <w:rFonts w:hint="eastAsia" w:ascii="宋体" w:hAnsi="宋体" w:eastAsia="宋体" w:cs="宋体"/>
          <w:sz w:val="24"/>
          <w:szCs w:val="24"/>
          <w:highlight w:val="none"/>
        </w:rPr>
        <w:t>服务期满后成交供应商自行拆除设备并运走，其铺设的电路、水路不得破坏或拆除，对学校的设施改造影响后续使用的，应予以恢复。</w:t>
      </w:r>
    </w:p>
    <w:p w14:paraId="6CCFD0DD">
      <w:pPr>
        <w:keepNext w:val="0"/>
        <w:keepLines w:val="0"/>
        <w:pageBreakBefore w:val="0"/>
        <w:widowControl/>
        <w:kinsoku/>
        <w:wordWrap/>
        <w:overflowPunct/>
        <w:topLinePunct w:val="0"/>
        <w:autoSpaceDE/>
        <w:autoSpaceDN/>
        <w:bidi w:val="0"/>
        <w:spacing w:line="500" w:lineRule="exact"/>
        <w:ind w:firstLine="42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施工完成时间：合同签订之日起15日历天以内。</w:t>
      </w:r>
    </w:p>
    <w:p w14:paraId="61D92540">
      <w:pPr>
        <w:keepNext w:val="0"/>
        <w:keepLines w:val="0"/>
        <w:pageBreakBefore w:val="0"/>
        <w:widowControl/>
        <w:kinsoku/>
        <w:wordWrap/>
        <w:overflowPunct/>
        <w:topLinePunct w:val="0"/>
        <w:autoSpaceDE/>
        <w:autoSpaceDN/>
        <w:bidi w:val="0"/>
        <w:spacing w:line="500" w:lineRule="exact"/>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五、项目费用要求</w:t>
      </w:r>
      <w:r>
        <w:rPr>
          <w:rFonts w:hint="eastAsia" w:ascii="宋体" w:hAnsi="宋体" w:eastAsia="宋体" w:cs="宋体"/>
          <w:b/>
          <w:bCs/>
          <w:sz w:val="24"/>
          <w:szCs w:val="24"/>
          <w:highlight w:val="none"/>
        </w:rPr>
        <w:t>：</w:t>
      </w:r>
    </w:p>
    <w:p w14:paraId="5D81046A">
      <w:pPr>
        <w:keepNext w:val="0"/>
        <w:keepLines w:val="0"/>
        <w:pageBreakBefore w:val="0"/>
        <w:kinsoku/>
        <w:wordWrap/>
        <w:overflowPunct/>
        <w:topLinePunct w:val="0"/>
        <w:autoSpaceDE w:val="0"/>
        <w:autoSpaceDN w:val="0"/>
        <w:bidi w:val="0"/>
        <w:spacing w:line="520" w:lineRule="exact"/>
        <w:ind w:firstLine="470" w:firstLineChars="196"/>
        <w:rPr>
          <w:rFonts w:hint="eastAsia" w:ascii="宋体" w:hAnsi="宋体" w:eastAsia="宋体" w:cs="Times New Roman"/>
          <w:bCs/>
          <w:sz w:val="24"/>
          <w:highlight w:val="none"/>
          <w:lang w:val="en-US" w:eastAsia="zh-CN"/>
        </w:rPr>
      </w:pPr>
      <w:r>
        <w:rPr>
          <w:rFonts w:hint="eastAsia" w:ascii="宋体" w:hAnsi="宋体" w:eastAsia="宋体" w:cs="Times New Roman"/>
          <w:bCs/>
          <w:sz w:val="24"/>
          <w:highlight w:val="none"/>
          <w:lang w:val="en-US" w:eastAsia="zh-CN"/>
        </w:rPr>
        <w:t>1.收费标准：直饮热水不高于0.13元/升，直饮凉水不高于0.07元/升。</w:t>
      </w:r>
    </w:p>
    <w:p w14:paraId="1E70B7EE">
      <w:pPr>
        <w:keepNext w:val="0"/>
        <w:keepLines w:val="0"/>
        <w:pageBreakBefore w:val="0"/>
        <w:kinsoku/>
        <w:wordWrap/>
        <w:overflowPunct/>
        <w:topLinePunct w:val="0"/>
        <w:autoSpaceDE w:val="0"/>
        <w:autoSpaceDN w:val="0"/>
        <w:bidi w:val="0"/>
        <w:spacing w:line="520" w:lineRule="exact"/>
        <w:ind w:firstLine="470" w:firstLineChars="196"/>
        <w:rPr>
          <w:rFonts w:hint="default" w:ascii="宋体" w:hAnsi="宋体" w:eastAsia="宋体" w:cs="Times New Roman"/>
          <w:bCs/>
          <w:sz w:val="24"/>
          <w:highlight w:val="none"/>
          <w:lang w:val="en-US" w:eastAsia="zh-CN"/>
        </w:rPr>
      </w:pPr>
      <w:r>
        <w:rPr>
          <w:rFonts w:hint="eastAsia" w:ascii="宋体" w:hAnsi="宋体" w:eastAsia="宋体" w:cs="Times New Roman"/>
          <w:bCs/>
          <w:sz w:val="24"/>
          <w:highlight w:val="none"/>
          <w:lang w:val="en-US" w:eastAsia="zh-CN"/>
        </w:rPr>
        <w:t>2.该项目不收取场地管理费。</w:t>
      </w:r>
    </w:p>
    <w:p w14:paraId="7B4C8010">
      <w:pPr>
        <w:keepNext w:val="0"/>
        <w:keepLines w:val="0"/>
        <w:pageBreakBefore w:val="0"/>
        <w:kinsoku/>
        <w:wordWrap/>
        <w:overflowPunct/>
        <w:topLinePunct w:val="0"/>
        <w:autoSpaceDE w:val="0"/>
        <w:autoSpaceDN w:val="0"/>
        <w:bidi w:val="0"/>
        <w:spacing w:line="520" w:lineRule="exact"/>
        <w:ind w:firstLine="470" w:firstLineChars="196"/>
        <w:rPr>
          <w:rFonts w:hint="eastAsia" w:ascii="宋体" w:hAnsi="宋体" w:eastAsia="宋体" w:cs="Times New Roman"/>
          <w:bCs/>
          <w:sz w:val="24"/>
          <w:highlight w:val="none"/>
          <w:lang w:val="en-US" w:eastAsia="zh-CN"/>
        </w:rPr>
      </w:pPr>
      <w:r>
        <w:rPr>
          <w:rFonts w:hint="eastAsia" w:ascii="宋体" w:hAnsi="宋体" w:eastAsia="宋体" w:cs="Times New Roman"/>
          <w:bCs/>
          <w:sz w:val="24"/>
          <w:highlight w:val="none"/>
          <w:lang w:val="en-US" w:eastAsia="zh-CN"/>
        </w:rPr>
        <w:t>3.项目运营前，须缴纳安全保证金3万元，合作期满后无息退还。</w:t>
      </w:r>
    </w:p>
    <w:p w14:paraId="2CB75A59">
      <w:pPr>
        <w:keepNext w:val="0"/>
        <w:keepLines w:val="0"/>
        <w:pageBreakBefore w:val="0"/>
        <w:widowControl/>
        <w:kinsoku/>
        <w:wordWrap/>
        <w:overflowPunct/>
        <w:topLinePunct w:val="0"/>
        <w:autoSpaceDE/>
        <w:autoSpaceDN/>
        <w:bidi w:val="0"/>
        <w:spacing w:line="500" w:lineRule="exact"/>
        <w:textAlignment w:val="baseline"/>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六、安全和管理</w:t>
      </w:r>
    </w:p>
    <w:p w14:paraId="3F150D11">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直饮水水质须经市场监管部门认可的第三方专业机构进行检验，每年不少于两次（1月份1次，7月份1次），所需费用由成交供应商自行承担。水质检验报告需交采购人留存备案。根据直饮水机的滤芯使用状况，及时更换滤芯，更换滤芯须有我校监管单位人员在场并监督。直饮水水质必须达到国家规定的相关标准。</w:t>
      </w:r>
    </w:p>
    <w:p w14:paraId="242DDB52">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成交供应商提供的移动支付及智能报修程序不得强制获取学生个人核心信息，且须做好学生信息的保护工作，不用作其他用途。学校有权对智能支付系统进行监管。除必要的产品标识、操作说明、收费标准外，饮水机机身等位置不得张贴任何形式的广告。</w:t>
      </w:r>
    </w:p>
    <w:p w14:paraId="4F38AF5C">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成交供应商须承诺能够提供本地化服务，专业维修维护人员数量不少于1名，定期巡检消毒和保养；接到设备故障信息后，维修人员必须在30分钟做出响应，24小时内到现场进行维修处理；若无法通过维修解决时，必须提供同类设备，确保正常使用。维修员必须遵守学校校园管理和疫情防控规定。</w:t>
      </w:r>
    </w:p>
    <w:p w14:paraId="6E4706F1">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4.成交供应商在施工及运营期间所有设备使用出现的安全责任概由</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独立承担。经营期限内，不得以任何理由提高对学生的收费标准。如因安全责任事故出现赔付学生情形，拒不赔付的，将终止其运营合同，自行投入的可移动的设备设施无条件撤出并自行处理，装饰装潢等不可移动/拆除的设施及所有权属招标人的设备设施不得损坏。</w:t>
      </w:r>
    </w:p>
    <w:p w14:paraId="0CF766A1">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规范化施工，成交供应商的员工必须具有1名及以上水处理职业资格证书和健康证，才可以施工。成交供应商自行铺设用水、用电线路，设备安装位置可在学校监管部门论证同意下，进行必要的改造和修缮。但不得损害学校基础设施，且满足消防安全需要。</w:t>
      </w:r>
    </w:p>
    <w:p w14:paraId="3B948808">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6.成交供应商须服从采购人管理部门的管理与监督，并随时接受并配合学校、工商、防疫、消防、卫生、计量、物价、教育等部门的检查，并负责自行协调解决相关事务。</w:t>
      </w:r>
    </w:p>
    <w:p w14:paraId="2D696D74">
      <w:pPr>
        <w:keepNext w:val="0"/>
        <w:keepLines w:val="0"/>
        <w:pageBreakBefore w:val="0"/>
        <w:widowControl/>
        <w:kinsoku/>
        <w:wordWrap/>
        <w:overflowPunct/>
        <w:topLinePunct w:val="0"/>
        <w:autoSpaceDE/>
        <w:autoSpaceDN/>
        <w:bidi w:val="0"/>
        <w:adjustRightInd/>
        <w:snapToGrid/>
        <w:spacing w:line="500" w:lineRule="exact"/>
        <w:textAlignment w:val="baseline"/>
        <w:rPr>
          <w:rFonts w:hint="eastAsia" w:ascii="宋体" w:hAnsi="宋体" w:eastAsia="宋体" w:cs="宋体"/>
          <w:b/>
          <w:bCs/>
          <w:sz w:val="24"/>
          <w:szCs w:val="24"/>
          <w:highlight w:val="none"/>
        </w:rPr>
      </w:pPr>
      <w:r>
        <w:rPr>
          <w:rFonts w:hint="eastAsia" w:ascii="宋体" w:hAnsi="宋体" w:cs="宋体"/>
          <w:b/>
          <w:bCs/>
          <w:sz w:val="24"/>
          <w:szCs w:val="24"/>
          <w:highlight w:val="none"/>
          <w:lang w:val="en-US" w:eastAsia="zh-CN"/>
        </w:rPr>
        <w:t>七</w:t>
      </w:r>
      <w:r>
        <w:rPr>
          <w:rFonts w:hint="eastAsia" w:ascii="宋体" w:hAnsi="宋体" w:eastAsia="宋体" w:cs="宋体"/>
          <w:b/>
          <w:bCs/>
          <w:sz w:val="24"/>
          <w:szCs w:val="24"/>
          <w:highlight w:val="none"/>
        </w:rPr>
        <w:t>、安全责任界定</w:t>
      </w:r>
    </w:p>
    <w:p w14:paraId="3198E182">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成交供应商提供的所有设备在未使用情况下发生的任何安全问题，以及学生在使用成交供应商提供的设备时发生的任何安全问题，由成交供应商负责，并对后续所有事情进行处理和赔偿，拒不赔偿者，由甲方从安全保证金扣除。</w:t>
      </w:r>
    </w:p>
    <w:p w14:paraId="61BDCCE9">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2.成交供应商对改造过程中和改造后产生的安全问题负责，并对后续所有事情进行处理和赔偿。</w:t>
      </w:r>
    </w:p>
    <w:p w14:paraId="1B4961DF">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成交供应商所提供的设备在使用过程中发生公共卫生事件（重大传染病疫情、群体性不明原因疾病、中毒或流行病传染）的情况，所有损失由成交供应商承担。成交供应商负责所提供设备安全（防火、放电、防盗、卫生、防毒、防传染病、防公共卫生事件等），并进行有效的管理。</w:t>
      </w:r>
    </w:p>
    <w:p w14:paraId="12C9B556">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4.成交供应商应定期对提供的所有设备和改造施工场所进行安全隐患排查及复查，确定无安全隐患后方可继续使用，检查结果需要认真做好记录。</w:t>
      </w:r>
    </w:p>
    <w:p w14:paraId="065E24E2">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5.成交供应商提供设备在使用过程中出现安全问题，一个月内三次以上的，成交供应商进行改造和更换设备。</w:t>
      </w:r>
    </w:p>
    <w:p w14:paraId="6B90F8CB">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学生在使用成交供应商提供的设备时，发生安全事故（造成人身伤亡、伤害等），经鉴定后属于成交供应商提供设备造成的，所造成的一切损失由成交供应商全部承担，学校有权解除合同，并根据损失情况，由甲方决定扣除安全保证金额度，赔付受害人。</w:t>
      </w:r>
    </w:p>
    <w:p w14:paraId="44416FCF">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7.成交供应商确保所提供的设备美观大方，未经学校允许不得在设备上做任何广告宣传，如有，学校可按约定终止合同。</w:t>
      </w:r>
    </w:p>
    <w:p w14:paraId="725F1ACC">
      <w:pPr>
        <w:keepNext w:val="0"/>
        <w:keepLines w:val="0"/>
        <w:pageBreakBefore w:val="0"/>
        <w:widowControl/>
        <w:kinsoku/>
        <w:wordWrap/>
        <w:overflowPunct/>
        <w:topLinePunct w:val="0"/>
        <w:autoSpaceDE/>
        <w:autoSpaceDN/>
        <w:bidi w:val="0"/>
        <w:adjustRightInd/>
        <w:snapToGrid/>
        <w:spacing w:line="500" w:lineRule="exact"/>
        <w:rPr>
          <w:rFonts w:hint="eastAsia" w:ascii="宋体" w:hAnsi="宋体" w:eastAsia="宋体" w:cs="宋体"/>
          <w:b/>
          <w:bCs/>
          <w:sz w:val="24"/>
          <w:szCs w:val="24"/>
          <w:highlight w:val="none"/>
        </w:rPr>
      </w:pPr>
      <w:r>
        <w:rPr>
          <w:rFonts w:hint="eastAsia" w:ascii="宋体" w:hAnsi="宋体" w:cs="宋体"/>
          <w:b/>
          <w:bCs/>
          <w:sz w:val="24"/>
          <w:szCs w:val="24"/>
          <w:highlight w:val="none"/>
          <w:lang w:val="en-US" w:eastAsia="zh-CN"/>
        </w:rPr>
        <w:t>八</w:t>
      </w:r>
      <w:r>
        <w:rPr>
          <w:rFonts w:hint="eastAsia" w:ascii="宋体" w:hAnsi="宋体" w:eastAsia="宋体" w:cs="宋体"/>
          <w:b/>
          <w:bCs/>
          <w:sz w:val="24"/>
          <w:szCs w:val="24"/>
          <w:highlight w:val="none"/>
        </w:rPr>
        <w:t>、验收标准与监管</w:t>
      </w:r>
    </w:p>
    <w:p w14:paraId="2E5687AC">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1.成交供应商提供的所有设备，必须经过学校相关部门验收后方可进行安装。饮用水设备全部安装完毕后，随机抽样送检（成交供应商承担费用），检测结果</w:t>
      </w:r>
      <w:r>
        <w:rPr>
          <w:rFonts w:hint="eastAsia" w:ascii="宋体" w:hAnsi="宋体" w:cs="宋体"/>
          <w:sz w:val="24"/>
          <w:szCs w:val="24"/>
          <w:highlight w:val="none"/>
          <w:lang w:eastAsia="zh-CN"/>
        </w:rPr>
        <w:t>符合</w:t>
      </w:r>
      <w:r>
        <w:rPr>
          <w:rFonts w:hint="eastAsia" w:ascii="宋体" w:hAnsi="宋体" w:eastAsia="宋体" w:cs="宋体"/>
          <w:sz w:val="24"/>
          <w:szCs w:val="24"/>
          <w:highlight w:val="none"/>
        </w:rPr>
        <w:t>饮用净水水质标准。</w:t>
      </w:r>
    </w:p>
    <w:p w14:paraId="117276A5">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2.全部工程施工完毕，调试完成后，由学校相关部门进行验收后方可投入使用。</w:t>
      </w:r>
    </w:p>
    <w:p w14:paraId="10398B1C">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3.发现成交供应商提供的产品质量问题不合格的，学校有权利退货，成交供应商赔偿学校由此产生的一切费用和损失。</w:t>
      </w:r>
    </w:p>
    <w:p w14:paraId="74AB6B90">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4.项目运行期间，每学期监管单位至少有1次不定期抽检水质送检，并做好抽检记录登记。抽检不合格的，成交供应商应立即整改，整改后仍不合格的，学校可按约定终止合同。</w:t>
      </w:r>
    </w:p>
    <w:p w14:paraId="03528525">
      <w:pPr>
        <w:keepNext w:val="0"/>
        <w:keepLines w:val="0"/>
        <w:pageBreakBefore w:val="0"/>
        <w:widowControl/>
        <w:kinsoku/>
        <w:wordWrap/>
        <w:overflowPunct/>
        <w:topLinePunct w:val="0"/>
        <w:autoSpaceDE/>
        <w:autoSpaceDN/>
        <w:bidi w:val="0"/>
        <w:adjustRightInd w:val="0"/>
        <w:snapToGrid w:val="0"/>
        <w:spacing w:line="500" w:lineRule="exact"/>
        <w:textAlignment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九、本项目标的所属行业说明：依据《国民经济行业分类》GB/T 4754—2017，所属行业为其他未列明行业。根据中小企业划型标准：从业人员300人以下的为中小微型企业。其中，从业人员100人及以上的为中型企业；从业人员10人及以上的为小型企业；从业人员10人以下的为微型企业。</w:t>
      </w:r>
    </w:p>
    <w:p w14:paraId="0CA36BB4">
      <w:pPr>
        <w:keepNext w:val="0"/>
        <w:keepLines w:val="0"/>
        <w:pageBreakBefore w:val="0"/>
        <w:kinsoku/>
        <w:wordWrap/>
        <w:overflowPunct/>
        <w:topLinePunct w:val="0"/>
        <w:autoSpaceDE w:val="0"/>
        <w:autoSpaceDN w:val="0"/>
        <w:bidi w:val="0"/>
        <w:spacing w:line="520" w:lineRule="exact"/>
        <w:ind w:firstLine="470" w:firstLineChars="196"/>
        <w:rPr>
          <w:rFonts w:ascii="宋体" w:hAnsi="宋体" w:eastAsia="宋体"/>
          <w:b/>
          <w:bCs/>
          <w:kern w:val="44"/>
          <w:sz w:val="36"/>
          <w:szCs w:val="36"/>
          <w:highlight w:val="none"/>
        </w:rPr>
      </w:pPr>
      <w:r>
        <w:rPr>
          <w:rFonts w:hint="eastAsia" w:ascii="宋体" w:hAnsi="宋体" w:eastAsia="宋体"/>
          <w:bCs/>
          <w:sz w:val="24"/>
          <w:highlight w:val="none"/>
        </w:rPr>
        <w:br w:type="page"/>
      </w:r>
    </w:p>
    <w:p w14:paraId="4B0B8C42">
      <w:pPr>
        <w:pStyle w:val="3"/>
        <w:tabs>
          <w:tab w:val="left" w:pos="0"/>
        </w:tabs>
        <w:spacing w:before="0" w:after="0" w:line="240" w:lineRule="atLeast"/>
        <w:rPr>
          <w:rFonts w:hAnsi="宋体" w:cs="宋体"/>
          <w:color w:val="000000" w:themeColor="text1"/>
          <w:highlight w:val="none"/>
          <w14:textFill>
            <w14:solidFill>
              <w14:schemeClr w14:val="tx1"/>
            </w14:solidFill>
          </w14:textFill>
        </w:rPr>
      </w:pPr>
      <w:bookmarkStart w:id="271" w:name="_Toc29968"/>
      <w:r>
        <w:rPr>
          <w:rFonts w:hint="eastAsia" w:hAnsi="宋体" w:cs="宋体"/>
          <w:color w:val="000000" w:themeColor="text1"/>
          <w:highlight w:val="none"/>
          <w14:textFill>
            <w14:solidFill>
              <w14:schemeClr w14:val="tx1"/>
            </w14:solidFill>
          </w14:textFill>
        </w:rPr>
        <w:t>第5章</w:t>
      </w:r>
      <w:bookmarkStart w:id="272" w:name="_Toc7971"/>
      <w:bookmarkStart w:id="273" w:name="_Toc507399907"/>
      <w:bookmarkStart w:id="274" w:name="_Toc4766816"/>
      <w:bookmarkStart w:id="275" w:name="_Toc32647"/>
      <w:bookmarkStart w:id="276" w:name="_Toc515647832"/>
      <w:r>
        <w:rPr>
          <w:rFonts w:hint="eastAsia" w:hAnsi="宋体" w:cs="宋体"/>
          <w:color w:val="000000" w:themeColor="text1"/>
          <w:highlight w:val="none"/>
          <w14:textFill>
            <w14:solidFill>
              <w14:schemeClr w14:val="tx1"/>
            </w14:solidFill>
          </w14:textFill>
        </w:rPr>
        <w:t xml:space="preserve">  评审方法和标准</w:t>
      </w:r>
      <w:bookmarkEnd w:id="268"/>
      <w:bookmarkEnd w:id="269"/>
      <w:bookmarkEnd w:id="270"/>
      <w:bookmarkEnd w:id="271"/>
      <w:bookmarkEnd w:id="272"/>
      <w:bookmarkEnd w:id="273"/>
      <w:bookmarkEnd w:id="274"/>
      <w:bookmarkEnd w:id="275"/>
      <w:bookmarkEnd w:id="276"/>
    </w:p>
    <w:p w14:paraId="5D090638">
      <w:pPr>
        <w:pStyle w:val="10"/>
        <w:tabs>
          <w:tab w:val="clear" w:pos="567"/>
        </w:tabs>
        <w:spacing w:before="0" w:line="240" w:lineRule="atLeast"/>
        <w:ind w:firstLine="540" w:firstLineChars="225"/>
        <w:rPr>
          <w:rFonts w:cs="宋体"/>
          <w:color w:val="000000" w:themeColor="text1"/>
          <w:highlight w:val="none"/>
          <w14:textFill>
            <w14:solidFill>
              <w14:schemeClr w14:val="tx1"/>
            </w14:solidFill>
          </w14:textFill>
        </w:rPr>
      </w:pPr>
    </w:p>
    <w:p w14:paraId="2DE06717">
      <w:pPr>
        <w:spacing w:line="480" w:lineRule="exact"/>
        <w:ind w:firstLine="424" w:firstLineChars="17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本项目将按照竞争性磋商文件第一章供应商须知中“五、提交响应文件截止及磋商”、“六、确定成交”及本章的规定评审。</w:t>
      </w:r>
    </w:p>
    <w:p w14:paraId="49346B78">
      <w:pPr>
        <w:spacing w:line="480" w:lineRule="exact"/>
        <w:ind w:firstLine="426" w:firstLineChars="177"/>
        <w:rPr>
          <w:rFonts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一、评审方法</w:t>
      </w:r>
    </w:p>
    <w:p w14:paraId="3B6A53B2">
      <w:pPr>
        <w:pStyle w:val="10"/>
        <w:tabs>
          <w:tab w:val="clear" w:pos="567"/>
        </w:tabs>
        <w:spacing w:before="0" w:line="480" w:lineRule="exact"/>
        <w:ind w:firstLine="540" w:firstLineChars="225"/>
        <w:rPr>
          <w:rFonts w:cs="宋体"/>
          <w:highlight w:val="none"/>
        </w:rPr>
      </w:pPr>
      <w:r>
        <w:rPr>
          <w:rFonts w:hint="eastAsia" w:cs="宋体"/>
          <w:highlight w:val="none"/>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77" w:name="percentDesc"/>
      <w:bookmarkEnd w:id="277"/>
    </w:p>
    <w:p w14:paraId="2D3958E7">
      <w:pPr>
        <w:spacing w:line="240" w:lineRule="atLeast"/>
        <w:ind w:firstLine="426" w:firstLineChars="177"/>
        <w:rPr>
          <w:rFonts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二、评标标准</w:t>
      </w:r>
    </w:p>
    <w:p w14:paraId="1DA0BB6B">
      <w:pPr>
        <w:pStyle w:val="4"/>
        <w:rPr>
          <w:rFonts w:ascii="宋体" w:hAnsi="宋体" w:eastAsia="宋体" w:cs="宋体"/>
          <w:color w:val="000000" w:themeColor="text1"/>
          <w:highlight w:val="none"/>
          <w14:textFill>
            <w14:solidFill>
              <w14:schemeClr w14:val="tx1"/>
            </w14:solidFill>
          </w14:textFill>
        </w:rPr>
      </w:pPr>
      <w:bookmarkStart w:id="278" w:name="_Toc46238261"/>
      <w:bookmarkStart w:id="279" w:name="_Toc45562497"/>
      <w:bookmarkStart w:id="280" w:name="_Toc46136844"/>
      <w:bookmarkStart w:id="281" w:name="_Toc32282"/>
      <w:r>
        <w:rPr>
          <w:rFonts w:hint="eastAsia" w:ascii="宋体" w:hAnsi="宋体" w:eastAsia="宋体" w:cs="宋体"/>
          <w:color w:val="000000" w:themeColor="text1"/>
          <w:highlight w:val="none"/>
          <w14:textFill>
            <w14:solidFill>
              <w14:schemeClr w14:val="tx1"/>
            </w14:solidFill>
          </w14:textFill>
        </w:rPr>
        <w:t>（一）初步评审</w:t>
      </w:r>
      <w:bookmarkEnd w:id="278"/>
      <w:bookmarkEnd w:id="279"/>
      <w:bookmarkEnd w:id="280"/>
      <w:bookmarkEnd w:id="281"/>
    </w:p>
    <w:p w14:paraId="6B295152">
      <w:pPr>
        <w:spacing w:before="2" w:line="110" w:lineRule="exact"/>
        <w:jc w:val="left"/>
        <w:rPr>
          <w:rFonts w:ascii="宋体" w:hAnsi="宋体" w:cs="宋体"/>
          <w:color w:val="000000" w:themeColor="text1"/>
          <w:kern w:val="0"/>
          <w:sz w:val="11"/>
          <w:szCs w:val="11"/>
          <w:highlight w:val="none"/>
          <w14:textFill>
            <w14:solidFill>
              <w14:schemeClr w14:val="tx1"/>
            </w14:solidFill>
          </w14:textFill>
        </w:rPr>
      </w:pPr>
    </w:p>
    <w:tbl>
      <w:tblPr>
        <w:tblStyle w:val="32"/>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8"/>
        <w:gridCol w:w="529"/>
        <w:gridCol w:w="5800"/>
        <w:gridCol w:w="2562"/>
      </w:tblGrid>
      <w:tr w14:paraId="1361B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0" w:hRule="exact"/>
          <w:jc w:val="center"/>
        </w:trPr>
        <w:tc>
          <w:tcPr>
            <w:tcW w:w="828" w:type="dxa"/>
            <w:vAlign w:val="center"/>
          </w:tcPr>
          <w:p w14:paraId="0DF8579A">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评审</w:t>
            </w:r>
          </w:p>
          <w:p w14:paraId="078EE3B4">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3"/>
                <w:sz w:val="24"/>
                <w:highlight w:val="none"/>
                <w:lang w:eastAsia="en-US"/>
                <w14:textFill>
                  <w14:solidFill>
                    <w14:schemeClr w14:val="tx1"/>
                  </w14:solidFill>
                </w14:textFill>
              </w:rPr>
              <w:t>方式</w:t>
            </w:r>
          </w:p>
        </w:tc>
        <w:tc>
          <w:tcPr>
            <w:tcW w:w="529" w:type="dxa"/>
            <w:vAlign w:val="center"/>
          </w:tcPr>
          <w:p w14:paraId="10133FCE">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序</w:t>
            </w:r>
          </w:p>
          <w:p w14:paraId="3AEAA60F">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3"/>
                <w:sz w:val="24"/>
                <w:highlight w:val="none"/>
                <w:lang w:eastAsia="en-US"/>
                <w14:textFill>
                  <w14:solidFill>
                    <w14:schemeClr w14:val="tx1"/>
                  </w14:solidFill>
                </w14:textFill>
              </w:rPr>
              <w:t>号</w:t>
            </w:r>
          </w:p>
        </w:tc>
        <w:tc>
          <w:tcPr>
            <w:tcW w:w="5800" w:type="dxa"/>
            <w:vAlign w:val="center"/>
          </w:tcPr>
          <w:p w14:paraId="737167B0">
            <w:pPr>
              <w:spacing w:line="300" w:lineRule="exact"/>
              <w:ind w:left="142" w:hanging="141" w:hangingChars="59"/>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sz w:val="24"/>
                <w:highlight w:val="none"/>
                <w:lang w:eastAsia="en-US"/>
                <w14:textFill>
                  <w14:solidFill>
                    <w14:schemeClr w14:val="tx1"/>
                  </w14:solidFill>
                </w14:textFill>
              </w:rPr>
              <w:t>评审因素</w:t>
            </w:r>
          </w:p>
        </w:tc>
        <w:tc>
          <w:tcPr>
            <w:tcW w:w="2562" w:type="dxa"/>
            <w:vAlign w:val="center"/>
          </w:tcPr>
          <w:p w14:paraId="3AF735E4">
            <w:pPr>
              <w:spacing w:line="300" w:lineRule="exac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是否符合</w:t>
            </w:r>
          </w:p>
        </w:tc>
      </w:tr>
      <w:tr w14:paraId="6AAD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exact"/>
          <w:jc w:val="center"/>
        </w:trPr>
        <w:tc>
          <w:tcPr>
            <w:tcW w:w="828" w:type="dxa"/>
            <w:vMerge w:val="restart"/>
            <w:vAlign w:val="center"/>
          </w:tcPr>
          <w:p w14:paraId="739338F4">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sz w:val="24"/>
                <w:highlight w:val="none"/>
                <w:lang w:eastAsia="en-US"/>
                <w14:textFill>
                  <w14:solidFill>
                    <w14:schemeClr w14:val="tx1"/>
                  </w14:solidFill>
                </w14:textFill>
              </w:rPr>
              <w:t>资格评审</w:t>
            </w:r>
          </w:p>
        </w:tc>
        <w:tc>
          <w:tcPr>
            <w:tcW w:w="529" w:type="dxa"/>
            <w:vAlign w:val="center"/>
          </w:tcPr>
          <w:p w14:paraId="64A2EA05">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1</w:t>
            </w:r>
          </w:p>
        </w:tc>
        <w:tc>
          <w:tcPr>
            <w:tcW w:w="5800" w:type="dxa"/>
            <w:vAlign w:val="center"/>
          </w:tcPr>
          <w:p w14:paraId="3102864E">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以竞争性磋商文件规定的方式获取竞争性磋商文件</w:t>
            </w:r>
          </w:p>
        </w:tc>
        <w:tc>
          <w:tcPr>
            <w:tcW w:w="2562" w:type="dxa"/>
            <w:vAlign w:val="center"/>
          </w:tcPr>
          <w:p w14:paraId="3FFF9885">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是否在规定时间内获取</w:t>
            </w:r>
          </w:p>
        </w:tc>
      </w:tr>
      <w:tr w14:paraId="1623F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exact"/>
          <w:jc w:val="center"/>
        </w:trPr>
        <w:tc>
          <w:tcPr>
            <w:tcW w:w="828" w:type="dxa"/>
            <w:vMerge w:val="continue"/>
            <w:vAlign w:val="center"/>
          </w:tcPr>
          <w:p w14:paraId="3BC3AA99">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2733E28D">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2</w:t>
            </w:r>
          </w:p>
        </w:tc>
        <w:tc>
          <w:tcPr>
            <w:tcW w:w="5800" w:type="dxa"/>
            <w:vAlign w:val="center"/>
          </w:tcPr>
          <w:p w14:paraId="7C7E3090">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在中华人民共和国境内注册</w:t>
            </w:r>
          </w:p>
        </w:tc>
        <w:tc>
          <w:tcPr>
            <w:tcW w:w="2562" w:type="dxa"/>
            <w:vAlign w:val="center"/>
          </w:tcPr>
          <w:p w14:paraId="48C88C74">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注册地是否符合</w:t>
            </w:r>
          </w:p>
        </w:tc>
      </w:tr>
      <w:tr w14:paraId="338E1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0CE958F9">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5F351F82">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3</w:t>
            </w:r>
          </w:p>
        </w:tc>
        <w:tc>
          <w:tcPr>
            <w:tcW w:w="5800" w:type="dxa"/>
            <w:vAlign w:val="center"/>
          </w:tcPr>
          <w:p w14:paraId="15AEE65B">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营业执照等证明</w:t>
            </w:r>
          </w:p>
        </w:tc>
        <w:tc>
          <w:tcPr>
            <w:tcW w:w="2562" w:type="dxa"/>
            <w:vAlign w:val="center"/>
          </w:tcPr>
          <w:p w14:paraId="76330A1B">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18766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exact"/>
          <w:jc w:val="center"/>
        </w:trPr>
        <w:tc>
          <w:tcPr>
            <w:tcW w:w="828" w:type="dxa"/>
            <w:vMerge w:val="continue"/>
            <w:vAlign w:val="center"/>
          </w:tcPr>
          <w:p w14:paraId="0DDAAE24">
            <w:pPr>
              <w:widowControl/>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p>
        </w:tc>
        <w:tc>
          <w:tcPr>
            <w:tcW w:w="529" w:type="dxa"/>
            <w:vAlign w:val="center"/>
          </w:tcPr>
          <w:p w14:paraId="5EBDF5F0">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4</w:t>
            </w:r>
          </w:p>
        </w:tc>
        <w:tc>
          <w:tcPr>
            <w:tcW w:w="5800" w:type="dxa"/>
            <w:vAlign w:val="center"/>
          </w:tcPr>
          <w:p w14:paraId="4C0007D9">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法定代表人/负责人身份证明书或法定代表人/负责人授权委托书</w:t>
            </w:r>
          </w:p>
        </w:tc>
        <w:tc>
          <w:tcPr>
            <w:tcW w:w="2562" w:type="dxa"/>
            <w:vAlign w:val="center"/>
          </w:tcPr>
          <w:p w14:paraId="675C3239">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格式及内容是否完整</w:t>
            </w:r>
          </w:p>
        </w:tc>
      </w:tr>
      <w:tr w14:paraId="7A3CE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0AAE4797">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48EF5D92">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5</w:t>
            </w:r>
          </w:p>
        </w:tc>
        <w:tc>
          <w:tcPr>
            <w:tcW w:w="5800" w:type="dxa"/>
            <w:vAlign w:val="center"/>
          </w:tcPr>
          <w:p w14:paraId="7C25F303">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具有良好的商业信誉和健全的财务会计制度的承诺书</w:t>
            </w:r>
          </w:p>
        </w:tc>
        <w:tc>
          <w:tcPr>
            <w:tcW w:w="2562" w:type="dxa"/>
            <w:vAlign w:val="center"/>
          </w:tcPr>
          <w:p w14:paraId="1A3E21C5">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11C0A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299769C2">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44A7A9AB">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6</w:t>
            </w:r>
          </w:p>
        </w:tc>
        <w:tc>
          <w:tcPr>
            <w:tcW w:w="5800" w:type="dxa"/>
            <w:vAlign w:val="center"/>
          </w:tcPr>
          <w:p w14:paraId="61252938">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社会保障资金的缴纳记录和依法缴纳税收承诺书</w:t>
            </w:r>
          </w:p>
        </w:tc>
        <w:tc>
          <w:tcPr>
            <w:tcW w:w="2562" w:type="dxa"/>
            <w:vAlign w:val="center"/>
          </w:tcPr>
          <w:p w14:paraId="68B1A5E0">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1B0FE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exact"/>
          <w:jc w:val="center"/>
        </w:trPr>
        <w:tc>
          <w:tcPr>
            <w:tcW w:w="828" w:type="dxa"/>
            <w:vMerge w:val="continue"/>
            <w:vAlign w:val="center"/>
          </w:tcPr>
          <w:p w14:paraId="6565A56F">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0F7F5301">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7</w:t>
            </w:r>
          </w:p>
        </w:tc>
        <w:tc>
          <w:tcPr>
            <w:tcW w:w="5800" w:type="dxa"/>
            <w:vAlign w:val="center"/>
          </w:tcPr>
          <w:p w14:paraId="792B4DA3">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无重大违法记录的书面声明</w:t>
            </w:r>
          </w:p>
        </w:tc>
        <w:tc>
          <w:tcPr>
            <w:tcW w:w="2562" w:type="dxa"/>
            <w:vAlign w:val="center"/>
          </w:tcPr>
          <w:p w14:paraId="28EE2A77">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7FD7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619C2281">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6DC6D661">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8</w:t>
            </w:r>
          </w:p>
        </w:tc>
        <w:tc>
          <w:tcPr>
            <w:tcW w:w="5800" w:type="dxa"/>
            <w:vAlign w:val="center"/>
          </w:tcPr>
          <w:p w14:paraId="271CA0AF">
            <w:pPr>
              <w:spacing w:line="300" w:lineRule="exact"/>
              <w:ind w:left="216" w:leftChars="103"/>
              <w:jc w:val="left"/>
              <w:rPr>
                <w:rFonts w:hint="eastAsia" w:ascii="宋体" w:hAnsi="宋体" w:eastAsia="宋体" w:cs="宋体"/>
                <w:color w:val="000000" w:themeColor="text1"/>
                <w:kern w:val="0"/>
                <w:position w:val="-2"/>
                <w:sz w:val="24"/>
                <w:highlight w:val="none"/>
                <w:lang w:eastAsia="zh-CN"/>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信用记录</w:t>
            </w:r>
            <w:r>
              <w:rPr>
                <w:rFonts w:hint="eastAsia" w:ascii="宋体" w:hAnsi="宋体" w:cs="宋体"/>
                <w:color w:val="000000" w:themeColor="text1"/>
                <w:kern w:val="0"/>
                <w:position w:val="-2"/>
                <w:sz w:val="24"/>
                <w:highlight w:val="none"/>
                <w:lang w:eastAsia="zh-CN"/>
                <w14:textFill>
                  <w14:solidFill>
                    <w14:schemeClr w14:val="tx1"/>
                  </w14:solidFill>
                </w14:textFill>
              </w:rPr>
              <w:t>（</w:t>
            </w:r>
            <w:r>
              <w:rPr>
                <w:rFonts w:hint="eastAsia" w:ascii="宋体" w:hAnsi="宋体" w:cs="宋体"/>
                <w:color w:val="000000" w:themeColor="text1"/>
                <w:kern w:val="0"/>
                <w:position w:val="-2"/>
                <w:sz w:val="24"/>
                <w:highlight w:val="none"/>
                <w:lang w:val="en-US" w:eastAsia="zh-CN"/>
                <w14:textFill>
                  <w14:solidFill>
                    <w14:schemeClr w14:val="tx1"/>
                  </w14:solidFill>
                </w14:textFill>
              </w:rPr>
              <w:t>采购代理机构查询</w:t>
            </w:r>
            <w:r>
              <w:rPr>
                <w:rFonts w:hint="eastAsia" w:ascii="宋体" w:hAnsi="宋体" w:cs="宋体"/>
                <w:color w:val="000000" w:themeColor="text1"/>
                <w:kern w:val="0"/>
                <w:position w:val="-2"/>
                <w:sz w:val="24"/>
                <w:highlight w:val="none"/>
                <w:lang w:eastAsia="zh-CN"/>
                <w14:textFill>
                  <w14:solidFill>
                    <w14:schemeClr w14:val="tx1"/>
                  </w14:solidFill>
                </w14:textFill>
              </w:rPr>
              <w:t>）</w:t>
            </w:r>
          </w:p>
        </w:tc>
        <w:tc>
          <w:tcPr>
            <w:tcW w:w="2562" w:type="dxa"/>
            <w:vAlign w:val="center"/>
          </w:tcPr>
          <w:p w14:paraId="4E6936B2">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是否存在不良记录</w:t>
            </w:r>
          </w:p>
        </w:tc>
      </w:tr>
      <w:tr w14:paraId="047DA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exact"/>
          <w:jc w:val="center"/>
        </w:trPr>
        <w:tc>
          <w:tcPr>
            <w:tcW w:w="828" w:type="dxa"/>
            <w:vMerge w:val="continue"/>
            <w:vAlign w:val="center"/>
          </w:tcPr>
          <w:p w14:paraId="21139E55">
            <w:pPr>
              <w:widowControl/>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p>
        </w:tc>
        <w:tc>
          <w:tcPr>
            <w:tcW w:w="529" w:type="dxa"/>
            <w:vAlign w:val="center"/>
          </w:tcPr>
          <w:p w14:paraId="77E5F31A">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9</w:t>
            </w:r>
          </w:p>
        </w:tc>
        <w:tc>
          <w:tcPr>
            <w:tcW w:w="5800" w:type="dxa"/>
            <w:vAlign w:val="center"/>
          </w:tcPr>
          <w:p w14:paraId="51727840">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供应商须知资料表中要求的供应商其他资格要求</w:t>
            </w:r>
          </w:p>
        </w:tc>
        <w:tc>
          <w:tcPr>
            <w:tcW w:w="2562" w:type="dxa"/>
            <w:vAlign w:val="center"/>
          </w:tcPr>
          <w:p w14:paraId="2E219D79">
            <w:pPr>
              <w:spacing w:line="300" w:lineRule="exac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047AA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266380C4">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7A0C58DF">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10</w:t>
            </w:r>
          </w:p>
        </w:tc>
        <w:tc>
          <w:tcPr>
            <w:tcW w:w="5800" w:type="dxa"/>
            <w:vAlign w:val="center"/>
          </w:tcPr>
          <w:p w14:paraId="7527C196">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其他内容</w:t>
            </w:r>
          </w:p>
        </w:tc>
        <w:tc>
          <w:tcPr>
            <w:tcW w:w="2562" w:type="dxa"/>
            <w:vAlign w:val="center"/>
          </w:tcPr>
          <w:p w14:paraId="6CBAFD16">
            <w:pPr>
              <w:spacing w:line="300" w:lineRule="exac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49B89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restart"/>
            <w:vAlign w:val="center"/>
          </w:tcPr>
          <w:p w14:paraId="72EF2D84">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sz w:val="24"/>
                <w:highlight w:val="none"/>
                <w:lang w:eastAsia="en-US"/>
                <w14:textFill>
                  <w14:solidFill>
                    <w14:schemeClr w14:val="tx1"/>
                  </w14:solidFill>
                </w14:textFill>
              </w:rPr>
              <w:t>符合性评审</w:t>
            </w:r>
          </w:p>
        </w:tc>
        <w:tc>
          <w:tcPr>
            <w:tcW w:w="529" w:type="dxa"/>
            <w:vAlign w:val="center"/>
          </w:tcPr>
          <w:p w14:paraId="5DA22B44">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1</w:t>
            </w:r>
          </w:p>
        </w:tc>
        <w:tc>
          <w:tcPr>
            <w:tcW w:w="5800" w:type="dxa"/>
            <w:vAlign w:val="center"/>
          </w:tcPr>
          <w:p w14:paraId="52CB8E25">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未按照竞争性磋商文件规定要求签署、盖章的</w:t>
            </w:r>
          </w:p>
        </w:tc>
        <w:tc>
          <w:tcPr>
            <w:tcW w:w="2562" w:type="dxa"/>
            <w:vAlign w:val="center"/>
          </w:tcPr>
          <w:p w14:paraId="3FCDCAFF">
            <w:pPr>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329AD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 w:hRule="exact"/>
          <w:jc w:val="center"/>
        </w:trPr>
        <w:tc>
          <w:tcPr>
            <w:tcW w:w="828" w:type="dxa"/>
            <w:vMerge w:val="continue"/>
            <w:vAlign w:val="center"/>
          </w:tcPr>
          <w:p w14:paraId="1E1A667A">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4B5CCBF8">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sz w:val="24"/>
                <w:highlight w:val="none"/>
                <w:lang w:eastAsia="en-US"/>
                <w14:textFill>
                  <w14:solidFill>
                    <w14:schemeClr w14:val="tx1"/>
                  </w14:solidFill>
                </w14:textFill>
              </w:rPr>
              <w:t>2</w:t>
            </w:r>
          </w:p>
        </w:tc>
        <w:tc>
          <w:tcPr>
            <w:tcW w:w="5800" w:type="dxa"/>
            <w:vAlign w:val="center"/>
          </w:tcPr>
          <w:p w14:paraId="38873299">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报价一览表</w:t>
            </w:r>
          </w:p>
        </w:tc>
        <w:tc>
          <w:tcPr>
            <w:tcW w:w="2562" w:type="dxa"/>
            <w:vAlign w:val="center"/>
          </w:tcPr>
          <w:p w14:paraId="2CDF547A">
            <w:pPr>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32DEF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exact"/>
          <w:jc w:val="center"/>
        </w:trPr>
        <w:tc>
          <w:tcPr>
            <w:tcW w:w="828" w:type="dxa"/>
            <w:vMerge w:val="continue"/>
            <w:vAlign w:val="center"/>
          </w:tcPr>
          <w:p w14:paraId="35EB9F6B">
            <w:pPr>
              <w:widowControl/>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p>
        </w:tc>
        <w:tc>
          <w:tcPr>
            <w:tcW w:w="529" w:type="dxa"/>
            <w:vAlign w:val="center"/>
          </w:tcPr>
          <w:p w14:paraId="64F12976">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3</w:t>
            </w:r>
          </w:p>
        </w:tc>
        <w:tc>
          <w:tcPr>
            <w:tcW w:w="5800" w:type="dxa"/>
            <w:vAlign w:val="center"/>
          </w:tcPr>
          <w:p w14:paraId="518011A6">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分项报价表</w:t>
            </w:r>
          </w:p>
        </w:tc>
        <w:tc>
          <w:tcPr>
            <w:tcW w:w="2562" w:type="dxa"/>
            <w:vAlign w:val="center"/>
          </w:tcPr>
          <w:p w14:paraId="6FE685D3">
            <w:pPr>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34A91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1DB3FE1E">
            <w:pPr>
              <w:widowControl/>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p>
        </w:tc>
        <w:tc>
          <w:tcPr>
            <w:tcW w:w="529" w:type="dxa"/>
            <w:vAlign w:val="center"/>
          </w:tcPr>
          <w:p w14:paraId="5224C269">
            <w:pPr>
              <w:spacing w:line="300" w:lineRule="exact"/>
              <w:jc w:val="center"/>
              <w:rPr>
                <w:rFonts w:ascii="宋体" w:hAnsi="宋体" w:cs="宋体"/>
                <w:color w:val="000000" w:themeColor="text1"/>
                <w:kern w:val="0"/>
                <w:sz w:val="24"/>
                <w:highlight w:val="none"/>
                <w:lang w:eastAsia="en-US"/>
                <w14:textFill>
                  <w14:solidFill>
                    <w14:schemeClr w14:val="tx1"/>
                  </w14:solidFill>
                </w14:textFill>
              </w:rPr>
            </w:pPr>
            <w:r>
              <w:rPr>
                <w:rFonts w:hint="eastAsia" w:ascii="宋体" w:hAnsi="宋体" w:cs="宋体"/>
                <w:color w:val="000000" w:themeColor="text1"/>
                <w:kern w:val="0"/>
                <w:position w:val="-2"/>
                <w:sz w:val="24"/>
                <w:highlight w:val="none"/>
                <w:lang w:eastAsia="en-US"/>
                <w14:textFill>
                  <w14:solidFill>
                    <w14:schemeClr w14:val="tx1"/>
                  </w14:solidFill>
                </w14:textFill>
              </w:rPr>
              <w:t>4</w:t>
            </w:r>
          </w:p>
        </w:tc>
        <w:tc>
          <w:tcPr>
            <w:tcW w:w="5800" w:type="dxa"/>
            <w:vAlign w:val="center"/>
          </w:tcPr>
          <w:p w14:paraId="6187AFC5">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技术明细表（含偏离）</w:t>
            </w:r>
          </w:p>
        </w:tc>
        <w:tc>
          <w:tcPr>
            <w:tcW w:w="2562" w:type="dxa"/>
            <w:vAlign w:val="center"/>
          </w:tcPr>
          <w:p w14:paraId="05B0F153">
            <w:pPr>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是否按要求提供</w:t>
            </w:r>
          </w:p>
        </w:tc>
      </w:tr>
      <w:tr w14:paraId="37839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exact"/>
          <w:jc w:val="center"/>
        </w:trPr>
        <w:tc>
          <w:tcPr>
            <w:tcW w:w="828" w:type="dxa"/>
            <w:vMerge w:val="continue"/>
            <w:vAlign w:val="center"/>
          </w:tcPr>
          <w:p w14:paraId="72AFACE0">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4D57A6D7">
            <w:pPr>
              <w:spacing w:line="300" w:lineRule="exact"/>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5</w:t>
            </w:r>
          </w:p>
        </w:tc>
        <w:tc>
          <w:tcPr>
            <w:tcW w:w="5800" w:type="dxa"/>
            <w:vAlign w:val="center"/>
          </w:tcPr>
          <w:p w14:paraId="656B5D03">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“第4章  服务需求”中实质性要求条款情况</w:t>
            </w:r>
          </w:p>
        </w:tc>
        <w:tc>
          <w:tcPr>
            <w:tcW w:w="2562" w:type="dxa"/>
            <w:vAlign w:val="center"/>
          </w:tcPr>
          <w:p w14:paraId="117354BA">
            <w:pPr>
              <w:spacing w:line="300" w:lineRule="exac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是否满足</w:t>
            </w:r>
          </w:p>
        </w:tc>
      </w:tr>
      <w:tr w14:paraId="044F2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exact"/>
          <w:jc w:val="center"/>
        </w:trPr>
        <w:tc>
          <w:tcPr>
            <w:tcW w:w="828" w:type="dxa"/>
            <w:vMerge w:val="continue"/>
            <w:vAlign w:val="center"/>
          </w:tcPr>
          <w:p w14:paraId="54F4D790">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6A819823">
            <w:pPr>
              <w:spacing w:line="300" w:lineRule="exact"/>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6</w:t>
            </w:r>
          </w:p>
        </w:tc>
        <w:tc>
          <w:tcPr>
            <w:tcW w:w="5800" w:type="dxa"/>
            <w:vAlign w:val="center"/>
          </w:tcPr>
          <w:p w14:paraId="729ABB11">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报价超过项目预算或最高限价的</w:t>
            </w:r>
          </w:p>
        </w:tc>
        <w:tc>
          <w:tcPr>
            <w:tcW w:w="2562" w:type="dxa"/>
            <w:vAlign w:val="center"/>
          </w:tcPr>
          <w:p w14:paraId="2F10DE1A">
            <w:pPr>
              <w:spacing w:line="300" w:lineRule="exac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是否超出</w:t>
            </w:r>
          </w:p>
        </w:tc>
      </w:tr>
      <w:tr w14:paraId="49044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2612084B">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56F95C01">
            <w:pPr>
              <w:spacing w:line="300" w:lineRule="exact"/>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7</w:t>
            </w:r>
          </w:p>
        </w:tc>
        <w:tc>
          <w:tcPr>
            <w:tcW w:w="5800" w:type="dxa"/>
            <w:vAlign w:val="center"/>
          </w:tcPr>
          <w:p w14:paraId="4A0CEBAB">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响应文件有效期不足的</w:t>
            </w:r>
          </w:p>
        </w:tc>
        <w:tc>
          <w:tcPr>
            <w:tcW w:w="2562" w:type="dxa"/>
            <w:vAlign w:val="center"/>
          </w:tcPr>
          <w:p w14:paraId="41430429">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是否满足竞争性磋商文件要求</w:t>
            </w:r>
          </w:p>
        </w:tc>
      </w:tr>
      <w:tr w14:paraId="58AB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exact"/>
          <w:jc w:val="center"/>
        </w:trPr>
        <w:tc>
          <w:tcPr>
            <w:tcW w:w="828" w:type="dxa"/>
            <w:vMerge w:val="continue"/>
            <w:vAlign w:val="center"/>
          </w:tcPr>
          <w:p w14:paraId="426CD381">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3FDB3B56">
            <w:pPr>
              <w:spacing w:line="300" w:lineRule="exact"/>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8</w:t>
            </w:r>
          </w:p>
        </w:tc>
        <w:tc>
          <w:tcPr>
            <w:tcW w:w="5800" w:type="dxa"/>
            <w:vAlign w:val="center"/>
          </w:tcPr>
          <w:p w14:paraId="49613DD0">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联合体响应文件未附联合体响应文件协议书的（本项目不接受）</w:t>
            </w:r>
          </w:p>
        </w:tc>
        <w:tc>
          <w:tcPr>
            <w:tcW w:w="2562" w:type="dxa"/>
            <w:vAlign w:val="center"/>
          </w:tcPr>
          <w:p w14:paraId="4E5B43CF">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w:t>
            </w:r>
          </w:p>
        </w:tc>
      </w:tr>
      <w:tr w14:paraId="6F490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1593A472">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0667805F">
            <w:pPr>
              <w:spacing w:line="300" w:lineRule="exact"/>
              <w:jc w:val="center"/>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9</w:t>
            </w:r>
          </w:p>
        </w:tc>
        <w:tc>
          <w:tcPr>
            <w:tcW w:w="5800" w:type="dxa"/>
            <w:vAlign w:val="center"/>
          </w:tcPr>
          <w:p w14:paraId="77A9A328">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不符合竞争性磋商文件中有关分包规定的</w:t>
            </w:r>
          </w:p>
        </w:tc>
        <w:tc>
          <w:tcPr>
            <w:tcW w:w="2562" w:type="dxa"/>
            <w:vAlign w:val="center"/>
          </w:tcPr>
          <w:p w14:paraId="24A5D8C0">
            <w:pPr>
              <w:spacing w:line="360" w:lineRule="auto"/>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是否存在</w:t>
            </w:r>
          </w:p>
        </w:tc>
      </w:tr>
      <w:tr w14:paraId="52FC6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10A681DB">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15CC0580">
            <w:pPr>
              <w:spacing w:line="300" w:lineRule="exact"/>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10</w:t>
            </w:r>
          </w:p>
        </w:tc>
        <w:tc>
          <w:tcPr>
            <w:tcW w:w="5800" w:type="dxa"/>
            <w:vAlign w:val="center"/>
          </w:tcPr>
          <w:p w14:paraId="3D64F873">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属于串通投标，或者依法被视为串通投标</w:t>
            </w:r>
          </w:p>
        </w:tc>
        <w:tc>
          <w:tcPr>
            <w:tcW w:w="2562" w:type="dxa"/>
            <w:vAlign w:val="center"/>
          </w:tcPr>
          <w:p w14:paraId="0A47BCA7">
            <w:pPr>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是否存在</w:t>
            </w:r>
          </w:p>
        </w:tc>
      </w:tr>
      <w:tr w14:paraId="36A5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828" w:type="dxa"/>
            <w:vMerge w:val="continue"/>
            <w:vAlign w:val="center"/>
          </w:tcPr>
          <w:p w14:paraId="74AA25C1">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18294B69">
            <w:pPr>
              <w:spacing w:line="300" w:lineRule="exact"/>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11</w:t>
            </w:r>
          </w:p>
        </w:tc>
        <w:tc>
          <w:tcPr>
            <w:tcW w:w="5800" w:type="dxa"/>
            <w:vAlign w:val="center"/>
          </w:tcPr>
          <w:p w14:paraId="3F3DCD2F">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响应文件含有采购人不能接受的附加条件的</w:t>
            </w:r>
          </w:p>
        </w:tc>
        <w:tc>
          <w:tcPr>
            <w:tcW w:w="2562" w:type="dxa"/>
            <w:vAlign w:val="center"/>
          </w:tcPr>
          <w:p w14:paraId="2A512241">
            <w:pPr>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是否存在</w:t>
            </w:r>
          </w:p>
        </w:tc>
      </w:tr>
      <w:tr w14:paraId="5FF79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exact"/>
          <w:jc w:val="center"/>
        </w:trPr>
        <w:tc>
          <w:tcPr>
            <w:tcW w:w="828" w:type="dxa"/>
            <w:vMerge w:val="continue"/>
            <w:vAlign w:val="center"/>
          </w:tcPr>
          <w:p w14:paraId="2F4C12D0">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474E1DF5">
            <w:pPr>
              <w:spacing w:line="300" w:lineRule="exact"/>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12</w:t>
            </w:r>
          </w:p>
        </w:tc>
        <w:tc>
          <w:tcPr>
            <w:tcW w:w="5800" w:type="dxa"/>
            <w:vAlign w:val="center"/>
          </w:tcPr>
          <w:p w14:paraId="1451CA55">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属于竞争性磋商文件规定的其他无效响应情形</w:t>
            </w:r>
          </w:p>
        </w:tc>
        <w:tc>
          <w:tcPr>
            <w:tcW w:w="2562" w:type="dxa"/>
            <w:vAlign w:val="center"/>
          </w:tcPr>
          <w:p w14:paraId="2A20D86C">
            <w:pPr>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是否存在</w:t>
            </w:r>
          </w:p>
        </w:tc>
      </w:tr>
      <w:tr w14:paraId="29A28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9" w:hRule="exact"/>
          <w:jc w:val="center"/>
        </w:trPr>
        <w:tc>
          <w:tcPr>
            <w:tcW w:w="828" w:type="dxa"/>
            <w:vMerge w:val="continue"/>
            <w:vAlign w:val="center"/>
          </w:tcPr>
          <w:p w14:paraId="4D5EC04B">
            <w:pPr>
              <w:widowControl/>
              <w:spacing w:line="300" w:lineRule="exact"/>
              <w:jc w:val="center"/>
              <w:rPr>
                <w:rFonts w:ascii="宋体" w:hAnsi="宋体" w:cs="宋体"/>
                <w:color w:val="000000" w:themeColor="text1"/>
                <w:kern w:val="0"/>
                <w:sz w:val="24"/>
                <w:highlight w:val="none"/>
                <w14:textFill>
                  <w14:solidFill>
                    <w14:schemeClr w14:val="tx1"/>
                  </w14:solidFill>
                </w14:textFill>
              </w:rPr>
            </w:pPr>
          </w:p>
        </w:tc>
        <w:tc>
          <w:tcPr>
            <w:tcW w:w="529" w:type="dxa"/>
            <w:vAlign w:val="center"/>
          </w:tcPr>
          <w:p w14:paraId="4B471197">
            <w:pPr>
              <w:spacing w:line="300" w:lineRule="exact"/>
              <w:jc w:val="center"/>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13</w:t>
            </w:r>
          </w:p>
        </w:tc>
        <w:tc>
          <w:tcPr>
            <w:tcW w:w="5800" w:type="dxa"/>
            <w:vAlign w:val="center"/>
          </w:tcPr>
          <w:p w14:paraId="25190C0C">
            <w:pPr>
              <w:spacing w:line="300" w:lineRule="exact"/>
              <w:ind w:left="216" w:leftChars="103"/>
              <w:jc w:val="left"/>
              <w:rPr>
                <w:rFonts w:ascii="宋体" w:hAnsi="宋体" w:cs="宋体"/>
                <w:color w:val="000000" w:themeColor="text1"/>
                <w:kern w:val="0"/>
                <w:position w:val="-2"/>
                <w:sz w:val="24"/>
                <w:highlight w:val="none"/>
                <w14:textFill>
                  <w14:solidFill>
                    <w14:schemeClr w14:val="tx1"/>
                  </w14:solidFill>
                </w14:textFill>
              </w:rPr>
            </w:pPr>
            <w:r>
              <w:rPr>
                <w:rFonts w:hint="eastAsia" w:ascii="宋体" w:hAnsi="宋体" w:cs="宋体"/>
                <w:color w:val="000000" w:themeColor="text1"/>
                <w:kern w:val="0"/>
                <w:position w:val="-2"/>
                <w:sz w:val="24"/>
                <w:highlight w:val="none"/>
                <w14:textFill>
                  <w14:solidFill>
                    <w14:schemeClr w14:val="tx1"/>
                  </w14:solidFill>
                </w14:textFill>
              </w:rPr>
              <w:t>不符合法规和竞争性磋商文件中规定的其他实质性要求的</w:t>
            </w:r>
          </w:p>
        </w:tc>
        <w:tc>
          <w:tcPr>
            <w:tcW w:w="2562" w:type="dxa"/>
            <w:vAlign w:val="center"/>
          </w:tcPr>
          <w:p w14:paraId="51C047B5">
            <w:pPr>
              <w:spacing w:line="300" w:lineRule="exact"/>
              <w:jc w:val="center"/>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是否存在</w:t>
            </w:r>
          </w:p>
        </w:tc>
      </w:tr>
    </w:tbl>
    <w:p w14:paraId="7E70A4A8">
      <w:pPr>
        <w:pStyle w:val="4"/>
        <w:numPr>
          <w:ilvl w:val="0"/>
          <w:numId w:val="6"/>
        </w:numPr>
        <w:jc w:val="left"/>
        <w:rPr>
          <w:rFonts w:ascii="宋体" w:hAnsi="宋体" w:eastAsia="宋体" w:cs="宋体"/>
          <w:color w:val="000000" w:themeColor="text1"/>
          <w:sz w:val="24"/>
          <w:szCs w:val="22"/>
          <w:highlight w:val="none"/>
          <w14:textFill>
            <w14:solidFill>
              <w14:schemeClr w14:val="tx1"/>
            </w14:solidFill>
          </w14:textFill>
        </w:rPr>
      </w:pPr>
      <w:bookmarkStart w:id="282" w:name="_Toc19439"/>
      <w:r>
        <w:rPr>
          <w:rFonts w:hint="eastAsia" w:ascii="宋体" w:hAnsi="宋体" w:eastAsia="宋体" w:cs="宋体"/>
          <w:color w:val="000000" w:themeColor="text1"/>
          <w:sz w:val="24"/>
          <w:szCs w:val="22"/>
          <w:highlight w:val="none"/>
          <w14:textFill>
            <w14:solidFill>
              <w14:schemeClr w14:val="tx1"/>
            </w14:solidFill>
          </w14:textFill>
        </w:rPr>
        <w:t>评分细则</w:t>
      </w:r>
      <w:bookmarkEnd w:id="282"/>
    </w:p>
    <w:tbl>
      <w:tblPr>
        <w:tblStyle w:val="32"/>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5"/>
        <w:gridCol w:w="1296"/>
        <w:gridCol w:w="869"/>
        <w:gridCol w:w="6185"/>
      </w:tblGrid>
      <w:tr w14:paraId="38751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65" w:type="dxa"/>
            <w:noWrap w:val="0"/>
            <w:vAlign w:val="center"/>
          </w:tcPr>
          <w:p w14:paraId="593291F6">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评分因素</w:t>
            </w:r>
          </w:p>
        </w:tc>
        <w:tc>
          <w:tcPr>
            <w:tcW w:w="1296" w:type="dxa"/>
            <w:noWrap w:val="0"/>
            <w:vAlign w:val="center"/>
          </w:tcPr>
          <w:p w14:paraId="09AE44EF">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评分内容</w:t>
            </w:r>
          </w:p>
        </w:tc>
        <w:tc>
          <w:tcPr>
            <w:tcW w:w="869" w:type="dxa"/>
            <w:noWrap w:val="0"/>
            <w:vAlign w:val="center"/>
          </w:tcPr>
          <w:p w14:paraId="19511F8C">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满分</w:t>
            </w:r>
          </w:p>
        </w:tc>
        <w:tc>
          <w:tcPr>
            <w:tcW w:w="6185" w:type="dxa"/>
            <w:noWrap w:val="0"/>
            <w:vAlign w:val="center"/>
          </w:tcPr>
          <w:p w14:paraId="60AD9827">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评分标准</w:t>
            </w:r>
          </w:p>
        </w:tc>
      </w:tr>
      <w:tr w14:paraId="4AAE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8" w:hRule="atLeast"/>
          <w:jc w:val="center"/>
        </w:trPr>
        <w:tc>
          <w:tcPr>
            <w:tcW w:w="1165" w:type="dxa"/>
            <w:noWrap/>
            <w:vAlign w:val="center"/>
          </w:tcPr>
          <w:p w14:paraId="0066A723">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报价</w:t>
            </w:r>
            <w:r>
              <w:rPr>
                <w:rFonts w:hint="eastAsia" w:ascii="宋体" w:hAnsi="宋体" w:eastAsia="宋体" w:cs="宋体"/>
                <w:color w:val="auto"/>
                <w:kern w:val="0"/>
                <w:sz w:val="24"/>
                <w:szCs w:val="24"/>
                <w:highlight w:val="none"/>
              </w:rPr>
              <w:t>部分</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30分</w:t>
            </w:r>
            <w:r>
              <w:rPr>
                <w:rFonts w:hint="eastAsia" w:ascii="宋体" w:hAnsi="宋体" w:cs="宋体"/>
                <w:color w:val="auto"/>
                <w:kern w:val="0"/>
                <w:sz w:val="24"/>
                <w:szCs w:val="24"/>
                <w:highlight w:val="none"/>
                <w:lang w:eastAsia="zh-CN"/>
              </w:rPr>
              <w:t>）</w:t>
            </w:r>
          </w:p>
        </w:tc>
        <w:tc>
          <w:tcPr>
            <w:tcW w:w="1296" w:type="dxa"/>
            <w:noWrap/>
            <w:vAlign w:val="center"/>
          </w:tcPr>
          <w:p w14:paraId="759CE45F">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w:t>
            </w:r>
            <w:r>
              <w:rPr>
                <w:rFonts w:hint="eastAsia" w:ascii="宋体" w:hAnsi="宋体" w:cs="宋体"/>
                <w:color w:val="auto"/>
                <w:kern w:val="0"/>
                <w:sz w:val="24"/>
                <w:szCs w:val="24"/>
                <w:highlight w:val="none"/>
                <w:lang w:val="en-US" w:eastAsia="zh-CN"/>
              </w:rPr>
              <w:t>得</w:t>
            </w:r>
            <w:r>
              <w:rPr>
                <w:rFonts w:hint="eastAsia" w:ascii="宋体" w:hAnsi="宋体" w:eastAsia="宋体" w:cs="宋体"/>
                <w:color w:val="auto"/>
                <w:kern w:val="0"/>
                <w:sz w:val="24"/>
                <w:szCs w:val="24"/>
                <w:highlight w:val="none"/>
              </w:rPr>
              <w:t>分</w:t>
            </w:r>
          </w:p>
        </w:tc>
        <w:tc>
          <w:tcPr>
            <w:tcW w:w="869" w:type="dxa"/>
            <w:noWrap/>
            <w:vAlign w:val="center"/>
          </w:tcPr>
          <w:p w14:paraId="6C629434">
            <w:pPr>
              <w:keepNext w:val="0"/>
              <w:keepLines w:val="0"/>
              <w:pageBreakBefore w:val="0"/>
              <w:widowControl/>
              <w:kinsoku/>
              <w:wordWrap/>
              <w:overflowPunct/>
              <w:topLinePunct w:val="0"/>
              <w:autoSpaceDE/>
              <w:autoSpaceDN/>
              <w:bidi w:val="0"/>
              <w:adjustRightInd/>
              <w:snapToGrid/>
              <w:spacing w:line="500" w:lineRule="exact"/>
              <w:jc w:val="center"/>
              <w:rPr>
                <w:rFonts w:hint="default" w:ascii="宋体" w:hAnsi="宋体" w:eastAsia="宋体" w:cs="宋体"/>
                <w:color w:val="auto"/>
                <w:kern w:val="0"/>
                <w:sz w:val="24"/>
                <w:szCs w:val="24"/>
                <w:highlight w:val="none"/>
                <w:lang w:val="en-US"/>
              </w:rPr>
            </w:pPr>
            <w:r>
              <w:rPr>
                <w:rFonts w:hint="eastAsia" w:ascii="宋体" w:hAnsi="宋体" w:cs="宋体"/>
                <w:color w:val="auto"/>
                <w:kern w:val="0"/>
                <w:sz w:val="24"/>
                <w:szCs w:val="24"/>
                <w:highlight w:val="none"/>
                <w:lang w:val="en-US" w:eastAsia="zh-CN"/>
              </w:rPr>
              <w:t>30</w:t>
            </w:r>
          </w:p>
        </w:tc>
        <w:tc>
          <w:tcPr>
            <w:tcW w:w="6185" w:type="dxa"/>
            <w:noWrap w:val="0"/>
            <w:vAlign w:val="center"/>
          </w:tcPr>
          <w:p w14:paraId="2243C068">
            <w:pPr>
              <w:spacing w:line="52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、直饮热水不高于0.1</w:t>
            </w: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val="en-US" w:eastAsia="zh-CN"/>
              </w:rPr>
              <w:t>元/升</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报价超过</w:t>
            </w:r>
            <w:r>
              <w:rPr>
                <w:rFonts w:hint="eastAsia" w:ascii="宋体" w:hAnsi="宋体" w:eastAsia="宋体" w:cs="宋体"/>
                <w:color w:val="auto"/>
                <w:kern w:val="0"/>
                <w:sz w:val="24"/>
                <w:szCs w:val="24"/>
                <w:highlight w:val="none"/>
              </w:rPr>
              <w:t>此控制价的按无</w:t>
            </w:r>
            <w:r>
              <w:rPr>
                <w:rFonts w:hint="eastAsia" w:ascii="宋体" w:hAnsi="宋体" w:eastAsia="宋体" w:cs="宋体"/>
                <w:color w:val="auto"/>
                <w:kern w:val="0"/>
                <w:sz w:val="24"/>
                <w:szCs w:val="24"/>
                <w:highlight w:val="none"/>
                <w:lang w:val="en-US" w:eastAsia="zh-CN"/>
              </w:rPr>
              <w:t>效报价处理。以满足磋商文件要求的所有价格中的最后报价最低者为评标基准价，所有报价得分按下列公式计算：报价得分=（评审基准价/最后报价）×</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lang w:val="en-US" w:eastAsia="zh-CN"/>
              </w:rPr>
              <w:t>；</w:t>
            </w:r>
          </w:p>
          <w:p w14:paraId="1A5F8CA6">
            <w:pPr>
              <w:spacing w:line="52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val="en-US" w:eastAsia="zh-CN"/>
              </w:rPr>
              <w:t>、直饮</w:t>
            </w:r>
            <w:r>
              <w:rPr>
                <w:rFonts w:hint="eastAsia" w:ascii="宋体" w:hAnsi="宋体" w:cs="宋体"/>
                <w:color w:val="auto"/>
                <w:kern w:val="0"/>
                <w:sz w:val="24"/>
                <w:szCs w:val="24"/>
                <w:highlight w:val="none"/>
                <w:lang w:val="en-US" w:eastAsia="zh-CN"/>
              </w:rPr>
              <w:t>凉水</w:t>
            </w:r>
            <w:r>
              <w:rPr>
                <w:rFonts w:hint="eastAsia" w:ascii="宋体" w:hAnsi="宋体" w:eastAsia="宋体" w:cs="宋体"/>
                <w:color w:val="auto"/>
                <w:kern w:val="0"/>
                <w:sz w:val="24"/>
                <w:szCs w:val="24"/>
                <w:highlight w:val="none"/>
                <w:lang w:val="en-US" w:eastAsia="zh-CN"/>
              </w:rPr>
              <w:t>不高于0.0</w:t>
            </w:r>
            <w:r>
              <w:rPr>
                <w:rFonts w:hint="eastAsia" w:ascii="宋体" w:hAnsi="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val="en-US" w:eastAsia="zh-CN"/>
              </w:rPr>
              <w:t>元/升，报价超过此控制价的按无效报价处理。以满足磋商文件要求的所有价格中的最后报价最低者为评标基准价，所有报价得分按下列公式计算：报价得分=（评审基准价/最后报价）×</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lang w:val="en-US" w:eastAsia="zh-CN"/>
              </w:rPr>
              <w:t>；</w:t>
            </w:r>
          </w:p>
          <w:p w14:paraId="77A9669E">
            <w:pPr>
              <w:spacing w:line="520" w:lineRule="exact"/>
              <w:ind w:firstLine="480" w:firstLineChars="200"/>
              <w:rPr>
                <w:rFonts w:hint="eastAsia"/>
                <w:highlight w:val="none"/>
              </w:rPr>
            </w:pPr>
            <w:r>
              <w:rPr>
                <w:rFonts w:hint="eastAsia" w:ascii="宋体" w:hAnsi="宋体" w:eastAsia="宋体" w:cs="宋体"/>
                <w:color w:val="auto"/>
                <w:kern w:val="0"/>
                <w:sz w:val="24"/>
                <w:szCs w:val="24"/>
                <w:highlight w:val="none"/>
                <w:lang w:val="en-US" w:eastAsia="zh-CN"/>
              </w:rPr>
              <w:t>报价得分为直饮热水</w:t>
            </w:r>
            <w:r>
              <w:rPr>
                <w:rFonts w:hint="eastAsia" w:ascii="宋体" w:hAnsi="宋体" w:eastAsia="宋体" w:cs="宋体"/>
                <w:color w:val="auto"/>
                <w:kern w:val="0"/>
                <w:sz w:val="24"/>
                <w:szCs w:val="24"/>
                <w:highlight w:val="none"/>
              </w:rPr>
              <w:t>报价得分</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直饮</w:t>
            </w:r>
            <w:r>
              <w:rPr>
                <w:rFonts w:hint="eastAsia" w:ascii="宋体" w:hAnsi="宋体" w:cs="宋体"/>
                <w:color w:val="auto"/>
                <w:kern w:val="0"/>
                <w:sz w:val="24"/>
                <w:szCs w:val="24"/>
                <w:highlight w:val="none"/>
                <w:lang w:val="en-US" w:eastAsia="zh-CN"/>
              </w:rPr>
              <w:t>凉</w:t>
            </w:r>
            <w:r>
              <w:rPr>
                <w:rFonts w:hint="eastAsia" w:ascii="宋体" w:hAnsi="宋体" w:eastAsia="宋体" w:cs="宋体"/>
                <w:color w:val="auto"/>
                <w:kern w:val="0"/>
                <w:sz w:val="24"/>
                <w:szCs w:val="24"/>
                <w:highlight w:val="none"/>
                <w:lang w:val="en-US" w:eastAsia="zh-CN"/>
              </w:rPr>
              <w:t>水</w:t>
            </w:r>
            <w:r>
              <w:rPr>
                <w:rFonts w:hint="eastAsia" w:ascii="宋体" w:hAnsi="宋体" w:eastAsia="宋体" w:cs="宋体"/>
                <w:color w:val="auto"/>
                <w:kern w:val="0"/>
                <w:sz w:val="24"/>
                <w:szCs w:val="24"/>
                <w:highlight w:val="none"/>
              </w:rPr>
              <w:t>报价得分之和，本项最高为</w:t>
            </w:r>
            <w:r>
              <w:rPr>
                <w:rFonts w:hint="eastAsia" w:ascii="宋体" w:hAnsi="宋体" w:cs="宋体"/>
                <w:color w:val="auto"/>
                <w:kern w:val="0"/>
                <w:sz w:val="24"/>
                <w:szCs w:val="24"/>
                <w:highlight w:val="none"/>
                <w:lang w:val="en-US" w:eastAsia="zh-CN"/>
              </w:rPr>
              <w:t>30</w:t>
            </w:r>
            <w:r>
              <w:rPr>
                <w:rFonts w:hint="eastAsia" w:ascii="宋体" w:hAnsi="宋体" w:eastAsia="宋体" w:cs="宋体"/>
                <w:color w:val="auto"/>
                <w:kern w:val="0"/>
                <w:sz w:val="24"/>
                <w:szCs w:val="24"/>
                <w:highlight w:val="none"/>
              </w:rPr>
              <w:t>分。</w:t>
            </w:r>
          </w:p>
        </w:tc>
      </w:tr>
      <w:tr w14:paraId="0A92B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7" w:hRule="atLeast"/>
          <w:jc w:val="center"/>
        </w:trPr>
        <w:tc>
          <w:tcPr>
            <w:tcW w:w="1165" w:type="dxa"/>
            <w:vMerge w:val="restart"/>
            <w:noWrap w:val="0"/>
            <w:vAlign w:val="center"/>
          </w:tcPr>
          <w:p w14:paraId="187CD882">
            <w:pPr>
              <w:keepNext w:val="0"/>
              <w:keepLines w:val="0"/>
              <w:pageBreakBefore w:val="0"/>
              <w:widowControl/>
              <w:kinsoku/>
              <w:wordWrap/>
              <w:overflowPunct/>
              <w:topLinePunct w:val="0"/>
              <w:autoSpaceDE/>
              <w:autoSpaceDN/>
              <w:bidi w:val="0"/>
              <w:adjustRightInd/>
              <w:snapToGrid/>
              <w:spacing w:line="500" w:lineRule="exact"/>
              <w:jc w:val="left"/>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商务部分（10分）</w:t>
            </w:r>
          </w:p>
        </w:tc>
        <w:tc>
          <w:tcPr>
            <w:tcW w:w="1296" w:type="dxa"/>
            <w:noWrap/>
            <w:vAlign w:val="center"/>
          </w:tcPr>
          <w:p w14:paraId="60B6FD6F">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资质</w:t>
            </w:r>
          </w:p>
        </w:tc>
        <w:tc>
          <w:tcPr>
            <w:tcW w:w="869" w:type="dxa"/>
            <w:noWrap/>
            <w:vAlign w:val="center"/>
          </w:tcPr>
          <w:p w14:paraId="3ED7C318">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5</w:t>
            </w:r>
          </w:p>
        </w:tc>
        <w:tc>
          <w:tcPr>
            <w:tcW w:w="6185" w:type="dxa"/>
            <w:noWrap w:val="0"/>
            <w:vAlign w:val="center"/>
          </w:tcPr>
          <w:p w14:paraId="1F635561">
            <w:pPr>
              <w:keepNext w:val="0"/>
              <w:keepLines w:val="0"/>
              <w:pageBreakBefore w:val="0"/>
              <w:widowControl/>
              <w:numPr>
                <w:ilvl w:val="0"/>
                <w:numId w:val="7"/>
              </w:numPr>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供应商或产品制造商</w:t>
            </w:r>
            <w:r>
              <w:rPr>
                <w:rFonts w:hint="eastAsia" w:ascii="宋体" w:hAnsi="宋体" w:eastAsia="宋体" w:cs="宋体"/>
                <w:color w:val="auto"/>
                <w:kern w:val="0"/>
                <w:sz w:val="24"/>
                <w:szCs w:val="24"/>
                <w:highlight w:val="none"/>
              </w:rPr>
              <w:t>具有ISO9001质量管理体系认证证书、ISO14001环境管理体系认证证书、GB/T28001职业健康安全管理体系认证证书，</w:t>
            </w:r>
            <w:r>
              <w:rPr>
                <w:rFonts w:hint="eastAsia" w:ascii="宋体" w:hAnsi="宋体" w:cs="宋体"/>
                <w:color w:val="auto"/>
                <w:kern w:val="0"/>
                <w:sz w:val="24"/>
                <w:szCs w:val="24"/>
                <w:highlight w:val="none"/>
                <w:lang w:val="en-US" w:eastAsia="zh-CN"/>
              </w:rPr>
              <w:t>每提供一项认证得1分，最多</w:t>
            </w:r>
            <w:r>
              <w:rPr>
                <w:rFonts w:hint="eastAsia" w:ascii="宋体" w:hAnsi="宋体" w:eastAsia="宋体" w:cs="宋体"/>
                <w:color w:val="auto"/>
                <w:kern w:val="0"/>
                <w:sz w:val="24"/>
                <w:szCs w:val="24"/>
                <w:highlight w:val="none"/>
              </w:rPr>
              <w:t>得3分；</w:t>
            </w:r>
          </w:p>
          <w:p w14:paraId="3570CFB1">
            <w:pPr>
              <w:keepNext w:val="0"/>
              <w:keepLines w:val="0"/>
              <w:pageBreakBefore w:val="0"/>
              <w:widowControl/>
              <w:numPr>
                <w:ilvl w:val="0"/>
                <w:numId w:val="7"/>
              </w:numPr>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供应商或产品制造商</w:t>
            </w:r>
            <w:r>
              <w:rPr>
                <w:rFonts w:hint="eastAsia" w:ascii="宋体" w:hAnsi="宋体" w:eastAsia="宋体" w:cs="宋体"/>
                <w:color w:val="auto"/>
                <w:kern w:val="0"/>
                <w:sz w:val="24"/>
                <w:szCs w:val="24"/>
                <w:highlight w:val="none"/>
              </w:rPr>
              <w:t>具有售后服务认证证书</w:t>
            </w:r>
            <w:r>
              <w:rPr>
                <w:rFonts w:hint="eastAsia" w:ascii="宋体" w:hAnsi="宋体" w:cs="宋体"/>
                <w:color w:val="auto"/>
                <w:kern w:val="0"/>
                <w:sz w:val="24"/>
                <w:szCs w:val="24"/>
                <w:highlight w:val="none"/>
                <w:lang w:eastAsia="zh-CN"/>
              </w:rPr>
              <w:t>，</w:t>
            </w:r>
            <w:r>
              <w:rPr>
                <w:rFonts w:hint="eastAsia" w:ascii="宋体" w:hAnsi="宋体"/>
                <w:color w:val="auto"/>
                <w:sz w:val="24"/>
                <w:szCs w:val="24"/>
                <w:highlight w:val="none"/>
              </w:rPr>
              <w:t>5星级标准得</w:t>
            </w: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分</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3星级标准得1分</w:t>
            </w:r>
            <w:r>
              <w:rPr>
                <w:rFonts w:hint="eastAsia" w:ascii="宋体" w:hAnsi="宋体"/>
                <w:color w:val="auto"/>
                <w:sz w:val="24"/>
                <w:szCs w:val="24"/>
                <w:highlight w:val="none"/>
              </w:rPr>
              <w:t>，未提供者不得分</w:t>
            </w:r>
            <w:r>
              <w:rPr>
                <w:rFonts w:hint="eastAsia" w:ascii="宋体" w:hAnsi="宋体" w:eastAsia="宋体" w:cs="宋体"/>
                <w:color w:val="auto"/>
                <w:kern w:val="0"/>
                <w:sz w:val="24"/>
                <w:szCs w:val="24"/>
                <w:highlight w:val="none"/>
              </w:rPr>
              <w:t>。</w:t>
            </w:r>
          </w:p>
          <w:p w14:paraId="39C009D9">
            <w:pPr>
              <w:keepNext w:val="0"/>
              <w:keepLines w:val="0"/>
              <w:pageBreakBefore w:val="0"/>
              <w:widowControl/>
              <w:numPr>
                <w:ilvl w:val="0"/>
                <w:numId w:val="0"/>
              </w:numPr>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val="en-US" w:eastAsia="zh-CN"/>
              </w:rPr>
              <w:t>供应商须</w:t>
            </w:r>
            <w:r>
              <w:rPr>
                <w:rFonts w:hint="eastAsia" w:ascii="宋体" w:hAnsi="宋体" w:eastAsia="宋体" w:cs="宋体"/>
                <w:color w:val="auto"/>
                <w:kern w:val="0"/>
                <w:sz w:val="24"/>
                <w:szCs w:val="24"/>
                <w:highlight w:val="none"/>
                <w:lang w:val="en-US" w:eastAsia="zh-CN"/>
              </w:rPr>
              <w:t>在响应文件中提供证书复印件</w:t>
            </w:r>
            <w:r>
              <w:rPr>
                <w:rFonts w:hint="eastAsia" w:ascii="宋体" w:hAnsi="宋体" w:cs="宋体"/>
                <w:color w:val="auto"/>
                <w:kern w:val="0"/>
                <w:sz w:val="24"/>
                <w:szCs w:val="24"/>
                <w:highlight w:val="none"/>
                <w:lang w:val="en-US" w:eastAsia="zh-CN"/>
              </w:rPr>
              <w:t>，未提供或不在有效期内不得分</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w:t>
            </w:r>
          </w:p>
        </w:tc>
      </w:tr>
      <w:tr w14:paraId="12F81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1165" w:type="dxa"/>
            <w:vMerge w:val="continue"/>
            <w:noWrap w:val="0"/>
            <w:vAlign w:val="center"/>
          </w:tcPr>
          <w:p w14:paraId="2886028A">
            <w:pPr>
              <w:keepNext w:val="0"/>
              <w:keepLines w:val="0"/>
              <w:pageBreakBefore w:val="0"/>
              <w:widowControl/>
              <w:kinsoku/>
              <w:wordWrap/>
              <w:overflowPunct/>
              <w:topLinePunct w:val="0"/>
              <w:autoSpaceDE/>
              <w:autoSpaceDN/>
              <w:bidi w:val="0"/>
              <w:adjustRightInd/>
              <w:snapToGrid/>
              <w:spacing w:line="500" w:lineRule="exact"/>
              <w:jc w:val="left"/>
              <w:rPr>
                <w:rFonts w:hint="eastAsia" w:ascii="宋体" w:hAnsi="宋体" w:eastAsia="宋体" w:cs="宋体"/>
                <w:color w:val="auto"/>
                <w:kern w:val="0"/>
                <w:sz w:val="24"/>
                <w:szCs w:val="24"/>
                <w:highlight w:val="none"/>
              </w:rPr>
            </w:pPr>
          </w:p>
        </w:tc>
        <w:tc>
          <w:tcPr>
            <w:tcW w:w="1296" w:type="dxa"/>
            <w:noWrap/>
            <w:vAlign w:val="center"/>
          </w:tcPr>
          <w:p w14:paraId="7F0A7214">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业绩</w:t>
            </w:r>
          </w:p>
        </w:tc>
        <w:tc>
          <w:tcPr>
            <w:tcW w:w="869" w:type="dxa"/>
            <w:noWrap/>
            <w:vAlign w:val="center"/>
          </w:tcPr>
          <w:p w14:paraId="43EF891E">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5</w:t>
            </w:r>
          </w:p>
        </w:tc>
        <w:tc>
          <w:tcPr>
            <w:tcW w:w="6185" w:type="dxa"/>
            <w:noWrap w:val="0"/>
            <w:vAlign w:val="center"/>
          </w:tcPr>
          <w:p w14:paraId="7DDD09C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供应商或产品制造商具</w:t>
            </w:r>
            <w:r>
              <w:rPr>
                <w:rFonts w:hint="eastAsia" w:ascii="宋体" w:hAnsi="宋体" w:eastAsia="宋体" w:cs="宋体"/>
                <w:color w:val="auto"/>
                <w:kern w:val="0"/>
                <w:sz w:val="24"/>
                <w:szCs w:val="24"/>
                <w:highlight w:val="none"/>
              </w:rPr>
              <w:t>有自20</w:t>
            </w:r>
            <w:r>
              <w:rPr>
                <w:rFonts w:hint="eastAsia" w:ascii="宋体" w:hAnsi="宋体" w:eastAsia="宋体" w:cs="宋体"/>
                <w:color w:val="auto"/>
                <w:kern w:val="0"/>
                <w:sz w:val="24"/>
                <w:szCs w:val="24"/>
                <w:highlight w:val="none"/>
                <w:lang w:val="en-US" w:eastAsia="zh-CN"/>
              </w:rPr>
              <w:t>2</w:t>
            </w: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年</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月1日（以合同签订时间为准）以来的同类</w:t>
            </w:r>
            <w:r>
              <w:rPr>
                <w:rFonts w:hint="eastAsia" w:ascii="宋体" w:hAnsi="宋体" w:eastAsia="宋体" w:cs="宋体"/>
                <w:color w:val="auto"/>
                <w:kern w:val="0"/>
                <w:sz w:val="24"/>
                <w:szCs w:val="24"/>
                <w:highlight w:val="none"/>
                <w:lang w:val="en-US" w:eastAsia="zh-CN"/>
              </w:rPr>
              <w:t>校园</w:t>
            </w:r>
            <w:r>
              <w:rPr>
                <w:rFonts w:hint="eastAsia" w:ascii="宋体" w:hAnsi="宋体" w:eastAsia="宋体" w:cs="宋体"/>
                <w:color w:val="auto"/>
                <w:kern w:val="0"/>
                <w:sz w:val="24"/>
                <w:szCs w:val="24"/>
                <w:highlight w:val="none"/>
              </w:rPr>
              <w:t>直饮水项目业绩，每个业绩得</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分，最高得</w:t>
            </w:r>
            <w:r>
              <w:rPr>
                <w:rFonts w:hint="eastAsia" w:ascii="宋体" w:hAnsi="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分</w:t>
            </w:r>
            <w:r>
              <w:rPr>
                <w:rFonts w:hint="eastAsia" w:ascii="宋体" w:hAnsi="宋体" w:eastAsia="宋体" w:cs="宋体"/>
                <w:color w:val="auto"/>
                <w:kern w:val="0"/>
                <w:sz w:val="24"/>
                <w:szCs w:val="24"/>
                <w:highlight w:val="none"/>
                <w:lang w:eastAsia="zh-CN"/>
              </w:rPr>
              <w:t>，</w:t>
            </w:r>
            <w:r>
              <w:rPr>
                <w:rFonts w:hint="eastAsia" w:ascii="宋体" w:hAnsi="宋体" w:cs="宋体"/>
                <w:sz w:val="24"/>
                <w:szCs w:val="24"/>
                <w:highlight w:val="none"/>
              </w:rPr>
              <w:t>响应文件中提供业绩合同复印件，磋商现场提供与复印件相一致的原件备查，时间以合同签订时间为准，合同内容不完整，内容模糊或未按上述要求提供不得分。</w:t>
            </w:r>
          </w:p>
        </w:tc>
      </w:tr>
      <w:tr w14:paraId="3D33C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1165" w:type="dxa"/>
            <w:vMerge w:val="restart"/>
            <w:noWrap w:val="0"/>
            <w:vAlign w:val="center"/>
          </w:tcPr>
          <w:p w14:paraId="264B989F">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技术部分</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45分</w:t>
            </w:r>
            <w:r>
              <w:rPr>
                <w:rFonts w:hint="eastAsia" w:ascii="宋体" w:hAnsi="宋体" w:cs="宋体"/>
                <w:color w:val="auto"/>
                <w:kern w:val="0"/>
                <w:sz w:val="24"/>
                <w:szCs w:val="24"/>
                <w:highlight w:val="none"/>
                <w:lang w:eastAsia="zh-CN"/>
              </w:rPr>
              <w:t>）</w:t>
            </w:r>
          </w:p>
        </w:tc>
        <w:tc>
          <w:tcPr>
            <w:tcW w:w="1296" w:type="dxa"/>
            <w:noWrap/>
            <w:vAlign w:val="center"/>
          </w:tcPr>
          <w:p w14:paraId="2AF5949F">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lang w:val="en-US" w:eastAsia="zh-CN"/>
              </w:rPr>
            </w:pPr>
            <w:r>
              <w:rPr>
                <w:rFonts w:hint="eastAsia" w:ascii="宋体" w:hAnsi="宋体"/>
                <w:color w:val="auto"/>
                <w:sz w:val="24"/>
                <w:szCs w:val="24"/>
                <w:highlight w:val="none"/>
                <w:lang w:val="en-US" w:eastAsia="zh-CN"/>
              </w:rPr>
              <w:t>需求设计</w:t>
            </w:r>
            <w:r>
              <w:rPr>
                <w:rFonts w:hint="eastAsia" w:ascii="宋体" w:hAnsi="宋体"/>
                <w:color w:val="auto"/>
                <w:sz w:val="24"/>
                <w:szCs w:val="24"/>
                <w:highlight w:val="none"/>
              </w:rPr>
              <w:t>方案</w:t>
            </w:r>
          </w:p>
        </w:tc>
        <w:tc>
          <w:tcPr>
            <w:tcW w:w="869" w:type="dxa"/>
            <w:noWrap/>
            <w:vAlign w:val="center"/>
          </w:tcPr>
          <w:p w14:paraId="3125A209">
            <w:pPr>
              <w:keepNext w:val="0"/>
              <w:keepLines w:val="0"/>
              <w:pageBreakBefore w:val="0"/>
              <w:widowControl/>
              <w:kinsoku/>
              <w:wordWrap/>
              <w:overflowPunct/>
              <w:topLinePunct w:val="0"/>
              <w:autoSpaceDE/>
              <w:autoSpaceDN/>
              <w:bidi w:val="0"/>
              <w:adjustRightInd/>
              <w:snapToGrid/>
              <w:spacing w:line="500" w:lineRule="exact"/>
              <w:jc w:val="center"/>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10</w:t>
            </w:r>
          </w:p>
        </w:tc>
        <w:tc>
          <w:tcPr>
            <w:tcW w:w="6185" w:type="dxa"/>
            <w:noWrap w:val="0"/>
            <w:vAlign w:val="center"/>
          </w:tcPr>
          <w:p w14:paraId="3E065D91">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rPr>
                <w:rFonts w:hint="default" w:ascii="宋体" w:hAnsi="宋体" w:eastAsia="宋体" w:cs="宋体"/>
                <w:color w:val="auto"/>
                <w:kern w:val="0"/>
                <w:sz w:val="24"/>
                <w:szCs w:val="24"/>
                <w:highlight w:val="none"/>
                <w:lang w:val="en-US" w:eastAsia="zh-CN"/>
              </w:rPr>
            </w:pPr>
            <w:r>
              <w:rPr>
                <w:rFonts w:hint="eastAsia" w:ascii="宋体" w:hAnsi="宋体"/>
                <w:color w:val="auto"/>
                <w:sz w:val="24"/>
                <w:szCs w:val="24"/>
                <w:highlight w:val="none"/>
              </w:rPr>
              <w:t>能准确理解校方</w:t>
            </w:r>
            <w:r>
              <w:rPr>
                <w:rFonts w:hint="eastAsia" w:ascii="宋体" w:hAnsi="宋体"/>
                <w:color w:val="auto"/>
                <w:sz w:val="24"/>
                <w:szCs w:val="24"/>
                <w:highlight w:val="none"/>
                <w:lang w:val="en-US" w:eastAsia="zh-CN"/>
              </w:rPr>
              <w:t>用水</w:t>
            </w:r>
            <w:r>
              <w:rPr>
                <w:rFonts w:hint="eastAsia" w:ascii="宋体" w:hAnsi="宋体"/>
                <w:color w:val="auto"/>
                <w:sz w:val="24"/>
                <w:szCs w:val="24"/>
                <w:highlight w:val="none"/>
              </w:rPr>
              <w:t>需求，并根据校方实际情况提出设计方案（含水电改造）</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并提供详细投资组成方案</w:t>
            </w:r>
            <w:r>
              <w:rPr>
                <w:rFonts w:hint="eastAsia" w:ascii="宋体" w:hAnsi="宋体"/>
                <w:color w:val="auto"/>
                <w:sz w:val="24"/>
                <w:szCs w:val="24"/>
                <w:highlight w:val="none"/>
              </w:rPr>
              <w:t>，方案</w:t>
            </w:r>
            <w:r>
              <w:rPr>
                <w:rFonts w:hint="eastAsia" w:ascii="宋体" w:hAnsi="宋体"/>
                <w:color w:val="auto"/>
                <w:sz w:val="24"/>
                <w:szCs w:val="24"/>
                <w:highlight w:val="none"/>
                <w:lang w:val="en-US" w:eastAsia="zh-CN"/>
              </w:rPr>
              <w:t>内容详细、</w:t>
            </w:r>
            <w:r>
              <w:rPr>
                <w:rFonts w:hint="eastAsia" w:ascii="宋体" w:hAnsi="宋体"/>
                <w:color w:val="auto"/>
                <w:sz w:val="24"/>
                <w:szCs w:val="24"/>
                <w:highlight w:val="none"/>
              </w:rPr>
              <w:t>合理</w:t>
            </w:r>
            <w:r>
              <w:rPr>
                <w:rFonts w:hint="eastAsia" w:ascii="宋体" w:hAnsi="宋体"/>
                <w:color w:val="auto"/>
                <w:sz w:val="24"/>
                <w:szCs w:val="24"/>
                <w:highlight w:val="none"/>
                <w:lang w:eastAsia="zh-CN"/>
              </w:rPr>
              <w:t>、</w:t>
            </w:r>
            <w:r>
              <w:rPr>
                <w:rFonts w:hint="eastAsia" w:ascii="宋体" w:hAnsi="宋体"/>
                <w:color w:val="auto"/>
                <w:sz w:val="24"/>
                <w:szCs w:val="24"/>
                <w:highlight w:val="none"/>
              </w:rPr>
              <w:t>科学</w:t>
            </w:r>
            <w:r>
              <w:rPr>
                <w:rFonts w:hint="eastAsia" w:ascii="宋体" w:hAnsi="宋体"/>
                <w:color w:val="auto"/>
                <w:sz w:val="24"/>
                <w:szCs w:val="24"/>
                <w:highlight w:val="none"/>
                <w:lang w:val="en-US" w:eastAsia="zh-CN"/>
              </w:rPr>
              <w:t>得10分，</w:t>
            </w:r>
            <w:r>
              <w:rPr>
                <w:rFonts w:hint="eastAsia" w:ascii="宋体" w:hAnsi="宋体" w:eastAsia="宋体" w:cs="宋体"/>
                <w:color w:val="auto"/>
                <w:kern w:val="0"/>
                <w:sz w:val="24"/>
                <w:szCs w:val="24"/>
                <w:highlight w:val="none"/>
                <w:lang w:val="en-US" w:eastAsia="zh-CN"/>
              </w:rPr>
              <w:t>每存在一项不合理或劣势扣</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分，扣完为止</w:t>
            </w:r>
            <w:r>
              <w:rPr>
                <w:rFonts w:hint="eastAsia" w:ascii="宋体" w:hAnsi="宋体" w:cs="宋体"/>
                <w:color w:val="auto"/>
                <w:kern w:val="0"/>
                <w:sz w:val="24"/>
                <w:szCs w:val="24"/>
                <w:highlight w:val="none"/>
                <w:lang w:val="en-US" w:eastAsia="zh-CN"/>
              </w:rPr>
              <w:t>，</w:t>
            </w:r>
            <w:r>
              <w:rPr>
                <w:rFonts w:hint="eastAsia" w:ascii="宋体" w:hAnsi="宋体"/>
                <w:color w:val="auto"/>
                <w:sz w:val="24"/>
                <w:szCs w:val="24"/>
                <w:highlight w:val="none"/>
                <w:lang w:val="en-US" w:eastAsia="zh-CN"/>
              </w:rPr>
              <w:t>未提供不得分。</w:t>
            </w:r>
          </w:p>
        </w:tc>
      </w:tr>
      <w:tr w14:paraId="24399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1165" w:type="dxa"/>
            <w:vMerge w:val="continue"/>
            <w:noWrap w:val="0"/>
            <w:vAlign w:val="center"/>
          </w:tcPr>
          <w:p w14:paraId="7DF71794">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rPr>
            </w:pPr>
          </w:p>
        </w:tc>
        <w:tc>
          <w:tcPr>
            <w:tcW w:w="1296" w:type="dxa"/>
            <w:noWrap/>
            <w:vAlign w:val="center"/>
          </w:tcPr>
          <w:p w14:paraId="775BDE37">
            <w:pPr>
              <w:keepNext w:val="0"/>
              <w:keepLines w:val="0"/>
              <w:pageBreakBefore w:val="0"/>
              <w:widowControl/>
              <w:kinsoku/>
              <w:wordWrap/>
              <w:overflowPunct/>
              <w:topLinePunct w:val="0"/>
              <w:autoSpaceDE/>
              <w:autoSpaceDN/>
              <w:bidi w:val="0"/>
              <w:adjustRightInd/>
              <w:snapToGrid/>
              <w:spacing w:line="500" w:lineRule="exact"/>
              <w:jc w:val="center"/>
              <w:rPr>
                <w:rFonts w:hint="default" w:ascii="宋体" w:hAnsi="宋体"/>
                <w:color w:val="auto"/>
                <w:sz w:val="24"/>
                <w:szCs w:val="24"/>
                <w:highlight w:val="none"/>
                <w:lang w:val="en-US" w:eastAsia="zh-CN"/>
              </w:rPr>
            </w:pPr>
            <w:r>
              <w:rPr>
                <w:rFonts w:hint="eastAsia" w:ascii="宋体" w:hAnsi="宋体"/>
                <w:color w:val="auto"/>
                <w:sz w:val="24"/>
                <w:szCs w:val="24"/>
                <w:highlight w:val="none"/>
                <w:lang w:val="en-US" w:eastAsia="zh-CN"/>
              </w:rPr>
              <w:t>产品性能</w:t>
            </w:r>
          </w:p>
        </w:tc>
        <w:tc>
          <w:tcPr>
            <w:tcW w:w="869" w:type="dxa"/>
            <w:noWrap/>
            <w:vAlign w:val="center"/>
          </w:tcPr>
          <w:p w14:paraId="4F90598A">
            <w:pPr>
              <w:keepNext w:val="0"/>
              <w:keepLines w:val="0"/>
              <w:pageBreakBefore w:val="0"/>
              <w:widowControl/>
              <w:kinsoku/>
              <w:wordWrap/>
              <w:overflowPunct/>
              <w:topLinePunct w:val="0"/>
              <w:autoSpaceDE/>
              <w:autoSpaceDN/>
              <w:bidi w:val="0"/>
              <w:adjustRightInd/>
              <w:snapToGrid/>
              <w:spacing w:line="500" w:lineRule="exact"/>
              <w:jc w:val="center"/>
              <w:rPr>
                <w:rFonts w:hint="default"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10</w:t>
            </w:r>
          </w:p>
        </w:tc>
        <w:tc>
          <w:tcPr>
            <w:tcW w:w="6185" w:type="dxa"/>
            <w:noWrap w:val="0"/>
            <w:vAlign w:val="center"/>
          </w:tcPr>
          <w:p w14:paraId="06D08EA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rPr>
                <w:rFonts w:hint="eastAsia" w:ascii="宋体" w:hAnsi="宋体"/>
                <w:color w:val="auto"/>
                <w:sz w:val="24"/>
                <w:szCs w:val="24"/>
                <w:highlight w:val="none"/>
              </w:rPr>
            </w:pPr>
            <w:r>
              <w:rPr>
                <w:rFonts w:hint="eastAsia" w:ascii="宋体" w:hAnsi="宋体" w:eastAsia="宋体" w:cs="宋体"/>
                <w:color w:val="auto"/>
                <w:kern w:val="0"/>
                <w:sz w:val="24"/>
                <w:szCs w:val="24"/>
                <w:highlight w:val="none"/>
                <w:lang w:val="en-US" w:eastAsia="zh-CN"/>
              </w:rPr>
              <w:t>根据供应商提供的对</w:t>
            </w:r>
            <w:r>
              <w:rPr>
                <w:rFonts w:hint="eastAsia" w:ascii="宋体" w:hAnsi="宋体" w:eastAsia="宋体" w:cs="宋体"/>
                <w:color w:val="auto"/>
                <w:kern w:val="0"/>
                <w:sz w:val="24"/>
                <w:szCs w:val="24"/>
                <w:highlight w:val="none"/>
              </w:rPr>
              <w:t>本项目所投</w:t>
            </w:r>
            <w:r>
              <w:rPr>
                <w:rFonts w:hint="eastAsia" w:ascii="宋体" w:hAnsi="宋体" w:eastAsia="宋体" w:cs="宋体"/>
                <w:color w:val="auto"/>
                <w:kern w:val="0"/>
                <w:sz w:val="24"/>
                <w:szCs w:val="24"/>
                <w:highlight w:val="none"/>
                <w:lang w:val="en-US" w:eastAsia="zh-CN"/>
              </w:rPr>
              <w:t>设备选型</w:t>
            </w:r>
            <w:r>
              <w:rPr>
                <w:rFonts w:hint="eastAsia" w:ascii="宋体" w:hAnsi="宋体" w:eastAsia="宋体" w:cs="宋体"/>
                <w:color w:val="auto"/>
                <w:kern w:val="0"/>
                <w:sz w:val="24"/>
                <w:szCs w:val="24"/>
                <w:highlight w:val="none"/>
              </w:rPr>
              <w:t>技术</w:t>
            </w:r>
            <w:r>
              <w:rPr>
                <w:rFonts w:hint="eastAsia" w:ascii="宋体" w:hAnsi="宋体" w:eastAsia="宋体" w:cs="宋体"/>
                <w:color w:val="auto"/>
                <w:kern w:val="0"/>
                <w:sz w:val="24"/>
                <w:szCs w:val="24"/>
                <w:highlight w:val="none"/>
                <w:lang w:val="en-US" w:eastAsia="zh-CN"/>
              </w:rPr>
              <w:t>性能、配置</w:t>
            </w:r>
            <w:r>
              <w:rPr>
                <w:rFonts w:hint="eastAsia" w:ascii="宋体" w:hAnsi="宋体" w:eastAsia="宋体" w:cs="宋体"/>
                <w:color w:val="auto"/>
                <w:kern w:val="0"/>
                <w:sz w:val="24"/>
                <w:szCs w:val="24"/>
                <w:highlight w:val="none"/>
              </w:rPr>
              <w:t>符合</w:t>
            </w:r>
            <w:r>
              <w:rPr>
                <w:rFonts w:hint="eastAsia" w:ascii="宋体" w:hAnsi="宋体" w:eastAsia="宋体" w:cs="宋体"/>
                <w:color w:val="auto"/>
                <w:kern w:val="0"/>
                <w:sz w:val="24"/>
                <w:szCs w:val="24"/>
                <w:highlight w:val="none"/>
                <w:lang w:val="en-US" w:eastAsia="zh-CN"/>
              </w:rPr>
              <w:t>采购需求</w:t>
            </w:r>
            <w:r>
              <w:rPr>
                <w:rFonts w:hint="eastAsia" w:ascii="宋体" w:hAnsi="宋体" w:eastAsia="宋体" w:cs="宋体"/>
                <w:color w:val="auto"/>
                <w:kern w:val="0"/>
                <w:sz w:val="24"/>
                <w:szCs w:val="24"/>
                <w:highlight w:val="none"/>
              </w:rPr>
              <w:t>的得</w:t>
            </w: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分；</w:t>
            </w:r>
            <w:r>
              <w:rPr>
                <w:rFonts w:hint="eastAsia" w:ascii="宋体" w:hAnsi="宋体" w:eastAsia="宋体" w:cs="宋体"/>
                <w:color w:val="auto"/>
                <w:kern w:val="0"/>
                <w:sz w:val="24"/>
                <w:szCs w:val="24"/>
                <w:highlight w:val="none"/>
                <w:lang w:val="en-US" w:eastAsia="zh-CN"/>
              </w:rPr>
              <w:t>每存在一项不合理或劣势扣</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分，扣完为止</w:t>
            </w:r>
            <w:r>
              <w:rPr>
                <w:rFonts w:hint="eastAsia" w:ascii="宋体" w:hAnsi="宋体" w:cs="宋体"/>
                <w:color w:val="auto"/>
                <w:kern w:val="0"/>
                <w:sz w:val="24"/>
                <w:szCs w:val="24"/>
                <w:highlight w:val="none"/>
                <w:lang w:val="en-US" w:eastAsia="zh-CN"/>
              </w:rPr>
              <w:t>，</w:t>
            </w:r>
            <w:r>
              <w:rPr>
                <w:rFonts w:hint="eastAsia" w:ascii="宋体" w:hAnsi="宋体"/>
                <w:color w:val="auto"/>
                <w:sz w:val="24"/>
                <w:szCs w:val="24"/>
                <w:highlight w:val="none"/>
                <w:lang w:val="en-US" w:eastAsia="zh-CN"/>
              </w:rPr>
              <w:t>未提供不得分</w:t>
            </w:r>
            <w:r>
              <w:rPr>
                <w:rFonts w:hint="eastAsia" w:ascii="宋体" w:hAnsi="宋体" w:eastAsia="宋体" w:cs="宋体"/>
                <w:color w:val="auto"/>
                <w:kern w:val="0"/>
                <w:sz w:val="24"/>
                <w:szCs w:val="24"/>
                <w:highlight w:val="none"/>
              </w:rPr>
              <w:t>。</w:t>
            </w:r>
          </w:p>
        </w:tc>
      </w:tr>
      <w:tr w14:paraId="5C7BD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65" w:type="dxa"/>
            <w:vMerge w:val="continue"/>
            <w:noWrap/>
            <w:vAlign w:val="center"/>
          </w:tcPr>
          <w:p w14:paraId="75353CE0">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rPr>
            </w:pPr>
          </w:p>
        </w:tc>
        <w:tc>
          <w:tcPr>
            <w:tcW w:w="1296" w:type="dxa"/>
            <w:noWrap/>
            <w:vAlign w:val="center"/>
          </w:tcPr>
          <w:p w14:paraId="3B90C501">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施工方案</w:t>
            </w:r>
          </w:p>
        </w:tc>
        <w:tc>
          <w:tcPr>
            <w:tcW w:w="869" w:type="dxa"/>
            <w:noWrap/>
            <w:vAlign w:val="center"/>
          </w:tcPr>
          <w:p w14:paraId="2DAB90B9">
            <w:pPr>
              <w:keepNext w:val="0"/>
              <w:keepLines w:val="0"/>
              <w:pageBreakBefore w:val="0"/>
              <w:widowControl/>
              <w:kinsoku/>
              <w:wordWrap/>
              <w:overflowPunct/>
              <w:topLinePunct w:val="0"/>
              <w:autoSpaceDE/>
              <w:autoSpaceDN/>
              <w:bidi w:val="0"/>
              <w:adjustRightInd/>
              <w:snapToGrid/>
              <w:spacing w:line="500" w:lineRule="exact"/>
              <w:jc w:val="center"/>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15</w:t>
            </w:r>
          </w:p>
        </w:tc>
        <w:tc>
          <w:tcPr>
            <w:tcW w:w="6185" w:type="dxa"/>
            <w:noWrap w:val="0"/>
            <w:vAlign w:val="center"/>
          </w:tcPr>
          <w:p w14:paraId="77688832">
            <w:pPr>
              <w:keepNext w:val="0"/>
              <w:keepLines w:val="0"/>
              <w:pageBreakBefore w:val="0"/>
              <w:widowControl/>
              <w:numPr>
                <w:ilvl w:val="0"/>
                <w:numId w:val="8"/>
              </w:numPr>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根据施工安装方案的详细、实用、合理性，方案中关于设备、人员投入的合理性，安装过程中各环节的衔接程度，安装工作协调措施、质量保证措施、安装进度计划及安装现场的管理,方案优化、后期运营可靠性、稳定性的保障措施等进行评审，整体优者得</w:t>
            </w:r>
            <w:r>
              <w:rPr>
                <w:rFonts w:hint="eastAsia" w:ascii="宋体" w:hAnsi="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分</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每存在一项不合理或劣势扣</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分，扣完为止；</w:t>
            </w:r>
          </w:p>
          <w:p w14:paraId="01CEADC7">
            <w:pPr>
              <w:keepNext w:val="0"/>
              <w:keepLines w:val="0"/>
              <w:pageBreakBefore w:val="0"/>
              <w:widowControl/>
              <w:numPr>
                <w:ilvl w:val="0"/>
                <w:numId w:val="8"/>
              </w:numPr>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拟派现场人员经验丰富，能随时解决现场发生的问题，</w:t>
            </w:r>
            <w:r>
              <w:rPr>
                <w:rFonts w:hint="eastAsia" w:asciiTheme="minorEastAsia" w:hAnsiTheme="minorEastAsia" w:eastAsiaTheme="minorEastAsia" w:cstheme="minorEastAsia"/>
                <w:sz w:val="24"/>
                <w:szCs w:val="24"/>
                <w:highlight w:val="none"/>
              </w:rPr>
              <w:t>人员配备充足、</w:t>
            </w:r>
            <w:r>
              <w:rPr>
                <w:rFonts w:hint="eastAsia" w:asciiTheme="minorEastAsia" w:hAnsiTheme="minorEastAsia" w:eastAsiaTheme="minorEastAsia" w:cstheme="minorEastAsia"/>
                <w:sz w:val="24"/>
                <w:szCs w:val="24"/>
                <w:highlight w:val="none"/>
                <w:lang w:val="en-US" w:eastAsia="zh-CN"/>
              </w:rPr>
              <w:t>从业经验丰富、</w:t>
            </w:r>
            <w:r>
              <w:rPr>
                <w:rFonts w:hint="eastAsia" w:asciiTheme="minorEastAsia" w:hAnsiTheme="minorEastAsia" w:eastAsiaTheme="minorEastAsia" w:cstheme="minorEastAsia"/>
                <w:sz w:val="24"/>
                <w:szCs w:val="24"/>
                <w:highlight w:val="none"/>
              </w:rPr>
              <w:t>专业能力强得5分</w:t>
            </w:r>
            <w:r>
              <w:rPr>
                <w:rFonts w:hint="eastAsia" w:asciiTheme="minorEastAsia" w:hAnsiTheme="minorEastAsia" w:eastAsiaTheme="minorEastAsia" w:cstheme="minorEastAsia"/>
                <w:sz w:val="24"/>
                <w:szCs w:val="24"/>
                <w:highlight w:val="none"/>
                <w:lang w:eastAsia="zh-CN"/>
              </w:rPr>
              <w:t>，每存在一处劣势或不足扣1分，扣完为止</w:t>
            </w:r>
            <w:r>
              <w:rPr>
                <w:rFonts w:hint="eastAsia" w:ascii="宋体" w:hAnsi="宋体" w:eastAsia="宋体" w:cs="宋体"/>
                <w:color w:val="auto"/>
                <w:kern w:val="0"/>
                <w:sz w:val="24"/>
                <w:szCs w:val="24"/>
                <w:highlight w:val="none"/>
                <w:lang w:eastAsia="zh-CN"/>
              </w:rPr>
              <w:t>。</w:t>
            </w:r>
          </w:p>
        </w:tc>
      </w:tr>
      <w:tr w14:paraId="496FE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7" w:hRule="atLeast"/>
          <w:jc w:val="center"/>
        </w:trPr>
        <w:tc>
          <w:tcPr>
            <w:tcW w:w="1165" w:type="dxa"/>
            <w:vMerge w:val="continue"/>
            <w:noWrap w:val="0"/>
            <w:vAlign w:val="center"/>
          </w:tcPr>
          <w:p w14:paraId="0BDFDE1C">
            <w:pPr>
              <w:keepNext w:val="0"/>
              <w:keepLines w:val="0"/>
              <w:pageBreakBefore w:val="0"/>
              <w:widowControl/>
              <w:kinsoku/>
              <w:wordWrap/>
              <w:overflowPunct/>
              <w:topLinePunct w:val="0"/>
              <w:autoSpaceDE/>
              <w:autoSpaceDN/>
              <w:bidi w:val="0"/>
              <w:adjustRightInd/>
              <w:snapToGrid/>
              <w:spacing w:line="500" w:lineRule="exact"/>
              <w:jc w:val="left"/>
              <w:rPr>
                <w:rFonts w:hint="eastAsia" w:ascii="宋体" w:hAnsi="宋体" w:eastAsia="宋体" w:cs="宋体"/>
                <w:color w:val="auto"/>
                <w:kern w:val="0"/>
                <w:sz w:val="24"/>
                <w:szCs w:val="24"/>
                <w:highlight w:val="none"/>
              </w:rPr>
            </w:pPr>
          </w:p>
        </w:tc>
        <w:tc>
          <w:tcPr>
            <w:tcW w:w="1296" w:type="dxa"/>
            <w:noWrap/>
            <w:vAlign w:val="center"/>
          </w:tcPr>
          <w:p w14:paraId="49CB5A6F">
            <w:pPr>
              <w:keepNext w:val="0"/>
              <w:keepLines w:val="0"/>
              <w:pageBreakBefore w:val="0"/>
              <w:widowControl/>
              <w:kinsoku/>
              <w:wordWrap/>
              <w:overflowPunct/>
              <w:topLinePunct w:val="0"/>
              <w:autoSpaceDE/>
              <w:autoSpaceDN/>
              <w:bidi w:val="0"/>
              <w:adjustRightInd/>
              <w:snapToGrid/>
              <w:spacing w:line="500" w:lineRule="exact"/>
              <w:jc w:val="both"/>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饮水设备相关认证</w:t>
            </w:r>
          </w:p>
        </w:tc>
        <w:tc>
          <w:tcPr>
            <w:tcW w:w="869" w:type="dxa"/>
            <w:noWrap/>
            <w:vAlign w:val="center"/>
          </w:tcPr>
          <w:p w14:paraId="1915A827">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0</w:t>
            </w:r>
          </w:p>
        </w:tc>
        <w:tc>
          <w:tcPr>
            <w:tcW w:w="6185" w:type="dxa"/>
            <w:noWrap w:val="0"/>
            <w:vAlign w:val="center"/>
          </w:tcPr>
          <w:p w14:paraId="174C76BB">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GB"/>
              </w:rPr>
              <w:t>投标品牌直饮水制水主机设备具有卫生许可批件得</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val="en-GB"/>
              </w:rPr>
              <w:t>分；</w:t>
            </w:r>
          </w:p>
          <w:p w14:paraId="36F7DB42">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投标品牌</w:t>
            </w:r>
            <w:r>
              <w:rPr>
                <w:rFonts w:hint="eastAsia" w:ascii="宋体" w:hAnsi="宋体" w:eastAsia="宋体" w:cs="宋体"/>
                <w:color w:val="auto"/>
                <w:kern w:val="0"/>
                <w:sz w:val="24"/>
                <w:szCs w:val="24"/>
                <w:highlight w:val="none"/>
                <w:lang w:val="en-US" w:eastAsia="zh-CN"/>
              </w:rPr>
              <w:t>饮水</w:t>
            </w:r>
            <w:r>
              <w:rPr>
                <w:rFonts w:hint="eastAsia" w:ascii="宋体" w:hAnsi="宋体" w:eastAsia="宋体" w:cs="宋体"/>
                <w:color w:val="auto"/>
                <w:kern w:val="0"/>
                <w:sz w:val="24"/>
                <w:szCs w:val="24"/>
                <w:highlight w:val="none"/>
              </w:rPr>
              <w:t>设备具有卫生许可批件</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分；</w:t>
            </w:r>
          </w:p>
          <w:p w14:paraId="58CB41A3">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投标品牌反渗透直饮机设备具有卫生许可批件、CQC产品认证证书的得</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分；</w:t>
            </w:r>
            <w:r>
              <w:rPr>
                <w:rFonts w:hint="eastAsia" w:ascii="宋体" w:hAnsi="宋体" w:eastAsia="宋体" w:cs="宋体"/>
                <w:color w:val="auto"/>
                <w:kern w:val="0"/>
                <w:sz w:val="24"/>
                <w:szCs w:val="24"/>
                <w:highlight w:val="none"/>
                <w:lang w:eastAsia="zh-CN"/>
              </w:rPr>
              <w:t>缺一项不得分；</w:t>
            </w:r>
          </w:p>
          <w:p w14:paraId="2F8572C5">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投标品牌反渗透直饮机设备具有食品接触产品安全认证证书，得</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分；</w:t>
            </w:r>
          </w:p>
          <w:p w14:paraId="472287F9">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5</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投标品牌反渗透直饮机设备水效等级为Ⅰ级，并提供中国节水产品认证证书，得</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分</w:t>
            </w:r>
            <w:r>
              <w:rPr>
                <w:rFonts w:hint="eastAsia" w:ascii="宋体" w:hAnsi="宋体" w:eastAsia="宋体" w:cs="宋体"/>
                <w:color w:val="auto"/>
                <w:kern w:val="0"/>
                <w:sz w:val="24"/>
                <w:szCs w:val="24"/>
                <w:highlight w:val="none"/>
                <w:lang w:eastAsia="zh-CN"/>
              </w:rPr>
              <w:t>。</w:t>
            </w:r>
          </w:p>
          <w:p w14:paraId="3191BEBA">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default"/>
                <w:highlight w:val="none"/>
                <w:lang w:val="en-US" w:eastAsia="zh-CN"/>
              </w:rPr>
            </w:pPr>
            <w:r>
              <w:rPr>
                <w:rFonts w:hint="eastAsia" w:ascii="宋体" w:hAnsi="宋体" w:eastAsia="宋体" w:cs="宋体"/>
                <w:color w:val="auto"/>
                <w:kern w:val="0"/>
                <w:sz w:val="24"/>
                <w:szCs w:val="24"/>
                <w:highlight w:val="none"/>
                <w:lang w:val="en-US" w:eastAsia="zh-CN"/>
              </w:rPr>
              <w:t>响应文件中提供上述材料复印件，未提供不得分。</w:t>
            </w:r>
          </w:p>
        </w:tc>
      </w:tr>
      <w:tr w14:paraId="37A2A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65" w:type="dxa"/>
            <w:noWrap/>
            <w:vAlign w:val="center"/>
          </w:tcPr>
          <w:p w14:paraId="18E8885D">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服务部分</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15分</w:t>
            </w:r>
            <w:r>
              <w:rPr>
                <w:rFonts w:hint="eastAsia" w:ascii="宋体" w:hAnsi="宋体" w:cs="宋体"/>
                <w:color w:val="auto"/>
                <w:kern w:val="0"/>
                <w:sz w:val="24"/>
                <w:szCs w:val="24"/>
                <w:highlight w:val="none"/>
                <w:lang w:eastAsia="zh-CN"/>
              </w:rPr>
              <w:t>）</w:t>
            </w:r>
          </w:p>
        </w:tc>
        <w:tc>
          <w:tcPr>
            <w:tcW w:w="1296" w:type="dxa"/>
            <w:noWrap/>
            <w:vAlign w:val="center"/>
          </w:tcPr>
          <w:p w14:paraId="3C258230">
            <w:pPr>
              <w:keepNext w:val="0"/>
              <w:keepLines w:val="0"/>
              <w:pageBreakBefore w:val="0"/>
              <w:widowControl/>
              <w:kinsoku/>
              <w:wordWrap/>
              <w:overflowPunct/>
              <w:topLinePunct w:val="0"/>
              <w:autoSpaceDE/>
              <w:autoSpaceDN/>
              <w:bidi w:val="0"/>
              <w:adjustRightInd/>
              <w:snapToGrid/>
              <w:spacing w:line="50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运营服务</w:t>
            </w:r>
          </w:p>
        </w:tc>
        <w:tc>
          <w:tcPr>
            <w:tcW w:w="869" w:type="dxa"/>
            <w:noWrap/>
            <w:vAlign w:val="center"/>
          </w:tcPr>
          <w:p w14:paraId="26020791">
            <w:pPr>
              <w:keepNext w:val="0"/>
              <w:keepLines w:val="0"/>
              <w:pageBreakBefore w:val="0"/>
              <w:widowControl/>
              <w:kinsoku/>
              <w:wordWrap/>
              <w:overflowPunct/>
              <w:topLinePunct w:val="0"/>
              <w:autoSpaceDE/>
              <w:autoSpaceDN/>
              <w:bidi w:val="0"/>
              <w:adjustRightInd/>
              <w:snapToGrid/>
              <w:spacing w:line="500" w:lineRule="exact"/>
              <w:jc w:val="center"/>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15</w:t>
            </w:r>
          </w:p>
        </w:tc>
        <w:tc>
          <w:tcPr>
            <w:tcW w:w="6185" w:type="dxa"/>
            <w:noWrap w:val="0"/>
            <w:vAlign w:val="center"/>
          </w:tcPr>
          <w:p w14:paraId="4395C65C">
            <w:pPr>
              <w:keepNext w:val="0"/>
              <w:keepLines w:val="0"/>
              <w:pageBreakBefore w:val="0"/>
              <w:widowControl/>
              <w:numPr>
                <w:ilvl w:val="0"/>
                <w:numId w:val="9"/>
              </w:numPr>
              <w:kinsoku/>
              <w:wordWrap/>
              <w:overflowPunct/>
              <w:topLinePunct w:val="0"/>
              <w:autoSpaceDE/>
              <w:autoSpaceDN/>
              <w:bidi w:val="0"/>
              <w:adjustRightInd/>
              <w:snapToGrid/>
              <w:spacing w:line="500" w:lineRule="exact"/>
              <w:ind w:left="-398" w:leftChars="0" w:firstLine="398" w:firstLineChars="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根据响应文件中是否有完善的技术维护服务管理制度和规定，确保水质检测、滤芯更换、设备巡检维护记录及时公示公告（提供运行管理维护制度），内容详细、制度完善得</w:t>
            </w:r>
            <w:r>
              <w:rPr>
                <w:rFonts w:hint="eastAsia" w:ascii="宋体" w:hAnsi="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分，每存在一项不合理或劣势扣1分，扣完为止；</w:t>
            </w:r>
          </w:p>
          <w:p w14:paraId="6C1F8DDA">
            <w:pPr>
              <w:keepNext w:val="0"/>
              <w:keepLines w:val="0"/>
              <w:pageBreakBefore w:val="0"/>
              <w:widowControl/>
              <w:numPr>
                <w:ilvl w:val="0"/>
                <w:numId w:val="9"/>
              </w:numPr>
              <w:kinsoku/>
              <w:wordWrap/>
              <w:overflowPunct/>
              <w:topLinePunct w:val="0"/>
              <w:autoSpaceDE/>
              <w:autoSpaceDN/>
              <w:bidi w:val="0"/>
              <w:adjustRightInd/>
              <w:snapToGrid/>
              <w:spacing w:line="500" w:lineRule="exact"/>
              <w:ind w:left="-398" w:leftChars="0" w:firstLine="398" w:firstLineChars="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根据响应文件中是否有提供24小时驻校技术维护服务，有运行报修服务热线，有针对突发事件处置预案、针对学生主动服务措施等，</w:t>
            </w:r>
            <w:r>
              <w:rPr>
                <w:rFonts w:hint="eastAsia" w:ascii="宋体" w:hAnsi="宋体" w:cs="宋体"/>
                <w:color w:val="auto"/>
                <w:kern w:val="0"/>
                <w:sz w:val="24"/>
                <w:szCs w:val="24"/>
                <w:highlight w:val="none"/>
                <w:lang w:val="en-US" w:eastAsia="zh-CN"/>
              </w:rPr>
              <w:t>内容详细完善得5分，</w:t>
            </w:r>
            <w:r>
              <w:rPr>
                <w:rFonts w:hint="eastAsia" w:ascii="宋体" w:hAnsi="宋体" w:eastAsia="宋体" w:cs="宋体"/>
                <w:color w:val="auto"/>
                <w:kern w:val="0"/>
                <w:sz w:val="24"/>
                <w:szCs w:val="24"/>
                <w:highlight w:val="none"/>
              </w:rPr>
              <w:t>每存在一项不合理或劣势扣1分，扣完为止</w:t>
            </w:r>
            <w:r>
              <w:rPr>
                <w:rFonts w:hint="eastAsia" w:ascii="宋体" w:hAnsi="宋体" w:cs="宋体"/>
                <w:color w:val="auto"/>
                <w:kern w:val="0"/>
                <w:sz w:val="24"/>
                <w:szCs w:val="24"/>
                <w:highlight w:val="none"/>
                <w:lang w:eastAsia="zh-CN"/>
              </w:rPr>
              <w:t>；</w:t>
            </w:r>
          </w:p>
          <w:p w14:paraId="73E56005">
            <w:pPr>
              <w:keepNext w:val="0"/>
              <w:keepLines w:val="0"/>
              <w:pageBreakBefore w:val="0"/>
              <w:widowControl/>
              <w:numPr>
                <w:ilvl w:val="0"/>
                <w:numId w:val="9"/>
              </w:numPr>
              <w:kinsoku/>
              <w:wordWrap/>
              <w:overflowPunct/>
              <w:topLinePunct w:val="0"/>
              <w:autoSpaceDE/>
              <w:autoSpaceDN/>
              <w:bidi w:val="0"/>
              <w:adjustRightInd/>
              <w:snapToGrid/>
              <w:spacing w:line="500" w:lineRule="exact"/>
              <w:ind w:left="-398" w:leftChars="0" w:firstLine="398" w:firstLineChars="0"/>
              <w:jc w:val="left"/>
              <w:rPr>
                <w:rFonts w:hint="eastAsia" w:ascii="宋体" w:hAnsi="宋体" w:eastAsia="宋体" w:cs="宋体"/>
                <w:color w:val="auto"/>
                <w:kern w:val="0"/>
                <w:sz w:val="24"/>
                <w:szCs w:val="24"/>
                <w:highlight w:val="none"/>
              </w:rPr>
            </w:pPr>
            <w:bookmarkStart w:id="374" w:name="_GoBack"/>
            <w:r>
              <w:rPr>
                <w:rFonts w:hint="eastAsia" w:ascii="宋体" w:hAnsi="宋体" w:eastAsia="宋体" w:cs="宋体"/>
                <w:color w:val="auto"/>
                <w:kern w:val="0"/>
                <w:sz w:val="24"/>
                <w:szCs w:val="24"/>
                <w:highlight w:val="none"/>
              </w:rPr>
              <w:br w:type="page"/>
            </w:r>
            <w:r>
              <w:rPr>
                <w:rFonts w:hint="eastAsia" w:ascii="宋体" w:hAnsi="宋体" w:eastAsia="宋体" w:cs="宋体"/>
                <w:color w:val="auto"/>
                <w:kern w:val="0"/>
                <w:sz w:val="24"/>
                <w:szCs w:val="24"/>
                <w:highlight w:val="none"/>
              </w:rPr>
              <w:t>根据运营单位是否备有足够的备用设备配件，故障响应迅速，维修排除时间，</w:t>
            </w:r>
            <w:r>
              <w:rPr>
                <w:rFonts w:hint="eastAsia" w:ascii="宋体" w:hAnsi="宋体" w:cs="宋体"/>
                <w:color w:val="auto"/>
                <w:kern w:val="0"/>
                <w:sz w:val="24"/>
                <w:szCs w:val="24"/>
                <w:highlight w:val="none"/>
                <w:lang w:val="en-US" w:eastAsia="zh-CN"/>
              </w:rPr>
              <w:t>内容详细完善得5分，</w:t>
            </w:r>
            <w:r>
              <w:rPr>
                <w:rFonts w:hint="eastAsia" w:ascii="宋体" w:hAnsi="宋体" w:eastAsia="宋体" w:cs="宋体"/>
                <w:color w:val="auto"/>
                <w:kern w:val="0"/>
                <w:sz w:val="24"/>
                <w:szCs w:val="24"/>
                <w:highlight w:val="none"/>
              </w:rPr>
              <w:t>每存在一项不合理或劣势扣1分，扣完为止</w:t>
            </w:r>
            <w:r>
              <w:rPr>
                <w:rFonts w:hint="eastAsia" w:ascii="宋体" w:hAnsi="宋体" w:cs="宋体"/>
                <w:color w:val="auto"/>
                <w:kern w:val="0"/>
                <w:sz w:val="24"/>
                <w:szCs w:val="24"/>
                <w:highlight w:val="none"/>
                <w:lang w:eastAsia="zh-CN"/>
              </w:rPr>
              <w:t>。</w:t>
            </w:r>
            <w:bookmarkEnd w:id="374"/>
            <w:r>
              <w:rPr>
                <w:rFonts w:hint="eastAsia" w:ascii="宋体" w:hAnsi="宋体" w:eastAsia="宋体" w:cs="宋体"/>
                <w:color w:val="auto"/>
                <w:kern w:val="0"/>
                <w:sz w:val="24"/>
                <w:szCs w:val="24"/>
                <w:highlight w:val="none"/>
              </w:rPr>
              <w:br w:type="page"/>
            </w:r>
          </w:p>
        </w:tc>
      </w:tr>
    </w:tbl>
    <w:p w14:paraId="52D39533">
      <w:pPr>
        <w:pageBreakBefore w:val="0"/>
        <w:kinsoku/>
        <w:overflowPunct w:val="0"/>
        <w:bidi w:val="0"/>
        <w:spacing w:beforeAutospacing="0" w:afterAutospacing="0" w:line="520" w:lineRule="exact"/>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政策落实措施说明：</w:t>
      </w:r>
    </w:p>
    <w:p w14:paraId="6AD85194">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（1）政策</w:t>
      </w:r>
      <w:r>
        <w:rPr>
          <w:rFonts w:hint="eastAsia" w:ascii="宋体" w:hAnsi="宋体" w:cs="宋体"/>
          <w:sz w:val="24"/>
          <w:highlight w:val="none"/>
          <w:lang w:val="en-US" w:eastAsia="zh-CN"/>
        </w:rPr>
        <w:t>依据</w:t>
      </w:r>
      <w:r>
        <w:rPr>
          <w:rFonts w:hint="eastAsia" w:ascii="宋体" w:hAnsi="宋体" w:eastAsia="宋体" w:cs="宋体"/>
          <w:sz w:val="24"/>
          <w:highlight w:val="none"/>
        </w:rPr>
        <w:t>：</w:t>
      </w:r>
    </w:p>
    <w:p w14:paraId="71EFE737">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position w:val="-3"/>
          <w:sz w:val="24"/>
          <w:highlight w:val="none"/>
        </w:rPr>
      </w:pPr>
      <w:r>
        <w:rPr>
          <w:rFonts w:hint="eastAsia" w:ascii="宋体" w:hAnsi="宋体" w:eastAsia="宋体" w:cs="宋体"/>
          <w:position w:val="-3"/>
          <w:sz w:val="24"/>
          <w:highlight w:val="none"/>
        </w:rPr>
        <w:t>《政府采购促进中小企业发展办法》（财</w:t>
      </w:r>
      <w:r>
        <w:rPr>
          <w:rFonts w:hint="eastAsia" w:ascii="宋体" w:hAnsi="宋体" w:eastAsia="宋体" w:cs="宋体"/>
          <w:spacing w:val="1"/>
          <w:position w:val="-3"/>
          <w:sz w:val="24"/>
          <w:highlight w:val="none"/>
        </w:rPr>
        <w:t>库</w:t>
      </w:r>
      <w:r>
        <w:rPr>
          <w:rFonts w:hint="eastAsia" w:ascii="宋体" w:hAnsi="宋体" w:cs="宋体"/>
          <w:spacing w:val="1"/>
          <w:position w:val="-3"/>
          <w:sz w:val="24"/>
          <w:highlight w:val="none"/>
          <w:lang w:eastAsia="zh-CN"/>
        </w:rPr>
        <w:t>〔2020〕</w:t>
      </w:r>
      <w:r>
        <w:rPr>
          <w:rFonts w:hint="eastAsia" w:ascii="宋体" w:hAnsi="宋体" w:eastAsia="宋体" w:cs="宋体"/>
          <w:position w:val="-3"/>
          <w:sz w:val="24"/>
          <w:highlight w:val="none"/>
        </w:rPr>
        <w:t>46号）；</w:t>
      </w:r>
    </w:p>
    <w:p w14:paraId="03E38515">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《财政部 司法部关于政府采购支持监狱企业发展有关问题的通知》（财库〔2014〕68号）；</w:t>
      </w:r>
    </w:p>
    <w:p w14:paraId="06E638AE">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《三部门联合发布关于促进残疾人就业政府采购政策的通知》（财库〔2017〕141号）；</w:t>
      </w:r>
    </w:p>
    <w:p w14:paraId="15B9CD0E">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财政部国家发展改革委关于印发《节能产品政府采购实施意见》的通知（财库〔2004〕185号）；</w:t>
      </w:r>
    </w:p>
    <w:p w14:paraId="24D78488">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《财政部 发展改革委 生态环境部 市场监管总局关于调整优化节能产品、环境标志产品政府采购执行机制的通知》财库〔2019〕9号；</w:t>
      </w:r>
    </w:p>
    <w:p w14:paraId="0D16B694">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《关于印发环境标志产品政府采购品目清单的通知》财库〔2019〕18号；</w:t>
      </w:r>
    </w:p>
    <w:p w14:paraId="092C1F10">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《关于印发节能产品政府采购品目清单的通知》财库〔2019〕19号；</w:t>
      </w:r>
    </w:p>
    <w:p w14:paraId="2F8B7F19">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《山东省节能环保产品政府采购评审办法》（鲁财库〔2007〕32号）。</w:t>
      </w:r>
    </w:p>
    <w:p w14:paraId="17B7E50E">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（2）政策要求</w:t>
      </w:r>
    </w:p>
    <w:p w14:paraId="7D35A5A7">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对满足价格扣除条件且在投标（响应）文件中提交了《中小企业声明函》、《残疾人福利性单位声明函》或省级以上监 狱管理局、戒毒管理局（含新疆生产建设兵团）出具的属于监狱企业的证明文件的供应商，其投标报价扣除10%后参与评审。对于同时属于小微企业、监狱企业或残疾人福利性单位的，不重复进行报价扣除。《政府采购促进中小企业发展暂行办法》所指中小企业（含中型、小型、微型企业，下同）应当同时符合以下条件：</w:t>
      </w:r>
    </w:p>
    <w:p w14:paraId="660EF575">
      <w:pPr>
        <w:pageBreakBefore w:val="0"/>
        <w:tabs>
          <w:tab w:val="left" w:pos="993"/>
          <w:tab w:val="left" w:pos="1440"/>
        </w:tabs>
        <w:kinsoku/>
        <w:bidi w:val="0"/>
        <w:spacing w:beforeAutospacing="0" w:afterAutospacing="0" w:line="520" w:lineRule="exact"/>
        <w:ind w:firstLine="708" w:firstLineChars="295"/>
        <w:textAlignment w:val="auto"/>
        <w:rPr>
          <w:rFonts w:hint="eastAsia" w:ascii="宋体" w:hAnsi="宋体" w:eastAsia="宋体" w:cs="宋体"/>
          <w:kern w:val="11"/>
          <w:sz w:val="24"/>
          <w:highlight w:val="none"/>
        </w:rPr>
      </w:pPr>
      <w:r>
        <w:rPr>
          <w:rFonts w:hint="eastAsia" w:ascii="宋体" w:hAnsi="宋体" w:eastAsia="宋体" w:cs="宋体"/>
          <w:kern w:val="11"/>
          <w:sz w:val="24"/>
          <w:highlight w:val="none"/>
        </w:rPr>
        <w:fldChar w:fldCharType="begin"/>
      </w:r>
      <w:r>
        <w:rPr>
          <w:rFonts w:hint="eastAsia" w:ascii="宋体" w:hAnsi="宋体" w:eastAsia="宋体" w:cs="宋体"/>
          <w:kern w:val="11"/>
          <w:sz w:val="24"/>
          <w:highlight w:val="none"/>
        </w:rPr>
        <w:instrText xml:space="preserve"> = 1 \* GB3 </w:instrText>
      </w:r>
      <w:r>
        <w:rPr>
          <w:rFonts w:hint="eastAsia" w:ascii="宋体" w:hAnsi="宋体" w:eastAsia="宋体" w:cs="宋体"/>
          <w:kern w:val="11"/>
          <w:sz w:val="24"/>
          <w:highlight w:val="none"/>
        </w:rPr>
        <w:fldChar w:fldCharType="separate"/>
      </w:r>
      <w:r>
        <w:rPr>
          <w:rFonts w:hint="eastAsia" w:ascii="宋体" w:hAnsi="宋体" w:eastAsia="宋体" w:cs="宋体"/>
          <w:kern w:val="11"/>
          <w:sz w:val="24"/>
          <w:highlight w:val="none"/>
        </w:rPr>
        <w:t>①</w:t>
      </w:r>
      <w:r>
        <w:rPr>
          <w:rFonts w:hint="eastAsia" w:ascii="宋体" w:hAnsi="宋体" w:eastAsia="宋体" w:cs="宋体"/>
          <w:kern w:val="11"/>
          <w:sz w:val="24"/>
          <w:highlight w:val="none"/>
        </w:rPr>
        <w:fldChar w:fldCharType="end"/>
      </w:r>
      <w:r>
        <w:rPr>
          <w:rFonts w:hint="eastAsia" w:ascii="宋体" w:hAnsi="宋体" w:eastAsia="宋体" w:cs="宋体"/>
          <w:kern w:val="11"/>
          <w:sz w:val="24"/>
          <w:highlight w:val="none"/>
        </w:rPr>
        <w:t xml:space="preserve">符合中小企业划分标准； </w:t>
      </w:r>
    </w:p>
    <w:p w14:paraId="0DC3E7BF">
      <w:pPr>
        <w:pageBreakBefore w:val="0"/>
        <w:tabs>
          <w:tab w:val="left" w:pos="993"/>
          <w:tab w:val="left" w:pos="1440"/>
        </w:tabs>
        <w:kinsoku/>
        <w:bidi w:val="0"/>
        <w:spacing w:beforeAutospacing="0" w:afterAutospacing="0" w:line="520" w:lineRule="exact"/>
        <w:ind w:left="283" w:leftChars="135" w:firstLine="424" w:firstLineChars="177"/>
        <w:textAlignment w:val="auto"/>
        <w:rPr>
          <w:rFonts w:hint="eastAsia" w:ascii="宋体" w:hAnsi="宋体" w:eastAsia="宋体" w:cs="宋体"/>
          <w:kern w:val="11"/>
          <w:sz w:val="24"/>
          <w:highlight w:val="none"/>
        </w:rPr>
      </w:pPr>
      <w:r>
        <w:rPr>
          <w:rFonts w:hint="eastAsia" w:ascii="宋体" w:hAnsi="宋体" w:eastAsia="宋体" w:cs="宋体"/>
          <w:kern w:val="11"/>
          <w:sz w:val="24"/>
          <w:highlight w:val="none"/>
        </w:rPr>
        <w:fldChar w:fldCharType="begin"/>
      </w:r>
      <w:r>
        <w:rPr>
          <w:rFonts w:hint="eastAsia" w:ascii="宋体" w:hAnsi="宋体" w:eastAsia="宋体" w:cs="宋体"/>
          <w:kern w:val="11"/>
          <w:sz w:val="24"/>
          <w:highlight w:val="none"/>
        </w:rPr>
        <w:instrText xml:space="preserve"> = 2 \* GB3 </w:instrText>
      </w:r>
      <w:r>
        <w:rPr>
          <w:rFonts w:hint="eastAsia" w:ascii="宋体" w:hAnsi="宋体" w:eastAsia="宋体" w:cs="宋体"/>
          <w:kern w:val="11"/>
          <w:sz w:val="24"/>
          <w:highlight w:val="none"/>
        </w:rPr>
        <w:fldChar w:fldCharType="separate"/>
      </w:r>
      <w:r>
        <w:rPr>
          <w:rFonts w:hint="eastAsia" w:ascii="宋体" w:hAnsi="宋体" w:eastAsia="宋体" w:cs="宋体"/>
          <w:kern w:val="11"/>
          <w:sz w:val="24"/>
          <w:highlight w:val="none"/>
        </w:rPr>
        <w:t>②</w:t>
      </w:r>
      <w:r>
        <w:rPr>
          <w:rFonts w:hint="eastAsia" w:ascii="宋体" w:hAnsi="宋体" w:eastAsia="宋体" w:cs="宋体"/>
          <w:kern w:val="11"/>
          <w:sz w:val="24"/>
          <w:highlight w:val="none"/>
        </w:rPr>
        <w:fldChar w:fldCharType="end"/>
      </w:r>
      <w:r>
        <w:rPr>
          <w:rFonts w:hint="eastAsia" w:ascii="宋体" w:hAnsi="宋体" w:eastAsia="宋体" w:cs="宋体"/>
          <w:kern w:val="11"/>
          <w:sz w:val="24"/>
          <w:highlight w:val="none"/>
        </w:rPr>
        <w:t>提供本企业制造的货物、承担的工程或者服务，或者提供其他中小企业制造的货物。本项所称货物不包括使用大型企业注册商标的货物。</w:t>
      </w:r>
    </w:p>
    <w:p w14:paraId="3DB63C47">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highlight w:val="none"/>
        </w:rPr>
      </w:pPr>
      <w:r>
        <w:rPr>
          <w:rFonts w:hint="eastAsia" w:ascii="宋体" w:hAnsi="宋体" w:eastAsia="宋体" w:cs="宋体"/>
          <w:sz w:val="24"/>
          <w:highlight w:val="none"/>
        </w:rPr>
        <w:t>在本次货物采购项目中，供应商提供的货物既有中小企业制造货物，也有大型企业制造货物的，不享受本办法规定的中小企业扶持政策。</w:t>
      </w:r>
    </w:p>
    <w:p w14:paraId="02445939">
      <w:pPr>
        <w:pageBreakBefore w:val="0"/>
        <w:tabs>
          <w:tab w:val="left" w:pos="1440"/>
        </w:tabs>
        <w:kinsoku/>
        <w:bidi w:val="0"/>
        <w:spacing w:beforeAutospacing="0" w:afterAutospacing="0" w:line="520" w:lineRule="exact"/>
        <w:ind w:left="284"/>
        <w:textAlignment w:val="auto"/>
        <w:rPr>
          <w:rFonts w:hint="eastAsia" w:ascii="宋体" w:hAnsi="宋体" w:eastAsia="宋体" w:cs="宋体"/>
          <w:highlight w:val="none"/>
        </w:rPr>
      </w:pPr>
      <w:r>
        <w:rPr>
          <w:rFonts w:hint="eastAsia" w:ascii="宋体" w:hAnsi="宋体" w:eastAsia="宋体" w:cs="宋体"/>
          <w:kern w:val="11"/>
          <w:sz w:val="24"/>
          <w:highlight w:val="none"/>
        </w:rPr>
        <w:t xml:space="preserve">    中小企业划分标准以《工业和信息化部、国家统计局、国家发展和改革委员会、财政部关于印发中小企业划型标准规定的通知》（工信部联企业</w:t>
      </w:r>
      <w:r>
        <w:rPr>
          <w:rFonts w:hint="eastAsia" w:ascii="宋体" w:hAnsi="宋体" w:cs="宋体"/>
          <w:kern w:val="11"/>
          <w:sz w:val="24"/>
          <w:highlight w:val="none"/>
          <w:lang w:eastAsia="zh-CN"/>
        </w:rPr>
        <w:t>〔2011〕</w:t>
      </w:r>
      <w:r>
        <w:rPr>
          <w:rFonts w:hint="eastAsia" w:ascii="宋体" w:hAnsi="宋体" w:eastAsia="宋体" w:cs="宋体"/>
          <w:kern w:val="11"/>
          <w:sz w:val="24"/>
          <w:highlight w:val="none"/>
        </w:rPr>
        <w:t>300号）规定的划分标准为准。</w:t>
      </w:r>
    </w:p>
    <w:p w14:paraId="36C4FC91">
      <w:pPr>
        <w:keepNext w:val="0"/>
        <w:keepLines w:val="0"/>
        <w:pageBreakBefore w:val="0"/>
        <w:widowControl w:val="0"/>
        <w:kinsoku/>
        <w:wordWrap/>
        <w:overflowPunct/>
        <w:topLinePunct w:val="0"/>
        <w:autoSpaceDE/>
        <w:autoSpaceDN/>
        <w:bidi w:val="0"/>
        <w:adjustRightInd/>
        <w:snapToGrid/>
        <w:spacing w:line="480" w:lineRule="exact"/>
        <w:ind w:firstLine="424" w:firstLineChars="177"/>
        <w:textAlignment w:val="auto"/>
        <w:rPr>
          <w:rFonts w:ascii="宋体" w:hAnsi="宋体" w:cs="宋体"/>
          <w:color w:val="000000" w:themeColor="text1"/>
          <w:sz w:val="24"/>
          <w:highlight w:val="none"/>
          <w14:textFill>
            <w14:solidFill>
              <w14:schemeClr w14:val="tx1"/>
            </w14:solidFill>
          </w14:textFill>
        </w:rPr>
      </w:pPr>
    </w:p>
    <w:p w14:paraId="320A15EB">
      <w:pPr>
        <w:pStyle w:val="3"/>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br w:type="page"/>
      </w:r>
      <w:bookmarkStart w:id="283" w:name="_Toc216582812"/>
      <w:bookmarkStart w:id="284" w:name="_Toc21895"/>
      <w:bookmarkStart w:id="285" w:name="_Toc518923106"/>
      <w:bookmarkStart w:id="286" w:name="_Toc46235126"/>
      <w:r>
        <w:rPr>
          <w:rFonts w:hint="eastAsia" w:hAnsi="宋体" w:cs="宋体"/>
          <w:color w:val="000000" w:themeColor="text1"/>
          <w:highlight w:val="none"/>
          <w14:textFill>
            <w14:solidFill>
              <w14:schemeClr w14:val="tx1"/>
            </w14:solidFill>
          </w14:textFill>
        </w:rPr>
        <w:t>第6章   响应文件格式</w:t>
      </w:r>
      <w:bookmarkEnd w:id="283"/>
      <w:bookmarkEnd w:id="284"/>
      <w:bookmarkEnd w:id="285"/>
      <w:bookmarkEnd w:id="286"/>
    </w:p>
    <w:p w14:paraId="74C5D571">
      <w:pPr>
        <w:pStyle w:val="4"/>
        <w:spacing w:before="0" w:line="360" w:lineRule="auto"/>
        <w:ind w:left="774" w:hanging="774" w:hangingChars="257"/>
        <w:rPr>
          <w:rFonts w:ascii="宋体" w:hAnsi="宋体" w:eastAsia="宋体" w:cs="宋体"/>
          <w:color w:val="000000" w:themeColor="text1"/>
          <w:highlight w:val="none"/>
          <w14:textFill>
            <w14:solidFill>
              <w14:schemeClr w14:val="tx1"/>
            </w14:solidFill>
          </w14:textFill>
        </w:rPr>
      </w:pPr>
      <w:bookmarkStart w:id="287" w:name="_Toc46235127"/>
      <w:bookmarkStart w:id="288" w:name="_Toc5545"/>
      <w:r>
        <w:rPr>
          <w:rFonts w:hint="eastAsia" w:ascii="宋体" w:hAnsi="宋体" w:eastAsia="宋体" w:cs="宋体"/>
          <w:color w:val="000000" w:themeColor="text1"/>
          <w:highlight w:val="none"/>
          <w14:textFill>
            <w14:solidFill>
              <w14:schemeClr w14:val="tx1"/>
            </w14:solidFill>
          </w14:textFill>
        </w:rPr>
        <w:t>一、封面格式</w:t>
      </w:r>
      <w:bookmarkEnd w:id="287"/>
      <w:bookmarkEnd w:id="288"/>
    </w:p>
    <w:tbl>
      <w:tblPr>
        <w:tblStyle w:val="32"/>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1DE9F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7" w:hRule="atLeast"/>
        </w:trPr>
        <w:tc>
          <w:tcPr>
            <w:tcW w:w="8528" w:type="dxa"/>
          </w:tcPr>
          <w:p w14:paraId="71500CD6">
            <w:pPr>
              <w:spacing w:line="360" w:lineRule="auto"/>
              <w:jc w:val="center"/>
              <w:rPr>
                <w:rFonts w:ascii="宋体" w:hAnsi="宋体" w:cs="宋体"/>
                <w:color w:val="000000" w:themeColor="text1"/>
                <w:highlight w:val="none"/>
                <w14:textFill>
                  <w14:solidFill>
                    <w14:schemeClr w14:val="tx1"/>
                  </w14:solidFill>
                </w14:textFill>
              </w:rPr>
            </w:pPr>
          </w:p>
          <w:p w14:paraId="6CBDE608">
            <w:pPr>
              <w:spacing w:line="360" w:lineRule="auto"/>
              <w:jc w:val="center"/>
              <w:rPr>
                <w:rFonts w:ascii="宋体" w:hAnsi="宋体" w:cs="宋体"/>
                <w:b/>
                <w:color w:val="000000" w:themeColor="text1"/>
                <w:sz w:val="30"/>
                <w:szCs w:val="30"/>
                <w:highlight w:val="none"/>
                <w14:textFill>
                  <w14:solidFill>
                    <w14:schemeClr w14:val="tx1"/>
                  </w14:solidFill>
                </w14:textFill>
              </w:rPr>
            </w:pPr>
            <w:r>
              <w:rPr>
                <w:rFonts w:hint="eastAsia" w:ascii="宋体" w:hAnsi="宋体" w:cs="宋体"/>
                <w:b/>
                <w:color w:val="000000" w:themeColor="text1"/>
                <w:sz w:val="30"/>
                <w:szCs w:val="30"/>
                <w:highlight w:val="none"/>
                <w14:textFill>
                  <w14:solidFill>
                    <w14:schemeClr w14:val="tx1"/>
                  </w14:solidFill>
                </w14:textFill>
              </w:rPr>
              <w:t>响应文件</w:t>
            </w:r>
          </w:p>
          <w:p w14:paraId="2819741C">
            <w:pPr>
              <w:spacing w:line="360" w:lineRule="auto"/>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eastAsia="zh-CN"/>
                <w14:textFill>
                  <w14:solidFill>
                    <w14:schemeClr w14:val="tx1"/>
                  </w14:solidFill>
                </w14:textFill>
              </w:rPr>
              <w:t>项目编号：SDCS2025110</w:t>
            </w:r>
          </w:p>
          <w:p w14:paraId="7EBDD067">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项目名称：</w:t>
            </w:r>
          </w:p>
          <w:p w14:paraId="08EF38C0">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项目包号：</w:t>
            </w:r>
          </w:p>
          <w:p w14:paraId="34945AA4">
            <w:pPr>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供应商名称（公章）：</w:t>
            </w:r>
          </w:p>
          <w:p w14:paraId="7FC4D037">
            <w:pPr>
              <w:spacing w:line="360" w:lineRule="auto"/>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hint="eastAsia" w:ascii="宋体" w:hAnsi="宋体" w:cs="宋体"/>
                <w:color w:val="000000" w:themeColor="text1"/>
                <w:highlight w:val="none"/>
                <w:lang w:eastAsia="zh-CN"/>
                <w14:textFill>
                  <w14:solidFill>
                    <w14:schemeClr w14:val="tx1"/>
                  </w14:solidFill>
                </w14:textFill>
              </w:rPr>
              <w:t>：</w:t>
            </w:r>
          </w:p>
        </w:tc>
      </w:tr>
    </w:tbl>
    <w:p w14:paraId="5B0A56C7">
      <w:pPr>
        <w:rPr>
          <w:rFonts w:ascii="宋体" w:hAnsi="宋体" w:cs="宋体"/>
          <w:color w:val="000000" w:themeColor="text1"/>
          <w:highlight w:val="none"/>
          <w14:textFill>
            <w14:solidFill>
              <w14:schemeClr w14:val="tx1"/>
            </w14:solidFill>
          </w14:textFill>
        </w:rPr>
      </w:pPr>
      <w:bookmarkStart w:id="289" w:name="_Toc518923108"/>
      <w:bookmarkStart w:id="290" w:name="_Toc46235128"/>
      <w:r>
        <w:rPr>
          <w:rFonts w:hint="eastAsia" w:ascii="宋体" w:hAnsi="宋体" w:cs="宋体"/>
          <w:color w:val="000000" w:themeColor="text1"/>
          <w:highlight w:val="none"/>
          <w14:textFill>
            <w14:solidFill>
              <w14:schemeClr w14:val="tx1"/>
            </w14:solidFill>
          </w14:textFill>
        </w:rPr>
        <w:br w:type="page"/>
      </w:r>
    </w:p>
    <w:p w14:paraId="0E5AA7A0">
      <w:pPr>
        <w:pStyle w:val="4"/>
        <w:spacing w:line="480" w:lineRule="exact"/>
        <w:ind w:left="774" w:hanging="774" w:hangingChars="257"/>
        <w:rPr>
          <w:rFonts w:hint="eastAsia" w:ascii="宋体" w:hAnsi="宋体" w:eastAsia="宋体" w:cs="宋体"/>
          <w:color w:val="auto"/>
          <w:highlight w:val="none"/>
        </w:rPr>
      </w:pPr>
      <w:bookmarkStart w:id="291" w:name="_Toc23545"/>
      <w:bookmarkStart w:id="292" w:name="_Toc13711"/>
      <w:r>
        <w:rPr>
          <w:rFonts w:hint="eastAsia" w:ascii="宋体" w:hAnsi="宋体" w:eastAsia="宋体" w:cs="宋体"/>
          <w:color w:val="auto"/>
          <w:highlight w:val="none"/>
        </w:rPr>
        <w:t>二、评审因素索引表</w:t>
      </w:r>
      <w:bookmarkEnd w:id="291"/>
      <w:bookmarkEnd w:id="292"/>
    </w:p>
    <w:p w14:paraId="4E00D1BE">
      <w:pPr>
        <w:pStyle w:val="52"/>
        <w:spacing w:line="480" w:lineRule="exact"/>
        <w:ind w:left="0" w:firstLine="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致供应商：</w:t>
      </w:r>
    </w:p>
    <w:p w14:paraId="785BD4D2">
      <w:pPr>
        <w:pStyle w:val="52"/>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eastAsia="宋体" w:cs="宋体"/>
          <w:b/>
          <w:bCs/>
          <w:color w:val="auto"/>
          <w:sz w:val="24"/>
          <w:highlight w:val="none"/>
          <w:u w:val="single"/>
        </w:rPr>
        <w:t>（报价或价格项不必填写）</w:t>
      </w:r>
      <w:r>
        <w:rPr>
          <w:rFonts w:hint="eastAsia" w:ascii="宋体" w:hAnsi="宋体" w:eastAsia="宋体" w:cs="宋体"/>
          <w:color w:val="auto"/>
          <w:sz w:val="24"/>
          <w:highlight w:val="none"/>
        </w:rPr>
        <w:t>。</w:t>
      </w:r>
    </w:p>
    <w:tbl>
      <w:tblPr>
        <w:tblStyle w:val="32"/>
        <w:tblW w:w="535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1214"/>
        <w:gridCol w:w="6497"/>
        <w:gridCol w:w="816"/>
      </w:tblGrid>
      <w:tr w14:paraId="2542D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66" w:type="pct"/>
            <w:tcBorders>
              <w:top w:val="single" w:color="auto" w:sz="4" w:space="0"/>
              <w:left w:val="single" w:color="auto" w:sz="4" w:space="0"/>
              <w:bottom w:val="single" w:color="auto" w:sz="4" w:space="0"/>
              <w:right w:val="single" w:color="auto" w:sz="4" w:space="0"/>
            </w:tcBorders>
            <w:noWrap/>
            <w:vAlign w:val="center"/>
          </w:tcPr>
          <w:p w14:paraId="30EF3A98">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31" w:type="pct"/>
            <w:tcBorders>
              <w:top w:val="single" w:color="auto" w:sz="4" w:space="0"/>
              <w:left w:val="single" w:color="auto" w:sz="4" w:space="0"/>
              <w:bottom w:val="single" w:color="auto" w:sz="4" w:space="0"/>
              <w:right w:val="single" w:color="auto" w:sz="4" w:space="0"/>
            </w:tcBorders>
            <w:noWrap/>
            <w:vAlign w:val="center"/>
          </w:tcPr>
          <w:p w14:paraId="1519F55C">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14:paraId="76715AE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377" w:type="pct"/>
            <w:tcBorders>
              <w:top w:val="single" w:color="auto" w:sz="4" w:space="0"/>
              <w:left w:val="single" w:color="auto" w:sz="4" w:space="0"/>
              <w:bottom w:val="single" w:color="auto" w:sz="4" w:space="0"/>
              <w:right w:val="single" w:color="auto" w:sz="4" w:space="0"/>
            </w:tcBorders>
            <w:noWrap/>
            <w:vAlign w:val="center"/>
          </w:tcPr>
          <w:p w14:paraId="3FA4F34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424" w:type="pct"/>
            <w:tcBorders>
              <w:top w:val="single" w:color="auto" w:sz="4" w:space="0"/>
              <w:left w:val="single" w:color="auto" w:sz="4" w:space="0"/>
              <w:bottom w:val="single" w:color="auto" w:sz="4" w:space="0"/>
              <w:right w:val="single" w:color="auto" w:sz="4" w:space="0"/>
            </w:tcBorders>
            <w:noWrap/>
            <w:vAlign w:val="center"/>
          </w:tcPr>
          <w:p w14:paraId="1525C70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14:paraId="08BA7C05">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14:paraId="4ED4E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restart"/>
            <w:tcBorders>
              <w:top w:val="single" w:color="auto" w:sz="4" w:space="0"/>
              <w:left w:val="single" w:color="auto" w:sz="4" w:space="0"/>
              <w:right w:val="single" w:color="auto" w:sz="4" w:space="0"/>
            </w:tcBorders>
            <w:noWrap/>
            <w:vAlign w:val="center"/>
          </w:tcPr>
          <w:p w14:paraId="29BFD25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14:paraId="35B0528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14:paraId="0719C3A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14:paraId="34C6E3F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14:paraId="73EE779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14:paraId="4F92707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2C9B8A7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14:paraId="1E1518C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51763BF2">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14:paraId="08E639E2">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14:paraId="071189E7">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14:paraId="66B6C71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14:paraId="41C7566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31" w:type="pct"/>
            <w:tcBorders>
              <w:top w:val="single" w:color="auto" w:sz="4" w:space="0"/>
              <w:left w:val="single" w:color="auto" w:sz="4" w:space="0"/>
              <w:bottom w:val="single" w:color="auto" w:sz="4" w:space="0"/>
              <w:right w:val="single" w:color="auto" w:sz="4" w:space="0"/>
            </w:tcBorders>
            <w:noWrap/>
            <w:vAlign w:val="center"/>
          </w:tcPr>
          <w:p w14:paraId="65F7B9A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377" w:type="pct"/>
            <w:tcBorders>
              <w:top w:val="single" w:color="auto" w:sz="4" w:space="0"/>
              <w:left w:val="single" w:color="auto" w:sz="4" w:space="0"/>
              <w:bottom w:val="single" w:color="auto" w:sz="4" w:space="0"/>
              <w:right w:val="single" w:color="auto" w:sz="4" w:space="0"/>
            </w:tcBorders>
            <w:noWrap/>
            <w:vAlign w:val="center"/>
          </w:tcPr>
          <w:p w14:paraId="1978E573">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rPr>
              <w:t>函</w:t>
            </w:r>
          </w:p>
        </w:tc>
        <w:tc>
          <w:tcPr>
            <w:tcW w:w="424" w:type="pct"/>
            <w:tcBorders>
              <w:top w:val="single" w:color="auto" w:sz="4" w:space="0"/>
              <w:left w:val="single" w:color="auto" w:sz="4" w:space="0"/>
              <w:bottom w:val="single" w:color="auto" w:sz="4" w:space="0"/>
              <w:right w:val="single" w:color="auto" w:sz="4" w:space="0"/>
            </w:tcBorders>
            <w:noWrap/>
            <w:vAlign w:val="center"/>
          </w:tcPr>
          <w:p w14:paraId="729E5994">
            <w:pPr>
              <w:spacing w:line="300" w:lineRule="auto"/>
              <w:rPr>
                <w:rFonts w:hint="eastAsia" w:ascii="宋体" w:hAnsi="宋体" w:eastAsia="宋体" w:cs="宋体"/>
                <w:b w:val="0"/>
                <w:bCs/>
                <w:color w:val="auto"/>
                <w:kern w:val="2"/>
                <w:sz w:val="24"/>
                <w:szCs w:val="24"/>
                <w:highlight w:val="none"/>
                <w:lang w:val="en-US" w:eastAsia="zh-CN" w:bidi="ar-SA"/>
              </w:rPr>
            </w:pPr>
          </w:p>
        </w:tc>
      </w:tr>
      <w:tr w14:paraId="424B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3E42AB65">
            <w:pPr>
              <w:spacing w:line="300" w:lineRule="auto"/>
              <w:jc w:val="center"/>
              <w:rPr>
                <w:rFonts w:hint="eastAsia" w:ascii="宋体" w:hAnsi="宋体" w:eastAsia="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noWrap/>
            <w:vAlign w:val="center"/>
          </w:tcPr>
          <w:p w14:paraId="50F875C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377" w:type="pct"/>
            <w:tcBorders>
              <w:top w:val="single" w:color="auto" w:sz="4" w:space="0"/>
              <w:left w:val="single" w:color="auto" w:sz="4" w:space="0"/>
              <w:bottom w:val="single" w:color="auto" w:sz="4" w:space="0"/>
              <w:right w:val="single" w:color="auto" w:sz="4" w:space="0"/>
            </w:tcBorders>
            <w:noWrap/>
            <w:vAlign w:val="center"/>
          </w:tcPr>
          <w:p w14:paraId="6753829A">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法定代表人授权委托书</w:t>
            </w:r>
          </w:p>
        </w:tc>
        <w:tc>
          <w:tcPr>
            <w:tcW w:w="424" w:type="pct"/>
            <w:tcBorders>
              <w:top w:val="single" w:color="auto" w:sz="4" w:space="0"/>
              <w:left w:val="single" w:color="auto" w:sz="4" w:space="0"/>
              <w:bottom w:val="single" w:color="auto" w:sz="4" w:space="0"/>
              <w:right w:val="single" w:color="auto" w:sz="4" w:space="0"/>
            </w:tcBorders>
            <w:noWrap/>
            <w:vAlign w:val="center"/>
          </w:tcPr>
          <w:p w14:paraId="6D54BCF6">
            <w:pPr>
              <w:spacing w:line="300" w:lineRule="auto"/>
              <w:rPr>
                <w:rFonts w:hint="eastAsia" w:ascii="宋体" w:hAnsi="宋体" w:eastAsia="宋体" w:cs="宋体"/>
                <w:b w:val="0"/>
                <w:bCs/>
                <w:color w:val="auto"/>
                <w:kern w:val="2"/>
                <w:sz w:val="24"/>
                <w:szCs w:val="24"/>
                <w:highlight w:val="none"/>
                <w:lang w:val="en-US" w:eastAsia="zh-CN" w:bidi="ar-SA"/>
              </w:rPr>
            </w:pPr>
          </w:p>
        </w:tc>
      </w:tr>
      <w:tr w14:paraId="57020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31C82FA0">
            <w:pPr>
              <w:spacing w:line="300" w:lineRule="auto"/>
              <w:jc w:val="center"/>
              <w:rPr>
                <w:rFonts w:hint="eastAsia" w:ascii="宋体" w:hAnsi="宋体" w:eastAsia="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noWrap/>
            <w:vAlign w:val="center"/>
          </w:tcPr>
          <w:p w14:paraId="3BBFEBE5">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377" w:type="pct"/>
            <w:tcBorders>
              <w:top w:val="single" w:color="auto" w:sz="4" w:space="0"/>
              <w:left w:val="single" w:color="auto" w:sz="4" w:space="0"/>
              <w:bottom w:val="single" w:color="auto" w:sz="4" w:space="0"/>
              <w:right w:val="single" w:color="auto" w:sz="4" w:space="0"/>
            </w:tcBorders>
            <w:noWrap/>
            <w:vAlign w:val="center"/>
          </w:tcPr>
          <w:p w14:paraId="039B2360">
            <w:pPr>
              <w:pStyle w:val="4"/>
              <w:keepNext w:val="0"/>
              <w:jc w:val="left"/>
              <w:rPr>
                <w:rFonts w:hint="eastAsia" w:ascii="宋体" w:hAnsi="宋体" w:eastAsia="宋体" w:cs="宋体"/>
                <w:b w:val="0"/>
                <w:bCs/>
                <w:color w:val="auto"/>
                <w:kern w:val="2"/>
                <w:sz w:val="24"/>
                <w:szCs w:val="24"/>
                <w:highlight w:val="none"/>
                <w:lang w:val="en-US" w:eastAsia="zh-CN" w:bidi="ar-SA"/>
              </w:rPr>
            </w:pPr>
            <w:bookmarkStart w:id="293" w:name="_Toc3417"/>
            <w:bookmarkStart w:id="294" w:name="_Toc23702"/>
            <w:r>
              <w:rPr>
                <w:rFonts w:hint="eastAsia" w:ascii="宋体" w:hAnsi="宋体" w:eastAsia="宋体" w:cs="宋体"/>
                <w:b w:val="0"/>
                <w:bCs/>
                <w:color w:val="auto"/>
                <w:kern w:val="2"/>
                <w:sz w:val="24"/>
                <w:szCs w:val="24"/>
                <w:highlight w:val="none"/>
                <w:lang w:val="en-US" w:eastAsia="zh-CN" w:bidi="ar-SA"/>
              </w:rPr>
              <w:t>法定代表人身份证明书</w:t>
            </w:r>
            <w:bookmarkEnd w:id="293"/>
            <w:bookmarkEnd w:id="294"/>
          </w:p>
        </w:tc>
        <w:tc>
          <w:tcPr>
            <w:tcW w:w="424" w:type="pct"/>
            <w:tcBorders>
              <w:top w:val="single" w:color="auto" w:sz="4" w:space="0"/>
              <w:left w:val="single" w:color="auto" w:sz="4" w:space="0"/>
              <w:bottom w:val="single" w:color="auto" w:sz="4" w:space="0"/>
              <w:right w:val="single" w:color="auto" w:sz="4" w:space="0"/>
            </w:tcBorders>
            <w:noWrap/>
            <w:vAlign w:val="center"/>
          </w:tcPr>
          <w:p w14:paraId="46C6BC3C">
            <w:pPr>
              <w:spacing w:line="300" w:lineRule="auto"/>
              <w:rPr>
                <w:rFonts w:hint="eastAsia" w:ascii="宋体" w:hAnsi="宋体" w:eastAsia="宋体" w:cs="宋体"/>
                <w:b w:val="0"/>
                <w:bCs/>
                <w:color w:val="auto"/>
                <w:kern w:val="2"/>
                <w:sz w:val="24"/>
                <w:szCs w:val="24"/>
                <w:highlight w:val="none"/>
                <w:lang w:val="en-US" w:eastAsia="zh-CN" w:bidi="ar-SA"/>
              </w:rPr>
            </w:pPr>
          </w:p>
        </w:tc>
      </w:tr>
      <w:tr w14:paraId="1A1C5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0C0D1FAD">
            <w:pPr>
              <w:spacing w:line="300" w:lineRule="auto"/>
              <w:jc w:val="center"/>
              <w:rPr>
                <w:rFonts w:hint="eastAsia" w:ascii="宋体" w:hAnsi="宋体" w:eastAsia="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noWrap/>
            <w:vAlign w:val="center"/>
          </w:tcPr>
          <w:p w14:paraId="16AE549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377" w:type="pct"/>
            <w:tcBorders>
              <w:top w:val="single" w:color="auto" w:sz="4" w:space="0"/>
              <w:left w:val="single" w:color="auto" w:sz="4" w:space="0"/>
              <w:bottom w:val="single" w:color="auto" w:sz="4" w:space="0"/>
              <w:right w:val="single" w:color="auto" w:sz="4" w:space="0"/>
            </w:tcBorders>
            <w:noWrap/>
            <w:vAlign w:val="center"/>
          </w:tcPr>
          <w:p w14:paraId="01E32155">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报价一览表</w:t>
            </w:r>
          </w:p>
        </w:tc>
        <w:tc>
          <w:tcPr>
            <w:tcW w:w="424" w:type="pct"/>
            <w:tcBorders>
              <w:top w:val="single" w:color="auto" w:sz="4" w:space="0"/>
              <w:left w:val="single" w:color="auto" w:sz="4" w:space="0"/>
              <w:bottom w:val="single" w:color="auto" w:sz="4" w:space="0"/>
              <w:right w:val="single" w:color="auto" w:sz="4" w:space="0"/>
            </w:tcBorders>
            <w:noWrap/>
            <w:vAlign w:val="center"/>
          </w:tcPr>
          <w:p w14:paraId="0BF715DF">
            <w:pPr>
              <w:spacing w:line="300" w:lineRule="auto"/>
              <w:rPr>
                <w:rFonts w:hint="eastAsia" w:ascii="宋体" w:hAnsi="宋体" w:eastAsia="宋体" w:cs="宋体"/>
                <w:b w:val="0"/>
                <w:bCs/>
                <w:color w:val="auto"/>
                <w:kern w:val="2"/>
                <w:sz w:val="24"/>
                <w:szCs w:val="24"/>
                <w:highlight w:val="none"/>
                <w:lang w:val="en-US" w:eastAsia="zh-CN" w:bidi="ar-SA"/>
              </w:rPr>
            </w:pPr>
          </w:p>
        </w:tc>
      </w:tr>
      <w:tr w14:paraId="55657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12C2CB41">
            <w:pPr>
              <w:spacing w:line="300" w:lineRule="auto"/>
              <w:jc w:val="center"/>
              <w:rPr>
                <w:rFonts w:hint="eastAsia" w:ascii="宋体" w:hAnsi="宋体" w:eastAsia="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noWrap/>
            <w:vAlign w:val="center"/>
          </w:tcPr>
          <w:p w14:paraId="35EE26FC">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377" w:type="pct"/>
            <w:tcBorders>
              <w:top w:val="single" w:color="auto" w:sz="4" w:space="0"/>
              <w:left w:val="single" w:color="auto" w:sz="4" w:space="0"/>
              <w:bottom w:val="single" w:color="auto" w:sz="4" w:space="0"/>
              <w:right w:val="single" w:color="auto" w:sz="4" w:space="0"/>
            </w:tcBorders>
            <w:noWrap/>
            <w:vAlign w:val="center"/>
          </w:tcPr>
          <w:p w14:paraId="66B098B5">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营业执照等证明文件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14:paraId="2B3273FA">
            <w:pPr>
              <w:spacing w:line="300" w:lineRule="auto"/>
              <w:rPr>
                <w:rFonts w:hint="eastAsia" w:ascii="宋体" w:hAnsi="宋体" w:eastAsia="宋体" w:cs="宋体"/>
                <w:b w:val="0"/>
                <w:bCs/>
                <w:color w:val="auto"/>
                <w:kern w:val="2"/>
                <w:sz w:val="24"/>
                <w:szCs w:val="24"/>
                <w:highlight w:val="none"/>
                <w:lang w:val="en-US" w:eastAsia="zh-CN" w:bidi="ar-SA"/>
              </w:rPr>
            </w:pPr>
          </w:p>
        </w:tc>
      </w:tr>
      <w:tr w14:paraId="7221E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4DA387B9">
            <w:pPr>
              <w:spacing w:line="300" w:lineRule="auto"/>
              <w:jc w:val="center"/>
              <w:rPr>
                <w:rFonts w:hint="eastAsia" w:ascii="宋体" w:hAnsi="宋体" w:eastAsia="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noWrap/>
            <w:vAlign w:val="center"/>
          </w:tcPr>
          <w:p w14:paraId="5F38A9B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377" w:type="pct"/>
            <w:tcBorders>
              <w:top w:val="single" w:color="auto" w:sz="4" w:space="0"/>
              <w:left w:val="single" w:color="auto" w:sz="4" w:space="0"/>
              <w:bottom w:val="single" w:color="auto" w:sz="4" w:space="0"/>
              <w:right w:val="single" w:color="auto" w:sz="4" w:space="0"/>
            </w:tcBorders>
            <w:noWrap/>
            <w:vAlign w:val="center"/>
          </w:tcPr>
          <w:p w14:paraId="22588747">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具有良好的商业信誉和健全的财务会计制度的证明文件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14:paraId="0B041EDD">
            <w:pPr>
              <w:spacing w:line="300" w:lineRule="auto"/>
              <w:rPr>
                <w:rFonts w:hint="eastAsia" w:ascii="宋体" w:hAnsi="宋体" w:eastAsia="宋体" w:cs="宋体"/>
                <w:b w:val="0"/>
                <w:bCs/>
                <w:color w:val="auto"/>
                <w:kern w:val="2"/>
                <w:sz w:val="24"/>
                <w:szCs w:val="24"/>
                <w:highlight w:val="none"/>
                <w:lang w:val="en-US" w:eastAsia="zh-CN" w:bidi="ar-SA"/>
              </w:rPr>
            </w:pPr>
          </w:p>
        </w:tc>
      </w:tr>
      <w:tr w14:paraId="207E2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2433EE2C">
            <w:pPr>
              <w:spacing w:line="300" w:lineRule="auto"/>
              <w:jc w:val="center"/>
              <w:rPr>
                <w:rFonts w:hint="eastAsia" w:ascii="宋体" w:hAnsi="宋体" w:eastAsia="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noWrap/>
            <w:vAlign w:val="center"/>
          </w:tcPr>
          <w:p w14:paraId="2257168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377" w:type="pct"/>
            <w:tcBorders>
              <w:top w:val="single" w:color="auto" w:sz="4" w:space="0"/>
              <w:left w:val="single" w:color="auto" w:sz="4" w:space="0"/>
              <w:bottom w:val="single" w:color="auto" w:sz="4" w:space="0"/>
              <w:right w:val="single" w:color="auto" w:sz="4" w:space="0"/>
            </w:tcBorders>
            <w:noWrap/>
            <w:vAlign w:val="center"/>
          </w:tcPr>
          <w:p w14:paraId="4805C612">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依法缴纳税收和社会保障资金承诺函</w:t>
            </w:r>
          </w:p>
        </w:tc>
        <w:tc>
          <w:tcPr>
            <w:tcW w:w="424" w:type="pct"/>
            <w:tcBorders>
              <w:top w:val="single" w:color="auto" w:sz="4" w:space="0"/>
              <w:left w:val="single" w:color="auto" w:sz="4" w:space="0"/>
              <w:bottom w:val="single" w:color="auto" w:sz="4" w:space="0"/>
              <w:right w:val="single" w:color="auto" w:sz="4" w:space="0"/>
            </w:tcBorders>
            <w:noWrap/>
            <w:vAlign w:val="center"/>
          </w:tcPr>
          <w:p w14:paraId="19C44241">
            <w:pPr>
              <w:spacing w:line="300" w:lineRule="auto"/>
              <w:rPr>
                <w:rFonts w:hint="eastAsia" w:ascii="宋体" w:hAnsi="宋体" w:eastAsia="宋体" w:cs="宋体"/>
                <w:b w:val="0"/>
                <w:bCs/>
                <w:color w:val="auto"/>
                <w:kern w:val="2"/>
                <w:sz w:val="24"/>
                <w:szCs w:val="24"/>
                <w:highlight w:val="none"/>
                <w:lang w:val="en-US" w:eastAsia="zh-CN" w:bidi="ar-SA"/>
              </w:rPr>
            </w:pPr>
          </w:p>
        </w:tc>
      </w:tr>
      <w:tr w14:paraId="661F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73644259">
            <w:pPr>
              <w:spacing w:line="300" w:lineRule="auto"/>
              <w:jc w:val="center"/>
              <w:rPr>
                <w:rFonts w:hint="eastAsia" w:ascii="宋体" w:hAnsi="宋体" w:eastAsia="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noWrap/>
            <w:vAlign w:val="center"/>
          </w:tcPr>
          <w:p w14:paraId="4DB18A3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377" w:type="pct"/>
            <w:tcBorders>
              <w:top w:val="single" w:color="auto" w:sz="4" w:space="0"/>
              <w:left w:val="single" w:color="auto" w:sz="4" w:space="0"/>
              <w:bottom w:val="single" w:color="auto" w:sz="4" w:space="0"/>
              <w:right w:val="single" w:color="auto" w:sz="4" w:space="0"/>
            </w:tcBorders>
            <w:noWrap/>
            <w:vAlign w:val="center"/>
          </w:tcPr>
          <w:p w14:paraId="204CD34C">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参加政府采购活动前3年内在经营活动中没有重大违法记录的书面声明</w:t>
            </w:r>
          </w:p>
        </w:tc>
        <w:tc>
          <w:tcPr>
            <w:tcW w:w="424" w:type="pct"/>
            <w:tcBorders>
              <w:top w:val="single" w:color="auto" w:sz="4" w:space="0"/>
              <w:left w:val="single" w:color="auto" w:sz="4" w:space="0"/>
              <w:bottom w:val="single" w:color="auto" w:sz="4" w:space="0"/>
              <w:right w:val="single" w:color="auto" w:sz="4" w:space="0"/>
            </w:tcBorders>
            <w:noWrap/>
            <w:vAlign w:val="center"/>
          </w:tcPr>
          <w:p w14:paraId="1DA88ABC">
            <w:pPr>
              <w:spacing w:line="300" w:lineRule="auto"/>
              <w:rPr>
                <w:rFonts w:hint="eastAsia" w:ascii="宋体" w:hAnsi="宋体" w:eastAsia="宋体" w:cs="宋体"/>
                <w:b w:val="0"/>
                <w:bCs/>
                <w:color w:val="auto"/>
                <w:kern w:val="2"/>
                <w:sz w:val="24"/>
                <w:szCs w:val="24"/>
                <w:highlight w:val="none"/>
                <w:lang w:val="en-US" w:eastAsia="zh-CN" w:bidi="ar-SA"/>
              </w:rPr>
            </w:pPr>
          </w:p>
        </w:tc>
      </w:tr>
      <w:tr w14:paraId="59A13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4478D723">
            <w:pPr>
              <w:spacing w:line="300" w:lineRule="auto"/>
              <w:jc w:val="center"/>
              <w:rPr>
                <w:rFonts w:hint="eastAsia" w:ascii="宋体" w:hAnsi="宋体" w:eastAsia="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noWrap/>
            <w:vAlign w:val="center"/>
          </w:tcPr>
          <w:p w14:paraId="6A44F6E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377" w:type="pct"/>
            <w:tcBorders>
              <w:top w:val="single" w:color="auto" w:sz="4" w:space="0"/>
              <w:left w:val="single" w:color="auto" w:sz="4" w:space="0"/>
              <w:bottom w:val="single" w:color="auto" w:sz="4" w:space="0"/>
              <w:right w:val="single" w:color="auto" w:sz="4" w:space="0"/>
            </w:tcBorders>
            <w:noWrap/>
            <w:vAlign w:val="center"/>
          </w:tcPr>
          <w:p w14:paraId="397DEDB6">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供应商反商业贿赂承诺书</w:t>
            </w:r>
          </w:p>
        </w:tc>
        <w:tc>
          <w:tcPr>
            <w:tcW w:w="424" w:type="pct"/>
            <w:tcBorders>
              <w:top w:val="single" w:color="auto" w:sz="4" w:space="0"/>
              <w:left w:val="single" w:color="auto" w:sz="4" w:space="0"/>
              <w:bottom w:val="single" w:color="auto" w:sz="4" w:space="0"/>
              <w:right w:val="single" w:color="auto" w:sz="4" w:space="0"/>
            </w:tcBorders>
            <w:noWrap/>
            <w:vAlign w:val="center"/>
          </w:tcPr>
          <w:p w14:paraId="25C1330D">
            <w:pPr>
              <w:spacing w:line="300" w:lineRule="auto"/>
              <w:rPr>
                <w:rFonts w:hint="eastAsia" w:ascii="宋体" w:hAnsi="宋体" w:eastAsia="宋体" w:cs="宋体"/>
                <w:b w:val="0"/>
                <w:bCs/>
                <w:color w:val="auto"/>
                <w:kern w:val="2"/>
                <w:sz w:val="24"/>
                <w:szCs w:val="24"/>
                <w:highlight w:val="none"/>
                <w:lang w:val="en-US" w:eastAsia="zh-CN" w:bidi="ar-SA"/>
              </w:rPr>
            </w:pPr>
          </w:p>
        </w:tc>
      </w:tr>
      <w:tr w14:paraId="2D3EC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57D676BD">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r>
      <w:tr w14:paraId="087B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66" w:type="pct"/>
            <w:tcBorders>
              <w:left w:val="single" w:color="auto" w:sz="4" w:space="0"/>
              <w:bottom w:val="single" w:color="auto" w:sz="4" w:space="0"/>
              <w:right w:val="single" w:color="auto" w:sz="4" w:space="0"/>
            </w:tcBorders>
            <w:noWrap/>
            <w:vAlign w:val="center"/>
          </w:tcPr>
          <w:p w14:paraId="59B313D5">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评分项目</w:t>
            </w:r>
          </w:p>
        </w:tc>
        <w:tc>
          <w:tcPr>
            <w:tcW w:w="631" w:type="pct"/>
            <w:tcBorders>
              <w:left w:val="single" w:color="auto" w:sz="4" w:space="0"/>
              <w:bottom w:val="single" w:color="auto" w:sz="4" w:space="0"/>
              <w:right w:val="single" w:color="auto" w:sz="4" w:space="0"/>
            </w:tcBorders>
            <w:noWrap/>
            <w:vAlign w:val="center"/>
          </w:tcPr>
          <w:p w14:paraId="62779E43">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评审指标及分值</w:t>
            </w:r>
          </w:p>
        </w:tc>
        <w:tc>
          <w:tcPr>
            <w:tcW w:w="3377" w:type="pct"/>
            <w:tcBorders>
              <w:left w:val="single" w:color="auto" w:sz="4" w:space="0"/>
              <w:bottom w:val="single" w:color="auto" w:sz="4" w:space="0"/>
              <w:right w:val="single" w:color="auto" w:sz="4" w:space="0"/>
            </w:tcBorders>
            <w:noWrap/>
            <w:vAlign w:val="center"/>
          </w:tcPr>
          <w:p w14:paraId="0ED3B46A">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vertAlign w:val="baseline"/>
                <w:lang w:val="en-US" w:eastAsia="zh-CN"/>
              </w:rPr>
              <w:t>评审内容及标准</w:t>
            </w:r>
          </w:p>
        </w:tc>
        <w:tc>
          <w:tcPr>
            <w:tcW w:w="424" w:type="pct"/>
            <w:tcBorders>
              <w:left w:val="single" w:color="auto" w:sz="4" w:space="0"/>
              <w:bottom w:val="single" w:color="auto" w:sz="4" w:space="0"/>
              <w:right w:val="single" w:color="auto" w:sz="4" w:space="0"/>
            </w:tcBorders>
            <w:noWrap/>
            <w:vAlign w:val="center"/>
          </w:tcPr>
          <w:p w14:paraId="326DD1C5">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对应</w:t>
            </w:r>
          </w:p>
          <w:p w14:paraId="0DF7AD74">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页码</w:t>
            </w:r>
          </w:p>
        </w:tc>
      </w:tr>
      <w:tr w14:paraId="07BE6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shd w:val="clear" w:color="auto" w:fill="auto"/>
            <w:noWrap/>
            <w:vAlign w:val="center"/>
          </w:tcPr>
          <w:p w14:paraId="348FA41C">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报价部分</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30分</w:t>
            </w:r>
            <w:r>
              <w:rPr>
                <w:rFonts w:hint="eastAsia" w:ascii="宋体" w:hAnsi="宋体" w:cs="宋体"/>
                <w:color w:val="auto"/>
                <w:sz w:val="24"/>
                <w:highlight w:val="none"/>
                <w:lang w:eastAsia="zh-CN"/>
              </w:rPr>
              <w:t>）</w:t>
            </w:r>
          </w:p>
        </w:tc>
        <w:tc>
          <w:tcPr>
            <w:tcW w:w="631" w:type="pct"/>
            <w:tcBorders>
              <w:top w:val="single" w:color="auto" w:sz="4" w:space="0"/>
              <w:left w:val="single" w:color="auto" w:sz="4" w:space="0"/>
              <w:right w:val="single" w:color="auto" w:sz="4" w:space="0"/>
            </w:tcBorders>
            <w:shd w:val="clear" w:color="auto" w:fill="auto"/>
            <w:noWrap/>
            <w:vAlign w:val="center"/>
          </w:tcPr>
          <w:p w14:paraId="4425FAEE">
            <w:pPr>
              <w:keepNext w:val="0"/>
              <w:keepLines w:val="0"/>
              <w:pageBreakBefore w:val="0"/>
              <w:widowControl w:val="0"/>
              <w:kinsoku/>
              <w:overflowPunct/>
              <w:bidi w:val="0"/>
              <w:adjustRightInd/>
              <w:spacing w:line="520" w:lineRule="exact"/>
              <w:textAlignment w:val="auto"/>
              <w:rPr>
                <w:rFonts w:ascii="宋体" w:hAnsi="宋体" w:cs="宋体"/>
                <w:sz w:val="24"/>
                <w:highlight w:val="none"/>
              </w:rPr>
            </w:pPr>
            <w:r>
              <w:rPr>
                <w:rFonts w:hint="eastAsia" w:ascii="宋体" w:hAnsi="宋体" w:cs="宋体"/>
                <w:sz w:val="24"/>
                <w:szCs w:val="24"/>
                <w:highlight w:val="none"/>
              </w:rPr>
              <w:t>报价得分</w:t>
            </w:r>
          </w:p>
          <w:p w14:paraId="10658499">
            <w:pPr>
              <w:keepNext w:val="0"/>
              <w:keepLines w:val="0"/>
              <w:pageBreakBefore w:val="0"/>
              <w:widowControl w:val="0"/>
              <w:kinsoku/>
              <w:overflowPunct/>
              <w:bidi w:val="0"/>
              <w:adjustRightInd/>
              <w:spacing w:line="520" w:lineRule="exact"/>
              <w:textAlignment w:val="auto"/>
              <w:rPr>
                <w:rFonts w:hint="eastAsia" w:ascii="宋体" w:hAnsi="宋体" w:eastAsia="宋体" w:cs="宋体"/>
                <w:kern w:val="2"/>
                <w:sz w:val="24"/>
                <w:szCs w:val="24"/>
                <w:highlight w:val="none"/>
                <w:lang w:val="en-US" w:eastAsia="zh-CN" w:bidi="ar-SA"/>
              </w:rPr>
            </w:pPr>
            <w:r>
              <w:rPr>
                <w:rFonts w:hint="eastAsia" w:ascii="宋体" w:hAnsi="宋体" w:cs="宋体"/>
                <w:sz w:val="24"/>
                <w:szCs w:val="24"/>
                <w:highlight w:val="none"/>
              </w:rPr>
              <w:t>（</w:t>
            </w:r>
            <w:r>
              <w:rPr>
                <w:rFonts w:hint="eastAsia" w:ascii="宋体" w:hAnsi="宋体" w:cs="宋体"/>
                <w:sz w:val="24"/>
                <w:szCs w:val="24"/>
                <w:highlight w:val="none"/>
                <w:lang w:val="en-US" w:eastAsia="zh-CN"/>
              </w:rPr>
              <w:t>30</w:t>
            </w:r>
            <w:r>
              <w:rPr>
                <w:rFonts w:hint="eastAsia" w:ascii="宋体" w:hAnsi="宋体" w:cs="宋体"/>
                <w:sz w:val="24"/>
                <w:szCs w:val="24"/>
                <w:highlight w:val="none"/>
              </w:rPr>
              <w:t>分）</w:t>
            </w:r>
          </w:p>
        </w:tc>
        <w:tc>
          <w:tcPr>
            <w:tcW w:w="3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06040FE">
            <w:pPr>
              <w:spacing w:line="52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、直饮热水不高于0.1</w:t>
            </w: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val="en-US" w:eastAsia="zh-CN"/>
              </w:rPr>
              <w:t>元/升</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报价超过</w:t>
            </w:r>
            <w:r>
              <w:rPr>
                <w:rFonts w:hint="eastAsia" w:ascii="宋体" w:hAnsi="宋体" w:eastAsia="宋体" w:cs="宋体"/>
                <w:color w:val="auto"/>
                <w:kern w:val="0"/>
                <w:sz w:val="24"/>
                <w:szCs w:val="24"/>
                <w:highlight w:val="none"/>
              </w:rPr>
              <w:t>此控制价的按无</w:t>
            </w:r>
            <w:r>
              <w:rPr>
                <w:rFonts w:hint="eastAsia" w:ascii="宋体" w:hAnsi="宋体" w:eastAsia="宋体" w:cs="宋体"/>
                <w:color w:val="auto"/>
                <w:kern w:val="0"/>
                <w:sz w:val="24"/>
                <w:szCs w:val="24"/>
                <w:highlight w:val="none"/>
                <w:lang w:val="en-US" w:eastAsia="zh-CN"/>
              </w:rPr>
              <w:t>效报价处理。以满足磋商文件要求的所有价格中的最后报价最低者为评标基准价，所有报价得分按下列公式计算：报价得分=（评审基准价/最后报价）×</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lang w:val="en-US" w:eastAsia="zh-CN"/>
              </w:rPr>
              <w:t>；</w:t>
            </w:r>
          </w:p>
          <w:p w14:paraId="061FE8BE">
            <w:pPr>
              <w:spacing w:line="52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val="en-US" w:eastAsia="zh-CN"/>
              </w:rPr>
              <w:t>、直饮</w:t>
            </w:r>
            <w:r>
              <w:rPr>
                <w:rFonts w:hint="eastAsia" w:ascii="宋体" w:hAnsi="宋体" w:cs="宋体"/>
                <w:color w:val="auto"/>
                <w:kern w:val="0"/>
                <w:sz w:val="24"/>
                <w:szCs w:val="24"/>
                <w:highlight w:val="none"/>
                <w:lang w:val="en-US" w:eastAsia="zh-CN"/>
              </w:rPr>
              <w:t>凉水</w:t>
            </w:r>
            <w:r>
              <w:rPr>
                <w:rFonts w:hint="eastAsia" w:ascii="宋体" w:hAnsi="宋体" w:eastAsia="宋体" w:cs="宋体"/>
                <w:color w:val="auto"/>
                <w:kern w:val="0"/>
                <w:sz w:val="24"/>
                <w:szCs w:val="24"/>
                <w:highlight w:val="none"/>
                <w:lang w:val="en-US" w:eastAsia="zh-CN"/>
              </w:rPr>
              <w:t>不高于0.0</w:t>
            </w:r>
            <w:r>
              <w:rPr>
                <w:rFonts w:hint="eastAsia" w:ascii="宋体" w:hAnsi="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val="en-US" w:eastAsia="zh-CN"/>
              </w:rPr>
              <w:t>元/升，报价超过此控制价的按无效报价处理。以满足磋商文件要求的所有价格中的最后报价最低者为评标基准价，所有报价得分按下列公式计算：报价得分=（评审基准价/最后报价）×</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lang w:val="en-US" w:eastAsia="zh-CN"/>
              </w:rPr>
              <w:t>；</w:t>
            </w:r>
          </w:p>
          <w:p w14:paraId="34B6B132">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kern w:val="0"/>
                <w:sz w:val="24"/>
                <w:szCs w:val="24"/>
                <w:highlight w:val="none"/>
                <w:lang w:val="en-US" w:eastAsia="zh-CN"/>
              </w:rPr>
              <w:t>报价得分为直饮热水</w:t>
            </w:r>
            <w:r>
              <w:rPr>
                <w:rFonts w:hint="eastAsia" w:ascii="宋体" w:hAnsi="宋体" w:eastAsia="宋体" w:cs="宋体"/>
                <w:color w:val="auto"/>
                <w:kern w:val="0"/>
                <w:sz w:val="24"/>
                <w:szCs w:val="24"/>
                <w:highlight w:val="none"/>
              </w:rPr>
              <w:t>报价得分</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直饮</w:t>
            </w:r>
            <w:r>
              <w:rPr>
                <w:rFonts w:hint="eastAsia" w:ascii="宋体" w:hAnsi="宋体" w:cs="宋体"/>
                <w:color w:val="auto"/>
                <w:kern w:val="0"/>
                <w:sz w:val="24"/>
                <w:szCs w:val="24"/>
                <w:highlight w:val="none"/>
                <w:lang w:val="en-US" w:eastAsia="zh-CN"/>
              </w:rPr>
              <w:t>凉</w:t>
            </w:r>
            <w:r>
              <w:rPr>
                <w:rFonts w:hint="eastAsia" w:ascii="宋体" w:hAnsi="宋体" w:eastAsia="宋体" w:cs="宋体"/>
                <w:color w:val="auto"/>
                <w:kern w:val="0"/>
                <w:sz w:val="24"/>
                <w:szCs w:val="24"/>
                <w:highlight w:val="none"/>
                <w:lang w:val="en-US" w:eastAsia="zh-CN"/>
              </w:rPr>
              <w:t>水</w:t>
            </w:r>
            <w:r>
              <w:rPr>
                <w:rFonts w:hint="eastAsia" w:ascii="宋体" w:hAnsi="宋体" w:eastAsia="宋体" w:cs="宋体"/>
                <w:color w:val="auto"/>
                <w:kern w:val="0"/>
                <w:sz w:val="24"/>
                <w:szCs w:val="24"/>
                <w:highlight w:val="none"/>
              </w:rPr>
              <w:t>报价得分之和，本项最高为</w:t>
            </w:r>
            <w:r>
              <w:rPr>
                <w:rFonts w:hint="eastAsia" w:ascii="宋体" w:hAnsi="宋体" w:cs="宋体"/>
                <w:color w:val="auto"/>
                <w:kern w:val="0"/>
                <w:sz w:val="24"/>
                <w:szCs w:val="24"/>
                <w:highlight w:val="none"/>
                <w:lang w:val="en-US" w:eastAsia="zh-CN"/>
              </w:rPr>
              <w:t>30</w:t>
            </w:r>
            <w:r>
              <w:rPr>
                <w:rFonts w:hint="eastAsia" w:ascii="宋体" w:hAnsi="宋体" w:eastAsia="宋体" w:cs="宋体"/>
                <w:color w:val="auto"/>
                <w:kern w:val="0"/>
                <w:sz w:val="24"/>
                <w:szCs w:val="24"/>
                <w:highlight w:val="none"/>
              </w:rPr>
              <w:t>分。</w:t>
            </w:r>
          </w:p>
        </w:tc>
        <w:tc>
          <w:tcPr>
            <w:tcW w:w="424" w:type="pct"/>
            <w:tcBorders>
              <w:top w:val="single" w:color="auto" w:sz="4" w:space="0"/>
              <w:left w:val="single" w:color="auto" w:sz="4" w:space="0"/>
              <w:bottom w:val="single" w:color="auto" w:sz="4" w:space="0"/>
              <w:right w:val="single" w:color="auto" w:sz="4" w:space="0"/>
            </w:tcBorders>
            <w:noWrap/>
            <w:vAlign w:val="center"/>
          </w:tcPr>
          <w:p w14:paraId="4478A71E">
            <w:pPr>
              <w:spacing w:line="300" w:lineRule="auto"/>
              <w:rPr>
                <w:rFonts w:hint="eastAsia" w:ascii="宋体" w:hAnsi="宋体" w:eastAsia="宋体" w:cs="宋体"/>
                <w:b w:val="0"/>
                <w:bCs/>
                <w:color w:val="auto"/>
                <w:sz w:val="24"/>
                <w:szCs w:val="24"/>
                <w:highlight w:val="none"/>
                <w:vertAlign w:val="baseline"/>
                <w:lang w:val="en-US" w:eastAsia="zh-CN"/>
              </w:rPr>
            </w:pPr>
          </w:p>
        </w:tc>
      </w:tr>
      <w:tr w14:paraId="3692A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vMerge w:val="restart"/>
            <w:tcBorders>
              <w:top w:val="single" w:color="auto" w:sz="4" w:space="0"/>
              <w:left w:val="single" w:color="auto" w:sz="4" w:space="0"/>
              <w:right w:val="single" w:color="auto" w:sz="4" w:space="0"/>
            </w:tcBorders>
            <w:shd w:val="clear" w:color="auto" w:fill="auto"/>
            <w:noWrap/>
            <w:vAlign w:val="center"/>
          </w:tcPr>
          <w:p w14:paraId="453EF9AC">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kern w:val="2"/>
                <w:sz w:val="24"/>
                <w:szCs w:val="24"/>
                <w:highlight w:val="none"/>
                <w:lang w:val="en-US" w:eastAsia="zh-CN" w:bidi="ar-SA"/>
              </w:rPr>
            </w:pPr>
            <w:r>
              <w:rPr>
                <w:rFonts w:hint="eastAsia" w:asciiTheme="minorEastAsia" w:hAnsiTheme="minorEastAsia" w:eastAsiaTheme="minorEastAsia" w:cstheme="minorEastAsia"/>
                <w:sz w:val="24"/>
                <w:szCs w:val="24"/>
                <w:highlight w:val="none"/>
                <w:lang w:val="en-US" w:eastAsia="zh-CN"/>
              </w:rPr>
              <w:t>商务部分（10分）</w:t>
            </w:r>
          </w:p>
        </w:tc>
        <w:tc>
          <w:tcPr>
            <w:tcW w:w="63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E54D6A7">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cs="宋体" w:eastAsiaTheme="minorEastAsia"/>
                <w:kern w:val="2"/>
                <w:sz w:val="24"/>
                <w:szCs w:val="24"/>
                <w:highlight w:val="none"/>
                <w:lang w:val="en-US" w:eastAsia="zh-CN" w:bidi="ar-SA"/>
              </w:rPr>
            </w:pPr>
            <w:r>
              <w:rPr>
                <w:rFonts w:hint="eastAsia" w:asciiTheme="minorEastAsia" w:hAnsiTheme="minorEastAsia" w:eastAsiaTheme="minorEastAsia" w:cstheme="minorEastAsia"/>
                <w:sz w:val="24"/>
                <w:szCs w:val="24"/>
                <w:highlight w:val="none"/>
                <w:lang w:eastAsia="zh-CN"/>
              </w:rPr>
              <w:t>供应商资质（</w:t>
            </w:r>
            <w:r>
              <w:rPr>
                <w:rFonts w:hint="eastAsia" w:asciiTheme="minorEastAsia" w:hAnsiTheme="minorEastAsia" w:eastAsiaTheme="minorEastAsia" w:cstheme="minorEastAsia"/>
                <w:sz w:val="24"/>
                <w:szCs w:val="24"/>
                <w:highlight w:val="none"/>
                <w:lang w:val="en-US" w:eastAsia="zh-CN"/>
              </w:rPr>
              <w:t>5分</w:t>
            </w:r>
            <w:r>
              <w:rPr>
                <w:rFonts w:hint="eastAsia" w:asciiTheme="minorEastAsia" w:hAnsiTheme="minorEastAsia" w:eastAsiaTheme="minorEastAsia" w:cstheme="minorEastAsia"/>
                <w:sz w:val="24"/>
                <w:szCs w:val="24"/>
                <w:highlight w:val="none"/>
                <w:lang w:eastAsia="zh-CN"/>
              </w:rPr>
              <w:t>）</w:t>
            </w:r>
          </w:p>
        </w:tc>
        <w:tc>
          <w:tcPr>
            <w:tcW w:w="3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5A80F07">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w:t>
            </w:r>
            <w:r>
              <w:rPr>
                <w:rFonts w:hint="eastAsia" w:ascii="宋体" w:hAnsi="宋体" w:cs="宋体"/>
                <w:color w:val="auto"/>
                <w:kern w:val="0"/>
                <w:sz w:val="24"/>
                <w:szCs w:val="24"/>
                <w:highlight w:val="none"/>
                <w:lang w:val="en-US" w:eastAsia="zh-CN"/>
              </w:rPr>
              <w:t>供应商或产品制造商</w:t>
            </w:r>
            <w:r>
              <w:rPr>
                <w:rFonts w:hint="eastAsia" w:ascii="宋体" w:hAnsi="宋体" w:eastAsia="宋体" w:cs="宋体"/>
                <w:kern w:val="2"/>
                <w:sz w:val="24"/>
                <w:szCs w:val="24"/>
                <w:highlight w:val="none"/>
                <w:lang w:val="en-US" w:eastAsia="zh-CN" w:bidi="ar-SA"/>
              </w:rPr>
              <w:t>具有ISO9001质量管理体系认证证书、ISO14001环境管理体系认证证书、GB/T28001职业健康安全管理体系认证证书，每提供一项认证得1分，最多得3分；</w:t>
            </w:r>
          </w:p>
          <w:p w14:paraId="7E236B4D">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w:t>
            </w:r>
            <w:r>
              <w:rPr>
                <w:rFonts w:hint="eastAsia" w:ascii="宋体" w:hAnsi="宋体" w:cs="宋体"/>
                <w:color w:val="auto"/>
                <w:kern w:val="0"/>
                <w:sz w:val="24"/>
                <w:szCs w:val="24"/>
                <w:highlight w:val="none"/>
                <w:lang w:val="en-US" w:eastAsia="zh-CN"/>
              </w:rPr>
              <w:t>供应商或产品制造商</w:t>
            </w:r>
            <w:r>
              <w:rPr>
                <w:rFonts w:hint="eastAsia" w:ascii="宋体" w:hAnsi="宋体" w:eastAsia="宋体" w:cs="宋体"/>
                <w:kern w:val="2"/>
                <w:sz w:val="24"/>
                <w:szCs w:val="24"/>
                <w:highlight w:val="none"/>
                <w:lang w:val="en-US" w:eastAsia="zh-CN" w:bidi="ar-SA"/>
              </w:rPr>
              <w:t>具有售后服务认证证书，5星级标准得2分，3星级标准得1分，未提供者不得分。</w:t>
            </w:r>
          </w:p>
          <w:p w14:paraId="080DF940">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（供应商须在响应文件中提供证书复印件，未提供或不在有效期内不得分）。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546FA12A">
            <w:pPr>
              <w:spacing w:line="300" w:lineRule="auto"/>
              <w:rPr>
                <w:rFonts w:hint="eastAsia" w:ascii="宋体" w:hAnsi="宋体" w:eastAsia="宋体" w:cs="宋体"/>
                <w:b w:val="0"/>
                <w:bCs/>
                <w:color w:val="auto"/>
                <w:sz w:val="24"/>
                <w:szCs w:val="24"/>
                <w:highlight w:val="none"/>
                <w:vertAlign w:val="baseline"/>
                <w:lang w:val="en-US" w:eastAsia="zh-CN"/>
              </w:rPr>
            </w:pPr>
          </w:p>
        </w:tc>
      </w:tr>
      <w:tr w14:paraId="5623F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vMerge w:val="continue"/>
            <w:tcBorders>
              <w:left w:val="single" w:color="auto" w:sz="4" w:space="0"/>
              <w:right w:val="single" w:color="auto" w:sz="4" w:space="0"/>
            </w:tcBorders>
            <w:shd w:val="clear" w:color="auto" w:fill="auto"/>
            <w:noWrap/>
            <w:vAlign w:val="center"/>
          </w:tcPr>
          <w:p w14:paraId="4FE9E6C7">
            <w:pPr>
              <w:keepNext w:val="0"/>
              <w:keepLines w:val="0"/>
              <w:pageBreakBefore w:val="0"/>
              <w:widowControl/>
              <w:kinsoku/>
              <w:overflowPunct/>
              <w:bidi w:val="0"/>
              <w:adjustRightInd/>
              <w:snapToGrid/>
              <w:spacing w:line="500" w:lineRule="exact"/>
              <w:textAlignment w:val="auto"/>
              <w:rPr>
                <w:rFonts w:hint="eastAsia" w:asciiTheme="minorEastAsia" w:hAnsiTheme="minorEastAsia" w:eastAsiaTheme="minorEastAsia" w:cstheme="minorEastAsia"/>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CF3C69E">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cs="宋体" w:eastAsiaTheme="minorEastAsia"/>
                <w:sz w:val="24"/>
                <w:highlight w:val="none"/>
                <w:lang w:eastAsia="zh-CN"/>
              </w:rPr>
            </w:pPr>
            <w:r>
              <w:rPr>
                <w:rFonts w:hint="eastAsia" w:asciiTheme="minorEastAsia" w:hAnsiTheme="minorEastAsia" w:eastAsiaTheme="minorEastAsia" w:cstheme="minorEastAsia"/>
                <w:sz w:val="24"/>
                <w:szCs w:val="24"/>
                <w:highlight w:val="none"/>
                <w:lang w:eastAsia="zh-CN"/>
              </w:rPr>
              <w:t>供应商业绩（</w:t>
            </w:r>
            <w:r>
              <w:rPr>
                <w:rFonts w:hint="eastAsia" w:asciiTheme="minorEastAsia" w:hAnsiTheme="minorEastAsia" w:eastAsiaTheme="minorEastAsia" w:cstheme="minorEastAsia"/>
                <w:sz w:val="24"/>
                <w:szCs w:val="24"/>
                <w:highlight w:val="none"/>
                <w:lang w:val="en-US" w:eastAsia="zh-CN"/>
              </w:rPr>
              <w:t>5分</w:t>
            </w:r>
            <w:r>
              <w:rPr>
                <w:rFonts w:hint="eastAsia" w:asciiTheme="minorEastAsia" w:hAnsiTheme="minorEastAsia" w:eastAsiaTheme="minorEastAsia" w:cstheme="minorEastAsia"/>
                <w:sz w:val="24"/>
                <w:szCs w:val="24"/>
                <w:highlight w:val="none"/>
                <w:lang w:eastAsia="zh-CN"/>
              </w:rPr>
              <w:t>）</w:t>
            </w:r>
          </w:p>
        </w:tc>
        <w:tc>
          <w:tcPr>
            <w:tcW w:w="3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B771224">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cs="宋体"/>
                <w:color w:val="auto"/>
                <w:kern w:val="0"/>
                <w:sz w:val="24"/>
                <w:szCs w:val="24"/>
                <w:highlight w:val="none"/>
                <w:lang w:val="en-US" w:eastAsia="zh-CN"/>
              </w:rPr>
              <w:t>供应商或产品制造商具</w:t>
            </w:r>
            <w:r>
              <w:rPr>
                <w:rFonts w:hint="eastAsia" w:ascii="宋体" w:hAnsi="宋体" w:eastAsia="宋体" w:cs="宋体"/>
                <w:color w:val="auto"/>
                <w:kern w:val="0"/>
                <w:sz w:val="24"/>
                <w:szCs w:val="24"/>
                <w:highlight w:val="none"/>
              </w:rPr>
              <w:t>有自20</w:t>
            </w:r>
            <w:r>
              <w:rPr>
                <w:rFonts w:hint="eastAsia" w:ascii="宋体" w:hAnsi="宋体" w:eastAsia="宋体" w:cs="宋体"/>
                <w:color w:val="auto"/>
                <w:kern w:val="0"/>
                <w:sz w:val="24"/>
                <w:szCs w:val="24"/>
                <w:highlight w:val="none"/>
                <w:lang w:val="en-US" w:eastAsia="zh-CN"/>
              </w:rPr>
              <w:t>2</w:t>
            </w: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年</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月1日（以合同签订时间为准）以来的同类</w:t>
            </w:r>
            <w:r>
              <w:rPr>
                <w:rFonts w:hint="eastAsia" w:ascii="宋体" w:hAnsi="宋体" w:eastAsia="宋体" w:cs="宋体"/>
                <w:color w:val="auto"/>
                <w:kern w:val="0"/>
                <w:sz w:val="24"/>
                <w:szCs w:val="24"/>
                <w:highlight w:val="none"/>
                <w:lang w:val="en-US" w:eastAsia="zh-CN"/>
              </w:rPr>
              <w:t>校园</w:t>
            </w:r>
            <w:r>
              <w:rPr>
                <w:rFonts w:hint="eastAsia" w:ascii="宋体" w:hAnsi="宋体" w:eastAsia="宋体" w:cs="宋体"/>
                <w:color w:val="auto"/>
                <w:kern w:val="0"/>
                <w:sz w:val="24"/>
                <w:szCs w:val="24"/>
                <w:highlight w:val="none"/>
              </w:rPr>
              <w:t>直饮水项目业绩，每个业绩得</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分，最高得</w:t>
            </w:r>
            <w:r>
              <w:rPr>
                <w:rFonts w:hint="eastAsia" w:ascii="宋体" w:hAnsi="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分</w:t>
            </w:r>
            <w:r>
              <w:rPr>
                <w:rFonts w:hint="eastAsia" w:ascii="宋体" w:hAnsi="宋体" w:eastAsia="宋体" w:cs="宋体"/>
                <w:color w:val="auto"/>
                <w:kern w:val="0"/>
                <w:sz w:val="24"/>
                <w:szCs w:val="24"/>
                <w:highlight w:val="none"/>
                <w:lang w:eastAsia="zh-CN"/>
              </w:rPr>
              <w:t>，</w:t>
            </w:r>
            <w:r>
              <w:rPr>
                <w:rFonts w:hint="eastAsia" w:ascii="宋体" w:hAnsi="宋体" w:cs="宋体"/>
                <w:sz w:val="24"/>
                <w:szCs w:val="24"/>
                <w:highlight w:val="none"/>
              </w:rPr>
              <w:t>响应文件中提供业绩合同复印件，磋商现场提供与复印件相一致的原件备查，时间以合同签订时间为准，合同内容不完整，内容模糊或未按上述要求提供不得分。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5F81F2F6">
            <w:pPr>
              <w:spacing w:line="300" w:lineRule="auto"/>
              <w:rPr>
                <w:rFonts w:hint="eastAsia" w:ascii="宋体" w:hAnsi="宋体" w:eastAsia="宋体" w:cs="宋体"/>
                <w:b w:val="0"/>
                <w:bCs/>
                <w:color w:val="auto"/>
                <w:sz w:val="24"/>
                <w:szCs w:val="24"/>
                <w:highlight w:val="none"/>
                <w:vertAlign w:val="baseline"/>
                <w:lang w:val="en-US" w:eastAsia="zh-CN"/>
              </w:rPr>
            </w:pPr>
          </w:p>
        </w:tc>
      </w:tr>
      <w:tr w14:paraId="264AB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566" w:type="pct"/>
            <w:vMerge w:val="restart"/>
            <w:tcBorders>
              <w:left w:val="single" w:color="auto" w:sz="4" w:space="0"/>
              <w:right w:val="single" w:color="auto" w:sz="4" w:space="0"/>
            </w:tcBorders>
            <w:noWrap/>
            <w:vAlign w:val="center"/>
          </w:tcPr>
          <w:p w14:paraId="4307A9A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技术部分（45分）</w:t>
            </w:r>
          </w:p>
        </w:tc>
        <w:tc>
          <w:tcPr>
            <w:tcW w:w="63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DD6CFAB">
            <w:pPr>
              <w:keepNext w:val="0"/>
              <w:keepLines w:val="0"/>
              <w:pageBreakBefore w:val="0"/>
              <w:widowControl w:val="0"/>
              <w:kinsoku/>
              <w:overflowPunct/>
              <w:bidi w:val="0"/>
              <w:adjustRightInd/>
              <w:spacing w:line="520" w:lineRule="exact"/>
              <w:jc w:val="center"/>
              <w:textAlignment w:val="auto"/>
              <w:rPr>
                <w:rFonts w:hint="default" w:ascii="宋体" w:hAnsi="宋体" w:eastAsia="宋体" w:cs="宋体"/>
                <w:kern w:val="2"/>
                <w:sz w:val="24"/>
                <w:szCs w:val="24"/>
                <w:highlight w:val="none"/>
                <w:lang w:val="en-US" w:eastAsia="zh-CN" w:bidi="ar-SA"/>
              </w:rPr>
            </w:pPr>
            <w:r>
              <w:rPr>
                <w:rFonts w:hint="eastAsia" w:ascii="宋体" w:hAnsi="宋体"/>
                <w:color w:val="auto"/>
                <w:sz w:val="24"/>
                <w:szCs w:val="24"/>
                <w:highlight w:val="none"/>
                <w:lang w:val="en-US" w:eastAsia="zh-CN"/>
              </w:rPr>
              <w:t>需求设计</w:t>
            </w:r>
            <w:r>
              <w:rPr>
                <w:rFonts w:hint="eastAsia" w:ascii="宋体" w:hAnsi="宋体"/>
                <w:color w:val="auto"/>
                <w:sz w:val="24"/>
                <w:szCs w:val="24"/>
                <w:highlight w:val="none"/>
              </w:rPr>
              <w:t>方案</w:t>
            </w:r>
            <w:r>
              <w:rPr>
                <w:rFonts w:hint="eastAsia" w:asciiTheme="minorEastAsia" w:hAnsiTheme="minorEastAsia" w:eastAsiaTheme="minorEastAsia" w:cstheme="minorEastAsia"/>
                <w:sz w:val="24"/>
                <w:szCs w:val="24"/>
                <w:highlight w:val="none"/>
                <w:lang w:val="en-US" w:eastAsia="zh-CN"/>
              </w:rPr>
              <w:t>（10分）</w:t>
            </w:r>
          </w:p>
        </w:tc>
        <w:tc>
          <w:tcPr>
            <w:tcW w:w="3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8DF5928">
            <w:pPr>
              <w:keepNext w:val="0"/>
              <w:keepLines w:val="0"/>
              <w:pageBreakBefore w:val="0"/>
              <w:widowControl w:val="0"/>
              <w:kinsoku/>
              <w:wordWrap w:val="0"/>
              <w:overflowPunct/>
              <w:topLinePunct w:val="0"/>
              <w:autoSpaceDE/>
              <w:autoSpaceDN/>
              <w:bidi w:val="0"/>
              <w:adjustRightInd/>
              <w:snapToGrid/>
              <w:spacing w:line="520" w:lineRule="exact"/>
              <w:ind w:firstLine="468" w:firstLineChars="195"/>
              <w:textAlignment w:val="auto"/>
              <w:rPr>
                <w:rFonts w:hint="eastAsia" w:ascii="宋体" w:hAnsi="宋体" w:eastAsia="宋体" w:cs="宋体"/>
                <w:kern w:val="2"/>
                <w:sz w:val="24"/>
                <w:szCs w:val="24"/>
                <w:highlight w:val="none"/>
                <w:lang w:val="en-US" w:eastAsia="zh-CN" w:bidi="ar-SA"/>
              </w:rPr>
            </w:pPr>
            <w:r>
              <w:rPr>
                <w:rFonts w:hint="eastAsia" w:ascii="宋体" w:hAnsi="宋体"/>
                <w:color w:val="auto"/>
                <w:sz w:val="24"/>
                <w:szCs w:val="24"/>
                <w:highlight w:val="none"/>
              </w:rPr>
              <w:t>能准确理解校方</w:t>
            </w:r>
            <w:r>
              <w:rPr>
                <w:rFonts w:hint="eastAsia" w:ascii="宋体" w:hAnsi="宋体"/>
                <w:color w:val="auto"/>
                <w:sz w:val="24"/>
                <w:szCs w:val="24"/>
                <w:highlight w:val="none"/>
                <w:lang w:val="en-US" w:eastAsia="zh-CN"/>
              </w:rPr>
              <w:t>用水</w:t>
            </w:r>
            <w:r>
              <w:rPr>
                <w:rFonts w:hint="eastAsia" w:ascii="宋体" w:hAnsi="宋体"/>
                <w:color w:val="auto"/>
                <w:sz w:val="24"/>
                <w:szCs w:val="24"/>
                <w:highlight w:val="none"/>
              </w:rPr>
              <w:t>需求，并根据校方实际情况提出设计方案（含水电改造）</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并提供详细投资组成方案</w:t>
            </w:r>
            <w:r>
              <w:rPr>
                <w:rFonts w:hint="eastAsia" w:ascii="宋体" w:hAnsi="宋体"/>
                <w:color w:val="auto"/>
                <w:sz w:val="24"/>
                <w:szCs w:val="24"/>
                <w:highlight w:val="none"/>
              </w:rPr>
              <w:t>，方案</w:t>
            </w:r>
            <w:r>
              <w:rPr>
                <w:rFonts w:hint="eastAsia" w:ascii="宋体" w:hAnsi="宋体"/>
                <w:color w:val="auto"/>
                <w:sz w:val="24"/>
                <w:szCs w:val="24"/>
                <w:highlight w:val="none"/>
                <w:lang w:val="en-US" w:eastAsia="zh-CN"/>
              </w:rPr>
              <w:t>内容详细、</w:t>
            </w:r>
            <w:r>
              <w:rPr>
                <w:rFonts w:hint="eastAsia" w:ascii="宋体" w:hAnsi="宋体"/>
                <w:color w:val="auto"/>
                <w:sz w:val="24"/>
                <w:szCs w:val="24"/>
                <w:highlight w:val="none"/>
              </w:rPr>
              <w:t>合理</w:t>
            </w:r>
            <w:r>
              <w:rPr>
                <w:rFonts w:hint="eastAsia" w:ascii="宋体" w:hAnsi="宋体"/>
                <w:color w:val="auto"/>
                <w:sz w:val="24"/>
                <w:szCs w:val="24"/>
                <w:highlight w:val="none"/>
                <w:lang w:eastAsia="zh-CN"/>
              </w:rPr>
              <w:t>、</w:t>
            </w:r>
            <w:r>
              <w:rPr>
                <w:rFonts w:hint="eastAsia" w:ascii="宋体" w:hAnsi="宋体"/>
                <w:color w:val="auto"/>
                <w:sz w:val="24"/>
                <w:szCs w:val="24"/>
                <w:highlight w:val="none"/>
              </w:rPr>
              <w:t>科学</w:t>
            </w:r>
            <w:r>
              <w:rPr>
                <w:rFonts w:hint="eastAsia" w:ascii="宋体" w:hAnsi="宋体"/>
                <w:color w:val="auto"/>
                <w:sz w:val="24"/>
                <w:szCs w:val="24"/>
                <w:highlight w:val="none"/>
                <w:lang w:val="en-US" w:eastAsia="zh-CN"/>
              </w:rPr>
              <w:t>得10分，</w:t>
            </w:r>
            <w:r>
              <w:rPr>
                <w:rFonts w:hint="eastAsia" w:ascii="宋体" w:hAnsi="宋体" w:eastAsia="宋体" w:cs="宋体"/>
                <w:color w:val="auto"/>
                <w:kern w:val="0"/>
                <w:sz w:val="24"/>
                <w:szCs w:val="24"/>
                <w:highlight w:val="none"/>
                <w:lang w:val="en-US" w:eastAsia="zh-CN"/>
              </w:rPr>
              <w:t>每存在一项不合理或劣势扣</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分，扣完为止</w:t>
            </w:r>
            <w:r>
              <w:rPr>
                <w:rFonts w:hint="eastAsia" w:ascii="宋体" w:hAnsi="宋体" w:cs="宋体"/>
                <w:color w:val="auto"/>
                <w:kern w:val="0"/>
                <w:sz w:val="24"/>
                <w:szCs w:val="24"/>
                <w:highlight w:val="none"/>
                <w:lang w:val="en-US" w:eastAsia="zh-CN"/>
              </w:rPr>
              <w:t>，</w:t>
            </w:r>
            <w:r>
              <w:rPr>
                <w:rFonts w:hint="eastAsia" w:ascii="宋体" w:hAnsi="宋体"/>
                <w:color w:val="auto"/>
                <w:sz w:val="24"/>
                <w:szCs w:val="24"/>
                <w:highlight w:val="none"/>
                <w:lang w:val="en-US" w:eastAsia="zh-CN"/>
              </w:rPr>
              <w:t>未提供不得分。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6E8D7DFA">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rPr>
            </w:pPr>
          </w:p>
        </w:tc>
      </w:tr>
      <w:tr w14:paraId="057D7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66" w:type="pct"/>
            <w:vMerge w:val="continue"/>
            <w:tcBorders>
              <w:left w:val="single" w:color="auto" w:sz="4" w:space="0"/>
              <w:right w:val="single" w:color="auto" w:sz="4" w:space="0"/>
            </w:tcBorders>
            <w:noWrap/>
            <w:vAlign w:val="center"/>
          </w:tcPr>
          <w:p w14:paraId="038B677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66ADC20">
            <w:pPr>
              <w:keepNext w:val="0"/>
              <w:keepLines w:val="0"/>
              <w:pageBreakBefore w:val="0"/>
              <w:widowControl w:val="0"/>
              <w:kinsoku/>
              <w:overflowPunct/>
              <w:bidi w:val="0"/>
              <w:adjustRightInd/>
              <w:spacing w:line="520" w:lineRule="exact"/>
              <w:jc w:val="center"/>
              <w:textAlignment w:val="auto"/>
              <w:rPr>
                <w:rFonts w:hint="eastAsia" w:asciiTheme="minorEastAsia" w:hAnsiTheme="minorEastAsia" w:eastAsiaTheme="minorEastAsia" w:cstheme="minorEastAsia"/>
                <w:sz w:val="24"/>
                <w:szCs w:val="24"/>
                <w:highlight w:val="none"/>
                <w:lang w:eastAsia="zh-CN"/>
              </w:rPr>
            </w:pPr>
            <w:r>
              <w:rPr>
                <w:rFonts w:hint="eastAsia" w:ascii="宋体" w:hAnsi="宋体"/>
                <w:color w:val="auto"/>
                <w:sz w:val="24"/>
                <w:szCs w:val="24"/>
                <w:highlight w:val="none"/>
                <w:lang w:val="en-US" w:eastAsia="zh-CN"/>
              </w:rPr>
              <w:t>产品性能</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10分</w:t>
            </w:r>
            <w:r>
              <w:rPr>
                <w:rFonts w:hint="eastAsia" w:asciiTheme="minorEastAsia" w:hAnsiTheme="minorEastAsia" w:eastAsiaTheme="minorEastAsia" w:cstheme="minorEastAsia"/>
                <w:sz w:val="24"/>
                <w:szCs w:val="24"/>
                <w:highlight w:val="none"/>
                <w:lang w:eastAsia="zh-CN"/>
              </w:rPr>
              <w:t>）</w:t>
            </w:r>
          </w:p>
        </w:tc>
        <w:tc>
          <w:tcPr>
            <w:tcW w:w="3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FF0E688">
            <w:pPr>
              <w:keepNext w:val="0"/>
              <w:keepLines w:val="0"/>
              <w:pageBreakBefore w:val="0"/>
              <w:widowControl w:val="0"/>
              <w:kinsoku/>
              <w:wordWrap w:val="0"/>
              <w:overflowPunct/>
              <w:topLinePunct w:val="0"/>
              <w:autoSpaceDE/>
              <w:autoSpaceDN/>
              <w:bidi w:val="0"/>
              <w:adjustRightInd/>
              <w:snapToGrid/>
              <w:spacing w:line="520" w:lineRule="exact"/>
              <w:ind w:firstLine="468" w:firstLineChars="195"/>
              <w:textAlignment w:val="auto"/>
              <w:rPr>
                <w:rFonts w:hint="eastAsia" w:asciiTheme="minorEastAsia" w:hAnsiTheme="minorEastAsia" w:eastAsiaTheme="minorEastAsia" w:cstheme="minorEastAsia"/>
                <w:sz w:val="24"/>
                <w:szCs w:val="24"/>
                <w:highlight w:val="none"/>
              </w:rPr>
            </w:pPr>
            <w:r>
              <w:rPr>
                <w:rFonts w:hint="eastAsia" w:ascii="宋体" w:hAnsi="宋体" w:eastAsia="宋体" w:cs="宋体"/>
                <w:color w:val="auto"/>
                <w:kern w:val="0"/>
                <w:sz w:val="24"/>
                <w:szCs w:val="24"/>
                <w:highlight w:val="none"/>
                <w:lang w:val="en-US" w:eastAsia="zh-CN"/>
              </w:rPr>
              <w:t>根据供应商提供的对</w:t>
            </w:r>
            <w:r>
              <w:rPr>
                <w:rFonts w:hint="eastAsia" w:ascii="宋体" w:hAnsi="宋体" w:eastAsia="宋体" w:cs="宋体"/>
                <w:color w:val="auto"/>
                <w:kern w:val="0"/>
                <w:sz w:val="24"/>
                <w:szCs w:val="24"/>
                <w:highlight w:val="none"/>
              </w:rPr>
              <w:t>本项目所投</w:t>
            </w:r>
            <w:r>
              <w:rPr>
                <w:rFonts w:hint="eastAsia" w:ascii="宋体" w:hAnsi="宋体" w:eastAsia="宋体" w:cs="宋体"/>
                <w:color w:val="auto"/>
                <w:kern w:val="0"/>
                <w:sz w:val="24"/>
                <w:szCs w:val="24"/>
                <w:highlight w:val="none"/>
                <w:lang w:val="en-US" w:eastAsia="zh-CN"/>
              </w:rPr>
              <w:t>设备选型</w:t>
            </w:r>
            <w:r>
              <w:rPr>
                <w:rFonts w:hint="eastAsia" w:ascii="宋体" w:hAnsi="宋体" w:eastAsia="宋体" w:cs="宋体"/>
                <w:color w:val="auto"/>
                <w:kern w:val="0"/>
                <w:sz w:val="24"/>
                <w:szCs w:val="24"/>
                <w:highlight w:val="none"/>
              </w:rPr>
              <w:t>技术</w:t>
            </w:r>
            <w:r>
              <w:rPr>
                <w:rFonts w:hint="eastAsia" w:ascii="宋体" w:hAnsi="宋体" w:eastAsia="宋体" w:cs="宋体"/>
                <w:color w:val="auto"/>
                <w:kern w:val="0"/>
                <w:sz w:val="24"/>
                <w:szCs w:val="24"/>
                <w:highlight w:val="none"/>
                <w:lang w:val="en-US" w:eastAsia="zh-CN"/>
              </w:rPr>
              <w:t>性能、配置</w:t>
            </w:r>
            <w:r>
              <w:rPr>
                <w:rFonts w:hint="eastAsia" w:ascii="宋体" w:hAnsi="宋体" w:eastAsia="宋体" w:cs="宋体"/>
                <w:color w:val="auto"/>
                <w:kern w:val="0"/>
                <w:sz w:val="24"/>
                <w:szCs w:val="24"/>
                <w:highlight w:val="none"/>
              </w:rPr>
              <w:t>符合</w:t>
            </w:r>
            <w:r>
              <w:rPr>
                <w:rFonts w:hint="eastAsia" w:ascii="宋体" w:hAnsi="宋体" w:eastAsia="宋体" w:cs="宋体"/>
                <w:color w:val="auto"/>
                <w:kern w:val="0"/>
                <w:sz w:val="24"/>
                <w:szCs w:val="24"/>
                <w:highlight w:val="none"/>
                <w:lang w:val="en-US" w:eastAsia="zh-CN"/>
              </w:rPr>
              <w:t>采购需求</w:t>
            </w:r>
            <w:r>
              <w:rPr>
                <w:rFonts w:hint="eastAsia" w:ascii="宋体" w:hAnsi="宋体" w:eastAsia="宋体" w:cs="宋体"/>
                <w:color w:val="auto"/>
                <w:kern w:val="0"/>
                <w:sz w:val="24"/>
                <w:szCs w:val="24"/>
                <w:highlight w:val="none"/>
              </w:rPr>
              <w:t>的得</w:t>
            </w: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分；</w:t>
            </w:r>
            <w:r>
              <w:rPr>
                <w:rFonts w:hint="eastAsia" w:ascii="宋体" w:hAnsi="宋体" w:eastAsia="宋体" w:cs="宋体"/>
                <w:color w:val="auto"/>
                <w:kern w:val="0"/>
                <w:sz w:val="24"/>
                <w:szCs w:val="24"/>
                <w:highlight w:val="none"/>
                <w:lang w:val="en-US" w:eastAsia="zh-CN"/>
              </w:rPr>
              <w:t>每存在一项不合理或劣势扣</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分，扣完为止</w:t>
            </w:r>
            <w:r>
              <w:rPr>
                <w:rFonts w:hint="eastAsia" w:ascii="宋体" w:hAnsi="宋体" w:cs="宋体"/>
                <w:color w:val="auto"/>
                <w:kern w:val="0"/>
                <w:sz w:val="24"/>
                <w:szCs w:val="24"/>
                <w:highlight w:val="none"/>
                <w:lang w:val="en-US" w:eastAsia="zh-CN"/>
              </w:rPr>
              <w:t>，</w:t>
            </w:r>
            <w:r>
              <w:rPr>
                <w:rFonts w:hint="eastAsia" w:ascii="宋体" w:hAnsi="宋体"/>
                <w:color w:val="auto"/>
                <w:sz w:val="24"/>
                <w:szCs w:val="24"/>
                <w:highlight w:val="none"/>
                <w:lang w:val="en-US" w:eastAsia="zh-CN"/>
              </w:rPr>
              <w:t>未提供不得分</w:t>
            </w:r>
            <w:r>
              <w:rPr>
                <w:rFonts w:hint="eastAsia" w:ascii="宋体" w:hAnsi="宋体" w:eastAsia="宋体" w:cs="宋体"/>
                <w:color w:val="auto"/>
                <w:kern w:val="0"/>
                <w:sz w:val="24"/>
                <w:szCs w:val="24"/>
                <w:highlight w:val="none"/>
              </w:rPr>
              <w:t>。</w:t>
            </w:r>
          </w:p>
        </w:tc>
        <w:tc>
          <w:tcPr>
            <w:tcW w:w="424" w:type="pct"/>
            <w:tcBorders>
              <w:top w:val="single" w:color="auto" w:sz="4" w:space="0"/>
              <w:left w:val="single" w:color="auto" w:sz="4" w:space="0"/>
              <w:bottom w:val="single" w:color="auto" w:sz="4" w:space="0"/>
              <w:right w:val="single" w:color="auto" w:sz="4" w:space="0"/>
            </w:tcBorders>
            <w:noWrap/>
            <w:vAlign w:val="center"/>
          </w:tcPr>
          <w:p w14:paraId="044CEE9A">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rPr>
            </w:pPr>
          </w:p>
        </w:tc>
      </w:tr>
      <w:tr w14:paraId="39063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66" w:type="pct"/>
            <w:vMerge w:val="continue"/>
            <w:tcBorders>
              <w:left w:val="single" w:color="auto" w:sz="4" w:space="0"/>
              <w:right w:val="single" w:color="auto" w:sz="4" w:space="0"/>
            </w:tcBorders>
            <w:noWrap/>
            <w:vAlign w:val="center"/>
          </w:tcPr>
          <w:p w14:paraId="4A6B4FD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C772F92">
            <w:pPr>
              <w:keepNext w:val="0"/>
              <w:keepLines w:val="0"/>
              <w:pageBreakBefore w:val="0"/>
              <w:widowControl w:val="0"/>
              <w:kinsoku/>
              <w:overflowPunct/>
              <w:bidi w:val="0"/>
              <w:adjustRightInd/>
              <w:spacing w:line="520" w:lineRule="exact"/>
              <w:jc w:val="center"/>
              <w:textAlignment w:val="auto"/>
              <w:rPr>
                <w:rFonts w:hint="eastAsia" w:ascii="宋体" w:hAnsi="宋体" w:eastAsia="宋体"/>
                <w:b/>
                <w:bCs/>
                <w:color w:val="auto"/>
                <w:sz w:val="24"/>
                <w:szCs w:val="24"/>
                <w:highlight w:val="none"/>
                <w:lang w:val="en-US" w:eastAsia="zh-CN"/>
              </w:rPr>
            </w:pPr>
            <w:r>
              <w:rPr>
                <w:rFonts w:hint="eastAsia" w:ascii="宋体" w:hAnsi="宋体" w:eastAsia="宋体" w:cs="宋体"/>
                <w:color w:val="auto"/>
                <w:kern w:val="0"/>
                <w:sz w:val="24"/>
                <w:szCs w:val="24"/>
                <w:highlight w:val="none"/>
              </w:rPr>
              <w:t>施工方案</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15分</w:t>
            </w:r>
            <w:r>
              <w:rPr>
                <w:rFonts w:hint="eastAsia" w:ascii="宋体" w:hAnsi="宋体" w:eastAsia="宋体" w:cs="宋体"/>
                <w:color w:val="auto"/>
                <w:kern w:val="0"/>
                <w:sz w:val="24"/>
                <w:szCs w:val="24"/>
                <w:highlight w:val="none"/>
                <w:lang w:eastAsia="zh-CN"/>
              </w:rPr>
              <w:t>）</w:t>
            </w:r>
          </w:p>
        </w:tc>
        <w:tc>
          <w:tcPr>
            <w:tcW w:w="3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C4691D6">
            <w:pPr>
              <w:keepNext w:val="0"/>
              <w:keepLines w:val="0"/>
              <w:pageBreakBefore w:val="0"/>
              <w:widowControl w:val="0"/>
              <w:kinsoku/>
              <w:wordWrap w:val="0"/>
              <w:overflowPunct/>
              <w:topLinePunct w:val="0"/>
              <w:autoSpaceDE/>
              <w:autoSpaceDN/>
              <w:bidi w:val="0"/>
              <w:adjustRightInd/>
              <w:snapToGrid/>
              <w:spacing w:line="520" w:lineRule="exact"/>
              <w:ind w:firstLine="468" w:firstLineChars="195"/>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根据施工安装方案的详细、实用、合理性，方案中关于设备、人员投入的合理性，安装过程中各环节的衔接程度，安装工作协调措施、质量保证措施、安装进度计划及安装现场的管理,方案优化、后期运营可靠性、稳定性的保障措施等进行评审，整体优者得10分，每存在一项不合理或劣势扣1分，扣完为止；</w:t>
            </w:r>
          </w:p>
          <w:p w14:paraId="69E45A1B">
            <w:pPr>
              <w:keepNext w:val="0"/>
              <w:keepLines w:val="0"/>
              <w:pageBreakBefore w:val="0"/>
              <w:widowControl w:val="0"/>
              <w:kinsoku/>
              <w:wordWrap w:val="0"/>
              <w:overflowPunct/>
              <w:topLinePunct w:val="0"/>
              <w:autoSpaceDE/>
              <w:autoSpaceDN/>
              <w:bidi w:val="0"/>
              <w:adjustRightInd/>
              <w:snapToGrid/>
              <w:spacing w:line="520" w:lineRule="exact"/>
              <w:ind w:firstLine="468" w:firstLineChars="195"/>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拟派现场人员经验丰富，能随时解决现场发生的问题，人员配备充足、从业经验丰富、专业能力强得5分，每存在一处劣势或不足扣1分，扣完为止。</w:t>
            </w:r>
          </w:p>
        </w:tc>
        <w:tc>
          <w:tcPr>
            <w:tcW w:w="424" w:type="pct"/>
            <w:tcBorders>
              <w:top w:val="single" w:color="auto" w:sz="4" w:space="0"/>
              <w:left w:val="single" w:color="auto" w:sz="4" w:space="0"/>
              <w:bottom w:val="single" w:color="auto" w:sz="4" w:space="0"/>
              <w:right w:val="single" w:color="auto" w:sz="4" w:space="0"/>
            </w:tcBorders>
            <w:noWrap/>
            <w:vAlign w:val="center"/>
          </w:tcPr>
          <w:p w14:paraId="668B4248">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rPr>
            </w:pPr>
          </w:p>
        </w:tc>
      </w:tr>
      <w:tr w14:paraId="48073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66" w:type="pct"/>
            <w:vMerge w:val="continue"/>
            <w:tcBorders>
              <w:left w:val="single" w:color="auto" w:sz="4" w:space="0"/>
              <w:right w:val="single" w:color="auto" w:sz="4" w:space="0"/>
            </w:tcBorders>
            <w:noWrap/>
            <w:vAlign w:val="center"/>
          </w:tcPr>
          <w:p w14:paraId="0F2FFC5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val="0"/>
                <w:bCs/>
                <w:color w:val="auto"/>
                <w:sz w:val="24"/>
                <w:szCs w:val="24"/>
                <w:highlight w:val="none"/>
                <w:lang w:val="en-US" w:eastAsia="zh-CN"/>
              </w:rPr>
            </w:pPr>
          </w:p>
        </w:tc>
        <w:tc>
          <w:tcPr>
            <w:tcW w:w="63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94F5B6A">
            <w:pPr>
              <w:keepNext w:val="0"/>
              <w:keepLines w:val="0"/>
              <w:pageBreakBefore w:val="0"/>
              <w:widowControl w:val="0"/>
              <w:kinsoku/>
              <w:overflowPunct/>
              <w:bidi w:val="0"/>
              <w:adjustRightInd/>
              <w:spacing w:line="520" w:lineRule="exact"/>
              <w:jc w:val="center"/>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饮水设备相关认证（10分）</w:t>
            </w:r>
          </w:p>
        </w:tc>
        <w:tc>
          <w:tcPr>
            <w:tcW w:w="3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ECC0CB1">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GB"/>
              </w:rPr>
              <w:t>投标品牌直饮水制水主机设备具有卫生许可批件得</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val="en-GB"/>
              </w:rPr>
              <w:t>分；</w:t>
            </w:r>
          </w:p>
          <w:p w14:paraId="5D3BB559">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投标品牌</w:t>
            </w:r>
            <w:r>
              <w:rPr>
                <w:rFonts w:hint="eastAsia" w:ascii="宋体" w:hAnsi="宋体" w:eastAsia="宋体" w:cs="宋体"/>
                <w:color w:val="auto"/>
                <w:kern w:val="0"/>
                <w:sz w:val="24"/>
                <w:szCs w:val="24"/>
                <w:highlight w:val="none"/>
                <w:lang w:val="en-US" w:eastAsia="zh-CN"/>
              </w:rPr>
              <w:t>饮水</w:t>
            </w:r>
            <w:r>
              <w:rPr>
                <w:rFonts w:hint="eastAsia" w:ascii="宋体" w:hAnsi="宋体" w:eastAsia="宋体" w:cs="宋体"/>
                <w:color w:val="auto"/>
                <w:kern w:val="0"/>
                <w:sz w:val="24"/>
                <w:szCs w:val="24"/>
                <w:highlight w:val="none"/>
              </w:rPr>
              <w:t>设备具有卫生许可批件</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分；</w:t>
            </w:r>
          </w:p>
          <w:p w14:paraId="51B94482">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投标品牌反渗透直饮机设备具有卫生许可批件、CQC产品认证证书的得</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分；</w:t>
            </w:r>
            <w:r>
              <w:rPr>
                <w:rFonts w:hint="eastAsia" w:ascii="宋体" w:hAnsi="宋体" w:eastAsia="宋体" w:cs="宋体"/>
                <w:color w:val="auto"/>
                <w:kern w:val="0"/>
                <w:sz w:val="24"/>
                <w:szCs w:val="24"/>
                <w:highlight w:val="none"/>
                <w:lang w:eastAsia="zh-CN"/>
              </w:rPr>
              <w:t>缺一项不得分；</w:t>
            </w:r>
          </w:p>
          <w:p w14:paraId="0B528DF9">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投标品牌反渗透直饮机设备具有食品接触产品安全认证证书，得</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分；</w:t>
            </w:r>
          </w:p>
          <w:p w14:paraId="7F056558">
            <w:pPr>
              <w:keepNext w:val="0"/>
              <w:keepLines w:val="0"/>
              <w:pageBreakBefore w:val="0"/>
              <w:widowControl/>
              <w:kinsoku/>
              <w:wordWrap/>
              <w:overflowPunct/>
              <w:topLinePunct w:val="0"/>
              <w:autoSpaceDE/>
              <w:autoSpaceDN/>
              <w:bidi w:val="0"/>
              <w:adjustRightInd/>
              <w:snapToGrid/>
              <w:spacing w:line="500" w:lineRule="exact"/>
              <w:ind w:left="0" w:leftChars="0" w:firstLine="398" w:firstLineChars="166"/>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5</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投标品牌反渗透直饮机设备水效等级为Ⅰ级，并提供中国节水产品认证证书，得</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分</w:t>
            </w:r>
            <w:r>
              <w:rPr>
                <w:rFonts w:hint="eastAsia" w:ascii="宋体" w:hAnsi="宋体" w:eastAsia="宋体" w:cs="宋体"/>
                <w:color w:val="auto"/>
                <w:kern w:val="0"/>
                <w:sz w:val="24"/>
                <w:szCs w:val="24"/>
                <w:highlight w:val="none"/>
                <w:lang w:eastAsia="zh-CN"/>
              </w:rPr>
              <w:t>。</w:t>
            </w:r>
          </w:p>
          <w:p w14:paraId="75D03A8E">
            <w:pPr>
              <w:keepNext w:val="0"/>
              <w:keepLines w:val="0"/>
              <w:pageBreakBefore w:val="0"/>
              <w:widowControl w:val="0"/>
              <w:kinsoku/>
              <w:wordWrap w:val="0"/>
              <w:overflowPunct/>
              <w:topLinePunct w:val="0"/>
              <w:autoSpaceDE/>
              <w:autoSpaceDN/>
              <w:bidi w:val="0"/>
              <w:adjustRightInd/>
              <w:snapToGrid/>
              <w:spacing w:line="520" w:lineRule="exact"/>
              <w:ind w:firstLine="468" w:firstLineChars="195"/>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响应文件中提供上述材料复印件，未提供不得分。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44AF80E3">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rPr>
            </w:pPr>
          </w:p>
        </w:tc>
      </w:tr>
      <w:tr w14:paraId="51448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566" w:type="pct"/>
            <w:tcBorders>
              <w:left w:val="single" w:color="auto" w:sz="4" w:space="0"/>
              <w:right w:val="single" w:color="auto" w:sz="4" w:space="0"/>
            </w:tcBorders>
            <w:noWrap/>
            <w:vAlign w:val="center"/>
          </w:tcPr>
          <w:p w14:paraId="44C62F1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lang w:val="en-US" w:eastAsia="zh-CN"/>
              </w:rPr>
              <w:t>服务部分</w:t>
            </w:r>
            <w:r>
              <w:rPr>
                <w:rFonts w:hint="eastAsia" w:ascii="宋体" w:hAnsi="宋体" w:cs="宋体"/>
                <w:color w:val="auto"/>
                <w:sz w:val="24"/>
                <w:highlight w:val="none"/>
                <w:lang w:val="en-US" w:eastAsia="zh-CN"/>
              </w:rPr>
              <w:t>（15分）</w:t>
            </w:r>
          </w:p>
        </w:tc>
        <w:tc>
          <w:tcPr>
            <w:tcW w:w="631" w:type="pct"/>
            <w:tcBorders>
              <w:top w:val="single" w:color="auto" w:sz="4" w:space="0"/>
              <w:left w:val="single" w:color="auto" w:sz="4" w:space="0"/>
              <w:right w:val="single" w:color="auto" w:sz="4" w:space="0"/>
            </w:tcBorders>
            <w:shd w:val="clear" w:color="auto" w:fill="auto"/>
            <w:noWrap/>
            <w:vAlign w:val="center"/>
          </w:tcPr>
          <w:p w14:paraId="622558FF">
            <w:pPr>
              <w:keepNext w:val="0"/>
              <w:keepLines w:val="0"/>
              <w:pageBreakBefore w:val="0"/>
              <w:widowControl w:val="0"/>
              <w:kinsoku/>
              <w:overflowPunct/>
              <w:bidi w:val="0"/>
              <w:adjustRightInd/>
              <w:spacing w:line="520" w:lineRule="exact"/>
              <w:textAlignment w:val="auto"/>
              <w:rPr>
                <w:rFonts w:hint="default" w:ascii="宋体" w:hAnsi="宋体" w:eastAsia="宋体" w:cs="宋体"/>
                <w:kern w:val="2"/>
                <w:sz w:val="24"/>
                <w:szCs w:val="24"/>
                <w:highlight w:val="none"/>
                <w:lang w:val="en-US" w:eastAsia="zh-CN" w:bidi="ar-SA"/>
              </w:rPr>
            </w:pPr>
            <w:r>
              <w:rPr>
                <w:rFonts w:hint="eastAsia" w:asciiTheme="minorEastAsia" w:hAnsiTheme="minorEastAsia" w:eastAsiaTheme="minorEastAsia" w:cstheme="minorEastAsia"/>
                <w:sz w:val="24"/>
                <w:szCs w:val="24"/>
                <w:highlight w:val="none"/>
              </w:rPr>
              <w:t>运营</w:t>
            </w:r>
            <w:r>
              <w:rPr>
                <w:rFonts w:hint="eastAsia" w:asciiTheme="minorEastAsia" w:hAnsiTheme="minorEastAsia" w:eastAsiaTheme="minorEastAsia" w:cstheme="minorEastAsia"/>
                <w:sz w:val="24"/>
                <w:szCs w:val="24"/>
                <w:highlight w:val="none"/>
                <w:lang w:val="en-US" w:eastAsia="zh-CN"/>
              </w:rPr>
              <w:t>服务</w:t>
            </w:r>
            <w:r>
              <w:rPr>
                <w:rFonts w:hint="eastAsia" w:ascii="宋体" w:hAnsi="宋体" w:cs="宋体"/>
                <w:sz w:val="24"/>
                <w:highlight w:val="none"/>
              </w:rPr>
              <w:t>（</w:t>
            </w:r>
            <w:r>
              <w:rPr>
                <w:rFonts w:hint="eastAsia" w:ascii="宋体" w:hAnsi="宋体" w:cs="宋体"/>
                <w:sz w:val="24"/>
                <w:highlight w:val="none"/>
                <w:lang w:val="en-US" w:eastAsia="zh-CN"/>
              </w:rPr>
              <w:t>15</w:t>
            </w:r>
            <w:r>
              <w:rPr>
                <w:rFonts w:hint="eastAsia" w:ascii="宋体" w:hAnsi="宋体" w:cs="宋体"/>
                <w:sz w:val="24"/>
                <w:highlight w:val="none"/>
              </w:rPr>
              <w:t>分）</w:t>
            </w:r>
          </w:p>
        </w:tc>
        <w:tc>
          <w:tcPr>
            <w:tcW w:w="3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806431">
            <w:pPr>
              <w:keepNext w:val="0"/>
              <w:keepLines w:val="0"/>
              <w:pageBreakBefore w:val="0"/>
              <w:widowControl w:val="0"/>
              <w:kinsoku/>
              <w:wordWrap w:val="0"/>
              <w:overflowPunct/>
              <w:topLinePunct w:val="0"/>
              <w:autoSpaceDE/>
              <w:autoSpaceDN/>
              <w:bidi w:val="0"/>
              <w:adjustRightInd/>
              <w:snapToGrid/>
              <w:spacing w:line="520" w:lineRule="exact"/>
              <w:ind w:firstLine="468" w:firstLineChars="195"/>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1、根据响应文件中是否有完善的技术维护服务管理制度和规定，确保水质检测、滤芯更换、设备巡检维护记录及时公示公告（提供运行管理维护制度），内容详细、制度完善得5分，每存在一项不合理或劣势扣1分，扣完为止；</w:t>
            </w:r>
          </w:p>
          <w:p w14:paraId="527380A7">
            <w:pPr>
              <w:keepNext w:val="0"/>
              <w:keepLines w:val="0"/>
              <w:pageBreakBefore w:val="0"/>
              <w:widowControl w:val="0"/>
              <w:kinsoku/>
              <w:wordWrap w:val="0"/>
              <w:overflowPunct/>
              <w:topLinePunct w:val="0"/>
              <w:autoSpaceDE/>
              <w:autoSpaceDN/>
              <w:bidi w:val="0"/>
              <w:adjustRightInd/>
              <w:snapToGrid/>
              <w:spacing w:line="520" w:lineRule="exact"/>
              <w:ind w:firstLine="468" w:firstLineChars="195"/>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2、根据响应文件中是否有提供24小时驻校技术维护服务，有运行报修服务热线，有针对突发事件处置预案、针对学生主动服务措施等，内容详细完善得5分，每存在一项不合理或劣势扣1分，扣完为止；</w:t>
            </w:r>
          </w:p>
          <w:p w14:paraId="14EB172C">
            <w:pPr>
              <w:keepNext w:val="0"/>
              <w:keepLines w:val="0"/>
              <w:pageBreakBefore w:val="0"/>
              <w:widowControl w:val="0"/>
              <w:kinsoku/>
              <w:wordWrap w:val="0"/>
              <w:overflowPunct/>
              <w:topLinePunct w:val="0"/>
              <w:autoSpaceDE/>
              <w:autoSpaceDN/>
              <w:bidi w:val="0"/>
              <w:adjustRightInd/>
              <w:snapToGrid/>
              <w:spacing w:line="520" w:lineRule="exact"/>
              <w:ind w:firstLine="468" w:firstLineChars="195"/>
              <w:textAlignment w:val="auto"/>
              <w:rPr>
                <w:rFonts w:hint="eastAsia" w:ascii="宋体" w:hAnsi="宋体" w:eastAsia="宋体" w:cs="宋体"/>
                <w:kern w:val="2"/>
                <w:sz w:val="21"/>
                <w:szCs w:val="24"/>
                <w:highlight w:val="none"/>
                <w:lang w:val="zh-CN" w:eastAsia="zh-CN" w:bidi="ar-SA"/>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val="zh-CN" w:eastAsia="zh-CN"/>
              </w:rPr>
              <w:t>根据运营单位是否备有足够的备用设备配件，故障响应迅速，维修排除时间，内容详细完善得5分，每存在一项不合理或劣势扣1分，扣完为止。</w:t>
            </w:r>
          </w:p>
        </w:tc>
        <w:tc>
          <w:tcPr>
            <w:tcW w:w="424" w:type="pct"/>
            <w:tcBorders>
              <w:top w:val="single" w:color="auto" w:sz="4" w:space="0"/>
              <w:left w:val="single" w:color="auto" w:sz="4" w:space="0"/>
              <w:right w:val="single" w:color="auto" w:sz="4" w:space="0"/>
            </w:tcBorders>
            <w:noWrap/>
            <w:vAlign w:val="center"/>
          </w:tcPr>
          <w:p w14:paraId="42953160">
            <w:pPr>
              <w:numPr>
                <w:ilvl w:val="0"/>
                <w:numId w:val="0"/>
              </w:numPr>
              <w:spacing w:line="300" w:lineRule="auto"/>
              <w:rPr>
                <w:rFonts w:hint="eastAsia" w:ascii="宋体" w:hAnsi="宋体" w:eastAsia="宋体" w:cs="宋体"/>
                <w:b w:val="0"/>
                <w:bCs/>
                <w:color w:val="auto"/>
                <w:sz w:val="24"/>
                <w:szCs w:val="24"/>
                <w:highlight w:val="none"/>
                <w:lang w:val="en-US" w:eastAsia="zh-CN"/>
              </w:rPr>
            </w:pPr>
          </w:p>
        </w:tc>
      </w:tr>
    </w:tbl>
    <w:p w14:paraId="6C544DC7">
      <w:pPr>
        <w:bidi w:val="0"/>
        <w:rPr>
          <w:rFonts w:hint="eastAsia"/>
          <w:highlight w:val="none"/>
        </w:rPr>
      </w:pPr>
      <w:r>
        <w:rPr>
          <w:rFonts w:hint="eastAsia"/>
          <w:highlight w:val="none"/>
        </w:rPr>
        <w:t>说明：该表的位置应封装在</w:t>
      </w:r>
      <w:r>
        <w:rPr>
          <w:rFonts w:hint="eastAsia"/>
          <w:highlight w:val="none"/>
          <w:lang w:eastAsia="zh-CN"/>
        </w:rPr>
        <w:t>响应文件</w:t>
      </w:r>
      <w:r>
        <w:rPr>
          <w:rFonts w:hint="eastAsia"/>
          <w:highlight w:val="none"/>
        </w:rPr>
        <w:t>（响应文件）目录之前。</w:t>
      </w:r>
    </w:p>
    <w:p w14:paraId="7A90BD5C">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C27FD03">
      <w:pPr>
        <w:pStyle w:val="4"/>
        <w:spacing w:before="0" w:line="360" w:lineRule="auto"/>
        <w:ind w:left="774" w:hanging="774" w:hangingChars="257"/>
        <w:rPr>
          <w:rFonts w:ascii="宋体" w:hAnsi="宋体" w:eastAsia="宋体" w:cs="宋体"/>
          <w:color w:val="000000" w:themeColor="text1"/>
          <w:highlight w:val="none"/>
          <w14:textFill>
            <w14:solidFill>
              <w14:schemeClr w14:val="tx1"/>
            </w14:solidFill>
          </w14:textFill>
        </w:rPr>
      </w:pPr>
      <w:bookmarkStart w:id="295" w:name="_Toc26886"/>
      <w:r>
        <w:rPr>
          <w:rFonts w:hint="eastAsia" w:ascii="宋体" w:hAnsi="宋体" w:eastAsia="宋体" w:cs="宋体"/>
          <w:color w:val="000000" w:themeColor="text1"/>
          <w:highlight w:val="none"/>
          <w:lang w:val="en-US" w:eastAsia="zh-CN"/>
          <w14:textFill>
            <w14:solidFill>
              <w14:schemeClr w14:val="tx1"/>
            </w14:solidFill>
          </w14:textFill>
        </w:rPr>
        <w:t>三</w:t>
      </w:r>
      <w:r>
        <w:rPr>
          <w:rFonts w:hint="eastAsia" w:ascii="宋体" w:hAnsi="宋体" w:eastAsia="宋体" w:cs="宋体"/>
          <w:color w:val="000000" w:themeColor="text1"/>
          <w:highlight w:val="none"/>
          <w14:textFill>
            <w14:solidFill>
              <w14:schemeClr w14:val="tx1"/>
            </w14:solidFill>
          </w14:textFill>
        </w:rPr>
        <w:t>、报价一览表</w:t>
      </w:r>
      <w:bookmarkEnd w:id="289"/>
      <w:bookmarkEnd w:id="290"/>
      <w:bookmarkEnd w:id="295"/>
    </w:p>
    <w:p w14:paraId="128331C4">
      <w:pPr>
        <w:pStyle w:val="5"/>
        <w:rPr>
          <w:rFonts w:hAnsi="宋体" w:cs="宋体"/>
          <w:color w:val="000000" w:themeColor="text1"/>
          <w:highlight w:val="none"/>
          <w14:textFill>
            <w14:solidFill>
              <w14:schemeClr w14:val="tx1"/>
            </w14:solidFill>
          </w14:textFill>
        </w:rPr>
      </w:pPr>
      <w:bookmarkStart w:id="296" w:name="_Hlt520356241"/>
      <w:bookmarkEnd w:id="296"/>
      <w:bookmarkStart w:id="297" w:name="_Toc8072"/>
      <w:bookmarkStart w:id="298" w:name="_Toc26709"/>
      <w:bookmarkStart w:id="299" w:name="_Toc15886"/>
      <w:bookmarkStart w:id="300" w:name="_Toc480942349"/>
      <w:bookmarkStart w:id="301" w:name="_Ref467988698"/>
      <w:bookmarkStart w:id="302" w:name="_Toc216582813"/>
      <w:bookmarkStart w:id="303" w:name="_Toc520356217"/>
      <w:r>
        <w:rPr>
          <w:rFonts w:hint="eastAsia" w:hAnsi="宋体" w:cs="宋体"/>
          <w:color w:val="000000" w:themeColor="text1"/>
          <w:highlight w:val="none"/>
          <w:u w:val="none"/>
          <w14:textFill>
            <w14:solidFill>
              <w14:schemeClr w14:val="tx1"/>
            </w14:solidFill>
          </w14:textFill>
        </w:rPr>
        <w:t>1.报价一览表</w:t>
      </w:r>
      <w:r>
        <w:rPr>
          <w:rFonts w:hint="eastAsia" w:hAnsi="宋体" w:cs="宋体"/>
          <w:color w:val="000000" w:themeColor="text1"/>
          <w:highlight w:val="none"/>
          <w14:textFill>
            <w14:solidFill>
              <w14:schemeClr w14:val="tx1"/>
            </w14:solidFill>
          </w14:textFill>
        </w:rPr>
        <w:cr/>
      </w:r>
      <w:bookmarkEnd w:id="297"/>
      <w:bookmarkEnd w:id="298"/>
      <w:bookmarkEnd w:id="299"/>
    </w:p>
    <w:p w14:paraId="1DCFD59C">
      <w:pPr>
        <w:tabs>
          <w:tab w:val="left" w:pos="1800"/>
          <w:tab w:val="left" w:pos="5580"/>
        </w:tabs>
        <w:spacing w:line="320" w:lineRule="exact"/>
        <w:ind w:right="-867" w:rightChars="-413"/>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项目编号、包号：                                报价单位：人民币元</w:t>
      </w:r>
    </w:p>
    <w:p w14:paraId="27607EA6">
      <w:pPr>
        <w:spacing w:line="360" w:lineRule="auto"/>
        <w:rPr>
          <w:rFonts w:ascii="宋体" w:hAnsi="宋体" w:cs="宋体"/>
          <w:color w:val="000000" w:themeColor="text1"/>
          <w:sz w:val="24"/>
          <w:highlight w:val="none"/>
          <w14:textFill>
            <w14:solidFill>
              <w14:schemeClr w14:val="tx1"/>
            </w14:solidFill>
          </w14:textFill>
        </w:rPr>
      </w:pPr>
      <w:bookmarkStart w:id="304" w:name="_Hlk35353187"/>
      <w:r>
        <w:rPr>
          <w:rFonts w:hint="eastAsia" w:ascii="宋体" w:hAnsi="宋体" w:cs="宋体"/>
          <w:color w:val="000000" w:themeColor="text1"/>
          <w:sz w:val="24"/>
          <w:highlight w:val="none"/>
          <w14:textFill>
            <w14:solidFill>
              <w14:schemeClr w14:val="tx1"/>
            </w14:solidFill>
          </w14:textFill>
        </w:rPr>
        <w:t xml:space="preserve"> </w:t>
      </w:r>
    </w:p>
    <w:tbl>
      <w:tblPr>
        <w:tblStyle w:val="32"/>
        <w:tblW w:w="9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7897"/>
      </w:tblGrid>
      <w:tr w14:paraId="3C947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9420" w:type="dxa"/>
            <w:gridSpan w:val="2"/>
            <w:vAlign w:val="center"/>
          </w:tcPr>
          <w:p w14:paraId="5B4D1F08">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w:t>
            </w:r>
          </w:p>
        </w:tc>
      </w:tr>
      <w:tr w14:paraId="60C68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523" w:type="dxa"/>
            <w:vAlign w:val="center"/>
          </w:tcPr>
          <w:p w14:paraId="603DA488">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报价</w:t>
            </w:r>
          </w:p>
        </w:tc>
        <w:tc>
          <w:tcPr>
            <w:tcW w:w="7897" w:type="dxa"/>
            <w:vAlign w:val="center"/>
          </w:tcPr>
          <w:p w14:paraId="2579BD39">
            <w:pPr>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直饮热水：     元/升；</w:t>
            </w:r>
          </w:p>
          <w:p w14:paraId="110F44F5">
            <w:pPr>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直饮</w:t>
            </w:r>
            <w:r>
              <w:rPr>
                <w:rFonts w:hint="eastAsia" w:ascii="宋体" w:hAnsi="宋体" w:cs="宋体"/>
                <w:color w:val="000000" w:themeColor="text1"/>
                <w:sz w:val="24"/>
                <w:highlight w:val="none"/>
                <w:lang w:val="en-US" w:eastAsia="zh-CN"/>
                <w14:textFill>
                  <w14:solidFill>
                    <w14:schemeClr w14:val="tx1"/>
                  </w14:solidFill>
                </w14:textFill>
              </w:rPr>
              <w:t>凉</w:t>
            </w:r>
            <w:r>
              <w:rPr>
                <w:rFonts w:hint="eastAsia" w:ascii="宋体" w:hAnsi="宋体" w:cs="宋体"/>
                <w:color w:val="000000" w:themeColor="text1"/>
                <w:sz w:val="24"/>
                <w:highlight w:val="none"/>
                <w14:textFill>
                  <w14:solidFill>
                    <w14:schemeClr w14:val="tx1"/>
                  </w14:solidFill>
                </w14:textFill>
              </w:rPr>
              <w:t>水：     元/升。</w:t>
            </w:r>
          </w:p>
        </w:tc>
      </w:tr>
      <w:tr w14:paraId="5AB70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9420" w:type="dxa"/>
            <w:gridSpan w:val="2"/>
            <w:vAlign w:val="center"/>
          </w:tcPr>
          <w:p w14:paraId="10B5CBBF">
            <w:pPr>
              <w:spacing w:line="360" w:lineRule="auto"/>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项目负责人：                            联系方式：</w:t>
            </w:r>
          </w:p>
        </w:tc>
      </w:tr>
      <w:tr w14:paraId="0703C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420" w:type="dxa"/>
            <w:gridSpan w:val="2"/>
            <w:vAlign w:val="center"/>
          </w:tcPr>
          <w:p w14:paraId="09EE1D04">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工期</w:t>
            </w:r>
            <w:r>
              <w:rPr>
                <w:rFonts w:hint="eastAsia" w:ascii="宋体" w:hAnsi="宋体" w:cs="宋体"/>
                <w:color w:val="000000" w:themeColor="text1"/>
                <w:sz w:val="24"/>
                <w:highlight w:val="none"/>
                <w14:textFill>
                  <w14:solidFill>
                    <w14:schemeClr w14:val="tx1"/>
                  </w14:solidFill>
                </w14:textFill>
              </w:rPr>
              <w:t>承诺：</w:t>
            </w:r>
          </w:p>
        </w:tc>
      </w:tr>
      <w:tr w14:paraId="59A98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9420" w:type="dxa"/>
            <w:gridSpan w:val="2"/>
            <w:vAlign w:val="center"/>
          </w:tcPr>
          <w:p w14:paraId="7D4F4E57">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其他</w:t>
            </w:r>
            <w:r>
              <w:rPr>
                <w:rFonts w:hint="eastAsia" w:ascii="宋体" w:hAnsi="宋体" w:cs="宋体"/>
                <w:color w:val="000000" w:themeColor="text1"/>
                <w:sz w:val="24"/>
                <w:highlight w:val="none"/>
                <w14:textFill>
                  <w14:solidFill>
                    <w14:schemeClr w14:val="tx1"/>
                  </w14:solidFill>
                </w14:textFill>
              </w:rPr>
              <w:t>承诺：</w:t>
            </w:r>
          </w:p>
        </w:tc>
      </w:tr>
    </w:tbl>
    <w:p w14:paraId="1BF8E287">
      <w:pPr>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w:t>
      </w:r>
    </w:p>
    <w:bookmarkEnd w:id="304"/>
    <w:p w14:paraId="6F6F5DA2">
      <w:pPr>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1</w:t>
      </w:r>
      <w:r>
        <w:rPr>
          <w:rFonts w:hint="eastAsia" w:ascii="宋体" w:hAnsi="宋体" w:eastAsia="宋体" w:cs="宋体"/>
          <w:color w:val="000000" w:themeColor="text1"/>
          <w:sz w:val="24"/>
          <w:highlight w:val="none"/>
          <w14:textFill>
            <w14:solidFill>
              <w14:schemeClr w14:val="tx1"/>
            </w14:solidFill>
          </w14:textFill>
        </w:rPr>
        <w:t>、报价一览表中服务报价不得超过磋商文件规定的最高限价。</w:t>
      </w:r>
    </w:p>
    <w:p w14:paraId="031087AE">
      <w:pPr>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2</w:t>
      </w:r>
      <w:r>
        <w:rPr>
          <w:rFonts w:hint="eastAsia" w:ascii="宋体" w:hAnsi="宋体" w:eastAsia="宋体" w:cs="宋体"/>
          <w:color w:val="000000" w:themeColor="text1"/>
          <w:sz w:val="24"/>
          <w:highlight w:val="none"/>
          <w14:textFill>
            <w14:solidFill>
              <w14:schemeClr w14:val="tx1"/>
            </w14:solidFill>
          </w14:textFill>
        </w:rPr>
        <w:t>、本表一式三份单独密封。</w:t>
      </w:r>
    </w:p>
    <w:p w14:paraId="3BE2AA20">
      <w:pPr>
        <w:pStyle w:val="10"/>
        <w:rPr>
          <w:rFonts w:hint="eastAsia" w:ascii="宋体" w:hAnsi="宋体" w:eastAsia="宋体" w:cs="宋体"/>
          <w:color w:val="000000" w:themeColor="text1"/>
          <w:sz w:val="24"/>
          <w:highlight w:val="none"/>
          <w14:textFill>
            <w14:solidFill>
              <w14:schemeClr w14:val="tx1"/>
            </w14:solidFill>
          </w14:textFill>
        </w:rPr>
      </w:pPr>
    </w:p>
    <w:p w14:paraId="3CC5DE71">
      <w:pPr>
        <w:rPr>
          <w:rFonts w:hint="eastAsia"/>
          <w:highlight w:val="none"/>
          <w:lang w:eastAsia="zh-CN"/>
        </w:rPr>
      </w:pPr>
    </w:p>
    <w:p w14:paraId="781EB52E">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供应商名称：（公章）</w:t>
      </w:r>
    </w:p>
    <w:p w14:paraId="78B4C14D">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highlight w:val="none"/>
          <w:lang w:eastAsia="zh-CN"/>
          <w14:textFill>
            <w14:solidFill>
              <w14:schemeClr w14:val="tx1"/>
            </w14:solidFill>
          </w14:textFill>
        </w:rPr>
        <w:t>或负责人</w:t>
      </w:r>
      <w:r>
        <w:rPr>
          <w:rFonts w:hint="eastAsia" w:ascii="宋体" w:hAnsi="宋体" w:cs="宋体"/>
          <w:color w:val="000000" w:themeColor="text1"/>
          <w:sz w:val="24"/>
          <w:highlight w:val="none"/>
          <w14:textFill>
            <w14:solidFill>
              <w14:schemeClr w14:val="tx1"/>
            </w14:solidFill>
          </w14:textFill>
        </w:rPr>
        <w:t>）或供应商全权代表：（签字或印章）</w:t>
      </w:r>
    </w:p>
    <w:p w14:paraId="614B2BF6">
      <w:pPr>
        <w:tabs>
          <w:tab w:val="left" w:pos="567"/>
          <w:tab w:val="left" w:pos="1146"/>
          <w:tab w:val="left" w:pos="1719"/>
          <w:tab w:val="left" w:pos="2483"/>
        </w:tabs>
        <w:spacing w:line="360" w:lineRule="auto"/>
        <w:rPr>
          <w:rFonts w:ascii="宋体" w:hAnsi="宋体" w:cs="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日  期：    年  月  日</w:t>
      </w:r>
    </w:p>
    <w:p w14:paraId="082F33C0">
      <w:pPr>
        <w:rPr>
          <w:rFonts w:ascii="宋体" w:hAnsi="宋体" w:cs="宋体"/>
          <w:color w:val="000000" w:themeColor="text1"/>
          <w:highlight w:val="none"/>
          <w14:textFill>
            <w14:solidFill>
              <w14:schemeClr w14:val="tx1"/>
            </w14:solidFill>
          </w14:textFill>
        </w:rPr>
      </w:pPr>
      <w:bookmarkStart w:id="305" w:name="_Toc45562505"/>
      <w:bookmarkStart w:id="306" w:name="_Toc46235130"/>
      <w:r>
        <w:rPr>
          <w:rFonts w:hint="eastAsia" w:ascii="宋体" w:hAnsi="宋体" w:cs="宋体"/>
          <w:color w:val="000000" w:themeColor="text1"/>
          <w:highlight w:val="none"/>
          <w14:textFill>
            <w14:solidFill>
              <w14:schemeClr w14:val="tx1"/>
            </w14:solidFill>
          </w14:textFill>
        </w:rPr>
        <w:br w:type="page"/>
      </w:r>
    </w:p>
    <w:p w14:paraId="72551FEA">
      <w:pPr>
        <w:pStyle w:val="4"/>
        <w:spacing w:before="0" w:line="360" w:lineRule="auto"/>
        <w:ind w:left="774" w:hanging="774" w:hangingChars="257"/>
        <w:rPr>
          <w:rFonts w:hint="eastAsia" w:ascii="宋体" w:hAnsi="宋体" w:eastAsia="宋体" w:cs="宋体"/>
          <w:color w:val="000000" w:themeColor="text1"/>
          <w:highlight w:val="none"/>
          <w14:textFill>
            <w14:solidFill>
              <w14:schemeClr w14:val="tx1"/>
            </w14:solidFill>
          </w14:textFill>
        </w:rPr>
      </w:pPr>
      <w:bookmarkStart w:id="307" w:name="_Toc8284"/>
      <w:r>
        <w:rPr>
          <w:rFonts w:hint="eastAsia" w:ascii="宋体" w:hAnsi="宋体" w:eastAsia="宋体" w:cs="宋体"/>
          <w:color w:val="000000" w:themeColor="text1"/>
          <w:highlight w:val="none"/>
          <w:lang w:val="en-US" w:eastAsia="zh-CN"/>
          <w14:textFill>
            <w14:solidFill>
              <w14:schemeClr w14:val="tx1"/>
            </w14:solidFill>
          </w14:textFill>
        </w:rPr>
        <w:t>四、</w:t>
      </w:r>
      <w:r>
        <w:rPr>
          <w:rFonts w:hint="eastAsia" w:ascii="宋体" w:hAnsi="宋体" w:eastAsia="宋体" w:cs="宋体"/>
          <w:color w:val="000000" w:themeColor="text1"/>
          <w:highlight w:val="none"/>
          <w14:textFill>
            <w14:solidFill>
              <w14:schemeClr w14:val="tx1"/>
            </w14:solidFill>
          </w14:textFill>
        </w:rPr>
        <w:t>资格证明文件</w:t>
      </w:r>
      <w:bookmarkEnd w:id="305"/>
      <w:bookmarkEnd w:id="306"/>
      <w:bookmarkEnd w:id="307"/>
    </w:p>
    <w:p w14:paraId="0417F625">
      <w:pPr>
        <w:topLinePunct/>
        <w:spacing w:line="360" w:lineRule="auto"/>
        <w:ind w:left="640"/>
        <w:rPr>
          <w:rFonts w:ascii="宋体" w:hAnsi="宋体" w:cs="宋体"/>
          <w:color w:val="000000" w:themeColor="text1"/>
          <w:sz w:val="24"/>
          <w:highlight w:val="none"/>
          <w14:textFill>
            <w14:solidFill>
              <w14:schemeClr w14:val="tx1"/>
            </w14:solidFill>
          </w14:textFill>
        </w:rPr>
      </w:pPr>
      <w:bookmarkStart w:id="308" w:name="_Hlk35353481"/>
    </w:p>
    <w:p w14:paraId="15BCA167">
      <w:pPr>
        <w:numPr>
          <w:ilvl w:val="2"/>
          <w:numId w:val="10"/>
        </w:numPr>
        <w:tabs>
          <w:tab w:val="clear" w:pos="1740"/>
        </w:tabs>
        <w:topLinePunct/>
        <w:spacing w:line="360" w:lineRule="auto"/>
        <w:ind w:left="220"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供应商的营业执照副本；</w:t>
      </w:r>
    </w:p>
    <w:p w14:paraId="05E184A3">
      <w:pPr>
        <w:numPr>
          <w:ilvl w:val="2"/>
          <w:numId w:val="10"/>
        </w:numPr>
        <w:tabs>
          <w:tab w:val="clear" w:pos="1740"/>
        </w:tabs>
        <w:topLinePunct/>
        <w:spacing w:line="360" w:lineRule="auto"/>
        <w:ind w:left="220" w:firstLine="420"/>
        <w:rPr>
          <w:rFonts w:ascii="宋体" w:hAnsi="宋体" w:cs="宋体"/>
          <w:color w:val="000000" w:themeColor="text1"/>
          <w:sz w:val="24"/>
          <w:highlight w:val="none"/>
          <w:shd w:val="clear" w:color="auto" w:fill="FFFFFF"/>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供应商近</w:t>
      </w:r>
      <w:r>
        <w:rPr>
          <w:rFonts w:hint="eastAsia" w:ascii="宋体" w:hAnsi="宋体" w:cs="宋体"/>
          <w:color w:val="000000" w:themeColor="text1"/>
          <w:sz w:val="24"/>
          <w:highlight w:val="none"/>
          <w:lang w:val="en-US" w:eastAsia="zh-CN"/>
          <w14:textFill>
            <w14:solidFill>
              <w14:schemeClr w14:val="tx1"/>
            </w14:solidFill>
          </w14:textFill>
        </w:rPr>
        <w:t>六</w:t>
      </w:r>
      <w:r>
        <w:rPr>
          <w:rFonts w:hint="eastAsia" w:ascii="宋体" w:hAnsi="宋体" w:cs="宋体"/>
          <w:color w:val="000000" w:themeColor="text1"/>
          <w:sz w:val="24"/>
          <w:highlight w:val="none"/>
          <w14:textFill>
            <w14:solidFill>
              <w14:schemeClr w14:val="tx1"/>
            </w14:solidFill>
          </w14:textFill>
        </w:rPr>
        <w:t>个月任意一个月依法缴纳税收和社保的证明（缴纳凭证或者主管部门出具的缴纳明细，新成立的只需提供成立以来的，依法免缴的提供相关证明文件）</w:t>
      </w:r>
      <w:r>
        <w:rPr>
          <w:rFonts w:hint="eastAsia" w:ascii="宋体" w:hAnsi="宋体" w:cs="宋体"/>
          <w:color w:val="000000" w:themeColor="text1"/>
          <w:sz w:val="24"/>
          <w:highlight w:val="none"/>
          <w:lang w:val="en-US" w:eastAsia="zh-CN"/>
          <w14:textFill>
            <w14:solidFill>
              <w14:schemeClr w14:val="tx1"/>
            </w14:solidFill>
          </w14:textFill>
        </w:rPr>
        <w:t>或承诺书</w:t>
      </w:r>
      <w:r>
        <w:rPr>
          <w:rFonts w:hint="eastAsia" w:ascii="宋体" w:hAnsi="宋体" w:cs="宋体"/>
          <w:color w:val="000000" w:themeColor="text1"/>
          <w:sz w:val="24"/>
          <w:highlight w:val="none"/>
          <w:shd w:val="clear" w:color="auto" w:fill="FFFFFF"/>
          <w14:textFill>
            <w14:solidFill>
              <w14:schemeClr w14:val="tx1"/>
            </w14:solidFill>
          </w14:textFill>
        </w:rPr>
        <w:t>；</w:t>
      </w:r>
    </w:p>
    <w:p w14:paraId="3EB3A78F">
      <w:pPr>
        <w:numPr>
          <w:ilvl w:val="2"/>
          <w:numId w:val="10"/>
        </w:numPr>
        <w:tabs>
          <w:tab w:val="clear" w:pos="1740"/>
        </w:tabs>
        <w:topLinePunct/>
        <w:spacing w:line="360" w:lineRule="auto"/>
        <w:ind w:left="220"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投标具有良好的商业信誉和健全的财务会计制度证明材料（如会计师事务所出具的上一年度财务审计报告或银行出具的说明供应商商业信誉或结算情况等事项的证明文件）</w:t>
      </w:r>
      <w:r>
        <w:rPr>
          <w:rFonts w:hint="eastAsia" w:ascii="宋体" w:hAnsi="宋体" w:cs="宋体"/>
          <w:color w:val="000000" w:themeColor="text1"/>
          <w:sz w:val="24"/>
          <w:highlight w:val="none"/>
          <w:lang w:val="en-US" w:eastAsia="zh-CN"/>
          <w14:textFill>
            <w14:solidFill>
              <w14:schemeClr w14:val="tx1"/>
            </w14:solidFill>
          </w14:textFill>
        </w:rPr>
        <w:t>或承诺书</w:t>
      </w:r>
      <w:r>
        <w:rPr>
          <w:rFonts w:hint="eastAsia" w:ascii="宋体" w:hAnsi="宋体" w:cs="宋体"/>
          <w:color w:val="000000" w:themeColor="text1"/>
          <w:sz w:val="24"/>
          <w:highlight w:val="none"/>
          <w14:textFill>
            <w14:solidFill>
              <w14:schemeClr w14:val="tx1"/>
            </w14:solidFill>
          </w14:textFill>
        </w:rPr>
        <w:t>；</w:t>
      </w:r>
    </w:p>
    <w:p w14:paraId="660777D1">
      <w:pPr>
        <w:numPr>
          <w:ilvl w:val="2"/>
          <w:numId w:val="11"/>
        </w:numPr>
        <w:tabs>
          <w:tab w:val="clear" w:pos="1740"/>
        </w:tabs>
        <w:topLinePunct/>
        <w:spacing w:line="360" w:lineRule="auto"/>
        <w:ind w:left="220"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供应商在参加本次采购活动近三年来在经营过程中无重大违法行为的书面声明；</w:t>
      </w:r>
    </w:p>
    <w:p w14:paraId="2A769159">
      <w:pPr>
        <w:numPr>
          <w:ilvl w:val="2"/>
          <w:numId w:val="11"/>
        </w:numPr>
        <w:tabs>
          <w:tab w:val="clear" w:pos="1740"/>
        </w:tabs>
        <w:topLinePunct/>
        <w:spacing w:line="360" w:lineRule="auto"/>
        <w:ind w:left="220"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临沂市政府采购供应商反商业贿赂承诺书。</w:t>
      </w:r>
    </w:p>
    <w:p w14:paraId="332B8BB1">
      <w:pPr>
        <w:pStyle w:val="10"/>
        <w:rPr>
          <w:rFonts w:cs="宋体"/>
          <w:color w:val="000000" w:themeColor="text1"/>
          <w:highlight w:val="none"/>
          <w14:textFill>
            <w14:solidFill>
              <w14:schemeClr w14:val="tx1"/>
            </w14:solidFill>
          </w14:textFill>
        </w:rPr>
      </w:pPr>
    </w:p>
    <w:p w14:paraId="0D2EC14A">
      <w:pPr>
        <w:pStyle w:val="30"/>
        <w:spacing w:before="0" w:line="360" w:lineRule="auto"/>
        <w:ind w:firstLine="240"/>
        <w:rPr>
          <w:rFonts w:cs="宋体"/>
          <w:color w:val="000000" w:themeColor="text1"/>
          <w:highlight w:val="none"/>
          <w14:textFill>
            <w14:solidFill>
              <w14:schemeClr w14:val="tx1"/>
            </w14:solidFill>
          </w14:textFill>
        </w:rPr>
      </w:pPr>
    </w:p>
    <w:bookmarkEnd w:id="308"/>
    <w:p w14:paraId="5B235F30">
      <w:pPr>
        <w:pStyle w:val="8"/>
        <w:spacing w:line="360" w:lineRule="auto"/>
        <w:ind w:firstLine="0"/>
        <w:rPr>
          <w:rFonts w:hAnsi="宋体" w:cs="宋体"/>
          <w:color w:val="000000" w:themeColor="text1"/>
          <w:highlight w:val="none"/>
          <w14:textFill>
            <w14:solidFill>
              <w14:schemeClr w14:val="tx1"/>
            </w14:solidFill>
          </w14:textFill>
        </w:rPr>
      </w:pPr>
    </w:p>
    <w:p w14:paraId="01467D33">
      <w:pPr>
        <w:pStyle w:val="5"/>
        <w:spacing w:before="0" w:after="0" w:line="360" w:lineRule="auto"/>
        <w:rPr>
          <w:rFonts w:hAnsi="宋体" w:cs="宋体"/>
          <w:color w:val="000000" w:themeColor="text1"/>
          <w:highlight w:val="none"/>
          <w:u w:val="none"/>
          <w14:textFill>
            <w14:solidFill>
              <w14:schemeClr w14:val="tx1"/>
            </w14:solidFill>
          </w14:textFill>
        </w:rPr>
        <w:sectPr>
          <w:footerReference r:id="rId8" w:type="first"/>
          <w:headerReference r:id="rId5" w:type="default"/>
          <w:footerReference r:id="rId6" w:type="default"/>
          <w:footerReference r:id="rId7" w:type="even"/>
          <w:pgSz w:w="11922" w:h="16838"/>
          <w:pgMar w:top="1559" w:right="1582" w:bottom="1559" w:left="1582" w:header="720" w:footer="720" w:gutter="0"/>
          <w:cols w:space="0" w:num="1"/>
          <w:docGrid w:linePitch="312" w:charSpace="0"/>
        </w:sectPr>
      </w:pPr>
      <w:bookmarkStart w:id="309" w:name="_Toc46235131"/>
      <w:bookmarkStart w:id="310" w:name="_Toc518923109"/>
    </w:p>
    <w:p w14:paraId="1FF7631C">
      <w:pPr>
        <w:pStyle w:val="5"/>
        <w:spacing w:before="0" w:after="0" w:line="360" w:lineRule="auto"/>
        <w:rPr>
          <w:rFonts w:hAnsi="宋体" w:cs="宋体"/>
          <w:color w:val="000000" w:themeColor="text1"/>
          <w:highlight w:val="none"/>
          <w:u w:val="none"/>
          <w14:textFill>
            <w14:solidFill>
              <w14:schemeClr w14:val="tx1"/>
            </w14:solidFill>
          </w14:textFill>
        </w:rPr>
      </w:pPr>
      <w:bookmarkStart w:id="311" w:name="_Toc9206"/>
      <w:r>
        <w:rPr>
          <w:rFonts w:hint="eastAsia" w:hAnsi="宋体" w:cs="宋体"/>
          <w:color w:val="000000" w:themeColor="text1"/>
          <w:highlight w:val="none"/>
          <w:u w:val="none"/>
          <w14:textFill>
            <w14:solidFill>
              <w14:schemeClr w14:val="tx1"/>
            </w14:solidFill>
          </w14:textFill>
        </w:rPr>
        <w:t>2.法人或者其他组织的营业执照等证明文件或自然人的身份证明</w:t>
      </w:r>
      <w:bookmarkEnd w:id="309"/>
      <w:bookmarkEnd w:id="310"/>
      <w:bookmarkEnd w:id="311"/>
    </w:p>
    <w:p w14:paraId="2D66C6AB">
      <w:pPr>
        <w:tabs>
          <w:tab w:val="left" w:pos="5580"/>
        </w:tabs>
        <w:spacing w:line="360" w:lineRule="auto"/>
        <w:rPr>
          <w:rFonts w:ascii="宋体" w:hAnsi="宋体" w:cs="宋体"/>
          <w:b/>
          <w:color w:val="000000" w:themeColor="text1"/>
          <w:sz w:val="24"/>
          <w:szCs w:val="20"/>
          <w:highlight w:val="none"/>
          <w14:textFill>
            <w14:solidFill>
              <w14:schemeClr w14:val="tx1"/>
            </w14:solidFill>
          </w14:textFill>
        </w:rPr>
      </w:pPr>
    </w:p>
    <w:p w14:paraId="6325FF53">
      <w:pPr>
        <w:tabs>
          <w:tab w:val="left" w:pos="5580"/>
        </w:tabs>
        <w:spacing w:line="360" w:lineRule="auto"/>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说明：1.提供有效的营业执照等证明文件。</w:t>
      </w:r>
    </w:p>
    <w:p w14:paraId="73906453">
      <w:pPr>
        <w:tabs>
          <w:tab w:val="left" w:pos="5580"/>
        </w:tabs>
        <w:spacing w:line="360" w:lineRule="auto"/>
        <w:ind w:firstLine="720" w:firstLineChars="30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2.联合体响应文件应提供联合体各方满足以上要求的证明文件。</w:t>
      </w:r>
    </w:p>
    <w:p w14:paraId="5AFFEE3B">
      <w:pPr>
        <w:tabs>
          <w:tab w:val="left" w:pos="5580"/>
        </w:tabs>
        <w:spacing w:line="360" w:lineRule="auto"/>
        <w:ind w:left="1080" w:leftChars="257" w:hanging="540"/>
        <w:jc w:val="center"/>
        <w:rPr>
          <w:rFonts w:ascii="宋体" w:hAnsi="宋体" w:cs="宋体"/>
          <w:color w:val="000000" w:themeColor="text1"/>
          <w:sz w:val="24"/>
          <w:szCs w:val="20"/>
          <w:highlight w:val="none"/>
          <w14:textFill>
            <w14:solidFill>
              <w14:schemeClr w14:val="tx1"/>
            </w14:solidFill>
          </w14:textFill>
        </w:rPr>
      </w:pPr>
    </w:p>
    <w:p w14:paraId="1D331F5F">
      <w:pPr>
        <w:pStyle w:val="10"/>
        <w:rPr>
          <w:color w:val="000000" w:themeColor="text1"/>
          <w:highlight w:val="none"/>
          <w14:textFill>
            <w14:solidFill>
              <w14:schemeClr w14:val="tx1"/>
            </w14:solidFill>
          </w14:textFill>
        </w:rPr>
      </w:pPr>
    </w:p>
    <w:p w14:paraId="434B3104">
      <w:pPr>
        <w:pStyle w:val="5"/>
        <w:spacing w:before="0" w:after="0" w:line="360" w:lineRule="auto"/>
        <w:rPr>
          <w:rFonts w:hAnsi="宋体" w:cs="宋体"/>
          <w:color w:val="000000" w:themeColor="text1"/>
          <w:highlight w:val="none"/>
          <w:u w:val="none"/>
          <w14:textFill>
            <w14:solidFill>
              <w14:schemeClr w14:val="tx1"/>
            </w14:solidFill>
          </w14:textFill>
        </w:rPr>
      </w:pPr>
      <w:bookmarkStart w:id="312" w:name="_Toc28042"/>
      <w:bookmarkStart w:id="313" w:name="_Toc2583670"/>
      <w:bookmarkStart w:id="314" w:name="_Toc46235132"/>
      <w:bookmarkStart w:id="315" w:name="_Toc518923110"/>
      <w:r>
        <w:rPr>
          <w:rFonts w:hint="eastAsia" w:hAnsi="宋体" w:cs="宋体"/>
          <w:color w:val="000000" w:themeColor="text1"/>
          <w:highlight w:val="none"/>
          <w:u w:val="none"/>
          <w14:textFill>
            <w14:solidFill>
              <w14:schemeClr w14:val="tx1"/>
            </w14:solidFill>
          </w14:textFill>
        </w:rPr>
        <w:t>3.法定代表人或负责人身份证明书</w:t>
      </w:r>
      <w:bookmarkEnd w:id="312"/>
      <w:bookmarkEnd w:id="313"/>
      <w:bookmarkEnd w:id="314"/>
    </w:p>
    <w:p w14:paraId="512B634B">
      <w:pPr>
        <w:tabs>
          <w:tab w:val="left" w:pos="5580"/>
        </w:tabs>
        <w:spacing w:line="360" w:lineRule="auto"/>
        <w:ind w:left="1100" w:leftChars="-29" w:hanging="1161"/>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u w:val="single"/>
          <w14:textFill>
            <w14:solidFill>
              <w14:schemeClr w14:val="tx1"/>
            </w14:solidFill>
          </w14:textFill>
        </w:rPr>
        <w:t>致临沂市沂蒙国际招标有限公司</w:t>
      </w:r>
      <w:r>
        <w:rPr>
          <w:rFonts w:hint="eastAsia" w:ascii="宋体" w:hAnsi="宋体" w:cs="宋体"/>
          <w:color w:val="000000" w:themeColor="text1"/>
          <w:sz w:val="24"/>
          <w:szCs w:val="20"/>
          <w:highlight w:val="none"/>
          <w14:textFill>
            <w14:solidFill>
              <w14:schemeClr w14:val="tx1"/>
            </w14:solidFill>
          </w14:textFill>
        </w:rPr>
        <w:t>：</w:t>
      </w:r>
    </w:p>
    <w:p w14:paraId="0ADE5815">
      <w:pPr>
        <w:tabs>
          <w:tab w:val="left" w:pos="5580"/>
        </w:tabs>
        <w:spacing w:line="360" w:lineRule="auto"/>
        <w:ind w:left="1100" w:leftChars="-29" w:hanging="1161"/>
        <w:rPr>
          <w:rFonts w:ascii="宋体" w:hAnsi="宋体" w:cs="宋体"/>
          <w:color w:val="000000" w:themeColor="text1"/>
          <w:sz w:val="24"/>
          <w:szCs w:val="20"/>
          <w:highlight w:val="none"/>
          <w14:textFill>
            <w14:solidFill>
              <w14:schemeClr w14:val="tx1"/>
            </w14:solidFill>
          </w14:textFill>
        </w:rPr>
      </w:pPr>
    </w:p>
    <w:p w14:paraId="110D7A65">
      <w:pPr>
        <w:tabs>
          <w:tab w:val="left" w:pos="5580"/>
        </w:tabs>
        <w:spacing w:line="360" w:lineRule="auto"/>
        <w:ind w:left="-113" w:leftChars="-54" w:firstLine="480" w:firstLineChars="20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u w:val="single"/>
          <w14:textFill>
            <w14:solidFill>
              <w14:schemeClr w14:val="tx1"/>
            </w14:solidFill>
          </w14:textFill>
        </w:rPr>
        <w:t>（姓名、性别、年龄、身份证号码）</w:t>
      </w:r>
      <w:r>
        <w:rPr>
          <w:rFonts w:hint="eastAsia" w:ascii="宋体" w:hAnsi="宋体" w:cs="宋体"/>
          <w:color w:val="000000" w:themeColor="text1"/>
          <w:sz w:val="24"/>
          <w:szCs w:val="20"/>
          <w:highlight w:val="none"/>
          <w14:textFill>
            <w14:solidFill>
              <w14:schemeClr w14:val="tx1"/>
            </w14:solidFill>
          </w14:textFill>
        </w:rPr>
        <w:t>在我单位任</w:t>
      </w:r>
      <w:r>
        <w:rPr>
          <w:rFonts w:hint="eastAsia" w:ascii="宋体" w:hAnsi="宋体" w:cs="宋体"/>
          <w:color w:val="000000" w:themeColor="text1"/>
          <w:sz w:val="24"/>
          <w:szCs w:val="20"/>
          <w:highlight w:val="none"/>
          <w:u w:val="single"/>
          <w14:textFill>
            <w14:solidFill>
              <w14:schemeClr w14:val="tx1"/>
            </w14:solidFill>
          </w14:textFill>
        </w:rPr>
        <w:t>（董事长、总经理等）</w:t>
      </w:r>
      <w:r>
        <w:rPr>
          <w:rFonts w:hint="eastAsia" w:ascii="宋体" w:hAnsi="宋体" w:cs="宋体"/>
          <w:color w:val="000000" w:themeColor="text1"/>
          <w:sz w:val="24"/>
          <w:szCs w:val="20"/>
          <w:highlight w:val="none"/>
          <w14:textFill>
            <w14:solidFill>
              <w14:schemeClr w14:val="tx1"/>
            </w14:solidFill>
          </w14:textFill>
        </w:rPr>
        <w:t>职务，是我单位的法定代表人/负责人。</w:t>
      </w:r>
    </w:p>
    <w:p w14:paraId="1A46BAE5">
      <w:pPr>
        <w:tabs>
          <w:tab w:val="left" w:pos="5580"/>
        </w:tabs>
        <w:spacing w:line="360" w:lineRule="auto"/>
        <w:ind w:left="1080" w:leftChars="257" w:hanging="540"/>
        <w:rPr>
          <w:rFonts w:ascii="宋体" w:hAnsi="宋体" w:cs="宋体"/>
          <w:color w:val="000000" w:themeColor="text1"/>
          <w:sz w:val="24"/>
          <w:szCs w:val="20"/>
          <w:highlight w:val="none"/>
          <w14:textFill>
            <w14:solidFill>
              <w14:schemeClr w14:val="tx1"/>
            </w14:solidFill>
          </w14:textFill>
        </w:rPr>
      </w:pPr>
    </w:p>
    <w:p w14:paraId="5505FDE1">
      <w:pPr>
        <w:tabs>
          <w:tab w:val="left" w:pos="5580"/>
        </w:tabs>
        <w:spacing w:line="360" w:lineRule="auto"/>
        <w:ind w:left="1080" w:leftChars="257" w:hanging="54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特此证明。</w:t>
      </w:r>
    </w:p>
    <w:p w14:paraId="3D59460D">
      <w:pPr>
        <w:spacing w:line="360" w:lineRule="auto"/>
        <w:rPr>
          <w:rFonts w:ascii="宋体" w:hAnsi="宋体" w:cs="宋体"/>
          <w:color w:val="000000" w:themeColor="text1"/>
          <w:sz w:val="24"/>
          <w:highlight w:val="none"/>
          <w14:textFill>
            <w14:solidFill>
              <w14:schemeClr w14:val="tx1"/>
            </w14:solidFill>
          </w14:textFill>
        </w:rPr>
      </w:pPr>
    </w:p>
    <w:p w14:paraId="6B173379">
      <w:pPr>
        <w:tabs>
          <w:tab w:val="left" w:pos="5580"/>
        </w:tabs>
        <w:spacing w:line="360" w:lineRule="auto"/>
        <w:ind w:left="-540" w:leftChars="-257" w:firstLine="900" w:firstLineChars="375"/>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供应商（盖公章）：</w:t>
      </w:r>
    </w:p>
    <w:p w14:paraId="08B5C416">
      <w:pPr>
        <w:tabs>
          <w:tab w:val="left" w:pos="5580"/>
        </w:tabs>
        <w:spacing w:line="360" w:lineRule="auto"/>
        <w:ind w:firstLine="360" w:firstLineChars="150"/>
        <w:rPr>
          <w:rFonts w:ascii="宋体" w:hAnsi="宋体" w:cs="宋体"/>
          <w:color w:val="000000" w:themeColor="text1"/>
          <w:sz w:val="24"/>
          <w:szCs w:val="20"/>
          <w:highlight w:val="none"/>
          <w14:textFill>
            <w14:solidFill>
              <w14:schemeClr w14:val="tx1"/>
            </w14:solidFill>
          </w14:textFill>
        </w:rPr>
      </w:pPr>
    </w:p>
    <w:p w14:paraId="390F9C1E">
      <w:pPr>
        <w:tabs>
          <w:tab w:val="left" w:pos="5580"/>
        </w:tabs>
        <w:spacing w:line="360" w:lineRule="auto"/>
        <w:ind w:left="-540" w:leftChars="-257" w:firstLine="900" w:firstLineChars="375"/>
        <w:rPr>
          <w:rFonts w:ascii="宋体" w:hAnsi="宋体" w:cs="宋体"/>
          <w:color w:val="000000" w:themeColor="text1"/>
          <w:sz w:val="24"/>
          <w:szCs w:val="20"/>
          <w:highlight w:val="none"/>
          <w14:textFill>
            <w14:solidFill>
              <w14:schemeClr w14:val="tx1"/>
            </w14:solidFill>
          </w14:textFill>
        </w:rPr>
      </w:pPr>
    </w:p>
    <w:p w14:paraId="731059ED">
      <w:pPr>
        <w:pStyle w:val="5"/>
        <w:spacing w:before="0" w:after="0" w:line="360" w:lineRule="auto"/>
        <w:rPr>
          <w:rFonts w:hAnsi="宋体" w:cs="宋体"/>
          <w:color w:val="000000" w:themeColor="text1"/>
          <w:highlight w:val="none"/>
          <w:u w:val="none"/>
          <w14:textFill>
            <w14:solidFill>
              <w14:schemeClr w14:val="tx1"/>
            </w14:solidFill>
          </w14:textFill>
        </w:rPr>
      </w:pPr>
      <w:bookmarkStart w:id="316" w:name="_Toc46235133"/>
      <w:bookmarkStart w:id="317" w:name="_Toc22483"/>
      <w:r>
        <w:rPr>
          <w:rFonts w:hint="eastAsia" w:hAnsi="宋体" w:cs="宋体"/>
          <w:color w:val="000000" w:themeColor="text1"/>
          <w:highlight w:val="none"/>
          <w:u w:val="none"/>
          <w14:textFill>
            <w14:solidFill>
              <w14:schemeClr w14:val="tx1"/>
            </w14:solidFill>
          </w14:textFill>
        </w:rPr>
        <w:t>4.法定代表人或负责人授权书</w:t>
      </w:r>
      <w:bookmarkEnd w:id="315"/>
      <w:bookmarkEnd w:id="316"/>
      <w:bookmarkEnd w:id="317"/>
    </w:p>
    <w:p w14:paraId="01A2E0D8">
      <w:pPr>
        <w:spacing w:line="360" w:lineRule="auto"/>
        <w:ind w:left="1080" w:leftChars="257" w:hanging="540"/>
        <w:rPr>
          <w:rFonts w:ascii="宋体" w:hAnsi="宋体" w:cs="宋体"/>
          <w:color w:val="000000" w:themeColor="text1"/>
          <w:sz w:val="24"/>
          <w:szCs w:val="20"/>
          <w:highlight w:val="none"/>
          <w14:textFill>
            <w14:solidFill>
              <w14:schemeClr w14:val="tx1"/>
            </w14:solidFill>
          </w14:textFill>
        </w:rPr>
      </w:pPr>
    </w:p>
    <w:p w14:paraId="2E3C1C60">
      <w:pPr>
        <w:tabs>
          <w:tab w:val="left" w:pos="5580"/>
        </w:tabs>
        <w:spacing w:line="360" w:lineRule="auto"/>
        <w:ind w:firstLine="480"/>
        <w:rPr>
          <w:rFonts w:ascii="宋体" w:hAnsi="宋体" w:cs="宋体"/>
          <w:color w:val="000000" w:themeColor="text1"/>
          <w:sz w:val="24"/>
          <w:szCs w:val="20"/>
          <w:highlight w:val="none"/>
          <w:u w:val="singl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本授权书声明：注册于</w:t>
      </w:r>
      <w:r>
        <w:rPr>
          <w:rFonts w:hint="eastAsia" w:ascii="宋体" w:hAnsi="宋体" w:cs="宋体"/>
          <w:color w:val="000000" w:themeColor="text1"/>
          <w:sz w:val="24"/>
          <w:szCs w:val="20"/>
          <w:highlight w:val="none"/>
          <w:u w:val="single"/>
          <w14:textFill>
            <w14:solidFill>
              <w14:schemeClr w14:val="tx1"/>
            </w14:solidFill>
          </w14:textFill>
        </w:rPr>
        <w:t>（国家或地区的名称）</w:t>
      </w:r>
      <w:r>
        <w:rPr>
          <w:rFonts w:hint="eastAsia" w:ascii="宋体" w:hAnsi="宋体" w:cs="宋体"/>
          <w:color w:val="000000" w:themeColor="text1"/>
          <w:sz w:val="24"/>
          <w:szCs w:val="20"/>
          <w:highlight w:val="none"/>
          <w14:textFill>
            <w14:solidFill>
              <w14:schemeClr w14:val="tx1"/>
            </w14:solidFill>
          </w14:textFill>
        </w:rPr>
        <w:t>的（</w:t>
      </w:r>
      <w:r>
        <w:rPr>
          <w:rFonts w:hint="eastAsia" w:ascii="宋体" w:hAnsi="宋体" w:cs="宋体"/>
          <w:i/>
          <w:color w:val="000000" w:themeColor="text1"/>
          <w:sz w:val="24"/>
          <w:szCs w:val="20"/>
          <w:highlight w:val="none"/>
          <w:u w:val="single"/>
          <w14:textFill>
            <w14:solidFill>
              <w14:schemeClr w14:val="tx1"/>
            </w14:solidFill>
          </w14:textFill>
        </w:rPr>
        <w:t>供应商</w:t>
      </w:r>
      <w:r>
        <w:rPr>
          <w:rFonts w:hint="eastAsia" w:ascii="宋体" w:hAnsi="宋体" w:cs="宋体"/>
          <w:color w:val="000000" w:themeColor="text1"/>
          <w:sz w:val="24"/>
          <w:szCs w:val="20"/>
          <w:highlight w:val="none"/>
          <w14:textFill>
            <w14:solidFill>
              <w14:schemeClr w14:val="tx1"/>
            </w14:solidFill>
          </w14:textFill>
        </w:rPr>
        <w:t>）的在下面签字的（</w:t>
      </w:r>
      <w:r>
        <w:rPr>
          <w:rFonts w:hint="eastAsia" w:ascii="宋体" w:hAnsi="宋体" w:cs="宋体"/>
          <w:i/>
          <w:color w:val="000000" w:themeColor="text1"/>
          <w:sz w:val="24"/>
          <w:szCs w:val="20"/>
          <w:highlight w:val="none"/>
          <w:u w:val="single"/>
          <w14:textFill>
            <w14:solidFill>
              <w14:schemeClr w14:val="tx1"/>
            </w14:solidFill>
          </w14:textFill>
        </w:rPr>
        <w:t>法定代表人</w:t>
      </w:r>
      <w:r>
        <w:rPr>
          <w:rFonts w:hint="eastAsia" w:ascii="宋体" w:hAnsi="宋体" w:cs="宋体"/>
          <w:color w:val="000000" w:themeColor="text1"/>
          <w:sz w:val="24"/>
          <w:szCs w:val="20"/>
          <w:highlight w:val="none"/>
          <w:u w:val="single"/>
          <w14:textFill>
            <w14:solidFill>
              <w14:schemeClr w14:val="tx1"/>
            </w14:solidFill>
          </w14:textFill>
        </w:rPr>
        <w:t>/负责人</w:t>
      </w:r>
      <w:r>
        <w:rPr>
          <w:rFonts w:hint="eastAsia" w:ascii="宋体" w:hAnsi="宋体" w:cs="宋体"/>
          <w:i/>
          <w:color w:val="000000" w:themeColor="text1"/>
          <w:sz w:val="24"/>
          <w:szCs w:val="20"/>
          <w:highlight w:val="none"/>
          <w:u w:val="single"/>
          <w14:textFill>
            <w14:solidFill>
              <w14:schemeClr w14:val="tx1"/>
            </w14:solidFill>
          </w14:textFill>
        </w:rPr>
        <w:t>姓名、职务</w:t>
      </w:r>
      <w:r>
        <w:rPr>
          <w:rFonts w:hint="eastAsia" w:ascii="宋体" w:hAnsi="宋体" w:cs="宋体"/>
          <w:color w:val="000000" w:themeColor="text1"/>
          <w:sz w:val="24"/>
          <w:szCs w:val="20"/>
          <w:highlight w:val="none"/>
          <w14:textFill>
            <w14:solidFill>
              <w14:schemeClr w14:val="tx1"/>
            </w14:solidFill>
          </w14:textFill>
        </w:rPr>
        <w:t>）代表我单位授权（</w:t>
      </w:r>
      <w:r>
        <w:rPr>
          <w:rFonts w:hint="eastAsia" w:ascii="宋体" w:hAnsi="宋体" w:cs="宋体"/>
          <w:i/>
          <w:color w:val="000000" w:themeColor="text1"/>
          <w:sz w:val="24"/>
          <w:szCs w:val="20"/>
          <w:highlight w:val="none"/>
          <w:u w:val="single"/>
          <w14:textFill>
            <w14:solidFill>
              <w14:schemeClr w14:val="tx1"/>
            </w14:solidFill>
          </w14:textFill>
        </w:rPr>
        <w:t>单位名称</w:t>
      </w:r>
      <w:r>
        <w:rPr>
          <w:rFonts w:hint="eastAsia" w:ascii="宋体" w:hAnsi="宋体" w:cs="宋体"/>
          <w:color w:val="000000" w:themeColor="text1"/>
          <w:sz w:val="24"/>
          <w:szCs w:val="20"/>
          <w:highlight w:val="none"/>
          <w14:textFill>
            <w14:solidFill>
              <w14:schemeClr w14:val="tx1"/>
            </w14:solidFill>
          </w14:textFill>
        </w:rPr>
        <w:t>）的在下面签字的（</w:t>
      </w:r>
      <w:r>
        <w:rPr>
          <w:rFonts w:hint="eastAsia" w:ascii="宋体" w:hAnsi="宋体" w:cs="宋体"/>
          <w:i/>
          <w:color w:val="000000" w:themeColor="text1"/>
          <w:sz w:val="24"/>
          <w:szCs w:val="20"/>
          <w:highlight w:val="none"/>
          <w:u w:val="single"/>
          <w14:textFill>
            <w14:solidFill>
              <w14:schemeClr w14:val="tx1"/>
            </w14:solidFill>
          </w14:textFill>
        </w:rPr>
        <w:t>被授权人的姓名、职务</w:t>
      </w:r>
      <w:r>
        <w:rPr>
          <w:rFonts w:hint="eastAsia" w:ascii="宋体" w:hAnsi="宋体" w:cs="宋体"/>
          <w:color w:val="000000" w:themeColor="text1"/>
          <w:sz w:val="24"/>
          <w:szCs w:val="20"/>
          <w:highlight w:val="none"/>
          <w14:textFill>
            <w14:solidFill>
              <w14:schemeClr w14:val="tx1"/>
            </w14:solidFill>
          </w14:textFill>
        </w:rPr>
        <w:t>）为我单位的合法代理人，就（</w:t>
      </w:r>
      <w:r>
        <w:rPr>
          <w:rFonts w:hint="eastAsia" w:ascii="宋体" w:hAnsi="宋体" w:cs="宋体"/>
          <w:i/>
          <w:color w:val="000000" w:themeColor="text1"/>
          <w:sz w:val="24"/>
          <w:szCs w:val="20"/>
          <w:highlight w:val="none"/>
          <w:u w:val="single"/>
          <w14:textFill>
            <w14:solidFill>
              <w14:schemeClr w14:val="tx1"/>
            </w14:solidFill>
          </w14:textFill>
        </w:rPr>
        <w:t>项目名称</w:t>
      </w:r>
      <w:r>
        <w:rPr>
          <w:rFonts w:hint="eastAsia" w:ascii="宋体" w:hAnsi="宋体" w:cs="宋体"/>
          <w:color w:val="000000" w:themeColor="text1"/>
          <w:sz w:val="24"/>
          <w:szCs w:val="20"/>
          <w:highlight w:val="none"/>
          <w14:textFill>
            <w14:solidFill>
              <w14:schemeClr w14:val="tx1"/>
            </w14:solidFill>
          </w14:textFill>
        </w:rPr>
        <w:t>）的（</w:t>
      </w:r>
      <w:r>
        <w:rPr>
          <w:rFonts w:hint="eastAsia" w:ascii="宋体" w:hAnsi="宋体" w:cs="宋体"/>
          <w:i/>
          <w:color w:val="000000" w:themeColor="text1"/>
          <w:sz w:val="24"/>
          <w:szCs w:val="20"/>
          <w:highlight w:val="none"/>
          <w:u w:val="single"/>
          <w14:textFill>
            <w14:solidFill>
              <w14:schemeClr w14:val="tx1"/>
            </w14:solidFill>
          </w14:textFill>
        </w:rPr>
        <w:t>合同名称</w:t>
      </w:r>
      <w:r>
        <w:rPr>
          <w:rFonts w:hint="eastAsia" w:ascii="宋体" w:hAnsi="宋体" w:cs="宋体"/>
          <w:color w:val="000000" w:themeColor="text1"/>
          <w:sz w:val="24"/>
          <w:szCs w:val="20"/>
          <w:highlight w:val="none"/>
          <w14:textFill>
            <w14:solidFill>
              <w14:schemeClr w14:val="tx1"/>
            </w14:solidFill>
          </w14:textFill>
        </w:rPr>
        <w:t>）响应文件，以我单位名义处理一切与之有关的事务。</w:t>
      </w:r>
      <w:r>
        <w:rPr>
          <w:rFonts w:hint="eastAsia" w:ascii="宋体" w:hAnsi="宋体" w:cs="宋体"/>
          <w:color w:val="000000" w:themeColor="text1"/>
          <w:sz w:val="24"/>
          <w:szCs w:val="20"/>
          <w:highlight w:val="none"/>
          <w14:textFill>
            <w14:solidFill>
              <w14:schemeClr w14:val="tx1"/>
            </w14:solidFill>
          </w14:textFill>
        </w:rPr>
        <w:cr/>
      </w:r>
      <w:r>
        <w:rPr>
          <w:rFonts w:hint="eastAsia" w:ascii="宋体" w:hAnsi="宋体" w:cs="宋体"/>
          <w:color w:val="000000" w:themeColor="text1"/>
          <w:sz w:val="24"/>
          <w:szCs w:val="20"/>
          <w:highlight w:val="none"/>
          <w14:textFill>
            <w14:solidFill>
              <w14:schemeClr w14:val="tx1"/>
            </w14:solidFill>
          </w14:textFill>
        </w:rPr>
        <w:t>　　本授权书于</w:t>
      </w:r>
      <w:r>
        <w:rPr>
          <w:rFonts w:hint="eastAsia" w:ascii="宋体" w:hAnsi="宋体" w:cs="宋体"/>
          <w:color w:val="000000" w:themeColor="text1"/>
          <w:sz w:val="24"/>
          <w:szCs w:val="20"/>
          <w:highlight w:val="none"/>
          <w:lang w:val="en-US" w:eastAsia="zh-CN"/>
          <w14:textFill>
            <w14:solidFill>
              <w14:schemeClr w14:val="tx1"/>
            </w14:solidFill>
          </w14:textFill>
        </w:rPr>
        <w:t xml:space="preserve">  </w:t>
      </w:r>
      <w:r>
        <w:rPr>
          <w:rFonts w:hint="eastAsia" w:ascii="宋体" w:hAnsi="宋体" w:cs="宋体"/>
          <w:color w:val="000000" w:themeColor="text1"/>
          <w:sz w:val="24"/>
          <w:szCs w:val="20"/>
          <w:highlight w:val="none"/>
          <w14:textFill>
            <w14:solidFill>
              <w14:schemeClr w14:val="tx1"/>
            </w14:solidFill>
          </w14:textFill>
        </w:rPr>
        <w:t>年</w:t>
      </w:r>
      <w:r>
        <w:rPr>
          <w:rFonts w:hint="eastAsia" w:ascii="宋体" w:hAnsi="宋体" w:cs="宋体"/>
          <w:color w:val="000000" w:themeColor="text1"/>
          <w:sz w:val="24"/>
          <w:szCs w:val="20"/>
          <w:highlight w:val="none"/>
          <w:lang w:val="en-US" w:eastAsia="zh-CN"/>
          <w14:textFill>
            <w14:solidFill>
              <w14:schemeClr w14:val="tx1"/>
            </w14:solidFill>
          </w14:textFill>
        </w:rPr>
        <w:t xml:space="preserve">  </w:t>
      </w:r>
      <w:r>
        <w:rPr>
          <w:rFonts w:hint="eastAsia" w:ascii="宋体" w:hAnsi="宋体" w:cs="宋体"/>
          <w:color w:val="000000" w:themeColor="text1"/>
          <w:sz w:val="24"/>
          <w:szCs w:val="20"/>
          <w:highlight w:val="none"/>
          <w14:textFill>
            <w14:solidFill>
              <w14:schemeClr w14:val="tx1"/>
            </w14:solidFill>
          </w14:textFill>
        </w:rPr>
        <w:t>月</w:t>
      </w:r>
      <w:r>
        <w:rPr>
          <w:rFonts w:hint="eastAsia" w:ascii="宋体" w:hAnsi="宋体" w:cs="宋体"/>
          <w:color w:val="000000" w:themeColor="text1"/>
          <w:sz w:val="24"/>
          <w:szCs w:val="20"/>
          <w:highlight w:val="none"/>
          <w:lang w:val="en-US" w:eastAsia="zh-CN"/>
          <w14:textFill>
            <w14:solidFill>
              <w14:schemeClr w14:val="tx1"/>
            </w14:solidFill>
          </w14:textFill>
        </w:rPr>
        <w:t xml:space="preserve">  </w:t>
      </w:r>
      <w:r>
        <w:rPr>
          <w:rFonts w:hint="eastAsia" w:ascii="宋体" w:hAnsi="宋体" w:cs="宋体"/>
          <w:color w:val="000000" w:themeColor="text1"/>
          <w:sz w:val="24"/>
          <w:szCs w:val="20"/>
          <w:highlight w:val="none"/>
          <w14:textFill>
            <w14:solidFill>
              <w14:schemeClr w14:val="tx1"/>
            </w14:solidFill>
          </w14:textFill>
        </w:rPr>
        <w:t>日签字生效,特此声明。</w:t>
      </w:r>
      <w:r>
        <w:rPr>
          <w:rFonts w:hint="eastAsia" w:ascii="宋体" w:hAnsi="宋体" w:cs="宋体"/>
          <w:color w:val="000000" w:themeColor="text1"/>
          <w:sz w:val="24"/>
          <w:szCs w:val="20"/>
          <w:highlight w:val="none"/>
          <w14:textFill>
            <w14:solidFill>
              <w14:schemeClr w14:val="tx1"/>
            </w14:solidFill>
          </w14:textFill>
        </w:rPr>
        <w:cr/>
      </w:r>
      <w:r>
        <w:rPr>
          <w:rFonts w:hint="eastAsia" w:ascii="宋体" w:hAnsi="宋体" w:cs="宋体"/>
          <w:color w:val="000000" w:themeColor="text1"/>
          <w:sz w:val="24"/>
          <w:szCs w:val="20"/>
          <w:highlight w:val="none"/>
          <w:lang w:val="en-US" w:eastAsia="zh-CN"/>
          <w14:textFill>
            <w14:solidFill>
              <w14:schemeClr w14:val="tx1"/>
            </w14:solidFill>
          </w14:textFill>
        </w:rPr>
        <w:t xml:space="preserve">           </w:t>
      </w:r>
      <w:r>
        <w:rPr>
          <w:rFonts w:hint="eastAsia" w:ascii="宋体" w:hAnsi="宋体" w:cs="宋体"/>
          <w:color w:val="000000" w:themeColor="text1"/>
          <w:sz w:val="24"/>
          <w:szCs w:val="20"/>
          <w:highlight w:val="none"/>
          <w14:textFill>
            <w14:solidFill>
              <w14:schemeClr w14:val="tx1"/>
            </w14:solidFill>
          </w14:textFill>
        </w:rPr>
        <w:t>（附贴全权代表人身份证复印件）</w:t>
      </w:r>
      <w:r>
        <w:rPr>
          <w:rFonts w:hint="eastAsia" w:ascii="宋体" w:hAnsi="宋体" w:cs="宋体"/>
          <w:color w:val="000000" w:themeColor="text1"/>
          <w:sz w:val="24"/>
          <w:szCs w:val="20"/>
          <w:highlight w:val="none"/>
          <w14:textFill>
            <w14:solidFill>
              <w14:schemeClr w14:val="tx1"/>
            </w14:solidFill>
          </w14:textFill>
        </w:rPr>
        <w:cr/>
      </w:r>
      <w:r>
        <w:rPr>
          <w:rFonts w:hint="eastAsia" w:ascii="宋体" w:hAnsi="宋体" w:cs="宋体"/>
          <w:color w:val="000000" w:themeColor="text1"/>
          <w:sz w:val="24"/>
          <w:szCs w:val="20"/>
          <w:highlight w:val="none"/>
          <w14:textFill>
            <w14:solidFill>
              <w14:schemeClr w14:val="tx1"/>
            </w14:solidFill>
          </w14:textFill>
        </w:rPr>
        <w:t xml:space="preserve">   供应商（盖单位公章）：</w:t>
      </w:r>
    </w:p>
    <w:p w14:paraId="4B01718E">
      <w:pPr>
        <w:tabs>
          <w:tab w:val="left" w:pos="5580"/>
        </w:tabs>
        <w:spacing w:line="360" w:lineRule="auto"/>
        <w:ind w:left="-540" w:leftChars="-257" w:firstLine="900" w:firstLineChars="375"/>
        <w:rPr>
          <w:rFonts w:ascii="宋体" w:hAnsi="宋体" w:cs="宋体"/>
          <w:color w:val="000000" w:themeColor="text1"/>
          <w:sz w:val="24"/>
          <w:szCs w:val="20"/>
          <w:highlight w:val="none"/>
          <w:u w:val="singl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法定代表人/负责人</w:t>
      </w:r>
      <w:r>
        <w:rPr>
          <w:rFonts w:hint="eastAsia" w:ascii="宋体" w:hAnsi="宋体" w:cs="宋体"/>
          <w:color w:val="000000" w:themeColor="text1"/>
          <w:sz w:val="24"/>
          <w:szCs w:val="20"/>
          <w:highlight w:val="none"/>
          <w:lang w:eastAsia="zh-CN"/>
          <w14:textFill>
            <w14:solidFill>
              <w14:schemeClr w14:val="tx1"/>
            </w14:solidFill>
          </w14:textFill>
        </w:rPr>
        <w:t>（</w:t>
      </w:r>
      <w:r>
        <w:rPr>
          <w:rFonts w:hint="eastAsia" w:ascii="宋体" w:hAnsi="宋体" w:cs="宋体"/>
          <w:color w:val="000000" w:themeColor="text1"/>
          <w:sz w:val="24"/>
          <w:szCs w:val="20"/>
          <w:highlight w:val="none"/>
          <w14:textFill>
            <w14:solidFill>
              <w14:schemeClr w14:val="tx1"/>
            </w14:solidFill>
          </w14:textFill>
        </w:rPr>
        <w:t>签章</w:t>
      </w:r>
      <w:r>
        <w:rPr>
          <w:rFonts w:hint="eastAsia" w:ascii="宋体" w:hAnsi="宋体" w:cs="宋体"/>
          <w:color w:val="000000" w:themeColor="text1"/>
          <w:sz w:val="24"/>
          <w:szCs w:val="20"/>
          <w:highlight w:val="none"/>
          <w:lang w:eastAsia="zh-CN"/>
          <w14:textFill>
            <w14:solidFill>
              <w14:schemeClr w14:val="tx1"/>
            </w14:solidFill>
          </w14:textFill>
        </w:rPr>
        <w:t>）</w:t>
      </w:r>
      <w:r>
        <w:rPr>
          <w:rFonts w:hint="eastAsia" w:ascii="宋体" w:hAnsi="宋体" w:cs="宋体"/>
          <w:color w:val="000000" w:themeColor="text1"/>
          <w:sz w:val="24"/>
          <w:szCs w:val="20"/>
          <w:highlight w:val="none"/>
          <w14:textFill>
            <w14:solidFill>
              <w14:schemeClr w14:val="tx1"/>
            </w14:solidFill>
          </w14:textFill>
        </w:rPr>
        <w:t>：</w:t>
      </w:r>
    </w:p>
    <w:p w14:paraId="258249F0">
      <w:pPr>
        <w:tabs>
          <w:tab w:val="left" w:pos="5580"/>
        </w:tabs>
        <w:spacing w:line="360" w:lineRule="auto"/>
        <w:ind w:left="-540" w:leftChars="-257" w:firstLine="900" w:firstLineChars="375"/>
        <w:rPr>
          <w:rFonts w:ascii="宋体" w:hAnsi="宋体" w:cs="宋体"/>
          <w:color w:val="000000" w:themeColor="text1"/>
          <w:sz w:val="24"/>
          <w:szCs w:val="20"/>
          <w:highlight w:val="none"/>
          <w:u w:val="singl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法定代表人/负责人身份证号码：</w:t>
      </w:r>
    </w:p>
    <w:p w14:paraId="46888EB6">
      <w:pPr>
        <w:tabs>
          <w:tab w:val="left" w:pos="5580"/>
        </w:tabs>
        <w:spacing w:line="360" w:lineRule="auto"/>
        <w:ind w:firstLine="360" w:firstLineChars="15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委托代理人身份证号码：</w:t>
      </w:r>
    </w:p>
    <w:p w14:paraId="6943A8FA">
      <w:pPr>
        <w:bidi w:val="0"/>
        <w:rPr>
          <w:color w:val="000000" w:themeColor="text1"/>
          <w:highlight w:val="none"/>
          <w14:textFill>
            <w14:solidFill>
              <w14:schemeClr w14:val="tx1"/>
            </w14:solidFill>
          </w14:textFill>
        </w:rPr>
      </w:pPr>
      <w:bookmarkStart w:id="318" w:name="_Toc46235134"/>
    </w:p>
    <w:p w14:paraId="0815F5A1">
      <w:pPr>
        <w:pStyle w:val="5"/>
        <w:spacing w:before="0" w:after="0" w:line="360" w:lineRule="auto"/>
        <w:rPr>
          <w:rFonts w:ascii="宋体" w:hAnsi="宋体" w:cs="宋体"/>
          <w:b/>
          <w:color w:val="000000" w:themeColor="text1"/>
          <w:sz w:val="24"/>
          <w:highlight w:val="none"/>
          <w14:textFill>
            <w14:solidFill>
              <w14:schemeClr w14:val="tx1"/>
            </w14:solidFill>
          </w14:textFill>
        </w:rPr>
      </w:pPr>
      <w:bookmarkStart w:id="319" w:name="_Toc14167"/>
      <w:r>
        <w:rPr>
          <w:rFonts w:hint="eastAsia" w:hAnsi="宋体" w:cs="宋体"/>
          <w:color w:val="000000" w:themeColor="text1"/>
          <w:highlight w:val="none"/>
          <w:u w:val="none"/>
          <w:lang w:val="en-US" w:eastAsia="zh-CN"/>
          <w14:textFill>
            <w14:solidFill>
              <w14:schemeClr w14:val="tx1"/>
            </w14:solidFill>
          </w14:textFill>
        </w:rPr>
        <w:t>5</w:t>
      </w:r>
      <w:r>
        <w:rPr>
          <w:rFonts w:hint="eastAsia" w:hAnsi="宋体" w:cs="宋体"/>
          <w:color w:val="000000" w:themeColor="text1"/>
          <w:highlight w:val="none"/>
          <w:u w:val="none"/>
          <w14:textFill>
            <w14:solidFill>
              <w14:schemeClr w14:val="tx1"/>
            </w14:solidFill>
          </w14:textFill>
        </w:rPr>
        <w:t>.具有良好的商业信誉和健全的财务会计制度的</w:t>
      </w:r>
      <w:bookmarkEnd w:id="318"/>
      <w:r>
        <w:rPr>
          <w:rFonts w:hint="eastAsia" w:hAnsi="宋体" w:cs="宋体"/>
          <w:color w:val="000000" w:themeColor="text1"/>
          <w:highlight w:val="none"/>
          <w:u w:val="none"/>
          <w14:textFill>
            <w14:solidFill>
              <w14:schemeClr w14:val="tx1"/>
            </w14:solidFill>
          </w14:textFill>
        </w:rPr>
        <w:t>证明文件</w:t>
      </w:r>
      <w:bookmarkEnd w:id="319"/>
    </w:p>
    <w:p w14:paraId="2BD2F246">
      <w:pPr>
        <w:tabs>
          <w:tab w:val="left" w:pos="5580"/>
        </w:tabs>
        <w:spacing w:line="480" w:lineRule="exact"/>
        <w:ind w:left="1080" w:leftChars="257" w:hanging="540"/>
        <w:rPr>
          <w:rFonts w:hint="eastAsia" w:ascii="宋体" w:hAnsi="宋体" w:eastAsia="宋体" w:cs="宋体"/>
          <w:color w:val="000000" w:themeColor="text1"/>
          <w:sz w:val="24"/>
          <w:highlight w:val="none"/>
          <w14:textFill>
            <w14:solidFill>
              <w14:schemeClr w14:val="tx1"/>
            </w14:solidFill>
          </w14:textFill>
        </w:rPr>
      </w:pPr>
      <w:bookmarkStart w:id="320" w:name="_Toc518923111"/>
      <w:r>
        <w:rPr>
          <w:rFonts w:hint="eastAsia" w:ascii="宋体" w:hAnsi="宋体" w:eastAsia="宋体" w:cs="宋体"/>
          <w:color w:val="000000" w:themeColor="text1"/>
          <w:sz w:val="24"/>
          <w:highlight w:val="none"/>
          <w14:textFill>
            <w14:solidFill>
              <w14:schemeClr w14:val="tx1"/>
            </w14:solidFill>
          </w14:textFill>
        </w:rPr>
        <w:t>说明：</w:t>
      </w:r>
    </w:p>
    <w:p w14:paraId="1DDD2616">
      <w:pPr>
        <w:tabs>
          <w:tab w:val="left" w:pos="5580"/>
        </w:tabs>
        <w:spacing w:line="480" w:lineRule="exact"/>
        <w:ind w:firstLine="480" w:firstLineChars="200"/>
        <w:rPr>
          <w:rFonts w:hint="eastAsia"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1、如提供本单位上年度</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2024年度</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经会计师事务所出具的审计报告复印件，须加盖</w:t>
      </w:r>
      <w:r>
        <w:rPr>
          <w:rFonts w:hint="eastAsia" w:ascii="宋体" w:hAnsi="宋体" w:eastAsia="宋体" w:cs="宋体"/>
          <w:bCs/>
          <w:color w:val="000000" w:themeColor="text1"/>
          <w:sz w:val="24"/>
          <w:highlight w:val="none"/>
          <w14:textFill>
            <w14:solidFill>
              <w14:schemeClr w14:val="tx1"/>
            </w14:solidFill>
          </w14:textFill>
        </w:rPr>
        <w:t>本单位章。</w:t>
      </w:r>
    </w:p>
    <w:p w14:paraId="37690EF6">
      <w:pPr>
        <w:tabs>
          <w:tab w:val="left" w:pos="5580"/>
        </w:tabs>
        <w:spacing w:line="48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14:paraId="08614453">
      <w:pPr>
        <w:tabs>
          <w:tab w:val="left" w:pos="5580"/>
        </w:tabs>
        <w:spacing w:line="48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3、如果是联合体响应文件，联合体各方均需提供上述证明。</w:t>
      </w:r>
    </w:p>
    <w:p w14:paraId="5BAEF4A7">
      <w:pPr>
        <w:tabs>
          <w:tab w:val="left" w:pos="5580"/>
        </w:tabs>
        <w:spacing w:line="48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4、如采用合格的磋商担保函的，可提供磋商担保函复印件替代。</w:t>
      </w:r>
    </w:p>
    <w:p w14:paraId="75D51B36">
      <w:pPr>
        <w:tabs>
          <w:tab w:val="left" w:pos="5580"/>
        </w:tabs>
        <w:wordWrap w:val="0"/>
        <w:spacing w:line="52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5、如采用承诺方式的，承诺函格式下载地址：http://www.ymzb.com/news/?1868.html。</w:t>
      </w:r>
    </w:p>
    <w:p w14:paraId="138ECFC9">
      <w:pPr>
        <w:spacing w:line="360" w:lineRule="auto"/>
        <w:rPr>
          <w:rFonts w:ascii="宋体" w:hAnsi="宋体" w:cs="宋体"/>
          <w:color w:val="000000" w:themeColor="text1"/>
          <w:sz w:val="24"/>
          <w:highlight w:val="none"/>
          <w14:textFill>
            <w14:solidFill>
              <w14:schemeClr w14:val="tx1"/>
            </w14:solidFill>
          </w14:textFill>
        </w:rPr>
      </w:pPr>
    </w:p>
    <w:p w14:paraId="32097158">
      <w:pPr>
        <w:pStyle w:val="5"/>
        <w:spacing w:before="0" w:after="0" w:line="360" w:lineRule="auto"/>
        <w:rPr>
          <w:rFonts w:hAnsi="宋体" w:cs="宋体"/>
          <w:color w:val="000000" w:themeColor="text1"/>
          <w:highlight w:val="none"/>
          <w:u w:val="none"/>
          <w14:textFill>
            <w14:solidFill>
              <w14:schemeClr w14:val="tx1"/>
            </w14:solidFill>
          </w14:textFill>
        </w:rPr>
      </w:pPr>
      <w:bookmarkStart w:id="321" w:name="_Toc46235135"/>
      <w:bookmarkStart w:id="322" w:name="_Toc9059"/>
      <w:r>
        <w:rPr>
          <w:rFonts w:hint="eastAsia" w:hAnsi="宋体" w:cs="宋体"/>
          <w:color w:val="000000" w:themeColor="text1"/>
          <w:highlight w:val="none"/>
          <w:u w:val="none"/>
          <w:lang w:val="en-US" w:eastAsia="zh-CN"/>
          <w14:textFill>
            <w14:solidFill>
              <w14:schemeClr w14:val="tx1"/>
            </w14:solidFill>
          </w14:textFill>
        </w:rPr>
        <w:t>6</w:t>
      </w:r>
      <w:r>
        <w:rPr>
          <w:rFonts w:hint="eastAsia" w:hAnsi="宋体" w:cs="宋体"/>
          <w:color w:val="000000" w:themeColor="text1"/>
          <w:highlight w:val="none"/>
          <w:u w:val="none"/>
          <w14:textFill>
            <w14:solidFill>
              <w14:schemeClr w14:val="tx1"/>
            </w14:solidFill>
          </w14:textFill>
        </w:rPr>
        <w:t>.依法缴纳社会保障资金和税收的</w:t>
      </w:r>
      <w:bookmarkEnd w:id="321"/>
      <w:r>
        <w:rPr>
          <w:rFonts w:hint="eastAsia" w:hAnsi="宋体" w:cs="宋体"/>
          <w:color w:val="000000" w:themeColor="text1"/>
          <w:highlight w:val="none"/>
          <w14:textFill>
            <w14:solidFill>
              <w14:schemeClr w14:val="tx1"/>
            </w14:solidFill>
          </w14:textFill>
        </w:rPr>
        <w:t>缴纳记录</w:t>
      </w:r>
      <w:bookmarkEnd w:id="322"/>
    </w:p>
    <w:p w14:paraId="7BA63ED2">
      <w:pPr>
        <w:tabs>
          <w:tab w:val="left" w:pos="5580"/>
        </w:tabs>
        <w:spacing w:line="480" w:lineRule="exact"/>
        <w:ind w:left="1260" w:leftChars="257" w:hanging="720" w:hangingChars="3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说明：</w:t>
      </w:r>
    </w:p>
    <w:p w14:paraId="05EA4317">
      <w:pPr>
        <w:pStyle w:val="16"/>
        <w:tabs>
          <w:tab w:val="left" w:pos="5580"/>
        </w:tabs>
        <w:spacing w:line="480" w:lineRule="exact"/>
        <w:ind w:left="54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1.按照</w:t>
      </w:r>
      <w:r>
        <w:rPr>
          <w:rFonts w:hint="eastAsia" w:ascii="宋体" w:hAnsi="宋体" w:eastAsia="宋体" w:cs="宋体"/>
          <w:color w:val="000000" w:themeColor="text1"/>
          <w:sz w:val="24"/>
          <w:highlight w:val="none"/>
          <w:u w:val="single"/>
          <w14:textFill>
            <w14:solidFill>
              <w14:schemeClr w14:val="tx1"/>
            </w14:solidFill>
          </w14:textFill>
        </w:rPr>
        <w:t>供应商须知资料表</w:t>
      </w:r>
      <w:r>
        <w:rPr>
          <w:rFonts w:hint="eastAsia" w:ascii="宋体" w:hAnsi="宋体" w:eastAsia="宋体" w:cs="宋体"/>
          <w:color w:val="000000" w:themeColor="text1"/>
          <w:sz w:val="24"/>
          <w:highlight w:val="none"/>
          <w14:textFill>
            <w14:solidFill>
              <w14:schemeClr w14:val="tx1"/>
            </w14:solidFill>
          </w14:textFill>
        </w:rPr>
        <w:t>中的规定提供复印件。</w:t>
      </w:r>
    </w:p>
    <w:p w14:paraId="701BC098">
      <w:pPr>
        <w:pStyle w:val="16"/>
        <w:tabs>
          <w:tab w:val="left" w:pos="5580"/>
        </w:tabs>
        <w:spacing w:line="480" w:lineRule="exact"/>
        <w:ind w:left="1080" w:leftChars="257" w:hanging="54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2.复印件上应加盖本单位章。</w:t>
      </w:r>
    </w:p>
    <w:p w14:paraId="713C6E26">
      <w:pPr>
        <w:tabs>
          <w:tab w:val="left" w:pos="5580"/>
        </w:tabs>
        <w:spacing w:line="480" w:lineRule="exact"/>
        <w:ind w:left="1080" w:leftChars="257" w:hanging="54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3.如果是联合体响应文件，联合体各方均需提供上述证明。</w:t>
      </w:r>
    </w:p>
    <w:p w14:paraId="6852B5C8">
      <w:pPr>
        <w:tabs>
          <w:tab w:val="left" w:pos="5580"/>
        </w:tabs>
        <w:wordWrap w:val="0"/>
        <w:spacing w:line="520" w:lineRule="exact"/>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4、如采用承诺方式的，承诺函格式下载地址：http://www.ymzb.com/news/?1868.html。</w:t>
      </w:r>
    </w:p>
    <w:p w14:paraId="6441A13B">
      <w:pPr>
        <w:tabs>
          <w:tab w:val="left" w:pos="5580"/>
        </w:tabs>
        <w:spacing w:line="360" w:lineRule="auto"/>
        <w:rPr>
          <w:rFonts w:ascii="宋体" w:hAnsi="宋体" w:cs="宋体"/>
          <w:color w:val="000000" w:themeColor="text1"/>
          <w:sz w:val="24"/>
          <w:highlight w:val="none"/>
          <w14:textFill>
            <w14:solidFill>
              <w14:schemeClr w14:val="tx1"/>
            </w14:solidFill>
          </w14:textFill>
        </w:rPr>
      </w:pPr>
    </w:p>
    <w:p w14:paraId="4472A323">
      <w:pPr>
        <w:pStyle w:val="5"/>
        <w:spacing w:before="0" w:after="0" w:line="360" w:lineRule="auto"/>
        <w:rPr>
          <w:rFonts w:hAnsi="宋体" w:cs="宋体"/>
          <w:color w:val="000000" w:themeColor="text1"/>
          <w:highlight w:val="none"/>
          <w14:textFill>
            <w14:solidFill>
              <w14:schemeClr w14:val="tx1"/>
            </w14:solidFill>
          </w14:textFill>
        </w:rPr>
      </w:pPr>
      <w:bookmarkStart w:id="323" w:name="_Toc518923112"/>
      <w:bookmarkStart w:id="324" w:name="_Toc46235136"/>
      <w:bookmarkStart w:id="325" w:name="_Toc20072"/>
      <w:r>
        <w:rPr>
          <w:rFonts w:hint="eastAsia" w:hAnsi="宋体" w:cs="宋体"/>
          <w:color w:val="000000" w:themeColor="text1"/>
          <w:highlight w:val="none"/>
          <w:u w:val="none"/>
          <w:lang w:val="en-US" w:eastAsia="zh-CN"/>
          <w14:textFill>
            <w14:solidFill>
              <w14:schemeClr w14:val="tx1"/>
            </w14:solidFill>
          </w14:textFill>
        </w:rPr>
        <w:t>7</w:t>
      </w:r>
      <w:r>
        <w:rPr>
          <w:rFonts w:hint="eastAsia" w:hAnsi="宋体" w:cs="宋体"/>
          <w:color w:val="000000" w:themeColor="text1"/>
          <w:highlight w:val="none"/>
          <w:u w:val="none"/>
          <w14:textFill>
            <w14:solidFill>
              <w14:schemeClr w14:val="tx1"/>
            </w14:solidFill>
          </w14:textFill>
        </w:rPr>
        <w:t>.参加政府采购活动前3年内</w:t>
      </w:r>
      <w:bookmarkEnd w:id="323"/>
      <w:bookmarkStart w:id="326" w:name="_Toc518923113"/>
      <w:r>
        <w:rPr>
          <w:rFonts w:hint="eastAsia" w:hAnsi="宋体" w:cs="宋体"/>
          <w:color w:val="000000" w:themeColor="text1"/>
          <w:highlight w:val="none"/>
          <w:u w:val="none"/>
          <w14:textFill>
            <w14:solidFill>
              <w14:schemeClr w14:val="tx1"/>
            </w14:solidFill>
          </w14:textFill>
        </w:rPr>
        <w:t>在经营活动中没有重大违法记录的</w:t>
      </w:r>
      <w:bookmarkEnd w:id="326"/>
      <w:r>
        <w:rPr>
          <w:rFonts w:hint="eastAsia" w:hAnsi="宋体" w:cs="宋体"/>
          <w:color w:val="000000" w:themeColor="text1"/>
          <w:highlight w:val="none"/>
          <w:u w:val="none"/>
          <w14:textFill>
            <w14:solidFill>
              <w14:schemeClr w14:val="tx1"/>
            </w14:solidFill>
          </w14:textFill>
        </w:rPr>
        <w:t>书面声明</w:t>
      </w:r>
      <w:bookmarkEnd w:id="324"/>
      <w:bookmarkEnd w:id="325"/>
    </w:p>
    <w:p w14:paraId="1036ADAC">
      <w:pPr>
        <w:pStyle w:val="16"/>
        <w:spacing w:line="360" w:lineRule="auto"/>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本单位郑重声明：</w:t>
      </w:r>
    </w:p>
    <w:p w14:paraId="3E2FC1E0">
      <w:pPr>
        <w:pStyle w:val="16"/>
        <w:spacing w:line="360" w:lineRule="auto"/>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我单位在参加采购活动前三年内在经营活动中没有《</w:t>
      </w:r>
      <w:r>
        <w:rPr>
          <w:rFonts w:hint="eastAsia" w:hAnsi="宋体" w:cs="宋体"/>
          <w:color w:val="000000" w:themeColor="text1"/>
          <w:sz w:val="24"/>
          <w:szCs w:val="24"/>
          <w:highlight w:val="none"/>
          <w:lang w:eastAsia="zh-CN"/>
          <w14:textFill>
            <w14:solidFill>
              <w14:schemeClr w14:val="tx1"/>
            </w14:solidFill>
          </w14:textFill>
        </w:rPr>
        <w:t>中华人民共和国政府采购法</w:t>
      </w:r>
      <w:r>
        <w:rPr>
          <w:rFonts w:hint="eastAsia" w:hAnsi="宋体" w:cs="宋体"/>
          <w:color w:val="000000" w:themeColor="text1"/>
          <w:sz w:val="24"/>
          <w:szCs w:val="24"/>
          <w:highlight w:val="none"/>
          <w14:textFill>
            <w14:solidFill>
              <w14:schemeClr w14:val="tx1"/>
            </w14:solidFill>
          </w14:textFill>
        </w:rPr>
        <w:t>》第二十二条第一款第</w:t>
      </w:r>
      <w:r>
        <w:rPr>
          <w:rFonts w:hint="eastAsia" w:hAnsi="宋体" w:cs="宋体"/>
          <w:color w:val="000000" w:themeColor="text1"/>
          <w:sz w:val="24"/>
          <w:szCs w:val="24"/>
          <w:highlight w:val="none"/>
          <w:lang w:eastAsia="zh-CN"/>
          <w14:textFill>
            <w14:solidFill>
              <w14:schemeClr w14:val="tx1"/>
            </w14:solidFill>
          </w14:textFill>
        </w:rPr>
        <w:t>（</w:t>
      </w:r>
      <w:r>
        <w:rPr>
          <w:rFonts w:hint="eastAsia" w:hAnsi="宋体" w:cs="宋体"/>
          <w:color w:val="000000" w:themeColor="text1"/>
          <w:sz w:val="24"/>
          <w:szCs w:val="24"/>
          <w:highlight w:val="none"/>
          <w14:textFill>
            <w14:solidFill>
              <w14:schemeClr w14:val="tx1"/>
            </w14:solidFill>
          </w14:textFill>
        </w:rPr>
        <w:t>五</w:t>
      </w:r>
      <w:r>
        <w:rPr>
          <w:rFonts w:hint="eastAsia" w:hAnsi="宋体" w:cs="宋体"/>
          <w:color w:val="000000" w:themeColor="text1"/>
          <w:sz w:val="24"/>
          <w:szCs w:val="24"/>
          <w:highlight w:val="none"/>
          <w:lang w:eastAsia="zh-CN"/>
          <w14:textFill>
            <w14:solidFill>
              <w14:schemeClr w14:val="tx1"/>
            </w14:solidFill>
          </w14:textFill>
        </w:rPr>
        <w:t>）</w:t>
      </w:r>
      <w:r>
        <w:rPr>
          <w:rFonts w:hint="eastAsia" w:hAnsi="宋体" w:cs="宋体"/>
          <w:color w:val="000000" w:themeColor="text1"/>
          <w:sz w:val="24"/>
          <w:szCs w:val="24"/>
          <w:highlight w:val="none"/>
          <w14:textFill>
            <w14:solidFill>
              <w14:schemeClr w14:val="tx1"/>
            </w14:solidFill>
          </w14:textFill>
        </w:rPr>
        <w:t>项所称重大违法记录，包括：</w:t>
      </w:r>
    </w:p>
    <w:p w14:paraId="1C72299E">
      <w:pPr>
        <w:pStyle w:val="16"/>
        <w:spacing w:line="360" w:lineRule="auto"/>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我单位或者其法定代表人、董事、监事、高级管理人员未因经营活动中的违法行为受到刑事处罚或者责令停产停业、吊销许可证或者执照、较大数额罚款等行政处罚。</w:t>
      </w:r>
    </w:p>
    <w:p w14:paraId="1FA90D4D">
      <w:pPr>
        <w:pStyle w:val="16"/>
        <w:spacing w:line="360" w:lineRule="auto"/>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特此声明！</w:t>
      </w:r>
    </w:p>
    <w:p w14:paraId="75805090">
      <w:pPr>
        <w:pStyle w:val="16"/>
        <w:spacing w:line="360" w:lineRule="auto"/>
        <w:ind w:firstLine="480" w:firstLineChars="200"/>
        <w:rPr>
          <w:rFonts w:hAnsi="宋体" w:cs="宋体"/>
          <w:color w:val="000000" w:themeColor="text1"/>
          <w:sz w:val="24"/>
          <w:szCs w:val="24"/>
          <w:highlight w:val="none"/>
          <w14:textFill>
            <w14:solidFill>
              <w14:schemeClr w14:val="tx1"/>
            </w14:solidFill>
          </w14:textFill>
        </w:rPr>
      </w:pPr>
    </w:p>
    <w:p w14:paraId="6070C499">
      <w:pPr>
        <w:pStyle w:val="16"/>
        <w:spacing w:line="360" w:lineRule="auto"/>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供应商名称</w:t>
      </w:r>
      <w:r>
        <w:rPr>
          <w:rFonts w:hint="eastAsia" w:hAnsi="宋体" w:cs="宋体"/>
          <w:color w:val="000000" w:themeColor="text1"/>
          <w:sz w:val="24"/>
          <w:szCs w:val="24"/>
          <w:highlight w:val="none"/>
          <w:lang w:eastAsia="zh-CN"/>
          <w14:textFill>
            <w14:solidFill>
              <w14:schemeClr w14:val="tx1"/>
            </w14:solidFill>
          </w14:textFill>
        </w:rPr>
        <w:t>（</w:t>
      </w:r>
      <w:r>
        <w:rPr>
          <w:rFonts w:hint="eastAsia" w:hAnsi="宋体" w:cs="宋体"/>
          <w:color w:val="000000" w:themeColor="text1"/>
          <w:sz w:val="24"/>
          <w:szCs w:val="24"/>
          <w:highlight w:val="none"/>
          <w14:textFill>
            <w14:solidFill>
              <w14:schemeClr w14:val="tx1"/>
            </w14:solidFill>
          </w14:textFill>
        </w:rPr>
        <w:t>公章</w:t>
      </w:r>
      <w:r>
        <w:rPr>
          <w:rFonts w:hint="eastAsia" w:hAnsi="宋体" w:cs="宋体"/>
          <w:color w:val="000000" w:themeColor="text1"/>
          <w:sz w:val="24"/>
          <w:szCs w:val="24"/>
          <w:highlight w:val="none"/>
          <w:lang w:eastAsia="zh-CN"/>
          <w14:textFill>
            <w14:solidFill>
              <w14:schemeClr w14:val="tx1"/>
            </w14:solidFill>
          </w14:textFill>
        </w:rPr>
        <w:t>）</w:t>
      </w:r>
      <w:r>
        <w:rPr>
          <w:rFonts w:hint="eastAsia" w:hAnsi="宋体" w:cs="宋体"/>
          <w:color w:val="000000" w:themeColor="text1"/>
          <w:sz w:val="24"/>
          <w:szCs w:val="24"/>
          <w:highlight w:val="none"/>
          <w14:textFill>
            <w14:solidFill>
              <w14:schemeClr w14:val="tx1"/>
            </w14:solidFill>
          </w14:textFill>
        </w:rPr>
        <w:t>：______________</w:t>
      </w:r>
    </w:p>
    <w:p w14:paraId="43844530">
      <w:pPr>
        <w:pStyle w:val="16"/>
        <w:spacing w:line="360" w:lineRule="auto"/>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法定代表人或负责人或其授权代表</w:t>
      </w:r>
      <w:r>
        <w:rPr>
          <w:rFonts w:hint="eastAsia" w:hAnsi="宋体" w:cs="宋体"/>
          <w:color w:val="000000" w:themeColor="text1"/>
          <w:sz w:val="24"/>
          <w:szCs w:val="24"/>
          <w:highlight w:val="none"/>
          <w:lang w:eastAsia="zh-CN"/>
          <w14:textFill>
            <w14:solidFill>
              <w14:schemeClr w14:val="tx1"/>
            </w14:solidFill>
          </w14:textFill>
        </w:rPr>
        <w:t>（</w:t>
      </w:r>
      <w:r>
        <w:rPr>
          <w:rFonts w:hint="eastAsia" w:hAnsi="宋体" w:cs="宋体"/>
          <w:color w:val="000000" w:themeColor="text1"/>
          <w:sz w:val="24"/>
          <w:szCs w:val="24"/>
          <w:highlight w:val="none"/>
          <w14:textFill>
            <w14:solidFill>
              <w14:schemeClr w14:val="tx1"/>
            </w14:solidFill>
          </w14:textFill>
        </w:rPr>
        <w:t>签字或盖章</w:t>
      </w:r>
      <w:r>
        <w:rPr>
          <w:rFonts w:hint="eastAsia" w:hAnsi="宋体" w:cs="宋体"/>
          <w:color w:val="000000" w:themeColor="text1"/>
          <w:sz w:val="24"/>
          <w:szCs w:val="24"/>
          <w:highlight w:val="none"/>
          <w:lang w:eastAsia="zh-CN"/>
          <w14:textFill>
            <w14:solidFill>
              <w14:schemeClr w14:val="tx1"/>
            </w14:solidFill>
          </w14:textFill>
        </w:rPr>
        <w:t>）</w:t>
      </w:r>
      <w:r>
        <w:rPr>
          <w:rFonts w:hint="eastAsia" w:hAnsi="宋体" w:cs="宋体"/>
          <w:color w:val="000000" w:themeColor="text1"/>
          <w:sz w:val="24"/>
          <w:szCs w:val="24"/>
          <w:highlight w:val="none"/>
          <w14:textFill>
            <w14:solidFill>
              <w14:schemeClr w14:val="tx1"/>
            </w14:solidFill>
          </w14:textFill>
        </w:rPr>
        <w:t>：______________</w:t>
      </w:r>
    </w:p>
    <w:p w14:paraId="0A7D6E03">
      <w:pPr>
        <w:pStyle w:val="16"/>
        <w:spacing w:line="360" w:lineRule="auto"/>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日期：______年____月____日</w:t>
      </w:r>
    </w:p>
    <w:p w14:paraId="08D83111">
      <w:pPr>
        <w:tabs>
          <w:tab w:val="left" w:pos="5580"/>
        </w:tabs>
        <w:spacing w:line="360" w:lineRule="auto"/>
        <w:ind w:left="1080" w:leftChars="257" w:hanging="540"/>
        <w:rPr>
          <w:rFonts w:ascii="宋体" w:hAnsi="宋体" w:cs="宋体"/>
          <w:color w:val="000000" w:themeColor="text1"/>
          <w:sz w:val="24"/>
          <w:szCs w:val="20"/>
          <w:highlight w:val="none"/>
          <w14:textFill>
            <w14:solidFill>
              <w14:schemeClr w14:val="tx1"/>
            </w14:solidFill>
          </w14:textFill>
        </w:rPr>
      </w:pPr>
    </w:p>
    <w:p w14:paraId="55F1932C">
      <w:pPr>
        <w:tabs>
          <w:tab w:val="left" w:pos="5580"/>
        </w:tabs>
        <w:spacing w:line="360" w:lineRule="auto"/>
        <w:ind w:left="1080" w:leftChars="257" w:hanging="54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说明：1供应商应按照相关法规规定如实作出说明。</w:t>
      </w:r>
    </w:p>
    <w:p w14:paraId="379679ED">
      <w:pPr>
        <w:pStyle w:val="16"/>
        <w:tabs>
          <w:tab w:val="left" w:pos="5580"/>
        </w:tabs>
        <w:spacing w:line="360" w:lineRule="auto"/>
        <w:ind w:left="645" w:leftChars="307" w:firstLine="600" w:firstLineChars="250"/>
        <w:rPr>
          <w:rFonts w:hAnsi="宋体" w:cs="宋体"/>
          <w:color w:val="000000" w:themeColor="text1"/>
          <w:sz w:val="24"/>
          <w:highlight w:val="none"/>
          <w14:textFill>
            <w14:solidFill>
              <w14:schemeClr w14:val="tx1"/>
            </w14:solidFill>
          </w14:textFill>
        </w:rPr>
      </w:pPr>
      <w:r>
        <w:rPr>
          <w:rFonts w:hint="eastAsia" w:hAnsi="宋体" w:cs="宋体"/>
          <w:color w:val="000000" w:themeColor="text1"/>
          <w:sz w:val="24"/>
          <w:highlight w:val="none"/>
          <w14:textFill>
            <w14:solidFill>
              <w14:schemeClr w14:val="tx1"/>
            </w14:solidFill>
          </w14:textFill>
        </w:rPr>
        <w:t>2．按照磋商文件的规定加盖本单位章（自然人投标的无需盖章，需要签字）。</w:t>
      </w:r>
    </w:p>
    <w:p w14:paraId="467CF778">
      <w:pPr>
        <w:tabs>
          <w:tab w:val="left" w:pos="5580"/>
        </w:tabs>
        <w:spacing w:line="360" w:lineRule="auto"/>
        <w:ind w:left="1080" w:leftChars="257" w:hanging="540"/>
        <w:rPr>
          <w:rFonts w:hint="eastAsia"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      3.如果是联合体响应文件，联合体各方均需提供上述声明。</w:t>
      </w:r>
    </w:p>
    <w:p w14:paraId="02C0FB39">
      <w:pPr>
        <w:tabs>
          <w:tab w:val="left" w:pos="5580"/>
        </w:tabs>
        <w:spacing w:line="360" w:lineRule="auto"/>
        <w:ind w:left="1080" w:leftChars="257" w:hanging="540"/>
        <w:rPr>
          <w:rFonts w:hint="eastAsia" w:ascii="宋体" w:hAnsi="宋体" w:cs="宋体"/>
          <w:color w:val="000000" w:themeColor="text1"/>
          <w:sz w:val="24"/>
          <w:szCs w:val="20"/>
          <w:highlight w:val="none"/>
          <w14:textFill>
            <w14:solidFill>
              <w14:schemeClr w14:val="tx1"/>
            </w14:solidFill>
          </w14:textFill>
        </w:rPr>
      </w:pPr>
    </w:p>
    <w:p w14:paraId="485ED889">
      <w:pPr>
        <w:pStyle w:val="5"/>
        <w:spacing w:before="0" w:after="0" w:line="440" w:lineRule="exact"/>
        <w:rPr>
          <w:rFonts w:hAnsi="宋体" w:cs="宋体"/>
          <w:color w:val="000000" w:themeColor="text1"/>
          <w:highlight w:val="none"/>
          <w:u w:val="none"/>
          <w14:textFill>
            <w14:solidFill>
              <w14:schemeClr w14:val="tx1"/>
            </w14:solidFill>
          </w14:textFill>
        </w:rPr>
      </w:pPr>
      <w:bookmarkStart w:id="327" w:name="_Toc4873"/>
      <w:bookmarkStart w:id="328" w:name="_Toc46235137"/>
      <w:bookmarkStart w:id="329" w:name="_Toc518923114"/>
      <w:r>
        <w:rPr>
          <w:rFonts w:hint="eastAsia" w:hAnsi="宋体" w:cs="宋体"/>
          <w:color w:val="000000" w:themeColor="text1"/>
          <w:highlight w:val="none"/>
          <w:u w:val="none"/>
          <w:lang w:val="en-US" w:eastAsia="zh-CN"/>
          <w14:textFill>
            <w14:solidFill>
              <w14:schemeClr w14:val="tx1"/>
            </w14:solidFill>
          </w14:textFill>
        </w:rPr>
        <w:t>8</w:t>
      </w:r>
      <w:r>
        <w:rPr>
          <w:rFonts w:hint="eastAsia" w:hAnsi="宋体" w:cs="宋体"/>
          <w:color w:val="000000" w:themeColor="text1"/>
          <w:highlight w:val="none"/>
          <w:u w:val="none"/>
          <w14:textFill>
            <w14:solidFill>
              <w14:schemeClr w14:val="tx1"/>
            </w14:solidFill>
          </w14:textFill>
        </w:rPr>
        <w:t>.临沂市政府采购供应商反商业贿赂承诺书</w:t>
      </w:r>
      <w:bookmarkEnd w:id="327"/>
    </w:p>
    <w:p w14:paraId="0DCC5D92">
      <w:pPr>
        <w:pStyle w:val="16"/>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bookmarkStart w:id="330" w:name="_Toc27094"/>
      <w:bookmarkStart w:id="331" w:name="_Toc847"/>
    </w:p>
    <w:p w14:paraId="79C44477">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为贯彻落实中央和省市关于治理商业贿赂的有关精神，进一步净化政府采购市场、规范政府采购行为，共同营造和维护竞争有序的政府采购市场，我们作为参加市政府采购的供应商就反商业贿赂向社会郑重承诺：</w:t>
      </w:r>
    </w:p>
    <w:p w14:paraId="2B7E47C5">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一、认真学习并遵守国家相关的法律、法规及社会公德，树立质量为本的理念，诚实守信，依法参与政府采购活动，不搞不正当交易行为。</w:t>
      </w:r>
    </w:p>
    <w:p w14:paraId="0E426411">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二、在政府采购活动中，自觉遵守政府采购的法律法规的规定，依法依规进行政府采购项目招投标及公平交易，建立投标诚信、价格诚信、合同诚信、履约诚信、服务诚信等诚信体系。</w:t>
      </w:r>
    </w:p>
    <w:p w14:paraId="66CAA69C">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三、不弄虚作假，骗取政府采购供应商资格；不提供虚假资质文件谋取中标或成交；不出</w:t>
      </w:r>
      <w:r>
        <w:rPr>
          <w:rFonts w:hint="eastAsia" w:hAnsi="宋体" w:cs="宋体"/>
          <w:color w:val="000000" w:themeColor="text1"/>
          <w:sz w:val="24"/>
          <w:szCs w:val="24"/>
          <w:highlight w:val="none"/>
          <w:lang w:val="en-US" w:eastAsia="zh-CN"/>
          <w14:textFill>
            <w14:solidFill>
              <w14:schemeClr w14:val="tx1"/>
            </w14:solidFill>
          </w14:textFill>
        </w:rPr>
        <w:t>借</w:t>
      </w:r>
      <w:r>
        <w:rPr>
          <w:rFonts w:hint="eastAsia" w:hAnsi="宋体" w:cs="宋体"/>
          <w:color w:val="000000" w:themeColor="text1"/>
          <w:sz w:val="24"/>
          <w:szCs w:val="24"/>
          <w:highlight w:val="none"/>
          <w14:textFill>
            <w14:solidFill>
              <w14:schemeClr w14:val="tx1"/>
            </w14:solidFill>
          </w14:textFill>
        </w:rPr>
        <w:t>、转让、出卖资质（资格）证书；不允许他人以本企业名义承接或承揽政府采购业务。</w:t>
      </w:r>
    </w:p>
    <w:p w14:paraId="79BCAAB5">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四、不采取“围标、陪标”等商业欺诈手段获得政府采购订单；不采取不正当手段诋毁、排挤其他供应商参与竞争。</w:t>
      </w:r>
    </w:p>
    <w:p w14:paraId="32FC7A96">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五、在政府采购活动中，不与采购人、采购代理机构及其工作人员和其他供应商串通，损害国家利益、社会公共利益和其他相关人的合法权益。</w:t>
      </w:r>
    </w:p>
    <w:p w14:paraId="4614E404">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六、不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04B3E590">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七、按规定与采购人签订政府采购合同，并严格按合同履约，为采购人提供符合质量标准规定的货物、工程和服务，不销售冒牌、走私货物；不擅自变更或终止、转让、转包政府采购合同；主动配合政府采购项目的验收工作。</w:t>
      </w:r>
    </w:p>
    <w:p w14:paraId="75FA33F4">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八、自觉接受政府采购监管部门的监督管理，积极配合检查和调查，并如实反映情况和提供材料。</w:t>
      </w:r>
    </w:p>
    <w:p w14:paraId="4F1396E5">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我们将严格遵守上述承诺事项，自愿接受主管（监管）部门和社会各方面的监督，如有违反的，自愿接受执法执纪机关和监督管理部门的处理。</w:t>
      </w:r>
    </w:p>
    <w:p w14:paraId="75E95B67">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承诺单位：（公章）</w:t>
      </w:r>
    </w:p>
    <w:p w14:paraId="504B74C4">
      <w:pPr>
        <w:pStyle w:val="16"/>
        <w:spacing w:line="360" w:lineRule="auto"/>
        <w:ind w:firstLine="480" w:firstLineChars="200"/>
        <w:rPr>
          <w:rFonts w:hint="eastAsia" w:hAnsi="宋体" w:cs="宋体"/>
          <w:color w:val="000000" w:themeColor="text1"/>
          <w:sz w:val="24"/>
          <w:szCs w:val="24"/>
          <w:highlight w:val="none"/>
          <w:lang w:eastAsia="zh-CN"/>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法定代表人或委托代理人：</w:t>
      </w:r>
    </w:p>
    <w:p w14:paraId="635A9C76">
      <w:pPr>
        <w:pStyle w:val="16"/>
        <w:spacing w:line="360" w:lineRule="auto"/>
        <w:ind w:firstLine="480" w:firstLineChars="200"/>
        <w:rPr>
          <w:rFonts w:hint="eastAsia"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年  月  日</w:t>
      </w:r>
      <w:bookmarkEnd w:id="330"/>
      <w:bookmarkEnd w:id="331"/>
    </w:p>
    <w:p w14:paraId="62573D21">
      <w:pPr>
        <w:pStyle w:val="5"/>
        <w:spacing w:before="0" w:after="0" w:line="360" w:lineRule="auto"/>
        <w:rPr>
          <w:rFonts w:hAnsi="宋体" w:cs="宋体"/>
          <w:color w:val="000000" w:themeColor="text1"/>
          <w:highlight w:val="none"/>
          <w:u w:val="none"/>
          <w14:textFill>
            <w14:solidFill>
              <w14:schemeClr w14:val="tx1"/>
            </w14:solidFill>
          </w14:textFill>
        </w:rPr>
      </w:pPr>
      <w:bookmarkStart w:id="332" w:name="_Toc31369"/>
      <w:r>
        <w:rPr>
          <w:rFonts w:hint="eastAsia" w:hAnsi="宋体" w:cs="宋体"/>
          <w:color w:val="000000" w:themeColor="text1"/>
          <w:highlight w:val="none"/>
          <w:u w:val="none"/>
          <w:lang w:val="en-US" w:eastAsia="zh-CN"/>
          <w14:textFill>
            <w14:solidFill>
              <w14:schemeClr w14:val="tx1"/>
            </w14:solidFill>
          </w14:textFill>
        </w:rPr>
        <w:t>9</w:t>
      </w:r>
      <w:r>
        <w:rPr>
          <w:rFonts w:hint="eastAsia" w:hAnsi="宋体" w:cs="宋体"/>
          <w:color w:val="000000" w:themeColor="text1"/>
          <w:highlight w:val="none"/>
          <w:u w:val="none"/>
          <w14:textFill>
            <w14:solidFill>
              <w14:schemeClr w14:val="tx1"/>
            </w14:solidFill>
          </w14:textFill>
        </w:rPr>
        <w:t>.响应文件须知资料表要求的其他资格证明文件</w:t>
      </w:r>
      <w:bookmarkEnd w:id="328"/>
      <w:bookmarkEnd w:id="329"/>
      <w:bookmarkEnd w:id="332"/>
    </w:p>
    <w:p w14:paraId="49ADD82F">
      <w:pPr>
        <w:spacing w:line="360" w:lineRule="auto"/>
        <w:ind w:left="1080" w:leftChars="257" w:hanging="540"/>
        <w:jc w:val="center"/>
        <w:rPr>
          <w:rFonts w:ascii="宋体" w:hAnsi="宋体" w:cs="宋体"/>
          <w:b/>
          <w:bCs/>
          <w:color w:val="000000" w:themeColor="text1"/>
          <w:sz w:val="24"/>
          <w:highlight w:val="none"/>
          <w14:textFill>
            <w14:solidFill>
              <w14:schemeClr w14:val="tx1"/>
            </w14:solidFill>
          </w14:textFill>
        </w:rPr>
      </w:pPr>
    </w:p>
    <w:p w14:paraId="695741DB">
      <w:pPr>
        <w:tabs>
          <w:tab w:val="left" w:pos="5580"/>
        </w:tabs>
        <w:spacing w:line="360" w:lineRule="auto"/>
        <w:ind w:left="1080" w:leftChars="257" w:hanging="54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说明：1.应提供</w:t>
      </w:r>
      <w:r>
        <w:rPr>
          <w:rFonts w:hint="eastAsia" w:ascii="宋体" w:hAnsi="宋体" w:cs="宋体"/>
          <w:color w:val="000000" w:themeColor="text1"/>
          <w:sz w:val="24"/>
          <w:szCs w:val="20"/>
          <w:highlight w:val="none"/>
          <w:u w:val="single"/>
          <w14:textFill>
            <w14:solidFill>
              <w14:schemeClr w14:val="tx1"/>
            </w14:solidFill>
          </w14:textFill>
        </w:rPr>
        <w:t>供应商须知资料表</w:t>
      </w:r>
      <w:r>
        <w:rPr>
          <w:rFonts w:hint="eastAsia" w:ascii="宋体" w:hAnsi="宋体" w:cs="宋体"/>
          <w:color w:val="000000" w:themeColor="text1"/>
          <w:sz w:val="24"/>
          <w:szCs w:val="20"/>
          <w:highlight w:val="none"/>
          <w14:textFill>
            <w14:solidFill>
              <w14:schemeClr w14:val="tx1"/>
            </w14:solidFill>
          </w14:textFill>
        </w:rPr>
        <w:t>要求的其他资格证明文件，应加盖本单位章（自然人投标的无需盖章，需要签字）。</w:t>
      </w:r>
    </w:p>
    <w:p w14:paraId="7CDC46F7">
      <w:pPr>
        <w:tabs>
          <w:tab w:val="left" w:pos="5580"/>
        </w:tabs>
        <w:spacing w:line="360" w:lineRule="auto"/>
        <w:ind w:left="1260" w:leftChars="344" w:hanging="538"/>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    2. 如果是联合体响应文件，联合体各方需提供的满足竞争性磋商文件要求的其他资格证明文件。</w:t>
      </w:r>
      <w:bookmarkEnd w:id="320"/>
      <w:bookmarkStart w:id="333" w:name="_Toc518923115"/>
    </w:p>
    <w:p w14:paraId="2D6294F5">
      <w:pPr>
        <w:pStyle w:val="5"/>
        <w:spacing w:before="0" w:after="0" w:line="360" w:lineRule="auto"/>
        <w:rPr>
          <w:rFonts w:hAnsi="宋体" w:cs="宋体"/>
          <w:color w:val="000000" w:themeColor="text1"/>
          <w:highlight w:val="none"/>
          <w:u w:val="none"/>
          <w14:textFill>
            <w14:solidFill>
              <w14:schemeClr w14:val="tx1"/>
            </w14:solidFill>
          </w14:textFill>
        </w:rPr>
      </w:pPr>
      <w:bookmarkStart w:id="334" w:name="_Toc46235138"/>
      <w:bookmarkStart w:id="335" w:name="_Toc20624"/>
      <w:r>
        <w:rPr>
          <w:rFonts w:hint="eastAsia" w:hAnsi="宋体" w:cs="宋体"/>
          <w:color w:val="000000" w:themeColor="text1"/>
          <w:highlight w:val="none"/>
          <w:u w:val="none"/>
          <w14:textFill>
            <w14:solidFill>
              <w14:schemeClr w14:val="tx1"/>
            </w14:solidFill>
          </w14:textFill>
        </w:rPr>
        <w:t>1</w:t>
      </w:r>
      <w:r>
        <w:rPr>
          <w:rFonts w:hint="eastAsia" w:hAnsi="宋体" w:cs="宋体"/>
          <w:color w:val="000000" w:themeColor="text1"/>
          <w:highlight w:val="none"/>
          <w:u w:val="none"/>
          <w:lang w:val="en-US" w:eastAsia="zh-CN"/>
          <w14:textFill>
            <w14:solidFill>
              <w14:schemeClr w14:val="tx1"/>
            </w14:solidFill>
          </w14:textFill>
        </w:rPr>
        <w:t>0</w:t>
      </w:r>
      <w:r>
        <w:rPr>
          <w:rFonts w:hint="eastAsia" w:hAnsi="宋体" w:cs="宋体"/>
          <w:color w:val="000000" w:themeColor="text1"/>
          <w:highlight w:val="none"/>
          <w:u w:val="none"/>
          <w14:textFill>
            <w14:solidFill>
              <w14:schemeClr w14:val="tx1"/>
            </w14:solidFill>
          </w14:textFill>
        </w:rPr>
        <w:t>.联合体协议书</w:t>
      </w:r>
      <w:bookmarkEnd w:id="334"/>
      <w:r>
        <w:rPr>
          <w:rFonts w:hint="eastAsia" w:hAnsi="宋体" w:cs="宋体"/>
          <w:color w:val="000000" w:themeColor="text1"/>
          <w:highlight w:val="none"/>
          <w:u w:val="none"/>
          <w14:textFill>
            <w14:solidFill>
              <w14:schemeClr w14:val="tx1"/>
            </w14:solidFill>
          </w14:textFill>
        </w:rPr>
        <w:t>（</w:t>
      </w:r>
      <w:r>
        <w:rPr>
          <w:rFonts w:hint="eastAsia" w:hAnsi="宋体" w:cs="宋体"/>
          <w:color w:val="000000" w:themeColor="text1"/>
          <w:highlight w:val="none"/>
          <w:u w:val="none"/>
          <w:lang w:val="en-US" w:eastAsia="zh-CN"/>
          <w14:textFill>
            <w14:solidFill>
              <w14:schemeClr w14:val="tx1"/>
            </w14:solidFill>
          </w14:textFill>
        </w:rPr>
        <w:t>格式自拟</w:t>
      </w:r>
      <w:r>
        <w:rPr>
          <w:rFonts w:hint="eastAsia" w:hAnsi="宋体" w:cs="宋体"/>
          <w:color w:val="000000" w:themeColor="text1"/>
          <w:highlight w:val="none"/>
          <w:u w:val="none"/>
          <w14:textFill>
            <w14:solidFill>
              <w14:schemeClr w14:val="tx1"/>
            </w14:solidFill>
          </w14:textFill>
        </w:rPr>
        <w:t>）</w:t>
      </w:r>
      <w:bookmarkEnd w:id="335"/>
    </w:p>
    <w:p w14:paraId="2ED1B321">
      <w:pPr>
        <w:tabs>
          <w:tab w:val="left" w:pos="5580"/>
        </w:tabs>
        <w:spacing w:line="360" w:lineRule="auto"/>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 xml:space="preserve"> </w:t>
      </w:r>
    </w:p>
    <w:p w14:paraId="41E2417B">
      <w:pPr>
        <w:rPr>
          <w:rFonts w:ascii="宋体" w:hAnsi="宋体" w:cs="宋体"/>
          <w:color w:val="000000" w:themeColor="text1"/>
          <w:highlight w:val="none"/>
          <w14:textFill>
            <w14:solidFill>
              <w14:schemeClr w14:val="tx1"/>
            </w14:solidFill>
          </w14:textFill>
        </w:rPr>
      </w:pPr>
      <w:bookmarkStart w:id="336" w:name="_Toc46235139"/>
      <w:r>
        <w:rPr>
          <w:rFonts w:hint="eastAsia" w:ascii="宋体" w:hAnsi="宋体" w:cs="宋体"/>
          <w:color w:val="000000" w:themeColor="text1"/>
          <w:highlight w:val="none"/>
          <w14:textFill>
            <w14:solidFill>
              <w14:schemeClr w14:val="tx1"/>
            </w14:solidFill>
          </w14:textFill>
        </w:rPr>
        <w:br w:type="page"/>
      </w:r>
    </w:p>
    <w:p w14:paraId="6762A138">
      <w:pPr>
        <w:pStyle w:val="4"/>
        <w:spacing w:before="0" w:line="360" w:lineRule="auto"/>
        <w:ind w:left="774" w:hanging="774" w:hangingChars="257"/>
        <w:rPr>
          <w:rFonts w:ascii="宋体" w:hAnsi="宋体" w:eastAsia="宋体" w:cs="宋体"/>
          <w:color w:val="000000" w:themeColor="text1"/>
          <w:highlight w:val="none"/>
          <w14:textFill>
            <w14:solidFill>
              <w14:schemeClr w14:val="tx1"/>
            </w14:solidFill>
          </w14:textFill>
        </w:rPr>
      </w:pPr>
      <w:bookmarkStart w:id="337" w:name="_Toc25305"/>
      <w:r>
        <w:rPr>
          <w:rFonts w:hint="eastAsia" w:ascii="宋体" w:hAnsi="宋体" w:eastAsia="宋体" w:cs="宋体"/>
          <w:color w:val="000000" w:themeColor="text1"/>
          <w:highlight w:val="none"/>
          <w:lang w:val="en-US" w:eastAsia="zh-CN"/>
          <w14:textFill>
            <w14:solidFill>
              <w14:schemeClr w14:val="tx1"/>
            </w14:solidFill>
          </w14:textFill>
        </w:rPr>
        <w:t>五</w:t>
      </w:r>
      <w:r>
        <w:rPr>
          <w:rFonts w:hint="eastAsia" w:ascii="宋体" w:hAnsi="宋体" w:eastAsia="宋体" w:cs="宋体"/>
          <w:color w:val="000000" w:themeColor="text1"/>
          <w:highlight w:val="none"/>
          <w14:textFill>
            <w14:solidFill>
              <w14:schemeClr w14:val="tx1"/>
            </w14:solidFill>
          </w14:textFill>
        </w:rPr>
        <w:t>、商务及技术文件</w:t>
      </w:r>
      <w:bookmarkEnd w:id="333"/>
      <w:bookmarkEnd w:id="336"/>
      <w:bookmarkEnd w:id="337"/>
    </w:p>
    <w:p w14:paraId="2EE656C0">
      <w:pPr>
        <w:spacing w:line="360" w:lineRule="auto"/>
        <w:ind w:left="1080" w:leftChars="257" w:hanging="540"/>
        <w:rPr>
          <w:rFonts w:ascii="宋体" w:hAnsi="宋体" w:cs="宋体"/>
          <w:color w:val="000000" w:themeColor="text1"/>
          <w:sz w:val="24"/>
          <w:szCs w:val="20"/>
          <w:highlight w:val="none"/>
          <w14:textFill>
            <w14:solidFill>
              <w14:schemeClr w14:val="tx1"/>
            </w14:solidFill>
          </w14:textFill>
        </w:rPr>
      </w:pPr>
    </w:p>
    <w:p w14:paraId="194F660A">
      <w:pPr>
        <w:pStyle w:val="5"/>
        <w:spacing w:before="0" w:after="0" w:line="360" w:lineRule="auto"/>
        <w:rPr>
          <w:rFonts w:hAnsi="宋体" w:cs="宋体"/>
          <w:color w:val="000000" w:themeColor="text1"/>
          <w:highlight w:val="none"/>
          <w:u w:val="none"/>
          <w14:textFill>
            <w14:solidFill>
              <w14:schemeClr w14:val="tx1"/>
            </w14:solidFill>
          </w14:textFill>
        </w:rPr>
      </w:pPr>
      <w:bookmarkStart w:id="338" w:name="_Toc46235140"/>
      <w:bookmarkStart w:id="339" w:name="_Toc272"/>
      <w:bookmarkStart w:id="340" w:name="_Toc518923116"/>
      <w:r>
        <w:rPr>
          <w:rFonts w:hint="eastAsia" w:hAnsi="宋体" w:cs="宋体"/>
          <w:color w:val="000000" w:themeColor="text1"/>
          <w:highlight w:val="none"/>
          <w:u w:val="none"/>
          <w14:textFill>
            <w14:solidFill>
              <w14:schemeClr w14:val="tx1"/>
            </w14:solidFill>
          </w14:textFill>
        </w:rPr>
        <w:t>1</w:t>
      </w:r>
      <w:bookmarkStart w:id="341" w:name="_Hlt520355504"/>
      <w:bookmarkEnd w:id="341"/>
      <w:r>
        <w:rPr>
          <w:rFonts w:hint="eastAsia" w:hAnsi="宋体" w:cs="宋体"/>
          <w:color w:val="000000" w:themeColor="text1"/>
          <w:highlight w:val="none"/>
          <w:u w:val="none"/>
          <w:lang w:val="en-US" w:eastAsia="zh-CN"/>
          <w14:textFill>
            <w14:solidFill>
              <w14:schemeClr w14:val="tx1"/>
            </w14:solidFill>
          </w14:textFill>
        </w:rPr>
        <w:t>1</w:t>
      </w:r>
      <w:r>
        <w:rPr>
          <w:rFonts w:hint="eastAsia" w:hAnsi="宋体" w:cs="宋体"/>
          <w:color w:val="000000" w:themeColor="text1"/>
          <w:highlight w:val="none"/>
          <w:u w:val="none"/>
          <w14:textFill>
            <w14:solidFill>
              <w14:schemeClr w14:val="tx1"/>
            </w14:solidFill>
          </w14:textFill>
        </w:rPr>
        <w:t>.响应文件</w:t>
      </w:r>
      <w:bookmarkEnd w:id="300"/>
      <w:bookmarkEnd w:id="301"/>
      <w:r>
        <w:rPr>
          <w:rFonts w:hint="eastAsia" w:hAnsi="宋体" w:cs="宋体"/>
          <w:color w:val="000000" w:themeColor="text1"/>
          <w:highlight w:val="none"/>
          <w:u w:val="none"/>
          <w14:textFill>
            <w14:solidFill>
              <w14:schemeClr w14:val="tx1"/>
            </w14:solidFill>
          </w14:textFill>
        </w:rPr>
        <w:t>书</w:t>
      </w:r>
      <w:bookmarkEnd w:id="302"/>
      <w:bookmarkEnd w:id="303"/>
      <w:bookmarkEnd w:id="338"/>
      <w:bookmarkEnd w:id="339"/>
      <w:bookmarkEnd w:id="340"/>
    </w:p>
    <w:p w14:paraId="0516C737">
      <w:pPr>
        <w:tabs>
          <w:tab w:val="left" w:pos="5580"/>
        </w:tabs>
        <w:spacing w:line="480" w:lineRule="exact"/>
        <w:ind w:left="1080" w:hanging="1080"/>
        <w:rPr>
          <w:rFonts w:ascii="宋体" w:hAnsi="宋体" w:cs="宋体"/>
          <w:color w:val="000000" w:themeColor="text1"/>
          <w:sz w:val="24"/>
          <w:highlight w:val="none"/>
          <w14:textFill>
            <w14:solidFill>
              <w14:schemeClr w14:val="tx1"/>
            </w14:solidFill>
          </w14:textFill>
        </w:rPr>
      </w:pPr>
      <w:bookmarkStart w:id="342" w:name="_Hlt520356243"/>
      <w:bookmarkEnd w:id="342"/>
      <w:bookmarkStart w:id="343" w:name="_Hlt520355938"/>
      <w:bookmarkEnd w:id="343"/>
      <w:bookmarkStart w:id="344" w:name="_Toc45562518"/>
      <w:bookmarkStart w:id="345" w:name="_Toc46235141"/>
      <w:bookmarkStart w:id="346" w:name="_Toc216582818"/>
      <w:bookmarkStart w:id="347" w:name="_Toc518923119"/>
      <w:bookmarkStart w:id="348" w:name="_Toc216582815"/>
      <w:r>
        <w:rPr>
          <w:rFonts w:hint="eastAsia" w:ascii="宋体" w:hAnsi="宋体" w:cs="宋体"/>
          <w:color w:val="000000" w:themeColor="text1"/>
          <w:sz w:val="24"/>
          <w:highlight w:val="none"/>
          <w14:textFill>
            <w14:solidFill>
              <w14:schemeClr w14:val="tx1"/>
            </w14:solidFill>
          </w14:textFill>
        </w:rPr>
        <w:t>致：</w:t>
      </w:r>
      <w:r>
        <w:rPr>
          <w:rFonts w:hint="eastAsia" w:ascii="宋体" w:hAnsi="宋体" w:cs="宋体"/>
          <w:color w:val="000000" w:themeColor="text1"/>
          <w:sz w:val="24"/>
          <w:szCs w:val="20"/>
          <w:highlight w:val="none"/>
          <w:u w:val="single"/>
          <w14:textFill>
            <w14:solidFill>
              <w14:schemeClr w14:val="tx1"/>
            </w14:solidFill>
          </w14:textFill>
        </w:rPr>
        <w:t>临沂市沂蒙国际招标有限公司</w:t>
      </w:r>
    </w:p>
    <w:p w14:paraId="05A8E1EA">
      <w:pPr>
        <w:tabs>
          <w:tab w:val="left" w:pos="5580"/>
        </w:tabs>
        <w:spacing w:line="480" w:lineRule="exact"/>
        <w:ind w:left="2" w:leftChars="1" w:firstLine="480" w:firstLineChars="20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根据贵方</w:t>
      </w:r>
      <w:r>
        <w:rPr>
          <w:rFonts w:hint="eastAsia" w:ascii="宋体" w:hAnsi="宋体" w:cs="宋体"/>
          <w:color w:val="000000" w:themeColor="text1"/>
          <w:sz w:val="24"/>
          <w:szCs w:val="20"/>
          <w:highlight w:val="none"/>
          <w:lang w:eastAsia="zh-CN"/>
          <w14:textFill>
            <w14:solidFill>
              <w14:schemeClr w14:val="tx1"/>
            </w14:solidFill>
          </w14:textFill>
        </w:rPr>
        <w:t>（</w:t>
      </w:r>
      <w:r>
        <w:rPr>
          <w:rFonts w:hint="eastAsia" w:ascii="宋体" w:hAnsi="宋体" w:cs="宋体"/>
          <w:i/>
          <w:color w:val="000000" w:themeColor="text1"/>
          <w:sz w:val="24"/>
          <w:szCs w:val="20"/>
          <w:highlight w:val="none"/>
          <w:u w:val="single"/>
          <w14:textFill>
            <w14:solidFill>
              <w14:schemeClr w14:val="tx1"/>
            </w14:solidFill>
          </w14:textFill>
        </w:rPr>
        <w:t>项目名称</w:t>
      </w:r>
      <w:r>
        <w:rPr>
          <w:rFonts w:hint="eastAsia" w:ascii="宋体" w:hAnsi="宋体" w:cs="宋体"/>
          <w:i/>
          <w:color w:val="000000" w:themeColor="text1"/>
          <w:sz w:val="24"/>
          <w:szCs w:val="20"/>
          <w:highlight w:val="none"/>
          <w:u w:val="single"/>
          <w:lang w:eastAsia="zh-CN"/>
          <w14:textFill>
            <w14:solidFill>
              <w14:schemeClr w14:val="tx1"/>
            </w14:solidFill>
          </w14:textFill>
        </w:rPr>
        <w:t>）</w:t>
      </w:r>
      <w:r>
        <w:rPr>
          <w:rFonts w:hint="eastAsia" w:ascii="宋体" w:hAnsi="宋体" w:cs="宋体"/>
          <w:color w:val="000000" w:themeColor="text1"/>
          <w:sz w:val="24"/>
          <w:szCs w:val="20"/>
          <w:highlight w:val="none"/>
          <w14:textFill>
            <w14:solidFill>
              <w14:schemeClr w14:val="tx1"/>
            </w14:solidFill>
          </w14:textFill>
        </w:rPr>
        <w:t>项目的响应文件邀请</w:t>
      </w:r>
      <w:r>
        <w:rPr>
          <w:rFonts w:hint="eastAsia" w:ascii="宋体" w:hAnsi="宋体" w:cs="宋体"/>
          <w:color w:val="000000" w:themeColor="text1"/>
          <w:sz w:val="24"/>
          <w:szCs w:val="20"/>
          <w:highlight w:val="none"/>
          <w:lang w:eastAsia="zh-CN"/>
          <w14:textFill>
            <w14:solidFill>
              <w14:schemeClr w14:val="tx1"/>
            </w14:solidFill>
          </w14:textFill>
        </w:rPr>
        <w:t>（</w:t>
      </w:r>
      <w:r>
        <w:rPr>
          <w:rFonts w:hint="eastAsia" w:ascii="宋体" w:hAnsi="宋体" w:cs="宋体"/>
          <w:i/>
          <w:color w:val="000000" w:themeColor="text1"/>
          <w:sz w:val="24"/>
          <w:szCs w:val="20"/>
          <w:highlight w:val="none"/>
          <w:u w:val="single"/>
          <w14:textFill>
            <w14:solidFill>
              <w14:schemeClr w14:val="tx1"/>
            </w14:solidFill>
          </w14:textFill>
        </w:rPr>
        <w:t>项目编号</w:t>
      </w:r>
      <w:r>
        <w:rPr>
          <w:rFonts w:hint="eastAsia" w:ascii="宋体" w:hAnsi="宋体" w:cs="宋体"/>
          <w:i/>
          <w:color w:val="000000" w:themeColor="text1"/>
          <w:sz w:val="24"/>
          <w:szCs w:val="20"/>
          <w:highlight w:val="none"/>
          <w:u w:val="single"/>
          <w:lang w:eastAsia="zh-CN"/>
          <w14:textFill>
            <w14:solidFill>
              <w14:schemeClr w14:val="tx1"/>
            </w14:solidFill>
          </w14:textFill>
        </w:rPr>
        <w:t>），</w:t>
      </w:r>
      <w:r>
        <w:rPr>
          <w:rFonts w:hint="eastAsia" w:ascii="宋体" w:hAnsi="宋体" w:cs="宋体"/>
          <w:color w:val="000000" w:themeColor="text1"/>
          <w:sz w:val="24"/>
          <w:szCs w:val="20"/>
          <w:highlight w:val="none"/>
          <w14:textFill>
            <w14:solidFill>
              <w14:schemeClr w14:val="tx1"/>
            </w14:solidFill>
          </w14:textFill>
        </w:rPr>
        <w:t>签字代表</w:t>
      </w:r>
      <w:r>
        <w:rPr>
          <w:rFonts w:hint="eastAsia" w:ascii="宋体" w:hAnsi="宋体" w:cs="宋体"/>
          <w:color w:val="000000" w:themeColor="text1"/>
          <w:sz w:val="24"/>
          <w:szCs w:val="20"/>
          <w:highlight w:val="none"/>
          <w:lang w:eastAsia="zh-CN"/>
          <w14:textFill>
            <w14:solidFill>
              <w14:schemeClr w14:val="tx1"/>
            </w14:solidFill>
          </w14:textFill>
        </w:rPr>
        <w:t>（</w:t>
      </w:r>
      <w:r>
        <w:rPr>
          <w:rFonts w:hint="eastAsia" w:ascii="宋体" w:hAnsi="宋体" w:cs="宋体"/>
          <w:i/>
          <w:color w:val="000000" w:themeColor="text1"/>
          <w:sz w:val="24"/>
          <w:szCs w:val="20"/>
          <w:highlight w:val="none"/>
          <w:u w:val="single"/>
          <w14:textFill>
            <w14:solidFill>
              <w14:schemeClr w14:val="tx1"/>
            </w14:solidFill>
          </w14:textFill>
        </w:rPr>
        <w:t>姓名、职务</w:t>
      </w:r>
      <w:r>
        <w:rPr>
          <w:rFonts w:hint="eastAsia" w:ascii="宋体" w:hAnsi="宋体" w:cs="宋体"/>
          <w:i/>
          <w:color w:val="000000" w:themeColor="text1"/>
          <w:sz w:val="24"/>
          <w:szCs w:val="20"/>
          <w:highlight w:val="none"/>
          <w:u w:val="single"/>
          <w:lang w:eastAsia="zh-CN"/>
          <w14:textFill>
            <w14:solidFill>
              <w14:schemeClr w14:val="tx1"/>
            </w14:solidFill>
          </w14:textFill>
        </w:rPr>
        <w:t>）</w:t>
      </w:r>
      <w:r>
        <w:rPr>
          <w:rFonts w:hint="eastAsia" w:ascii="宋体" w:hAnsi="宋体" w:cs="宋体"/>
          <w:color w:val="000000" w:themeColor="text1"/>
          <w:sz w:val="24"/>
          <w:szCs w:val="20"/>
          <w:highlight w:val="none"/>
          <w14:textFill>
            <w14:solidFill>
              <w14:schemeClr w14:val="tx1"/>
            </w14:solidFill>
          </w14:textFill>
        </w:rPr>
        <w:t>经正式授权并代表供应商（</w:t>
      </w:r>
      <w:r>
        <w:rPr>
          <w:rFonts w:hint="eastAsia" w:ascii="宋体" w:hAnsi="宋体" w:cs="宋体"/>
          <w:i/>
          <w:color w:val="000000" w:themeColor="text1"/>
          <w:sz w:val="24"/>
          <w:szCs w:val="20"/>
          <w:highlight w:val="none"/>
          <w:u w:val="single"/>
          <w14:textFill>
            <w14:solidFill>
              <w14:schemeClr w14:val="tx1"/>
            </w14:solidFill>
          </w14:textFill>
        </w:rPr>
        <w:t>名称、地址</w:t>
      </w:r>
      <w:r>
        <w:rPr>
          <w:rFonts w:hint="eastAsia" w:ascii="宋体" w:hAnsi="宋体" w:cs="宋体"/>
          <w:color w:val="000000" w:themeColor="text1"/>
          <w:sz w:val="24"/>
          <w:szCs w:val="20"/>
          <w:highlight w:val="none"/>
          <w14:textFill>
            <w14:solidFill>
              <w14:schemeClr w14:val="tx1"/>
            </w14:solidFill>
          </w14:textFill>
        </w:rPr>
        <w:t>）据此，签字代表宣布同意如下：</w:t>
      </w:r>
    </w:p>
    <w:p w14:paraId="31612391">
      <w:pPr>
        <w:pStyle w:val="16"/>
        <w:tabs>
          <w:tab w:val="left" w:pos="720"/>
          <w:tab w:val="left" w:pos="900"/>
        </w:tabs>
        <w:spacing w:line="480" w:lineRule="exact"/>
        <w:ind w:firstLine="420" w:firstLineChars="175"/>
        <w:rPr>
          <w:rFonts w:hAnsi="宋体" w:cs="宋体"/>
          <w:color w:val="000000" w:themeColor="text1"/>
          <w:sz w:val="24"/>
          <w:highlight w:val="none"/>
          <w:u w:val="single"/>
          <w14:textFill>
            <w14:solidFill>
              <w14:schemeClr w14:val="tx1"/>
            </w14:solidFill>
          </w14:textFill>
        </w:rPr>
      </w:pPr>
      <w:r>
        <w:rPr>
          <w:rFonts w:hint="eastAsia" w:hAnsi="宋体" w:cs="宋体"/>
          <w:color w:val="000000" w:themeColor="text1"/>
          <w:sz w:val="24"/>
          <w:highlight w:val="none"/>
          <w14:textFill>
            <w14:solidFill>
              <w14:schemeClr w14:val="tx1"/>
            </w14:solidFill>
          </w14:textFill>
        </w:rPr>
        <w:t>（1）附报价价格表中规定的应提供货物的总价详见报价一览表，</w:t>
      </w:r>
      <w:r>
        <w:rPr>
          <w:rFonts w:hint="eastAsia" w:hAnsi="宋体" w:cs="宋体"/>
          <w:color w:val="000000" w:themeColor="text1"/>
          <w:sz w:val="24"/>
          <w:highlight w:val="none"/>
          <w:u w:val="single"/>
          <w14:textFill>
            <w14:solidFill>
              <w14:schemeClr w14:val="tx1"/>
            </w14:solidFill>
          </w14:textFill>
        </w:rPr>
        <w:t>其中由小型和微型</w:t>
      </w:r>
      <w:r>
        <w:rPr>
          <w:rFonts w:hint="eastAsia" w:hAnsi="宋体" w:cs="宋体"/>
          <w:color w:val="000000" w:themeColor="text1"/>
          <w:sz w:val="24"/>
          <w:highlight w:val="none"/>
          <w14:textFill>
            <w14:solidFill>
              <w14:schemeClr w14:val="tx1"/>
            </w14:solidFill>
          </w14:textFill>
        </w:rPr>
        <w:t>企业制造产品的价格为</w:t>
      </w:r>
      <w:r>
        <w:rPr>
          <w:rFonts w:hint="eastAsia" w:hAnsi="宋体" w:cs="宋体"/>
          <w:color w:val="000000" w:themeColor="text1"/>
          <w:sz w:val="24"/>
          <w:highlight w:val="none"/>
          <w:u w:val="single"/>
          <w14:textFill>
            <w14:solidFill>
              <w14:schemeClr w14:val="tx1"/>
            </w14:solidFill>
          </w14:textFill>
        </w:rPr>
        <w:t>　　  （用文字和数字表示），占总价   %</w:t>
      </w:r>
      <w:r>
        <w:rPr>
          <w:rFonts w:hint="eastAsia" w:hAnsi="宋体" w:cs="宋体"/>
          <w:color w:val="000000" w:themeColor="text1"/>
          <w:sz w:val="24"/>
          <w:highlight w:val="none"/>
          <w14:textFill>
            <w14:solidFill>
              <w14:schemeClr w14:val="tx1"/>
            </w14:solidFill>
          </w14:textFill>
        </w:rPr>
        <w:t>。</w:t>
      </w:r>
    </w:p>
    <w:p w14:paraId="208B7C67">
      <w:pPr>
        <w:tabs>
          <w:tab w:val="left" w:pos="5580"/>
        </w:tabs>
        <w:spacing w:line="480" w:lineRule="exact"/>
        <w:ind w:firstLine="420" w:firstLineChars="175"/>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（2）本响应文件有效期为自响应文件截止之日起个</w:t>
      </w:r>
      <w:r>
        <w:rPr>
          <w:rFonts w:hint="eastAsia" w:ascii="宋体" w:hAnsi="宋体" w:cs="宋体"/>
          <w:color w:val="000000" w:themeColor="text1"/>
          <w:sz w:val="24"/>
          <w:szCs w:val="20"/>
          <w:highlight w:val="none"/>
          <w:u w:val="single"/>
          <w:lang w:val="en-US" w:eastAsia="zh-CN"/>
          <w14:textFill>
            <w14:solidFill>
              <w14:schemeClr w14:val="tx1"/>
            </w14:solidFill>
          </w14:textFill>
        </w:rPr>
        <w:t xml:space="preserve"> 120  </w:t>
      </w:r>
      <w:r>
        <w:rPr>
          <w:rFonts w:hint="eastAsia" w:ascii="宋体" w:hAnsi="宋体" w:cs="宋体"/>
          <w:color w:val="000000" w:themeColor="text1"/>
          <w:sz w:val="24"/>
          <w:szCs w:val="20"/>
          <w:highlight w:val="none"/>
          <w14:textFill>
            <w14:solidFill>
              <w14:schemeClr w14:val="tx1"/>
            </w14:solidFill>
          </w14:textFill>
        </w:rPr>
        <w:t>日。</w:t>
      </w:r>
    </w:p>
    <w:p w14:paraId="6C916E69">
      <w:pPr>
        <w:tabs>
          <w:tab w:val="left" w:pos="5580"/>
        </w:tabs>
        <w:spacing w:line="480" w:lineRule="exact"/>
        <w:ind w:firstLine="420" w:firstLineChars="175"/>
        <w:rPr>
          <w:rFonts w:ascii="宋体" w:hAnsi="宋体" w:cs="宋体"/>
          <w:color w:val="000000" w:themeColor="text1"/>
          <w:sz w:val="24"/>
          <w:szCs w:val="20"/>
          <w:highlight w:val="none"/>
          <w:u w:val="singl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（3）联合体中的大中型企业和其他自然人、法人或者其他组织，与联合体中的小型、微型企业之间</w:t>
      </w:r>
      <w:r>
        <w:rPr>
          <w:rFonts w:hint="eastAsia" w:ascii="宋体" w:hAnsi="宋体" w:cs="宋体"/>
          <w:color w:val="000000" w:themeColor="text1"/>
          <w:sz w:val="24"/>
          <w:szCs w:val="20"/>
          <w:highlight w:val="none"/>
          <w:u w:val="single"/>
          <w14:textFill>
            <w14:solidFill>
              <w14:schemeClr w14:val="tx1"/>
            </w14:solidFill>
          </w14:textFill>
        </w:rPr>
        <w:t xml:space="preserve">  </w:t>
      </w:r>
      <w:r>
        <w:rPr>
          <w:rFonts w:hint="eastAsia" w:ascii="宋体" w:hAnsi="宋体" w:cs="宋体"/>
          <w:color w:val="000000" w:themeColor="text1"/>
          <w:sz w:val="24"/>
          <w:szCs w:val="20"/>
          <w:highlight w:val="none"/>
          <w:u w:val="single"/>
          <w:lang w:val="en-US" w:eastAsia="zh-CN"/>
          <w14:textFill>
            <w14:solidFill>
              <w14:schemeClr w14:val="tx1"/>
            </w14:solidFill>
          </w14:textFill>
        </w:rPr>
        <w:t>/（不</w:t>
      </w:r>
      <w:r>
        <w:rPr>
          <w:rFonts w:hint="eastAsia" w:ascii="宋体" w:hAnsi="宋体" w:cs="宋体"/>
          <w:color w:val="000000" w:themeColor="text1"/>
          <w:sz w:val="24"/>
          <w:szCs w:val="20"/>
          <w:highlight w:val="none"/>
          <w14:textFill>
            <w14:solidFill>
              <w14:schemeClr w14:val="tx1"/>
            </w14:solidFill>
          </w14:textFill>
        </w:rPr>
        <w:t>存在、不存在）投资关系（如果联合体的话）。</w:t>
      </w:r>
    </w:p>
    <w:p w14:paraId="7E0982DE">
      <w:pPr>
        <w:tabs>
          <w:tab w:val="left" w:pos="5580"/>
        </w:tabs>
        <w:spacing w:line="480" w:lineRule="exact"/>
        <w:ind w:firstLine="420" w:firstLineChars="175"/>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（4）已详细审查全部竞争性磋商文件，包括所有补充通知（如果有的话），完全理解并同意放弃对这方面有不明、误解和质疑的</w:t>
      </w:r>
      <w:r>
        <w:rPr>
          <w:rFonts w:hint="eastAsia" w:ascii="宋体" w:hAnsi="宋体" w:cs="宋体"/>
          <w:color w:val="000000" w:themeColor="text1"/>
          <w:sz w:val="24"/>
          <w:szCs w:val="20"/>
          <w:highlight w:val="none"/>
          <w:lang w:eastAsia="zh-CN"/>
          <w14:textFill>
            <w14:solidFill>
              <w14:schemeClr w14:val="tx1"/>
            </w14:solidFill>
          </w14:textFill>
        </w:rPr>
        <w:t>权利</w:t>
      </w:r>
      <w:r>
        <w:rPr>
          <w:rFonts w:hint="eastAsia" w:ascii="宋体" w:hAnsi="宋体" w:cs="宋体"/>
          <w:color w:val="000000" w:themeColor="text1"/>
          <w:sz w:val="24"/>
          <w:szCs w:val="20"/>
          <w:highlight w:val="none"/>
          <w14:textFill>
            <w14:solidFill>
              <w14:schemeClr w14:val="tx1"/>
            </w14:solidFill>
          </w14:textFill>
        </w:rPr>
        <w:t>。</w:t>
      </w:r>
    </w:p>
    <w:p w14:paraId="5877E379">
      <w:pPr>
        <w:tabs>
          <w:tab w:val="left" w:pos="5580"/>
        </w:tabs>
        <w:spacing w:line="480" w:lineRule="exact"/>
        <w:ind w:firstLine="420" w:firstLineChars="175"/>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（5）我方不是为本项目提供整体设计、规范编制或者项目管理、监理、检测等服务的供应商，我方不是采购代理机构的附属机构。</w:t>
      </w:r>
    </w:p>
    <w:p w14:paraId="77959998">
      <w:pPr>
        <w:tabs>
          <w:tab w:val="left" w:pos="5580"/>
        </w:tabs>
        <w:spacing w:line="480" w:lineRule="exact"/>
        <w:ind w:firstLine="420" w:firstLineChars="175"/>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（6）按照贵方可能要求，提供与其响应文件有关的一切数据或资料，完全理解贵方不一定接受最低价的响应文件或收到的任何响应文件。</w:t>
      </w:r>
    </w:p>
    <w:p w14:paraId="5C3417BD">
      <w:pPr>
        <w:tabs>
          <w:tab w:val="left" w:pos="5580"/>
        </w:tabs>
        <w:spacing w:line="480" w:lineRule="exact"/>
        <w:ind w:firstLine="420" w:firstLineChars="175"/>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（7）我方保证所报货物均为原厂正品，否则，由此产生的一切法律责任由我方承担。</w:t>
      </w:r>
    </w:p>
    <w:p w14:paraId="58E7A2E7">
      <w:pPr>
        <w:tabs>
          <w:tab w:val="left" w:pos="5580"/>
        </w:tabs>
        <w:spacing w:line="480" w:lineRule="exact"/>
        <w:ind w:firstLine="420" w:firstLineChars="175"/>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（8）在领取成交通知书的同时按磋商文件规定的形式，向贵方一次性支付成交服务费。</w:t>
      </w:r>
    </w:p>
    <w:p w14:paraId="29B87FE8">
      <w:pPr>
        <w:tabs>
          <w:tab w:val="left" w:pos="5580"/>
        </w:tabs>
        <w:spacing w:line="480" w:lineRule="exact"/>
        <w:ind w:firstLine="420" w:firstLineChars="175"/>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（9）按照竞争性磋商文件的规定履行合同责任和义务。</w:t>
      </w:r>
    </w:p>
    <w:p w14:paraId="4D83698A">
      <w:pPr>
        <w:tabs>
          <w:tab w:val="left" w:pos="5580"/>
        </w:tabs>
        <w:spacing w:line="480" w:lineRule="exact"/>
        <w:ind w:left="359" w:leftChars="68" w:hanging="216" w:hangingChars="9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与本响应文件有关的一切正式往来信函请寄：</w:t>
      </w:r>
    </w:p>
    <w:p w14:paraId="79EBF101">
      <w:pPr>
        <w:tabs>
          <w:tab w:val="left" w:pos="5580"/>
        </w:tabs>
        <w:spacing w:line="480" w:lineRule="exact"/>
        <w:ind w:left="1080" w:leftChars="257" w:hanging="540"/>
        <w:rPr>
          <w:rFonts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地址：     传真：</w:t>
      </w:r>
    </w:p>
    <w:p w14:paraId="28954906">
      <w:pPr>
        <w:tabs>
          <w:tab w:val="left" w:pos="5580"/>
        </w:tabs>
        <w:spacing w:line="480" w:lineRule="exact"/>
        <w:ind w:left="1080" w:leftChars="257" w:hanging="540"/>
        <w:rPr>
          <w:rFonts w:ascii="宋体" w:hAnsi="宋体" w:cs="宋体"/>
          <w:b/>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14:textFill>
            <w14:solidFill>
              <w14:schemeClr w14:val="tx1"/>
            </w14:solidFill>
          </w14:textFill>
        </w:rPr>
        <w:t>电话：     电子函件：</w:t>
      </w:r>
    </w:p>
    <w:p w14:paraId="0B2908E5">
      <w:pPr>
        <w:pStyle w:val="16"/>
        <w:tabs>
          <w:tab w:val="left" w:pos="5580"/>
        </w:tabs>
        <w:spacing w:line="480" w:lineRule="exact"/>
        <w:ind w:left="1080" w:leftChars="257" w:hanging="540"/>
        <w:rPr>
          <w:rFonts w:hAnsi="宋体" w:cs="宋体"/>
          <w:color w:val="000000" w:themeColor="text1"/>
          <w:sz w:val="24"/>
          <w:highlight w:val="none"/>
          <w14:textFill>
            <w14:solidFill>
              <w14:schemeClr w14:val="tx1"/>
            </w14:solidFill>
          </w14:textFill>
        </w:rPr>
      </w:pPr>
      <w:r>
        <w:rPr>
          <w:rFonts w:hint="eastAsia" w:hAnsi="宋体" w:cs="宋体"/>
          <w:color w:val="000000" w:themeColor="text1"/>
          <w:sz w:val="24"/>
          <w:highlight w:val="none"/>
          <w14:textFill>
            <w14:solidFill>
              <w14:schemeClr w14:val="tx1"/>
            </w14:solidFill>
          </w14:textFill>
        </w:rPr>
        <w:t>法定代表人或其委托代理人签字：-----------------</w:t>
      </w:r>
    </w:p>
    <w:p w14:paraId="294EF48E">
      <w:pPr>
        <w:pStyle w:val="16"/>
        <w:tabs>
          <w:tab w:val="left" w:pos="5580"/>
        </w:tabs>
        <w:spacing w:line="480" w:lineRule="exact"/>
        <w:ind w:left="1080" w:leftChars="257" w:hanging="540"/>
        <w:rPr>
          <w:rFonts w:hAnsi="宋体" w:cs="宋体"/>
          <w:color w:val="000000" w:themeColor="text1"/>
          <w:sz w:val="24"/>
          <w:highlight w:val="none"/>
          <w14:textFill>
            <w14:solidFill>
              <w14:schemeClr w14:val="tx1"/>
            </w14:solidFill>
          </w14:textFill>
        </w:rPr>
      </w:pPr>
      <w:r>
        <w:rPr>
          <w:rFonts w:hint="eastAsia" w:hAnsi="宋体" w:cs="宋体"/>
          <w:color w:val="000000" w:themeColor="text1"/>
          <w:sz w:val="24"/>
          <w:highlight w:val="none"/>
          <w14:textFill>
            <w14:solidFill>
              <w14:schemeClr w14:val="tx1"/>
            </w14:solidFill>
          </w14:textFill>
        </w:rPr>
        <w:t>供应商名称（全称）：-----------------</w:t>
      </w:r>
    </w:p>
    <w:p w14:paraId="2762C5B0">
      <w:pPr>
        <w:pStyle w:val="16"/>
        <w:tabs>
          <w:tab w:val="left" w:pos="5580"/>
        </w:tabs>
        <w:spacing w:line="480" w:lineRule="exact"/>
        <w:ind w:left="1080" w:leftChars="257" w:hanging="540"/>
        <w:rPr>
          <w:rFonts w:hAnsi="宋体" w:cs="宋体"/>
          <w:color w:val="000000" w:themeColor="text1"/>
          <w:sz w:val="24"/>
          <w:highlight w:val="none"/>
          <w14:textFill>
            <w14:solidFill>
              <w14:schemeClr w14:val="tx1"/>
            </w14:solidFill>
          </w14:textFill>
        </w:rPr>
      </w:pPr>
      <w:r>
        <w:rPr>
          <w:rFonts w:hint="eastAsia" w:hAnsi="宋体" w:cs="宋体"/>
          <w:color w:val="000000" w:themeColor="text1"/>
          <w:sz w:val="24"/>
          <w:highlight w:val="none"/>
          <w14:textFill>
            <w14:solidFill>
              <w14:schemeClr w14:val="tx1"/>
            </w14:solidFill>
          </w14:textFill>
        </w:rPr>
        <w:t xml:space="preserve">供应商开户银行（全称）：　　　　　　 </w:t>
      </w:r>
    </w:p>
    <w:p w14:paraId="34D35058">
      <w:pPr>
        <w:pStyle w:val="16"/>
        <w:tabs>
          <w:tab w:val="left" w:pos="5580"/>
        </w:tabs>
        <w:spacing w:line="480" w:lineRule="exact"/>
        <w:ind w:left="1080" w:leftChars="257" w:hanging="540"/>
        <w:rPr>
          <w:rFonts w:hAnsi="宋体" w:cs="宋体"/>
          <w:color w:val="000000" w:themeColor="text1"/>
          <w:sz w:val="24"/>
          <w:highlight w:val="none"/>
          <w14:textFill>
            <w14:solidFill>
              <w14:schemeClr w14:val="tx1"/>
            </w14:solidFill>
          </w14:textFill>
        </w:rPr>
      </w:pPr>
      <w:r>
        <w:rPr>
          <w:rFonts w:hint="eastAsia" w:hAnsi="宋体" w:cs="宋体"/>
          <w:color w:val="000000" w:themeColor="text1"/>
          <w:sz w:val="24"/>
          <w:highlight w:val="none"/>
          <w14:textFill>
            <w14:solidFill>
              <w14:schemeClr w14:val="tx1"/>
            </w14:solidFill>
          </w14:textFill>
        </w:rPr>
        <w:t>供应商银行</w:t>
      </w:r>
      <w:r>
        <w:rPr>
          <w:rFonts w:hint="eastAsia" w:hAnsi="宋体" w:cs="宋体"/>
          <w:color w:val="000000" w:themeColor="text1"/>
          <w:sz w:val="24"/>
          <w:highlight w:val="none"/>
          <w:lang w:eastAsia="zh-CN"/>
          <w14:textFill>
            <w14:solidFill>
              <w14:schemeClr w14:val="tx1"/>
            </w14:solidFill>
          </w14:textFill>
        </w:rPr>
        <w:t>账</w:t>
      </w:r>
      <w:r>
        <w:rPr>
          <w:rFonts w:hint="eastAsia" w:hAnsi="宋体" w:cs="宋体"/>
          <w:color w:val="000000" w:themeColor="text1"/>
          <w:sz w:val="24"/>
          <w:highlight w:val="none"/>
          <w14:textFill>
            <w14:solidFill>
              <w14:schemeClr w14:val="tx1"/>
            </w14:solidFill>
          </w14:textFill>
        </w:rPr>
        <w:t>号：　　　　　　　　 　　</w:t>
      </w:r>
    </w:p>
    <w:p w14:paraId="62E089D9">
      <w:pPr>
        <w:pStyle w:val="16"/>
        <w:tabs>
          <w:tab w:val="left" w:pos="5580"/>
        </w:tabs>
        <w:spacing w:line="480" w:lineRule="exact"/>
        <w:ind w:left="1080" w:leftChars="257" w:hanging="540"/>
        <w:rPr>
          <w:rFonts w:hAnsi="宋体" w:cs="宋体"/>
          <w:color w:val="000000" w:themeColor="text1"/>
          <w:sz w:val="24"/>
          <w:highlight w:val="none"/>
          <w14:textFill>
            <w14:solidFill>
              <w14:schemeClr w14:val="tx1"/>
            </w14:solidFill>
          </w14:textFill>
        </w:rPr>
      </w:pPr>
      <w:r>
        <w:rPr>
          <w:rFonts w:hint="eastAsia" w:hAnsi="宋体" w:cs="宋体"/>
          <w:color w:val="000000" w:themeColor="text1"/>
          <w:sz w:val="24"/>
          <w:highlight w:val="none"/>
          <w14:textFill>
            <w14:solidFill>
              <w14:schemeClr w14:val="tx1"/>
            </w14:solidFill>
          </w14:textFill>
        </w:rPr>
        <w:t>供应商单位章：-------------------------</w:t>
      </w:r>
    </w:p>
    <w:p w14:paraId="12E5725A">
      <w:pPr>
        <w:pStyle w:val="16"/>
        <w:tabs>
          <w:tab w:val="left" w:pos="5580"/>
        </w:tabs>
        <w:spacing w:line="480" w:lineRule="exact"/>
        <w:ind w:left="1080" w:leftChars="257" w:hanging="540"/>
        <w:rPr>
          <w:rFonts w:hAnsi="宋体" w:cs="宋体"/>
          <w:color w:val="000000" w:themeColor="text1"/>
          <w:sz w:val="24"/>
          <w:highlight w:val="none"/>
          <w14:textFill>
            <w14:solidFill>
              <w14:schemeClr w14:val="tx1"/>
            </w14:solidFill>
          </w14:textFill>
        </w:rPr>
      </w:pPr>
      <w:r>
        <w:rPr>
          <w:rFonts w:hint="eastAsia" w:hAnsi="宋体" w:cs="宋体"/>
          <w:color w:val="000000" w:themeColor="text1"/>
          <w:sz w:val="24"/>
          <w:highlight w:val="none"/>
          <w14:textFill>
            <w14:solidFill>
              <w14:schemeClr w14:val="tx1"/>
            </w14:solidFill>
          </w14:textFill>
        </w:rPr>
        <w:t>日期：------------------------------</w:t>
      </w:r>
    </w:p>
    <w:p w14:paraId="2FAE4CE9">
      <w:pPr>
        <w:spacing w:before="0" w:after="0" w:line="360" w:lineRule="auto"/>
        <w:outlineLvl w:val="9"/>
        <w:rPr>
          <w:rFonts w:hAnsi="宋体" w:cs="宋体"/>
          <w:color w:val="000000" w:themeColor="text1"/>
          <w:highlight w:val="none"/>
          <w:u w:val="none"/>
          <w14:textFill>
            <w14:solidFill>
              <w14:schemeClr w14:val="tx1"/>
            </w14:solidFill>
          </w14:textFill>
        </w:rPr>
      </w:pPr>
    </w:p>
    <w:p w14:paraId="627A95E7">
      <w:pPr>
        <w:pStyle w:val="5"/>
        <w:spacing w:before="0" w:after="0" w:line="360" w:lineRule="auto"/>
        <w:rPr>
          <w:rFonts w:hAnsi="宋体" w:cs="宋体"/>
          <w:color w:val="000000" w:themeColor="text1"/>
          <w:highlight w:val="none"/>
          <w14:textFill>
            <w14:solidFill>
              <w14:schemeClr w14:val="tx1"/>
            </w14:solidFill>
          </w14:textFill>
        </w:rPr>
      </w:pPr>
      <w:bookmarkStart w:id="349" w:name="_Toc12449"/>
      <w:r>
        <w:rPr>
          <w:rFonts w:hint="eastAsia" w:hAnsi="宋体" w:cs="宋体"/>
          <w:color w:val="000000" w:themeColor="text1"/>
          <w:highlight w:val="none"/>
          <w:u w:val="none"/>
          <w14:textFill>
            <w14:solidFill>
              <w14:schemeClr w14:val="tx1"/>
            </w14:solidFill>
          </w14:textFill>
        </w:rPr>
        <w:t>1</w:t>
      </w:r>
      <w:r>
        <w:rPr>
          <w:rFonts w:hint="eastAsia" w:hAnsi="宋体" w:cs="宋体"/>
          <w:color w:val="000000" w:themeColor="text1"/>
          <w:highlight w:val="none"/>
          <w:u w:val="none"/>
          <w:lang w:val="en-US" w:eastAsia="zh-CN"/>
          <w14:textFill>
            <w14:solidFill>
              <w14:schemeClr w14:val="tx1"/>
            </w14:solidFill>
          </w14:textFill>
        </w:rPr>
        <w:t>2</w:t>
      </w:r>
      <w:r>
        <w:rPr>
          <w:rFonts w:hint="eastAsia" w:hAnsi="宋体" w:cs="宋体"/>
          <w:color w:val="000000" w:themeColor="text1"/>
          <w:highlight w:val="none"/>
          <w:u w:val="none"/>
          <w14:textFill>
            <w14:solidFill>
              <w14:schemeClr w14:val="tx1"/>
            </w14:solidFill>
          </w14:textFill>
        </w:rPr>
        <w:t>.符合价格扣除条件的供应商需提供的资料</w:t>
      </w:r>
      <w:bookmarkEnd w:id="344"/>
      <w:bookmarkEnd w:id="345"/>
      <w:bookmarkEnd w:id="349"/>
    </w:p>
    <w:p w14:paraId="1E696040">
      <w:pPr>
        <w:spacing w:line="360" w:lineRule="auto"/>
        <w:rPr>
          <w:rFonts w:ascii="宋体" w:hAnsi="宋体" w:cs="宋体"/>
          <w:b/>
          <w:color w:val="000000" w:themeColor="text1"/>
          <w:kern w:val="0"/>
          <w:sz w:val="24"/>
          <w:szCs w:val="20"/>
          <w:highlight w:val="none"/>
          <w14:textFill>
            <w14:solidFill>
              <w14:schemeClr w14:val="tx1"/>
            </w14:solidFill>
          </w14:textFill>
        </w:rPr>
      </w:pPr>
    </w:p>
    <w:bookmarkEnd w:id="346"/>
    <w:bookmarkEnd w:id="347"/>
    <w:p w14:paraId="397DC5E4">
      <w:pPr>
        <w:spacing w:line="360" w:lineRule="auto"/>
        <w:jc w:val="center"/>
        <w:rPr>
          <w:rFonts w:ascii="宋体" w:hAnsi="宋体" w:cs="宋体"/>
          <w:b/>
          <w:color w:val="000000" w:themeColor="text1"/>
          <w:kern w:val="0"/>
          <w:sz w:val="24"/>
          <w:szCs w:val="20"/>
          <w:highlight w:val="none"/>
          <w14:textFill>
            <w14:solidFill>
              <w14:schemeClr w14:val="tx1"/>
            </w14:solidFill>
          </w14:textFill>
        </w:rPr>
      </w:pPr>
      <w:bookmarkStart w:id="350" w:name="_Toc518923120"/>
      <w:r>
        <w:rPr>
          <w:rFonts w:hint="eastAsia" w:ascii="宋体" w:hAnsi="宋体" w:cs="宋体"/>
          <w:b/>
          <w:color w:val="000000" w:themeColor="text1"/>
          <w:kern w:val="0"/>
          <w:sz w:val="24"/>
          <w:szCs w:val="20"/>
          <w:highlight w:val="none"/>
          <w14:textFill>
            <w14:solidFill>
              <w14:schemeClr w14:val="tx1"/>
            </w14:solidFill>
          </w14:textFill>
        </w:rPr>
        <w:t>1</w:t>
      </w:r>
      <w:r>
        <w:rPr>
          <w:rFonts w:hint="eastAsia" w:ascii="宋体" w:hAnsi="宋体" w:cs="宋体"/>
          <w:b/>
          <w:color w:val="000000" w:themeColor="text1"/>
          <w:kern w:val="0"/>
          <w:sz w:val="24"/>
          <w:szCs w:val="20"/>
          <w:highlight w:val="none"/>
          <w:lang w:val="en-US" w:eastAsia="zh-CN"/>
          <w14:textFill>
            <w14:solidFill>
              <w14:schemeClr w14:val="tx1"/>
            </w14:solidFill>
          </w14:textFill>
        </w:rPr>
        <w:t>2</w:t>
      </w:r>
      <w:r>
        <w:rPr>
          <w:rFonts w:hint="eastAsia" w:ascii="宋体" w:hAnsi="宋体" w:cs="宋体"/>
          <w:b/>
          <w:color w:val="000000" w:themeColor="text1"/>
          <w:kern w:val="0"/>
          <w:sz w:val="24"/>
          <w:szCs w:val="20"/>
          <w:highlight w:val="none"/>
          <w14:textFill>
            <w14:solidFill>
              <w14:schemeClr w14:val="tx1"/>
            </w14:solidFill>
          </w14:textFill>
        </w:rPr>
        <w:t>.1</w:t>
      </w:r>
      <w:bookmarkEnd w:id="350"/>
      <w:r>
        <w:rPr>
          <w:rFonts w:hint="eastAsia" w:ascii="宋体" w:hAnsi="宋体" w:cs="宋体"/>
          <w:b/>
          <w:color w:val="000000" w:themeColor="text1"/>
          <w:kern w:val="0"/>
          <w:sz w:val="24"/>
          <w:szCs w:val="20"/>
          <w:highlight w:val="none"/>
          <w14:textFill>
            <w14:solidFill>
              <w14:schemeClr w14:val="tx1"/>
            </w14:solidFill>
          </w14:textFill>
        </w:rPr>
        <w:t xml:space="preserve"> 中小企业声明函</w:t>
      </w:r>
    </w:p>
    <w:p w14:paraId="6064CD54">
      <w:pPr>
        <w:tabs>
          <w:tab w:val="left" w:pos="146"/>
        </w:tabs>
        <w:spacing w:before="240" w:line="369" w:lineRule="auto"/>
        <w:ind w:left="11" w:right="260" w:firstLine="490"/>
        <w:rPr>
          <w:rFonts w:ascii="宋体" w:hAnsi="宋体" w:cs="宋体"/>
          <w:sz w:val="24"/>
          <w:highlight w:val="none"/>
        </w:rPr>
      </w:pPr>
      <w:bookmarkStart w:id="351" w:name="_Toc515647825"/>
      <w:bookmarkStart w:id="352" w:name="_Toc19284"/>
      <w:bookmarkStart w:id="353" w:name="_Toc24603"/>
      <w:bookmarkStart w:id="354" w:name="_Toc23068"/>
      <w:bookmarkStart w:id="355" w:name="OLE_LINK14"/>
      <w:bookmarkStart w:id="356" w:name="OLE_LINK13"/>
      <w:r>
        <w:rPr>
          <w:rFonts w:ascii="宋体" w:hAnsi="宋体" w:cs="宋体"/>
          <w:sz w:val="24"/>
          <w:highlight w:val="none"/>
        </w:rPr>
        <w:t>本公司（联合体） 郑重声明，根据《政府采购促进中小企业发展管理办法》 （财库 ﹝2020﹞ 46号） 的规定，本公司</w:t>
      </w:r>
      <w:r>
        <w:rPr>
          <w:rFonts w:ascii="宋体" w:hAnsi="宋体" w:cs="宋体"/>
          <w:sz w:val="24"/>
          <w:highlight w:val="none"/>
          <w:u w:val="single"/>
        </w:rPr>
        <w:t xml:space="preserve">（联合体） </w:t>
      </w:r>
      <w:r>
        <w:rPr>
          <w:rFonts w:ascii="宋体" w:hAnsi="宋体" w:cs="宋体"/>
          <w:sz w:val="24"/>
          <w:highlight w:val="none"/>
        </w:rPr>
        <w:t>参加</w:t>
      </w:r>
      <w:r>
        <w:rPr>
          <w:rFonts w:ascii="宋体" w:hAnsi="宋体" w:cs="宋体"/>
          <w:sz w:val="24"/>
          <w:highlight w:val="none"/>
          <w:u w:val="single"/>
        </w:rPr>
        <w:t xml:space="preserve">（单位名称） </w:t>
      </w:r>
      <w:r>
        <w:rPr>
          <w:rFonts w:ascii="宋体" w:hAnsi="宋体" w:cs="宋体"/>
          <w:sz w:val="24"/>
          <w:highlight w:val="none"/>
        </w:rPr>
        <w:t xml:space="preserve">的  </w:t>
      </w:r>
      <w:r>
        <w:rPr>
          <w:rFonts w:ascii="宋体" w:hAnsi="宋体" w:cs="宋体"/>
          <w:sz w:val="24"/>
          <w:highlight w:val="none"/>
          <w:u w:val="single"/>
        </w:rPr>
        <w:tab/>
      </w:r>
      <w:r>
        <w:rPr>
          <w:rFonts w:ascii="宋体" w:hAnsi="宋体" w:cs="宋体"/>
          <w:sz w:val="24"/>
          <w:highlight w:val="none"/>
          <w:u w:val="single"/>
        </w:rPr>
        <w:t xml:space="preserve">（项目名称） </w:t>
      </w:r>
      <w:r>
        <w:rPr>
          <w:rFonts w:ascii="宋体" w:hAnsi="宋体" w:cs="宋体"/>
          <w:sz w:val="24"/>
          <w:highlight w:val="none"/>
        </w:rPr>
        <w:t>采购活动，工程的施工单位全部为符合政策要求的中小企业 或者： 服务全部由符合政策要求的中小企业承接）。相关企业（含联合体中的中小企业、签订分包意向协议的中小企业） 的具体情况如下：</w:t>
      </w:r>
    </w:p>
    <w:p w14:paraId="0CD03BE4">
      <w:pPr>
        <w:spacing w:line="369" w:lineRule="auto"/>
        <w:ind w:left="23" w:right="301" w:firstLine="495"/>
        <w:rPr>
          <w:rFonts w:ascii="宋体" w:hAnsi="宋体" w:cs="宋体"/>
          <w:sz w:val="24"/>
          <w:highlight w:val="none"/>
          <w:u w:val="none"/>
        </w:rPr>
      </w:pPr>
      <w:r>
        <w:rPr>
          <w:rFonts w:ascii="宋体" w:hAnsi="宋体" w:cs="宋体"/>
          <w:sz w:val="24"/>
          <w:highlight w:val="none"/>
        </w:rPr>
        <w:t>1.</w:t>
      </w:r>
      <w:r>
        <w:rPr>
          <w:rFonts w:ascii="宋体" w:hAnsi="宋体" w:cs="宋体"/>
          <w:sz w:val="24"/>
          <w:highlight w:val="none"/>
          <w:u w:val="single"/>
        </w:rPr>
        <w:t xml:space="preserve">（标的名称） </w:t>
      </w:r>
      <w:r>
        <w:rPr>
          <w:rFonts w:ascii="宋体" w:hAnsi="宋体" w:cs="宋体"/>
          <w:sz w:val="24"/>
          <w:highlight w:val="none"/>
        </w:rPr>
        <w:t>，属于</w:t>
      </w:r>
      <w:r>
        <w:rPr>
          <w:rFonts w:hint="eastAsia" w:ascii="宋体" w:hAnsi="宋体" w:cs="宋体"/>
          <w:sz w:val="24"/>
          <w:highlight w:val="none"/>
          <w:u w:val="single"/>
        </w:rPr>
        <w:t>其他未列明行业</w:t>
      </w:r>
      <w:r>
        <w:rPr>
          <w:rFonts w:ascii="宋体" w:hAnsi="宋体" w:cs="宋体"/>
          <w:sz w:val="24"/>
          <w:highlight w:val="none"/>
          <w:u w:val="single"/>
        </w:rPr>
        <w:t xml:space="preserve"> </w:t>
      </w:r>
      <w:r>
        <w:rPr>
          <w:rFonts w:ascii="宋体" w:hAnsi="宋体" w:cs="宋体"/>
          <w:sz w:val="24"/>
          <w:highlight w:val="none"/>
        </w:rPr>
        <w:t>；承建（承接）企业为</w:t>
      </w:r>
      <w:r>
        <w:rPr>
          <w:rFonts w:ascii="宋体" w:hAnsi="宋体" w:cs="宋体"/>
          <w:sz w:val="24"/>
          <w:highlight w:val="none"/>
          <w:u w:val="single"/>
        </w:rPr>
        <w:t xml:space="preserve">（企业名称） </w:t>
      </w:r>
      <w:r>
        <w:rPr>
          <w:rFonts w:hint="eastAsia" w:ascii="宋体" w:hAnsi="宋体" w:cs="宋体"/>
          <w:sz w:val="24"/>
          <w:highlight w:val="none"/>
          <w:u w:val="single"/>
        </w:rPr>
        <w:t xml:space="preserve">     </w:t>
      </w:r>
      <w:r>
        <w:rPr>
          <w:rFonts w:ascii="宋体" w:hAnsi="宋体" w:cs="宋体"/>
          <w:sz w:val="24"/>
          <w:highlight w:val="none"/>
        </w:rPr>
        <w:t>， 从业人员</w:t>
      </w:r>
      <w:r>
        <w:rPr>
          <w:rFonts w:ascii="宋体" w:hAnsi="宋体" w:cs="宋体"/>
          <w:sz w:val="24"/>
          <w:highlight w:val="none"/>
          <w:u w:val="single"/>
        </w:rPr>
        <w:t xml:space="preserve">     </w:t>
      </w:r>
      <w:r>
        <w:rPr>
          <w:rFonts w:ascii="宋体" w:hAnsi="宋体" w:cs="宋体"/>
          <w:sz w:val="24"/>
          <w:highlight w:val="none"/>
        </w:rPr>
        <w:t>人，营业收入为</w:t>
      </w:r>
      <w:r>
        <w:rPr>
          <w:rFonts w:ascii="宋体" w:hAnsi="宋体" w:cs="宋体"/>
          <w:sz w:val="24"/>
          <w:highlight w:val="none"/>
          <w:u w:val="single"/>
        </w:rPr>
        <w:t xml:space="preserve">    </w:t>
      </w:r>
      <w:r>
        <w:rPr>
          <w:rFonts w:ascii="宋体" w:hAnsi="宋体" w:cs="宋体"/>
          <w:sz w:val="24"/>
          <w:highlight w:val="none"/>
        </w:rPr>
        <w:t>万元，资产总额为</w:t>
      </w:r>
      <w:r>
        <w:rPr>
          <w:rFonts w:ascii="宋体" w:hAnsi="宋体" w:cs="宋体"/>
          <w:sz w:val="24"/>
          <w:highlight w:val="none"/>
          <w:u w:val="single"/>
        </w:rPr>
        <w:t xml:space="preserve">     </w:t>
      </w:r>
      <w:r>
        <w:rPr>
          <w:rFonts w:ascii="宋体" w:hAnsi="宋体" w:cs="宋体"/>
          <w:sz w:val="24"/>
          <w:highlight w:val="none"/>
        </w:rPr>
        <w:t>万元，属于</w:t>
      </w:r>
      <w:r>
        <w:rPr>
          <w:rFonts w:hint="eastAsia" w:ascii="宋体" w:hAnsi="宋体" w:cs="宋体"/>
          <w:sz w:val="24"/>
          <w:highlight w:val="none"/>
          <w:u w:val="single"/>
          <w:lang w:val="en-US" w:eastAsia="zh-CN"/>
        </w:rPr>
        <w:t xml:space="preserve">             </w:t>
      </w:r>
      <w:r>
        <w:rPr>
          <w:rFonts w:ascii="宋体" w:hAnsi="宋体" w:cs="宋体"/>
          <w:sz w:val="24"/>
          <w:highlight w:val="none"/>
          <w:u w:val="none"/>
        </w:rPr>
        <w:t>（中型企业、小型企业、微型企业）；</w:t>
      </w:r>
    </w:p>
    <w:p w14:paraId="7C494E3D">
      <w:pPr>
        <w:spacing w:before="243" w:line="521" w:lineRule="exact"/>
        <w:ind w:firstLine="528"/>
        <w:rPr>
          <w:rFonts w:ascii="宋体" w:hAnsi="宋体" w:cs="宋体"/>
          <w:sz w:val="24"/>
          <w:highlight w:val="none"/>
        </w:rPr>
      </w:pPr>
      <w:r>
        <w:rPr>
          <w:rFonts w:ascii="宋体" w:hAnsi="宋体" w:cs="宋体"/>
          <w:position w:val="21"/>
          <w:sz w:val="24"/>
          <w:highlight w:val="none"/>
        </w:rPr>
        <w:t>以上企业，不属于大企业的分支机构，不存在控股股东为大企业的情形，</w:t>
      </w:r>
    </w:p>
    <w:p w14:paraId="03256356">
      <w:pPr>
        <w:spacing w:line="204" w:lineRule="auto"/>
        <w:ind w:firstLine="25"/>
        <w:rPr>
          <w:rFonts w:ascii="宋体" w:hAnsi="宋体" w:cs="宋体"/>
          <w:sz w:val="24"/>
          <w:highlight w:val="none"/>
        </w:rPr>
      </w:pPr>
      <w:r>
        <w:rPr>
          <w:rFonts w:ascii="宋体" w:hAnsi="宋体" w:cs="宋体"/>
          <w:sz w:val="24"/>
          <w:highlight w:val="none"/>
        </w:rPr>
        <w:t>也不存在与大企业的负责人为同一人的情形。</w:t>
      </w:r>
    </w:p>
    <w:p w14:paraId="632B6FBB">
      <w:pPr>
        <w:spacing w:before="256" w:line="185" w:lineRule="auto"/>
        <w:ind w:firstLine="502"/>
        <w:rPr>
          <w:rFonts w:ascii="宋体" w:hAnsi="宋体" w:cs="宋体"/>
          <w:sz w:val="24"/>
          <w:highlight w:val="none"/>
        </w:rPr>
      </w:pPr>
      <w:r>
        <w:rPr>
          <w:rFonts w:ascii="宋体" w:hAnsi="宋体" w:cs="宋体"/>
          <w:sz w:val="24"/>
          <w:highlight w:val="none"/>
        </w:rPr>
        <w:t>本企业对上述声明内容的真实性负责。如有虚假，将依法承担相应责任。</w:t>
      </w:r>
    </w:p>
    <w:p w14:paraId="19B51DAD">
      <w:pPr>
        <w:spacing w:line="297" w:lineRule="auto"/>
        <w:rPr>
          <w:rFonts w:ascii="宋体"/>
          <w:highlight w:val="none"/>
        </w:rPr>
      </w:pPr>
    </w:p>
    <w:p w14:paraId="46FDDA79">
      <w:pPr>
        <w:spacing w:line="298" w:lineRule="auto"/>
        <w:rPr>
          <w:rFonts w:ascii="宋体"/>
          <w:highlight w:val="none"/>
        </w:rPr>
      </w:pPr>
    </w:p>
    <w:p w14:paraId="48D1D425">
      <w:pPr>
        <w:spacing w:before="78" w:line="509" w:lineRule="exact"/>
        <w:ind w:firstLine="837" w:firstLineChars="352"/>
        <w:rPr>
          <w:rFonts w:ascii="宋体" w:hAnsi="宋体" w:cs="宋体"/>
          <w:sz w:val="24"/>
          <w:highlight w:val="none"/>
        </w:rPr>
      </w:pPr>
      <w:r>
        <w:rPr>
          <w:rFonts w:ascii="宋体" w:hAnsi="宋体" w:cs="宋体"/>
          <w:spacing w:val="-1"/>
          <w:position w:val="20"/>
          <w:sz w:val="24"/>
          <w:highlight w:val="none"/>
        </w:rPr>
        <w:t>企业名称（盖章</w:t>
      </w:r>
      <w:r>
        <w:rPr>
          <w:rFonts w:ascii="宋体" w:hAnsi="宋体" w:cs="宋体"/>
          <w:spacing w:val="-67"/>
          <w:position w:val="20"/>
          <w:sz w:val="24"/>
          <w:highlight w:val="none"/>
        </w:rPr>
        <w:t>）</w:t>
      </w:r>
      <w:r>
        <w:rPr>
          <w:rFonts w:ascii="宋体" w:hAnsi="宋体" w:cs="宋体"/>
          <w:spacing w:val="-19"/>
          <w:position w:val="20"/>
          <w:sz w:val="24"/>
          <w:highlight w:val="none"/>
        </w:rPr>
        <w:t xml:space="preserve"> </w:t>
      </w:r>
      <w:r>
        <w:rPr>
          <w:rFonts w:ascii="宋体" w:hAnsi="宋体" w:cs="宋体"/>
          <w:spacing w:val="-67"/>
          <w:position w:val="20"/>
          <w:sz w:val="24"/>
          <w:highlight w:val="none"/>
        </w:rPr>
        <w:t>：</w:t>
      </w:r>
    </w:p>
    <w:p w14:paraId="67AF093E">
      <w:pPr>
        <w:spacing w:line="204" w:lineRule="auto"/>
        <w:ind w:firstLine="725" w:firstLineChars="352"/>
        <w:rPr>
          <w:rFonts w:ascii="宋体" w:hAnsi="宋体" w:cs="宋体"/>
          <w:sz w:val="24"/>
          <w:highlight w:val="none"/>
        </w:rPr>
      </w:pPr>
      <w:r>
        <w:rPr>
          <w:rFonts w:ascii="宋体" w:hAnsi="宋体" w:cs="宋体"/>
          <w:spacing w:val="-17"/>
          <w:sz w:val="24"/>
          <w:highlight w:val="none"/>
        </w:rPr>
        <w:t>日期：</w:t>
      </w:r>
    </w:p>
    <w:p w14:paraId="7765B90A">
      <w:pPr>
        <w:pStyle w:val="40"/>
        <w:spacing w:line="480" w:lineRule="exact"/>
        <w:rPr>
          <w:rFonts w:hAnsi="宋体" w:cs="宋体"/>
          <w:color w:val="auto"/>
          <w:highlight w:val="none"/>
        </w:rPr>
      </w:pPr>
    </w:p>
    <w:p w14:paraId="50BBC7E4">
      <w:pPr>
        <w:pStyle w:val="40"/>
        <w:spacing w:line="480" w:lineRule="exact"/>
        <w:rPr>
          <w:rFonts w:hAnsi="宋体" w:cs="宋体"/>
          <w:color w:val="auto"/>
          <w:sz w:val="21"/>
          <w:szCs w:val="21"/>
          <w:highlight w:val="none"/>
        </w:rPr>
      </w:pPr>
      <w:r>
        <w:rPr>
          <w:rFonts w:hint="eastAsia" w:hAnsi="宋体" w:cs="宋体"/>
          <w:color w:val="auto"/>
          <w:sz w:val="21"/>
          <w:szCs w:val="21"/>
          <w:highlight w:val="none"/>
        </w:rPr>
        <w:t>填写说明：</w:t>
      </w:r>
    </w:p>
    <w:p w14:paraId="6EC7CF10">
      <w:pPr>
        <w:pStyle w:val="40"/>
        <w:spacing w:line="480" w:lineRule="exact"/>
        <w:ind w:firstLine="420" w:firstLineChars="200"/>
        <w:rPr>
          <w:rFonts w:hAnsi="宋体" w:cs="宋体"/>
          <w:color w:val="auto"/>
          <w:sz w:val="21"/>
          <w:szCs w:val="21"/>
          <w:highlight w:val="none"/>
          <w:lang w:val="zh-CN"/>
        </w:rPr>
      </w:pPr>
      <w:r>
        <w:rPr>
          <w:rFonts w:hint="eastAsia" w:hAnsi="宋体" w:cs="宋体"/>
          <w:color w:val="auto"/>
          <w:sz w:val="21"/>
          <w:szCs w:val="21"/>
          <w:highlight w:val="none"/>
        </w:rPr>
        <w:t>1、从</w:t>
      </w:r>
      <w:r>
        <w:rPr>
          <w:rFonts w:hint="eastAsia" w:hAnsi="宋体" w:cs="宋体"/>
          <w:color w:val="auto"/>
          <w:sz w:val="21"/>
          <w:szCs w:val="21"/>
          <w:highlight w:val="none"/>
          <w:lang w:val="zh-CN"/>
        </w:rPr>
        <w:t>业人员、营业收入、资产总额填报上一年度数据，无上一年度数据的新成立企业可不填报；</w:t>
      </w:r>
    </w:p>
    <w:p w14:paraId="74919D7E">
      <w:pPr>
        <w:pStyle w:val="40"/>
        <w:spacing w:line="480" w:lineRule="exact"/>
        <w:ind w:firstLine="420" w:firstLineChars="200"/>
        <w:rPr>
          <w:rFonts w:hAnsi="宋体" w:cs="宋体"/>
          <w:color w:val="auto"/>
          <w:sz w:val="21"/>
          <w:szCs w:val="21"/>
          <w:highlight w:val="none"/>
        </w:rPr>
      </w:pPr>
      <w:r>
        <w:rPr>
          <w:rFonts w:hint="eastAsia" w:hAnsi="宋体" w:cs="宋体"/>
          <w:color w:val="auto"/>
          <w:sz w:val="21"/>
          <w:szCs w:val="21"/>
          <w:highlight w:val="none"/>
        </w:rPr>
        <w:t>2、企业类型认定标准：本项目以其他未列明行业为准。从业人员300人以下的为中小微型企业。其中，从业人员100人及以上的为中型企业；从业人员10人及以上的为小型企业；从业人员10人以下的为微型企业。</w:t>
      </w:r>
    </w:p>
    <w:p w14:paraId="557821C0">
      <w:pPr>
        <w:pStyle w:val="40"/>
        <w:wordWrap w:val="0"/>
        <w:spacing w:line="480" w:lineRule="exact"/>
        <w:ind w:firstLine="420" w:firstLineChars="200"/>
        <w:rPr>
          <w:rFonts w:hAnsi="宋体" w:cs="宋体"/>
          <w:color w:val="auto"/>
          <w:sz w:val="21"/>
          <w:szCs w:val="21"/>
          <w:highlight w:val="none"/>
        </w:rPr>
      </w:pPr>
      <w:r>
        <w:rPr>
          <w:rFonts w:hint="eastAsia" w:hAnsi="宋体" w:cs="宋体"/>
          <w:color w:val="auto"/>
          <w:sz w:val="21"/>
          <w:szCs w:val="21"/>
          <w:highlight w:val="none"/>
        </w:rPr>
        <w:t xml:space="preserve"> 3、为了保证企业类型自我认定的准确性，供应商可通过国务院客户端小程序自行测试企业类型；登录国务院客户端小程序——企业——涉企查询更多——中小企业规模类型自测。</w:t>
      </w:r>
    </w:p>
    <w:p w14:paraId="388DBAAA">
      <w:pPr>
        <w:spacing w:line="360" w:lineRule="auto"/>
        <w:jc w:val="center"/>
        <w:rPr>
          <w:rFonts w:hint="eastAsia" w:ascii="宋体" w:hAnsi="宋体" w:cs="宋体"/>
          <w:b/>
          <w:color w:val="000000" w:themeColor="text1"/>
          <w:kern w:val="0"/>
          <w:sz w:val="24"/>
          <w:szCs w:val="20"/>
          <w:highlight w:val="none"/>
          <w14:textFill>
            <w14:solidFill>
              <w14:schemeClr w14:val="tx1"/>
            </w14:solidFill>
          </w14:textFill>
        </w:rPr>
      </w:pPr>
    </w:p>
    <w:p w14:paraId="5AECE54D">
      <w:pPr>
        <w:spacing w:line="360" w:lineRule="auto"/>
        <w:jc w:val="center"/>
        <w:rPr>
          <w:rFonts w:ascii="宋体" w:hAnsi="宋体" w:cs="宋体"/>
          <w:b/>
          <w:color w:val="000000" w:themeColor="text1"/>
          <w:kern w:val="0"/>
          <w:sz w:val="24"/>
          <w:szCs w:val="20"/>
          <w:highlight w:val="none"/>
          <w14:textFill>
            <w14:solidFill>
              <w14:schemeClr w14:val="tx1"/>
            </w14:solidFill>
          </w14:textFill>
        </w:rPr>
      </w:pPr>
      <w:r>
        <w:rPr>
          <w:rFonts w:hint="eastAsia" w:ascii="宋体" w:hAnsi="宋体" w:cs="宋体"/>
          <w:b/>
          <w:color w:val="000000" w:themeColor="text1"/>
          <w:kern w:val="0"/>
          <w:sz w:val="24"/>
          <w:szCs w:val="20"/>
          <w:highlight w:val="none"/>
          <w14:textFill>
            <w14:solidFill>
              <w14:schemeClr w14:val="tx1"/>
            </w14:solidFill>
          </w14:textFill>
        </w:rPr>
        <w:t>1</w:t>
      </w:r>
      <w:r>
        <w:rPr>
          <w:rFonts w:hint="eastAsia" w:ascii="宋体" w:hAnsi="宋体" w:cs="宋体"/>
          <w:b/>
          <w:color w:val="000000" w:themeColor="text1"/>
          <w:kern w:val="0"/>
          <w:sz w:val="24"/>
          <w:szCs w:val="20"/>
          <w:highlight w:val="none"/>
          <w:lang w:val="en-US" w:eastAsia="zh-CN"/>
          <w14:textFill>
            <w14:solidFill>
              <w14:schemeClr w14:val="tx1"/>
            </w14:solidFill>
          </w14:textFill>
        </w:rPr>
        <w:t>2</w:t>
      </w:r>
      <w:r>
        <w:rPr>
          <w:rFonts w:hint="eastAsia" w:ascii="宋体" w:hAnsi="宋体" w:cs="宋体"/>
          <w:b/>
          <w:color w:val="000000" w:themeColor="text1"/>
          <w:kern w:val="0"/>
          <w:sz w:val="24"/>
          <w:szCs w:val="20"/>
          <w:highlight w:val="none"/>
          <w14:textFill>
            <w14:solidFill>
              <w14:schemeClr w14:val="tx1"/>
            </w14:solidFill>
          </w14:textFill>
        </w:rPr>
        <w:t>.2残疾人福利性单位声明函</w:t>
      </w:r>
      <w:bookmarkEnd w:id="351"/>
      <w:bookmarkEnd w:id="352"/>
      <w:bookmarkEnd w:id="353"/>
      <w:bookmarkEnd w:id="354"/>
    </w:p>
    <w:bookmarkEnd w:id="355"/>
    <w:bookmarkEnd w:id="356"/>
    <w:p w14:paraId="65DB1C2F">
      <w:pPr>
        <w:spacing w:line="360" w:lineRule="auto"/>
        <w:ind w:firstLine="567"/>
        <w:rPr>
          <w:rFonts w:ascii="宋体" w:hAnsi="宋体" w:cs="宋体"/>
          <w:color w:val="000000" w:themeColor="text1"/>
          <w:kern w:val="0"/>
          <w:sz w:val="24"/>
          <w:szCs w:val="20"/>
          <w:highlight w:val="none"/>
          <w14:textFill>
            <w14:solidFill>
              <w14:schemeClr w14:val="tx1"/>
            </w14:solidFill>
          </w14:textFill>
        </w:rPr>
      </w:pPr>
      <w:r>
        <w:rPr>
          <w:rFonts w:hint="eastAsia" w:ascii="宋体" w:hAnsi="宋体" w:cs="宋体"/>
          <w:color w:val="000000" w:themeColor="text1"/>
          <w:kern w:val="0"/>
          <w:sz w:val="24"/>
          <w:szCs w:val="20"/>
          <w:highlight w:val="none"/>
          <w14:textFill>
            <w14:solidFill>
              <w14:schemeClr w14:val="tx1"/>
            </w14:solidFill>
          </w14:textFill>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5A7CCEA7">
      <w:pPr>
        <w:spacing w:line="360" w:lineRule="auto"/>
        <w:ind w:left="1080" w:leftChars="257" w:hanging="540"/>
        <w:rPr>
          <w:rFonts w:ascii="宋体" w:hAnsi="宋体" w:cs="宋体"/>
          <w:color w:val="000000" w:themeColor="text1"/>
          <w:kern w:val="0"/>
          <w:sz w:val="24"/>
          <w:szCs w:val="20"/>
          <w:highlight w:val="none"/>
          <w14:textFill>
            <w14:solidFill>
              <w14:schemeClr w14:val="tx1"/>
            </w14:solidFill>
          </w14:textFill>
        </w:rPr>
      </w:pPr>
      <w:r>
        <w:rPr>
          <w:rFonts w:hint="eastAsia" w:ascii="宋体" w:hAnsi="宋体" w:cs="宋体"/>
          <w:color w:val="000000" w:themeColor="text1"/>
          <w:kern w:val="0"/>
          <w:sz w:val="24"/>
          <w:szCs w:val="20"/>
          <w:highlight w:val="none"/>
          <w14:textFill>
            <w14:solidFill>
              <w14:schemeClr w14:val="tx1"/>
            </w14:solidFill>
          </w14:textFill>
        </w:rPr>
        <w:t>本单位对上述声明的真实性负责。如有虚假，将依法承担相应责任。</w:t>
      </w:r>
    </w:p>
    <w:p w14:paraId="543A4830">
      <w:pPr>
        <w:spacing w:line="360" w:lineRule="auto"/>
        <w:ind w:left="1080" w:leftChars="257" w:hanging="540"/>
        <w:rPr>
          <w:rFonts w:ascii="宋体" w:hAnsi="宋体" w:cs="宋体"/>
          <w:color w:val="000000" w:themeColor="text1"/>
          <w:kern w:val="0"/>
          <w:sz w:val="24"/>
          <w:szCs w:val="20"/>
          <w:highlight w:val="none"/>
          <w14:textFill>
            <w14:solidFill>
              <w14:schemeClr w14:val="tx1"/>
            </w14:solidFill>
          </w14:textFill>
        </w:rPr>
      </w:pPr>
    </w:p>
    <w:p w14:paraId="7D8A52F2">
      <w:pPr>
        <w:spacing w:line="360" w:lineRule="auto"/>
        <w:jc w:val="center"/>
        <w:rPr>
          <w:rFonts w:ascii="宋体" w:hAnsi="宋体" w:cs="宋体"/>
          <w:b/>
          <w:color w:val="000000" w:themeColor="text1"/>
          <w:kern w:val="0"/>
          <w:sz w:val="24"/>
          <w:szCs w:val="20"/>
          <w:highlight w:val="none"/>
          <w14:textFill>
            <w14:solidFill>
              <w14:schemeClr w14:val="tx1"/>
            </w14:solidFill>
          </w14:textFill>
        </w:rPr>
      </w:pPr>
      <w:r>
        <w:rPr>
          <w:rFonts w:hint="eastAsia" w:ascii="宋体" w:hAnsi="宋体" w:cs="宋体"/>
          <w:b/>
          <w:color w:val="000000" w:themeColor="text1"/>
          <w:kern w:val="0"/>
          <w:sz w:val="24"/>
          <w:szCs w:val="20"/>
          <w:highlight w:val="none"/>
          <w14:textFill>
            <w14:solidFill>
              <w14:schemeClr w14:val="tx1"/>
            </w14:solidFill>
          </w14:textFill>
        </w:rPr>
        <w:t>1</w:t>
      </w:r>
      <w:r>
        <w:rPr>
          <w:rFonts w:hint="eastAsia" w:ascii="宋体" w:hAnsi="宋体" w:cs="宋体"/>
          <w:b/>
          <w:color w:val="000000" w:themeColor="text1"/>
          <w:kern w:val="0"/>
          <w:sz w:val="24"/>
          <w:szCs w:val="20"/>
          <w:highlight w:val="none"/>
          <w:lang w:val="en-US" w:eastAsia="zh-CN"/>
          <w14:textFill>
            <w14:solidFill>
              <w14:schemeClr w14:val="tx1"/>
            </w14:solidFill>
          </w14:textFill>
        </w:rPr>
        <w:t>2</w:t>
      </w:r>
      <w:r>
        <w:rPr>
          <w:rFonts w:hint="eastAsia" w:ascii="宋体" w:hAnsi="宋体" w:cs="宋体"/>
          <w:b/>
          <w:color w:val="000000" w:themeColor="text1"/>
          <w:kern w:val="0"/>
          <w:sz w:val="24"/>
          <w:szCs w:val="20"/>
          <w:highlight w:val="none"/>
          <w14:textFill>
            <w14:solidFill>
              <w14:schemeClr w14:val="tx1"/>
            </w14:solidFill>
          </w14:textFill>
        </w:rPr>
        <w:t>.3省级以上监狱管理局、戒毒管理局（含新疆生产建设兵团）出具的属于监狱企业的证明文件复印件</w:t>
      </w:r>
    </w:p>
    <w:bookmarkEnd w:id="348"/>
    <w:p w14:paraId="6C803470">
      <w:pPr>
        <w:pStyle w:val="8"/>
        <w:rPr>
          <w:highlight w:val="none"/>
        </w:rPr>
      </w:pPr>
    </w:p>
    <w:p w14:paraId="648D01DA">
      <w:pPr>
        <w:pStyle w:val="5"/>
        <w:rPr>
          <w:rFonts w:cs="宋体"/>
          <w:highlight w:val="none"/>
          <w:u w:val="none"/>
        </w:rPr>
      </w:pPr>
      <w:bookmarkStart w:id="357" w:name="_Toc9983"/>
      <w:bookmarkStart w:id="358" w:name="_Toc16133"/>
      <w:r>
        <w:rPr>
          <w:rFonts w:hint="eastAsia" w:cs="宋体"/>
          <w:highlight w:val="none"/>
          <w:u w:val="none"/>
        </w:rPr>
        <w:t>1</w:t>
      </w:r>
      <w:r>
        <w:rPr>
          <w:rFonts w:hint="eastAsia" w:cs="宋体"/>
          <w:highlight w:val="none"/>
          <w:u w:val="none"/>
          <w:lang w:val="en-US" w:eastAsia="zh-CN"/>
        </w:rPr>
        <w:t>3</w:t>
      </w:r>
      <w:r>
        <w:rPr>
          <w:rFonts w:hint="eastAsia" w:cs="宋体"/>
          <w:highlight w:val="none"/>
          <w:u w:val="none"/>
        </w:rPr>
        <w:t>. 案例一览表</w:t>
      </w:r>
      <w:bookmarkEnd w:id="357"/>
      <w:bookmarkEnd w:id="358"/>
    </w:p>
    <w:p w14:paraId="19216BD8">
      <w:pPr>
        <w:spacing w:line="360" w:lineRule="auto"/>
        <w:ind w:right="187"/>
        <w:jc w:val="center"/>
        <w:rPr>
          <w:rFonts w:ascii="宋体" w:hAnsi="宋体" w:cs="宋体"/>
          <w:kern w:val="0"/>
          <w:sz w:val="28"/>
          <w:szCs w:val="28"/>
          <w:highlight w:val="none"/>
        </w:rPr>
      </w:pPr>
      <w:r>
        <w:rPr>
          <w:rFonts w:hint="eastAsia" w:ascii="宋体" w:hAnsi="宋体" w:cs="宋体"/>
          <w:kern w:val="0"/>
          <w:sz w:val="28"/>
          <w:szCs w:val="28"/>
          <w:highlight w:val="none"/>
        </w:rPr>
        <w:t>案例一览表及合同复印件</w:t>
      </w:r>
    </w:p>
    <w:tbl>
      <w:tblPr>
        <w:tblStyle w:val="32"/>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14:paraId="0B041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tcBorders>
              <w:top w:val="single" w:color="auto" w:sz="12" w:space="0"/>
              <w:left w:val="single" w:color="auto" w:sz="12" w:space="0"/>
              <w:bottom w:val="single" w:color="auto" w:sz="4" w:space="0"/>
              <w:right w:val="single" w:color="auto" w:sz="4" w:space="0"/>
            </w:tcBorders>
            <w:vAlign w:val="center"/>
          </w:tcPr>
          <w:p w14:paraId="344F1DCA">
            <w:pPr>
              <w:spacing w:line="360" w:lineRule="exact"/>
              <w:jc w:val="center"/>
              <w:rPr>
                <w:rFonts w:ascii="宋体" w:hAnsi="宋体" w:cs="宋体"/>
                <w:kern w:val="0"/>
                <w:sz w:val="24"/>
                <w:highlight w:val="none"/>
              </w:rPr>
            </w:pPr>
            <w:r>
              <w:rPr>
                <w:rFonts w:hint="eastAsia" w:ascii="宋体" w:hAnsi="宋体" w:cs="宋体"/>
                <w:kern w:val="0"/>
                <w:sz w:val="24"/>
                <w:highlight w:val="none"/>
              </w:rPr>
              <w:t>序号</w:t>
            </w:r>
          </w:p>
        </w:tc>
        <w:tc>
          <w:tcPr>
            <w:tcW w:w="1416" w:type="dxa"/>
            <w:tcBorders>
              <w:top w:val="single" w:color="auto" w:sz="12" w:space="0"/>
              <w:left w:val="single" w:color="auto" w:sz="4" w:space="0"/>
              <w:bottom w:val="single" w:color="auto" w:sz="4" w:space="0"/>
              <w:right w:val="single" w:color="auto" w:sz="4" w:space="0"/>
            </w:tcBorders>
            <w:vAlign w:val="center"/>
          </w:tcPr>
          <w:p w14:paraId="79D98BBE">
            <w:pPr>
              <w:spacing w:line="360" w:lineRule="exact"/>
              <w:jc w:val="center"/>
              <w:rPr>
                <w:rFonts w:ascii="宋体" w:hAnsi="宋体" w:cs="宋体"/>
                <w:kern w:val="0"/>
                <w:sz w:val="24"/>
                <w:highlight w:val="none"/>
              </w:rPr>
            </w:pPr>
            <w:r>
              <w:rPr>
                <w:rFonts w:hint="eastAsia" w:ascii="宋体" w:hAnsi="宋体" w:cs="宋体"/>
                <w:kern w:val="0"/>
                <w:sz w:val="24"/>
                <w:highlight w:val="none"/>
              </w:rPr>
              <w:t>项目内容</w:t>
            </w:r>
          </w:p>
        </w:tc>
        <w:tc>
          <w:tcPr>
            <w:tcW w:w="1010" w:type="dxa"/>
            <w:tcBorders>
              <w:top w:val="single" w:color="auto" w:sz="12" w:space="0"/>
              <w:left w:val="single" w:color="auto" w:sz="4" w:space="0"/>
              <w:bottom w:val="single" w:color="auto" w:sz="4" w:space="0"/>
              <w:right w:val="single" w:color="auto" w:sz="4" w:space="0"/>
            </w:tcBorders>
            <w:vAlign w:val="center"/>
          </w:tcPr>
          <w:p w14:paraId="07C39123">
            <w:pPr>
              <w:spacing w:line="360" w:lineRule="exact"/>
              <w:jc w:val="center"/>
              <w:rPr>
                <w:rFonts w:ascii="宋体" w:hAnsi="宋体" w:cs="宋体"/>
                <w:kern w:val="0"/>
                <w:sz w:val="24"/>
                <w:highlight w:val="none"/>
              </w:rPr>
            </w:pPr>
            <w:r>
              <w:rPr>
                <w:rFonts w:hint="eastAsia" w:ascii="宋体" w:hAnsi="宋体" w:cs="宋体"/>
                <w:kern w:val="0"/>
                <w:sz w:val="24"/>
                <w:highlight w:val="none"/>
              </w:rPr>
              <w:t>合同金额</w:t>
            </w:r>
          </w:p>
        </w:tc>
        <w:tc>
          <w:tcPr>
            <w:tcW w:w="1208" w:type="dxa"/>
            <w:tcBorders>
              <w:top w:val="single" w:color="auto" w:sz="12" w:space="0"/>
              <w:left w:val="single" w:color="auto" w:sz="4" w:space="0"/>
              <w:bottom w:val="single" w:color="auto" w:sz="4" w:space="0"/>
              <w:right w:val="single" w:color="auto" w:sz="4" w:space="0"/>
            </w:tcBorders>
            <w:vAlign w:val="center"/>
          </w:tcPr>
          <w:p w14:paraId="77C4463E">
            <w:pPr>
              <w:spacing w:line="360" w:lineRule="exact"/>
              <w:jc w:val="center"/>
              <w:rPr>
                <w:rFonts w:ascii="宋体" w:hAnsi="宋体" w:cs="宋体"/>
                <w:kern w:val="0"/>
                <w:sz w:val="24"/>
                <w:highlight w:val="none"/>
              </w:rPr>
            </w:pPr>
            <w:r>
              <w:rPr>
                <w:rFonts w:hint="eastAsia" w:ascii="宋体" w:hAnsi="宋体" w:cs="宋体"/>
                <w:kern w:val="0"/>
                <w:sz w:val="24"/>
                <w:highlight w:val="none"/>
              </w:rPr>
              <w:t>项目单位名称</w:t>
            </w:r>
          </w:p>
        </w:tc>
        <w:tc>
          <w:tcPr>
            <w:tcW w:w="1249" w:type="dxa"/>
            <w:tcBorders>
              <w:top w:val="single" w:color="auto" w:sz="12" w:space="0"/>
              <w:left w:val="single" w:color="auto" w:sz="4" w:space="0"/>
              <w:bottom w:val="single" w:color="auto" w:sz="4" w:space="0"/>
              <w:right w:val="single" w:color="auto" w:sz="4" w:space="0"/>
            </w:tcBorders>
            <w:vAlign w:val="center"/>
          </w:tcPr>
          <w:p w14:paraId="4829B0BB">
            <w:pPr>
              <w:spacing w:line="360" w:lineRule="exact"/>
              <w:jc w:val="center"/>
              <w:rPr>
                <w:rFonts w:ascii="宋体" w:hAnsi="宋体" w:cs="宋体"/>
                <w:kern w:val="0"/>
                <w:sz w:val="24"/>
                <w:highlight w:val="none"/>
              </w:rPr>
            </w:pPr>
            <w:r>
              <w:rPr>
                <w:rFonts w:hint="eastAsia" w:ascii="宋体" w:hAnsi="宋体" w:cs="宋体"/>
                <w:kern w:val="0"/>
                <w:sz w:val="24"/>
                <w:highlight w:val="none"/>
              </w:rPr>
              <w:t>项目负责人姓名</w:t>
            </w:r>
          </w:p>
        </w:tc>
        <w:tc>
          <w:tcPr>
            <w:tcW w:w="1221" w:type="dxa"/>
            <w:tcBorders>
              <w:top w:val="single" w:color="auto" w:sz="12" w:space="0"/>
              <w:left w:val="single" w:color="auto" w:sz="4" w:space="0"/>
              <w:bottom w:val="single" w:color="auto" w:sz="4" w:space="0"/>
              <w:right w:val="single" w:color="auto" w:sz="4" w:space="0"/>
            </w:tcBorders>
            <w:vAlign w:val="center"/>
          </w:tcPr>
          <w:p w14:paraId="4EBC4963">
            <w:pPr>
              <w:spacing w:line="360" w:lineRule="exact"/>
              <w:jc w:val="center"/>
              <w:rPr>
                <w:rFonts w:ascii="宋体" w:hAnsi="宋体" w:cs="宋体"/>
                <w:kern w:val="0"/>
                <w:sz w:val="24"/>
                <w:highlight w:val="none"/>
              </w:rPr>
            </w:pPr>
            <w:r>
              <w:rPr>
                <w:rFonts w:hint="eastAsia" w:ascii="宋体" w:hAnsi="宋体" w:cs="宋体"/>
                <w:kern w:val="0"/>
                <w:sz w:val="24"/>
                <w:highlight w:val="none"/>
              </w:rPr>
              <w:t>合同签订日期</w:t>
            </w:r>
          </w:p>
        </w:tc>
        <w:tc>
          <w:tcPr>
            <w:tcW w:w="1409" w:type="dxa"/>
            <w:tcBorders>
              <w:top w:val="single" w:color="auto" w:sz="12" w:space="0"/>
              <w:left w:val="single" w:color="auto" w:sz="4" w:space="0"/>
              <w:bottom w:val="single" w:color="auto" w:sz="4" w:space="0"/>
              <w:right w:val="single" w:color="auto" w:sz="12" w:space="0"/>
            </w:tcBorders>
            <w:vAlign w:val="center"/>
          </w:tcPr>
          <w:p w14:paraId="14AB9227">
            <w:pPr>
              <w:spacing w:line="360" w:lineRule="exact"/>
              <w:jc w:val="center"/>
              <w:rPr>
                <w:rFonts w:ascii="宋体" w:hAnsi="宋体" w:cs="宋体"/>
                <w:kern w:val="0"/>
                <w:sz w:val="24"/>
                <w:highlight w:val="none"/>
              </w:rPr>
            </w:pPr>
            <w:r>
              <w:rPr>
                <w:rFonts w:hint="eastAsia" w:ascii="宋体" w:hAnsi="宋体" w:cs="宋体"/>
                <w:kern w:val="0"/>
                <w:sz w:val="24"/>
                <w:highlight w:val="none"/>
              </w:rPr>
              <w:t>项目单位的有效联系方式</w:t>
            </w:r>
          </w:p>
        </w:tc>
        <w:tc>
          <w:tcPr>
            <w:tcW w:w="1409" w:type="dxa"/>
            <w:tcBorders>
              <w:top w:val="single" w:color="auto" w:sz="12" w:space="0"/>
              <w:left w:val="single" w:color="auto" w:sz="4" w:space="0"/>
              <w:bottom w:val="single" w:color="auto" w:sz="4" w:space="0"/>
              <w:right w:val="single" w:color="auto" w:sz="12" w:space="0"/>
            </w:tcBorders>
            <w:vAlign w:val="center"/>
          </w:tcPr>
          <w:p w14:paraId="5652BA44">
            <w:pPr>
              <w:spacing w:line="360" w:lineRule="exact"/>
              <w:jc w:val="center"/>
              <w:rPr>
                <w:rFonts w:ascii="宋体" w:hAnsi="宋体" w:cs="宋体"/>
                <w:kern w:val="0"/>
                <w:sz w:val="24"/>
                <w:highlight w:val="none"/>
              </w:rPr>
            </w:pPr>
            <w:r>
              <w:rPr>
                <w:rFonts w:hint="eastAsia" w:ascii="宋体" w:hAnsi="宋体" w:cs="宋体"/>
                <w:kern w:val="0"/>
                <w:sz w:val="24"/>
                <w:highlight w:val="none"/>
              </w:rPr>
              <w:t>合同复印件等证明材料</w:t>
            </w:r>
          </w:p>
        </w:tc>
      </w:tr>
      <w:tr w14:paraId="1EAA7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vAlign w:val="center"/>
          </w:tcPr>
          <w:p w14:paraId="250EDF09">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1</w:t>
            </w:r>
          </w:p>
        </w:tc>
        <w:tc>
          <w:tcPr>
            <w:tcW w:w="1416" w:type="dxa"/>
            <w:tcBorders>
              <w:top w:val="single" w:color="auto" w:sz="4" w:space="0"/>
              <w:left w:val="single" w:color="auto" w:sz="4" w:space="0"/>
              <w:bottom w:val="single" w:color="auto" w:sz="4" w:space="0"/>
              <w:right w:val="single" w:color="auto" w:sz="4" w:space="0"/>
            </w:tcBorders>
            <w:vAlign w:val="center"/>
          </w:tcPr>
          <w:p w14:paraId="731F6D4E">
            <w:pPr>
              <w:spacing w:line="360" w:lineRule="exact"/>
              <w:jc w:val="center"/>
              <w:rPr>
                <w:rFonts w:ascii="宋体" w:hAnsi="宋体" w:cs="宋体"/>
                <w:b/>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vAlign w:val="center"/>
          </w:tcPr>
          <w:p w14:paraId="08D58A2C">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vAlign w:val="center"/>
          </w:tcPr>
          <w:p w14:paraId="04D3A413">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vAlign w:val="center"/>
          </w:tcPr>
          <w:p w14:paraId="5242B5E4">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tcPr>
          <w:p w14:paraId="5FF280D5">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vAlign w:val="center"/>
          </w:tcPr>
          <w:p w14:paraId="757B40A5">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tcPr>
          <w:p w14:paraId="2B7E52BE">
            <w:pPr>
              <w:spacing w:line="360" w:lineRule="exact"/>
              <w:jc w:val="center"/>
              <w:rPr>
                <w:rFonts w:ascii="宋体" w:hAnsi="宋体" w:cs="宋体"/>
                <w:b/>
                <w:kern w:val="0"/>
                <w:szCs w:val="21"/>
                <w:highlight w:val="none"/>
              </w:rPr>
            </w:pPr>
          </w:p>
        </w:tc>
      </w:tr>
      <w:tr w14:paraId="6801B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vAlign w:val="center"/>
          </w:tcPr>
          <w:p w14:paraId="3EA464EA">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2</w:t>
            </w:r>
          </w:p>
        </w:tc>
        <w:tc>
          <w:tcPr>
            <w:tcW w:w="1416" w:type="dxa"/>
            <w:tcBorders>
              <w:top w:val="single" w:color="auto" w:sz="4" w:space="0"/>
              <w:left w:val="single" w:color="auto" w:sz="4" w:space="0"/>
              <w:bottom w:val="single" w:color="auto" w:sz="4" w:space="0"/>
              <w:right w:val="single" w:color="auto" w:sz="4" w:space="0"/>
            </w:tcBorders>
            <w:vAlign w:val="center"/>
          </w:tcPr>
          <w:p w14:paraId="2E943C43">
            <w:pPr>
              <w:spacing w:line="360" w:lineRule="exact"/>
              <w:jc w:val="center"/>
              <w:rPr>
                <w:rFonts w:ascii="宋体" w:hAnsi="宋体" w:cs="宋体"/>
                <w:b/>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vAlign w:val="center"/>
          </w:tcPr>
          <w:p w14:paraId="4ED5E6D5">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vAlign w:val="center"/>
          </w:tcPr>
          <w:p w14:paraId="6B7D7161">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vAlign w:val="center"/>
          </w:tcPr>
          <w:p w14:paraId="4335BD7C">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tcPr>
          <w:p w14:paraId="3048F143">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vAlign w:val="center"/>
          </w:tcPr>
          <w:p w14:paraId="1948BB1A">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tcPr>
          <w:p w14:paraId="7B8EAB9E">
            <w:pPr>
              <w:spacing w:line="360" w:lineRule="exact"/>
              <w:jc w:val="center"/>
              <w:rPr>
                <w:rFonts w:ascii="宋体" w:hAnsi="宋体" w:cs="宋体"/>
                <w:b/>
                <w:kern w:val="0"/>
                <w:szCs w:val="21"/>
                <w:highlight w:val="none"/>
              </w:rPr>
            </w:pPr>
          </w:p>
        </w:tc>
      </w:tr>
      <w:tr w14:paraId="58214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vAlign w:val="center"/>
          </w:tcPr>
          <w:p w14:paraId="0610D9B4">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3</w:t>
            </w:r>
          </w:p>
        </w:tc>
        <w:tc>
          <w:tcPr>
            <w:tcW w:w="1416" w:type="dxa"/>
            <w:tcBorders>
              <w:top w:val="single" w:color="auto" w:sz="4" w:space="0"/>
              <w:left w:val="single" w:color="auto" w:sz="4" w:space="0"/>
              <w:bottom w:val="single" w:color="auto" w:sz="4" w:space="0"/>
              <w:right w:val="single" w:color="auto" w:sz="4" w:space="0"/>
            </w:tcBorders>
            <w:vAlign w:val="center"/>
          </w:tcPr>
          <w:p w14:paraId="77149A0D">
            <w:pPr>
              <w:spacing w:line="360" w:lineRule="exact"/>
              <w:jc w:val="center"/>
              <w:rPr>
                <w:rFonts w:ascii="宋体" w:hAnsi="宋体" w:cs="宋体"/>
                <w:b/>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vAlign w:val="center"/>
          </w:tcPr>
          <w:p w14:paraId="55AD674F">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vAlign w:val="center"/>
          </w:tcPr>
          <w:p w14:paraId="3EFB60FB">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vAlign w:val="center"/>
          </w:tcPr>
          <w:p w14:paraId="17AF46BB">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tcPr>
          <w:p w14:paraId="0BA4CACB">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vAlign w:val="center"/>
          </w:tcPr>
          <w:p w14:paraId="5A8DDE80">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tcPr>
          <w:p w14:paraId="7CFBF664">
            <w:pPr>
              <w:spacing w:line="360" w:lineRule="exact"/>
              <w:jc w:val="center"/>
              <w:rPr>
                <w:rFonts w:ascii="宋体" w:hAnsi="宋体" w:cs="宋体"/>
                <w:b/>
                <w:kern w:val="0"/>
                <w:szCs w:val="21"/>
                <w:highlight w:val="none"/>
              </w:rPr>
            </w:pPr>
          </w:p>
        </w:tc>
      </w:tr>
      <w:tr w14:paraId="4B142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tcBorders>
              <w:top w:val="single" w:color="auto" w:sz="4" w:space="0"/>
              <w:left w:val="single" w:color="auto" w:sz="12" w:space="0"/>
              <w:bottom w:val="single" w:color="auto" w:sz="12" w:space="0"/>
              <w:right w:val="single" w:color="auto" w:sz="4" w:space="0"/>
            </w:tcBorders>
            <w:vAlign w:val="center"/>
          </w:tcPr>
          <w:p w14:paraId="44F2DFD7">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4</w:t>
            </w:r>
          </w:p>
        </w:tc>
        <w:tc>
          <w:tcPr>
            <w:tcW w:w="1416" w:type="dxa"/>
            <w:tcBorders>
              <w:top w:val="single" w:color="auto" w:sz="4" w:space="0"/>
              <w:left w:val="single" w:color="auto" w:sz="4" w:space="0"/>
              <w:bottom w:val="single" w:color="auto" w:sz="12" w:space="0"/>
              <w:right w:val="single" w:color="auto" w:sz="4" w:space="0"/>
            </w:tcBorders>
            <w:vAlign w:val="center"/>
          </w:tcPr>
          <w:p w14:paraId="02B44FB3">
            <w:pPr>
              <w:spacing w:line="360" w:lineRule="exact"/>
              <w:jc w:val="center"/>
              <w:rPr>
                <w:rFonts w:ascii="宋体" w:hAnsi="宋体" w:cs="宋体"/>
                <w:b/>
                <w:kern w:val="0"/>
                <w:szCs w:val="21"/>
                <w:highlight w:val="none"/>
              </w:rPr>
            </w:pPr>
            <w:r>
              <w:rPr>
                <w:rFonts w:hint="eastAsia" w:ascii="宋体" w:hAnsi="宋体" w:cs="宋体"/>
                <w:b/>
                <w:kern w:val="0"/>
                <w:szCs w:val="21"/>
                <w:highlight w:val="none"/>
              </w:rPr>
              <w:t>…</w:t>
            </w:r>
          </w:p>
        </w:tc>
        <w:tc>
          <w:tcPr>
            <w:tcW w:w="1010" w:type="dxa"/>
            <w:tcBorders>
              <w:top w:val="single" w:color="auto" w:sz="4" w:space="0"/>
              <w:left w:val="single" w:color="auto" w:sz="4" w:space="0"/>
              <w:bottom w:val="single" w:color="auto" w:sz="12" w:space="0"/>
              <w:right w:val="single" w:color="auto" w:sz="4" w:space="0"/>
            </w:tcBorders>
            <w:vAlign w:val="center"/>
          </w:tcPr>
          <w:p w14:paraId="57B407E5">
            <w:pPr>
              <w:spacing w:line="360" w:lineRule="exact"/>
              <w:jc w:val="center"/>
              <w:rPr>
                <w:rFonts w:ascii="宋体" w:hAnsi="宋体" w:cs="宋体"/>
                <w:b/>
                <w:kern w:val="0"/>
                <w:szCs w:val="21"/>
                <w:highlight w:val="none"/>
              </w:rPr>
            </w:pPr>
          </w:p>
        </w:tc>
        <w:tc>
          <w:tcPr>
            <w:tcW w:w="1208" w:type="dxa"/>
            <w:tcBorders>
              <w:top w:val="single" w:color="auto" w:sz="4" w:space="0"/>
              <w:left w:val="single" w:color="auto" w:sz="4" w:space="0"/>
              <w:bottom w:val="single" w:color="auto" w:sz="12" w:space="0"/>
              <w:right w:val="single" w:color="auto" w:sz="4" w:space="0"/>
            </w:tcBorders>
            <w:vAlign w:val="center"/>
          </w:tcPr>
          <w:p w14:paraId="040F9ED3">
            <w:pPr>
              <w:spacing w:line="360" w:lineRule="exact"/>
              <w:jc w:val="center"/>
              <w:rPr>
                <w:rFonts w:ascii="宋体" w:hAnsi="宋体" w:cs="宋体"/>
                <w:b/>
                <w:kern w:val="0"/>
                <w:szCs w:val="21"/>
                <w:highlight w:val="none"/>
              </w:rPr>
            </w:pPr>
          </w:p>
        </w:tc>
        <w:tc>
          <w:tcPr>
            <w:tcW w:w="1249" w:type="dxa"/>
            <w:tcBorders>
              <w:top w:val="single" w:color="auto" w:sz="4" w:space="0"/>
              <w:left w:val="single" w:color="auto" w:sz="4" w:space="0"/>
              <w:bottom w:val="single" w:color="auto" w:sz="12" w:space="0"/>
              <w:right w:val="single" w:color="auto" w:sz="4" w:space="0"/>
            </w:tcBorders>
            <w:vAlign w:val="center"/>
          </w:tcPr>
          <w:p w14:paraId="57A2DE16">
            <w:pPr>
              <w:spacing w:line="360" w:lineRule="exact"/>
              <w:jc w:val="center"/>
              <w:rPr>
                <w:rFonts w:ascii="宋体" w:hAnsi="宋体" w:cs="宋体"/>
                <w:b/>
                <w:kern w:val="0"/>
                <w:szCs w:val="21"/>
                <w:highlight w:val="none"/>
              </w:rPr>
            </w:pPr>
          </w:p>
        </w:tc>
        <w:tc>
          <w:tcPr>
            <w:tcW w:w="1221" w:type="dxa"/>
            <w:tcBorders>
              <w:top w:val="single" w:color="auto" w:sz="4" w:space="0"/>
              <w:left w:val="single" w:color="auto" w:sz="4" w:space="0"/>
              <w:bottom w:val="single" w:color="auto" w:sz="12" w:space="0"/>
              <w:right w:val="single" w:color="auto" w:sz="4" w:space="0"/>
            </w:tcBorders>
          </w:tcPr>
          <w:p w14:paraId="1D003115">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vAlign w:val="center"/>
          </w:tcPr>
          <w:p w14:paraId="5D64A44A">
            <w:pPr>
              <w:spacing w:line="360" w:lineRule="exact"/>
              <w:jc w:val="center"/>
              <w:rPr>
                <w:rFonts w:ascii="宋体" w:hAnsi="宋体" w:cs="宋体"/>
                <w:b/>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tcPr>
          <w:p w14:paraId="32427AB1">
            <w:pPr>
              <w:spacing w:line="360" w:lineRule="exact"/>
              <w:jc w:val="center"/>
              <w:rPr>
                <w:rFonts w:ascii="宋体" w:hAnsi="宋体" w:cs="宋体"/>
                <w:b/>
                <w:kern w:val="0"/>
                <w:szCs w:val="21"/>
                <w:highlight w:val="none"/>
              </w:rPr>
            </w:pPr>
          </w:p>
        </w:tc>
      </w:tr>
    </w:tbl>
    <w:p w14:paraId="6D0DC0A7">
      <w:pPr>
        <w:spacing w:line="360" w:lineRule="auto"/>
        <w:ind w:right="187" w:firstLine="480" w:firstLineChars="200"/>
        <w:jc w:val="left"/>
        <w:rPr>
          <w:rFonts w:ascii="宋体" w:hAnsi="宋体" w:cs="宋体"/>
          <w:sz w:val="24"/>
          <w:highlight w:val="none"/>
        </w:rPr>
      </w:pPr>
      <w:r>
        <w:rPr>
          <w:rFonts w:hint="eastAsia" w:ascii="宋体" w:hAnsi="宋体" w:cs="宋体"/>
          <w:sz w:val="24"/>
          <w:highlight w:val="none"/>
        </w:rPr>
        <w:t>说明：（1）以上合同案例须真实有效。</w:t>
      </w:r>
    </w:p>
    <w:p w14:paraId="5B8A11CF">
      <w:pPr>
        <w:spacing w:line="360" w:lineRule="auto"/>
        <w:ind w:right="187" w:firstLine="840" w:firstLineChars="350"/>
        <w:jc w:val="left"/>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kern w:val="0"/>
          <w:sz w:val="24"/>
          <w:highlight w:val="none"/>
        </w:rPr>
        <w:t>提供</w:t>
      </w:r>
      <w:r>
        <w:rPr>
          <w:rFonts w:hint="eastAsia" w:ascii="宋体" w:hAnsi="宋体" w:cs="宋体"/>
          <w:sz w:val="24"/>
          <w:highlight w:val="none"/>
        </w:rPr>
        <w:t>202</w:t>
      </w:r>
      <w:r>
        <w:rPr>
          <w:rFonts w:hint="eastAsia" w:ascii="宋体" w:hAnsi="宋体" w:cs="宋体"/>
          <w:sz w:val="24"/>
          <w:highlight w:val="none"/>
          <w:lang w:val="en-US" w:eastAsia="zh-CN"/>
        </w:rPr>
        <w:t>2</w:t>
      </w:r>
      <w:r>
        <w:rPr>
          <w:rFonts w:hint="eastAsia" w:ascii="宋体" w:hAnsi="宋体" w:cs="宋体"/>
          <w:sz w:val="24"/>
          <w:highlight w:val="none"/>
        </w:rPr>
        <w:t>年1月1日以来</w:t>
      </w:r>
      <w:r>
        <w:rPr>
          <w:rFonts w:hint="eastAsia" w:ascii="宋体" w:hAnsi="宋体" w:cs="宋体"/>
          <w:kern w:val="0"/>
          <w:sz w:val="24"/>
          <w:highlight w:val="none"/>
        </w:rPr>
        <w:t>的同类项目业绩证明材料。</w:t>
      </w:r>
      <w:r>
        <w:rPr>
          <w:rFonts w:hint="eastAsia" w:ascii="宋体" w:hAnsi="宋体" w:cs="宋体"/>
          <w:kern w:val="0"/>
          <w:sz w:val="24"/>
          <w:highlight w:val="none"/>
          <w:lang w:eastAsia="zh-CN"/>
        </w:rPr>
        <w:t>（</w:t>
      </w:r>
      <w:r>
        <w:rPr>
          <w:rFonts w:hint="eastAsia" w:ascii="宋体" w:hAnsi="宋体" w:cs="宋体"/>
          <w:kern w:val="0"/>
          <w:sz w:val="24"/>
          <w:highlight w:val="none"/>
          <w:lang w:val="en-US" w:eastAsia="zh-CN"/>
        </w:rPr>
        <w:t>详见评分标准</w:t>
      </w:r>
      <w:r>
        <w:rPr>
          <w:rFonts w:hint="eastAsia" w:ascii="宋体" w:hAnsi="宋体" w:cs="宋体"/>
          <w:kern w:val="0"/>
          <w:sz w:val="24"/>
          <w:highlight w:val="none"/>
          <w:lang w:eastAsia="zh-CN"/>
        </w:rPr>
        <w:t>）</w:t>
      </w:r>
    </w:p>
    <w:p w14:paraId="48BE3D9E">
      <w:pPr>
        <w:spacing w:line="440" w:lineRule="exact"/>
        <w:rPr>
          <w:rFonts w:hint="eastAsia" w:ascii="宋体" w:hAnsi="宋体"/>
          <w:sz w:val="24"/>
          <w:highlight w:val="none"/>
        </w:rPr>
      </w:pPr>
    </w:p>
    <w:p w14:paraId="7E7BE7FF">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57937EC7">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3A072EF6">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14D1D54D">
      <w:pPr>
        <w:topLinePunct/>
        <w:spacing w:line="440" w:lineRule="exact"/>
        <w:rPr>
          <w:rFonts w:hint="eastAsia" w:ascii="宋体" w:cs="宋体"/>
          <w:sz w:val="24"/>
          <w:highlight w:val="none"/>
        </w:rPr>
      </w:pPr>
    </w:p>
    <w:p w14:paraId="26CAF379">
      <w:pPr>
        <w:pStyle w:val="5"/>
        <w:rPr>
          <w:rFonts w:hint="eastAsia" w:ascii="宋体" w:eastAsia="宋体" w:cs="宋体"/>
          <w:highlight w:val="none"/>
          <w:u w:val="none"/>
        </w:rPr>
      </w:pPr>
      <w:bookmarkStart w:id="359" w:name="_Toc2467"/>
      <w:r>
        <w:rPr>
          <w:rFonts w:hint="eastAsia" w:ascii="宋体" w:eastAsia="宋体" w:cs="宋体"/>
          <w:highlight w:val="none"/>
          <w:u w:val="none"/>
          <w:lang w:val="en-US" w:eastAsia="zh-CN"/>
        </w:rPr>
        <w:t>14.</w:t>
      </w:r>
      <w:r>
        <w:rPr>
          <w:rFonts w:hint="eastAsia" w:ascii="宋体" w:eastAsia="宋体" w:cs="宋体"/>
          <w:highlight w:val="none"/>
          <w:u w:val="none"/>
        </w:rPr>
        <w:t>商务条款偏离表</w:t>
      </w:r>
      <w:bookmarkEnd w:id="359"/>
    </w:p>
    <w:p w14:paraId="78D02C77">
      <w:pPr>
        <w:pStyle w:val="4"/>
        <w:rPr>
          <w:rFonts w:hint="eastAsia" w:ascii="宋体" w:hAnsi="Calibri" w:eastAsia="宋体" w:cs="宋体"/>
          <w:b/>
          <w:kern w:val="0"/>
          <w:sz w:val="24"/>
          <w:szCs w:val="20"/>
          <w:highlight w:val="none"/>
          <w:u w:val="none"/>
          <w:lang w:val="en-US" w:eastAsia="zh-CN" w:bidi="ar-SA"/>
        </w:rPr>
      </w:pPr>
      <w:bookmarkStart w:id="360" w:name="_Toc20909"/>
      <w:r>
        <w:rPr>
          <w:rFonts w:hint="eastAsia" w:ascii="宋体" w:hAnsi="Calibri" w:eastAsia="宋体" w:cs="宋体"/>
          <w:b/>
          <w:kern w:val="0"/>
          <w:sz w:val="24"/>
          <w:szCs w:val="20"/>
          <w:highlight w:val="none"/>
          <w:u w:val="none"/>
          <w:lang w:val="en-US" w:eastAsia="zh-CN" w:bidi="ar-SA"/>
        </w:rPr>
        <w:t>商务条款偏离表</w:t>
      </w:r>
      <w:bookmarkEnd w:id="360"/>
    </w:p>
    <w:tbl>
      <w:tblPr>
        <w:tblStyle w:val="3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79"/>
        <w:gridCol w:w="2444"/>
        <w:gridCol w:w="1241"/>
        <w:gridCol w:w="2340"/>
        <w:gridCol w:w="1250"/>
      </w:tblGrid>
      <w:tr w14:paraId="2C529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restart"/>
            <w:vAlign w:val="center"/>
          </w:tcPr>
          <w:p w14:paraId="1AB2B960">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23" w:type="dxa"/>
            <w:gridSpan w:val="2"/>
            <w:vAlign w:val="center"/>
          </w:tcPr>
          <w:p w14:paraId="27997D29">
            <w:pPr>
              <w:spacing w:line="440" w:lineRule="exact"/>
              <w:jc w:val="center"/>
              <w:rPr>
                <w:rFonts w:ascii="宋体" w:cs="宋体"/>
                <w:sz w:val="24"/>
                <w:szCs w:val="24"/>
                <w:highlight w:val="none"/>
              </w:rPr>
            </w:pPr>
            <w:r>
              <w:rPr>
                <w:rFonts w:hint="eastAsia" w:ascii="宋体" w:cs="宋体"/>
                <w:sz w:val="24"/>
                <w:szCs w:val="24"/>
                <w:highlight w:val="none"/>
              </w:rPr>
              <w:t>磋商文件</w:t>
            </w:r>
          </w:p>
        </w:tc>
        <w:tc>
          <w:tcPr>
            <w:tcW w:w="3581" w:type="dxa"/>
            <w:gridSpan w:val="2"/>
            <w:vAlign w:val="center"/>
          </w:tcPr>
          <w:p w14:paraId="7F56B390">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0" w:type="dxa"/>
            <w:vMerge w:val="restart"/>
            <w:vAlign w:val="center"/>
          </w:tcPr>
          <w:p w14:paraId="6BB1A76A">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27625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continue"/>
            <w:vAlign w:val="center"/>
          </w:tcPr>
          <w:p w14:paraId="42BD2306">
            <w:pPr>
              <w:rPr>
                <w:highlight w:val="none"/>
              </w:rPr>
            </w:pPr>
          </w:p>
        </w:tc>
        <w:tc>
          <w:tcPr>
            <w:tcW w:w="1179" w:type="dxa"/>
            <w:vAlign w:val="center"/>
          </w:tcPr>
          <w:p w14:paraId="7E724F6E">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444" w:type="dxa"/>
            <w:vAlign w:val="center"/>
          </w:tcPr>
          <w:p w14:paraId="6780F8E2">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41" w:type="dxa"/>
            <w:vAlign w:val="center"/>
          </w:tcPr>
          <w:p w14:paraId="17BD4BDB">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340" w:type="dxa"/>
            <w:vAlign w:val="center"/>
          </w:tcPr>
          <w:p w14:paraId="3054A2F9">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0" w:type="dxa"/>
            <w:vMerge w:val="continue"/>
            <w:vAlign w:val="center"/>
          </w:tcPr>
          <w:p w14:paraId="1C2DD57E">
            <w:pPr>
              <w:rPr>
                <w:highlight w:val="none"/>
              </w:rPr>
            </w:pPr>
          </w:p>
        </w:tc>
      </w:tr>
      <w:tr w14:paraId="549C2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CDF27EC">
            <w:pPr>
              <w:spacing w:line="440" w:lineRule="exact"/>
              <w:jc w:val="center"/>
              <w:rPr>
                <w:rFonts w:ascii="宋体" w:cs="宋体"/>
                <w:sz w:val="24"/>
                <w:szCs w:val="24"/>
                <w:highlight w:val="none"/>
              </w:rPr>
            </w:pPr>
          </w:p>
        </w:tc>
        <w:tc>
          <w:tcPr>
            <w:tcW w:w="1179" w:type="dxa"/>
            <w:vAlign w:val="center"/>
          </w:tcPr>
          <w:p w14:paraId="24685B1A">
            <w:pPr>
              <w:spacing w:line="440" w:lineRule="exact"/>
              <w:jc w:val="center"/>
              <w:rPr>
                <w:rFonts w:ascii="宋体" w:cs="宋体"/>
                <w:sz w:val="24"/>
                <w:szCs w:val="24"/>
                <w:highlight w:val="none"/>
              </w:rPr>
            </w:pPr>
          </w:p>
        </w:tc>
        <w:tc>
          <w:tcPr>
            <w:tcW w:w="2444" w:type="dxa"/>
            <w:vAlign w:val="center"/>
          </w:tcPr>
          <w:p w14:paraId="2BA2D4F5">
            <w:pPr>
              <w:spacing w:line="440" w:lineRule="exact"/>
              <w:jc w:val="center"/>
              <w:rPr>
                <w:rFonts w:ascii="宋体" w:cs="宋体"/>
                <w:sz w:val="24"/>
                <w:szCs w:val="24"/>
                <w:highlight w:val="none"/>
              </w:rPr>
            </w:pPr>
          </w:p>
        </w:tc>
        <w:tc>
          <w:tcPr>
            <w:tcW w:w="1241" w:type="dxa"/>
            <w:vAlign w:val="center"/>
          </w:tcPr>
          <w:p w14:paraId="10AA18DC">
            <w:pPr>
              <w:spacing w:line="440" w:lineRule="exact"/>
              <w:jc w:val="center"/>
              <w:rPr>
                <w:rFonts w:ascii="宋体" w:cs="宋体"/>
                <w:sz w:val="24"/>
                <w:szCs w:val="24"/>
                <w:highlight w:val="none"/>
              </w:rPr>
            </w:pPr>
          </w:p>
        </w:tc>
        <w:tc>
          <w:tcPr>
            <w:tcW w:w="2340" w:type="dxa"/>
            <w:vAlign w:val="center"/>
          </w:tcPr>
          <w:p w14:paraId="77A3EB22">
            <w:pPr>
              <w:spacing w:line="440" w:lineRule="exact"/>
              <w:jc w:val="center"/>
              <w:rPr>
                <w:rFonts w:ascii="宋体" w:cs="宋体"/>
                <w:sz w:val="24"/>
                <w:szCs w:val="24"/>
                <w:highlight w:val="none"/>
              </w:rPr>
            </w:pPr>
          </w:p>
        </w:tc>
        <w:tc>
          <w:tcPr>
            <w:tcW w:w="1250" w:type="dxa"/>
            <w:vAlign w:val="center"/>
          </w:tcPr>
          <w:p w14:paraId="4861F37B">
            <w:pPr>
              <w:spacing w:line="440" w:lineRule="exact"/>
              <w:jc w:val="center"/>
              <w:rPr>
                <w:rFonts w:ascii="宋体" w:cs="宋体"/>
                <w:sz w:val="24"/>
                <w:szCs w:val="24"/>
                <w:highlight w:val="none"/>
              </w:rPr>
            </w:pPr>
          </w:p>
        </w:tc>
      </w:tr>
      <w:tr w14:paraId="4C82F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70CDC31">
            <w:pPr>
              <w:spacing w:line="440" w:lineRule="exact"/>
              <w:jc w:val="center"/>
              <w:rPr>
                <w:rFonts w:ascii="宋体" w:cs="宋体"/>
                <w:sz w:val="24"/>
                <w:szCs w:val="24"/>
                <w:highlight w:val="none"/>
              </w:rPr>
            </w:pPr>
          </w:p>
        </w:tc>
        <w:tc>
          <w:tcPr>
            <w:tcW w:w="1179" w:type="dxa"/>
            <w:vAlign w:val="center"/>
          </w:tcPr>
          <w:p w14:paraId="617A97E7">
            <w:pPr>
              <w:spacing w:line="440" w:lineRule="exact"/>
              <w:jc w:val="center"/>
              <w:rPr>
                <w:rFonts w:ascii="宋体" w:cs="宋体"/>
                <w:sz w:val="24"/>
                <w:szCs w:val="24"/>
                <w:highlight w:val="none"/>
              </w:rPr>
            </w:pPr>
          </w:p>
        </w:tc>
        <w:tc>
          <w:tcPr>
            <w:tcW w:w="2444" w:type="dxa"/>
            <w:vAlign w:val="center"/>
          </w:tcPr>
          <w:p w14:paraId="3DD18A55">
            <w:pPr>
              <w:spacing w:line="440" w:lineRule="exact"/>
              <w:jc w:val="center"/>
              <w:rPr>
                <w:rFonts w:ascii="宋体" w:cs="宋体"/>
                <w:sz w:val="24"/>
                <w:szCs w:val="24"/>
                <w:highlight w:val="none"/>
              </w:rPr>
            </w:pPr>
          </w:p>
        </w:tc>
        <w:tc>
          <w:tcPr>
            <w:tcW w:w="1241" w:type="dxa"/>
            <w:vAlign w:val="center"/>
          </w:tcPr>
          <w:p w14:paraId="326B91DF">
            <w:pPr>
              <w:spacing w:line="440" w:lineRule="exact"/>
              <w:jc w:val="center"/>
              <w:rPr>
                <w:rFonts w:ascii="宋体" w:cs="宋体"/>
                <w:sz w:val="24"/>
                <w:szCs w:val="24"/>
                <w:highlight w:val="none"/>
              </w:rPr>
            </w:pPr>
          </w:p>
        </w:tc>
        <w:tc>
          <w:tcPr>
            <w:tcW w:w="2340" w:type="dxa"/>
            <w:vAlign w:val="center"/>
          </w:tcPr>
          <w:p w14:paraId="6AD243AD">
            <w:pPr>
              <w:spacing w:line="440" w:lineRule="exact"/>
              <w:jc w:val="center"/>
              <w:rPr>
                <w:rFonts w:ascii="宋体" w:cs="宋体"/>
                <w:sz w:val="24"/>
                <w:szCs w:val="24"/>
                <w:highlight w:val="none"/>
              </w:rPr>
            </w:pPr>
          </w:p>
        </w:tc>
        <w:tc>
          <w:tcPr>
            <w:tcW w:w="1250" w:type="dxa"/>
            <w:vAlign w:val="center"/>
          </w:tcPr>
          <w:p w14:paraId="7DADEF1D">
            <w:pPr>
              <w:spacing w:line="440" w:lineRule="exact"/>
              <w:jc w:val="center"/>
              <w:rPr>
                <w:rFonts w:ascii="宋体" w:cs="宋体"/>
                <w:sz w:val="24"/>
                <w:szCs w:val="24"/>
                <w:highlight w:val="none"/>
              </w:rPr>
            </w:pPr>
          </w:p>
        </w:tc>
      </w:tr>
      <w:tr w14:paraId="0EC04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AE02643">
            <w:pPr>
              <w:spacing w:line="440" w:lineRule="exact"/>
              <w:jc w:val="center"/>
              <w:rPr>
                <w:rFonts w:ascii="宋体" w:cs="宋体"/>
                <w:sz w:val="24"/>
                <w:szCs w:val="24"/>
                <w:highlight w:val="none"/>
              </w:rPr>
            </w:pPr>
          </w:p>
        </w:tc>
        <w:tc>
          <w:tcPr>
            <w:tcW w:w="1179" w:type="dxa"/>
            <w:vAlign w:val="center"/>
          </w:tcPr>
          <w:p w14:paraId="2DED0D39">
            <w:pPr>
              <w:spacing w:line="440" w:lineRule="exact"/>
              <w:jc w:val="center"/>
              <w:rPr>
                <w:rFonts w:ascii="宋体" w:cs="宋体"/>
                <w:sz w:val="24"/>
                <w:szCs w:val="24"/>
                <w:highlight w:val="none"/>
              </w:rPr>
            </w:pPr>
          </w:p>
        </w:tc>
        <w:tc>
          <w:tcPr>
            <w:tcW w:w="2444" w:type="dxa"/>
            <w:vAlign w:val="center"/>
          </w:tcPr>
          <w:p w14:paraId="6001361D">
            <w:pPr>
              <w:spacing w:line="440" w:lineRule="exact"/>
              <w:jc w:val="center"/>
              <w:rPr>
                <w:rFonts w:ascii="宋体" w:cs="宋体"/>
                <w:sz w:val="24"/>
                <w:szCs w:val="24"/>
                <w:highlight w:val="none"/>
              </w:rPr>
            </w:pPr>
          </w:p>
        </w:tc>
        <w:tc>
          <w:tcPr>
            <w:tcW w:w="1241" w:type="dxa"/>
            <w:vAlign w:val="center"/>
          </w:tcPr>
          <w:p w14:paraId="3487A30D">
            <w:pPr>
              <w:spacing w:line="440" w:lineRule="exact"/>
              <w:jc w:val="center"/>
              <w:rPr>
                <w:rFonts w:ascii="宋体" w:cs="宋体"/>
                <w:sz w:val="24"/>
                <w:szCs w:val="24"/>
                <w:highlight w:val="none"/>
              </w:rPr>
            </w:pPr>
          </w:p>
        </w:tc>
        <w:tc>
          <w:tcPr>
            <w:tcW w:w="2340" w:type="dxa"/>
            <w:vAlign w:val="center"/>
          </w:tcPr>
          <w:p w14:paraId="6AD21B5A">
            <w:pPr>
              <w:spacing w:line="440" w:lineRule="exact"/>
              <w:jc w:val="center"/>
              <w:rPr>
                <w:rFonts w:ascii="宋体" w:cs="宋体"/>
                <w:sz w:val="24"/>
                <w:szCs w:val="24"/>
                <w:highlight w:val="none"/>
              </w:rPr>
            </w:pPr>
          </w:p>
        </w:tc>
        <w:tc>
          <w:tcPr>
            <w:tcW w:w="1250" w:type="dxa"/>
            <w:vAlign w:val="center"/>
          </w:tcPr>
          <w:p w14:paraId="37263C73">
            <w:pPr>
              <w:spacing w:line="440" w:lineRule="exact"/>
              <w:jc w:val="center"/>
              <w:rPr>
                <w:rFonts w:ascii="宋体" w:cs="宋体"/>
                <w:sz w:val="24"/>
                <w:szCs w:val="24"/>
                <w:highlight w:val="none"/>
              </w:rPr>
            </w:pPr>
          </w:p>
        </w:tc>
      </w:tr>
      <w:tr w14:paraId="79D7D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C5FACA3">
            <w:pPr>
              <w:spacing w:line="440" w:lineRule="exact"/>
              <w:jc w:val="center"/>
              <w:rPr>
                <w:rFonts w:ascii="宋体" w:cs="宋体"/>
                <w:sz w:val="24"/>
                <w:szCs w:val="24"/>
                <w:highlight w:val="none"/>
              </w:rPr>
            </w:pPr>
          </w:p>
        </w:tc>
        <w:tc>
          <w:tcPr>
            <w:tcW w:w="1179" w:type="dxa"/>
            <w:vAlign w:val="center"/>
          </w:tcPr>
          <w:p w14:paraId="41B0BF71">
            <w:pPr>
              <w:spacing w:line="440" w:lineRule="exact"/>
              <w:jc w:val="center"/>
              <w:rPr>
                <w:rFonts w:ascii="宋体" w:cs="宋体"/>
                <w:sz w:val="24"/>
                <w:szCs w:val="24"/>
                <w:highlight w:val="none"/>
              </w:rPr>
            </w:pPr>
          </w:p>
        </w:tc>
        <w:tc>
          <w:tcPr>
            <w:tcW w:w="2444" w:type="dxa"/>
            <w:vAlign w:val="center"/>
          </w:tcPr>
          <w:p w14:paraId="4A3117F7">
            <w:pPr>
              <w:spacing w:line="440" w:lineRule="exact"/>
              <w:jc w:val="center"/>
              <w:rPr>
                <w:rFonts w:ascii="宋体" w:cs="宋体"/>
                <w:sz w:val="24"/>
                <w:szCs w:val="24"/>
                <w:highlight w:val="none"/>
              </w:rPr>
            </w:pPr>
          </w:p>
        </w:tc>
        <w:tc>
          <w:tcPr>
            <w:tcW w:w="1241" w:type="dxa"/>
            <w:vAlign w:val="center"/>
          </w:tcPr>
          <w:p w14:paraId="5EEFA7BD">
            <w:pPr>
              <w:spacing w:line="440" w:lineRule="exact"/>
              <w:jc w:val="center"/>
              <w:rPr>
                <w:rFonts w:ascii="宋体" w:cs="宋体"/>
                <w:sz w:val="24"/>
                <w:szCs w:val="24"/>
                <w:highlight w:val="none"/>
              </w:rPr>
            </w:pPr>
          </w:p>
        </w:tc>
        <w:tc>
          <w:tcPr>
            <w:tcW w:w="2340" w:type="dxa"/>
            <w:vAlign w:val="center"/>
          </w:tcPr>
          <w:p w14:paraId="133AF1C5">
            <w:pPr>
              <w:spacing w:line="440" w:lineRule="exact"/>
              <w:jc w:val="center"/>
              <w:rPr>
                <w:rFonts w:ascii="宋体" w:cs="宋体"/>
                <w:sz w:val="24"/>
                <w:szCs w:val="24"/>
                <w:highlight w:val="none"/>
              </w:rPr>
            </w:pPr>
          </w:p>
        </w:tc>
        <w:tc>
          <w:tcPr>
            <w:tcW w:w="1250" w:type="dxa"/>
            <w:vAlign w:val="center"/>
          </w:tcPr>
          <w:p w14:paraId="37A4AAB1">
            <w:pPr>
              <w:spacing w:line="440" w:lineRule="exact"/>
              <w:jc w:val="center"/>
              <w:rPr>
                <w:rFonts w:ascii="宋体" w:cs="宋体"/>
                <w:sz w:val="24"/>
                <w:szCs w:val="24"/>
                <w:highlight w:val="none"/>
              </w:rPr>
            </w:pPr>
          </w:p>
        </w:tc>
      </w:tr>
      <w:tr w14:paraId="43A9F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3622F3B">
            <w:pPr>
              <w:spacing w:line="440" w:lineRule="exact"/>
              <w:jc w:val="center"/>
              <w:rPr>
                <w:rFonts w:ascii="宋体" w:cs="宋体"/>
                <w:sz w:val="24"/>
                <w:szCs w:val="24"/>
                <w:highlight w:val="none"/>
              </w:rPr>
            </w:pPr>
          </w:p>
        </w:tc>
        <w:tc>
          <w:tcPr>
            <w:tcW w:w="1179" w:type="dxa"/>
            <w:vAlign w:val="center"/>
          </w:tcPr>
          <w:p w14:paraId="68368A67">
            <w:pPr>
              <w:spacing w:line="440" w:lineRule="exact"/>
              <w:jc w:val="center"/>
              <w:rPr>
                <w:rFonts w:ascii="宋体" w:cs="宋体"/>
                <w:sz w:val="24"/>
                <w:szCs w:val="24"/>
                <w:highlight w:val="none"/>
              </w:rPr>
            </w:pPr>
          </w:p>
        </w:tc>
        <w:tc>
          <w:tcPr>
            <w:tcW w:w="2444" w:type="dxa"/>
            <w:vAlign w:val="center"/>
          </w:tcPr>
          <w:p w14:paraId="2FFE57F7">
            <w:pPr>
              <w:spacing w:line="440" w:lineRule="exact"/>
              <w:jc w:val="center"/>
              <w:rPr>
                <w:rFonts w:ascii="宋体" w:cs="宋体"/>
                <w:sz w:val="24"/>
                <w:szCs w:val="24"/>
                <w:highlight w:val="none"/>
              </w:rPr>
            </w:pPr>
          </w:p>
        </w:tc>
        <w:tc>
          <w:tcPr>
            <w:tcW w:w="1241" w:type="dxa"/>
            <w:vAlign w:val="center"/>
          </w:tcPr>
          <w:p w14:paraId="1E906D9A">
            <w:pPr>
              <w:spacing w:line="440" w:lineRule="exact"/>
              <w:jc w:val="center"/>
              <w:rPr>
                <w:rFonts w:ascii="宋体" w:cs="宋体"/>
                <w:sz w:val="24"/>
                <w:szCs w:val="24"/>
                <w:highlight w:val="none"/>
              </w:rPr>
            </w:pPr>
          </w:p>
        </w:tc>
        <w:tc>
          <w:tcPr>
            <w:tcW w:w="2340" w:type="dxa"/>
            <w:vAlign w:val="center"/>
          </w:tcPr>
          <w:p w14:paraId="6228BA53">
            <w:pPr>
              <w:spacing w:line="440" w:lineRule="exact"/>
              <w:jc w:val="center"/>
              <w:rPr>
                <w:rFonts w:ascii="宋体" w:cs="宋体"/>
                <w:sz w:val="24"/>
                <w:szCs w:val="24"/>
                <w:highlight w:val="none"/>
              </w:rPr>
            </w:pPr>
          </w:p>
        </w:tc>
        <w:tc>
          <w:tcPr>
            <w:tcW w:w="1250" w:type="dxa"/>
            <w:vAlign w:val="center"/>
          </w:tcPr>
          <w:p w14:paraId="41B19D91">
            <w:pPr>
              <w:spacing w:line="440" w:lineRule="exact"/>
              <w:jc w:val="center"/>
              <w:rPr>
                <w:rFonts w:ascii="宋体" w:cs="宋体"/>
                <w:sz w:val="24"/>
                <w:szCs w:val="24"/>
                <w:highlight w:val="none"/>
              </w:rPr>
            </w:pPr>
          </w:p>
        </w:tc>
      </w:tr>
    </w:tbl>
    <w:p w14:paraId="661B61C6">
      <w:pPr>
        <w:spacing w:line="440" w:lineRule="exact"/>
        <w:rPr>
          <w:rFonts w:ascii="宋体" w:cs="宋体"/>
          <w:sz w:val="24"/>
          <w:highlight w:val="none"/>
        </w:rPr>
      </w:pPr>
    </w:p>
    <w:p w14:paraId="7E53AD32">
      <w:pPr>
        <w:spacing w:line="440" w:lineRule="exact"/>
        <w:rPr>
          <w:rFonts w:hint="eastAsia" w:ascii="宋体" w:cs="宋体"/>
          <w:sz w:val="24"/>
          <w:highlight w:val="none"/>
        </w:rPr>
      </w:pPr>
      <w:r>
        <w:rPr>
          <w:rFonts w:hint="eastAsia" w:ascii="宋体" w:cs="宋体"/>
          <w:sz w:val="24"/>
          <w:highlight w:val="none"/>
        </w:rPr>
        <w:t>供应商名称(公章)：______________</w:t>
      </w:r>
    </w:p>
    <w:p w14:paraId="45CB73D1">
      <w:pPr>
        <w:spacing w:line="440" w:lineRule="exact"/>
        <w:rPr>
          <w:rFonts w:hint="eastAsia" w:ascii="宋体" w:cs="宋体"/>
          <w:sz w:val="24"/>
          <w:highlight w:val="none"/>
        </w:rPr>
      </w:pPr>
      <w:r>
        <w:rPr>
          <w:rFonts w:hint="eastAsia" w:ascii="宋体" w:cs="宋体"/>
          <w:sz w:val="24"/>
          <w:highlight w:val="none"/>
        </w:rPr>
        <w:t>法定代表人或负责人或其授权代表(签字或盖章)：______________</w:t>
      </w:r>
    </w:p>
    <w:p w14:paraId="75843D5E">
      <w:pPr>
        <w:spacing w:line="440" w:lineRule="exact"/>
        <w:rPr>
          <w:rFonts w:hint="eastAsia" w:ascii="宋体" w:cs="宋体"/>
          <w:sz w:val="24"/>
          <w:highlight w:val="none"/>
        </w:rPr>
      </w:pPr>
      <w:r>
        <w:rPr>
          <w:rFonts w:hint="eastAsia" w:ascii="宋体" w:cs="宋体"/>
          <w:sz w:val="24"/>
          <w:highlight w:val="none"/>
        </w:rPr>
        <w:t>日期：______年____月____日</w:t>
      </w:r>
    </w:p>
    <w:p w14:paraId="6AF869C2">
      <w:pPr>
        <w:pStyle w:val="2"/>
        <w:rPr>
          <w:rFonts w:hint="eastAsia"/>
          <w:highlight w:val="none"/>
        </w:rPr>
      </w:pPr>
    </w:p>
    <w:p w14:paraId="03AA31D1">
      <w:pPr>
        <w:pStyle w:val="5"/>
        <w:rPr>
          <w:rFonts w:hint="eastAsia" w:ascii="宋体" w:eastAsia="宋体" w:cs="宋体"/>
          <w:highlight w:val="none"/>
          <w:u w:val="none"/>
          <w:lang w:val="en-US" w:eastAsia="zh-CN"/>
        </w:rPr>
      </w:pPr>
      <w:bookmarkStart w:id="361" w:name="_Toc9761"/>
      <w:r>
        <w:rPr>
          <w:rFonts w:hint="eastAsia" w:ascii="宋体" w:eastAsia="宋体" w:cs="宋体"/>
          <w:highlight w:val="none"/>
          <w:u w:val="none"/>
          <w:lang w:val="en-US" w:eastAsia="zh-CN"/>
        </w:rPr>
        <w:t>15.技术条款偏离表</w:t>
      </w:r>
      <w:bookmarkEnd w:id="361"/>
    </w:p>
    <w:p w14:paraId="213496B7">
      <w:pPr>
        <w:pStyle w:val="4"/>
        <w:rPr>
          <w:rFonts w:hint="eastAsia" w:ascii="宋体" w:hAnsi="Calibri" w:eastAsia="宋体" w:cs="宋体"/>
          <w:b/>
          <w:kern w:val="0"/>
          <w:sz w:val="24"/>
          <w:szCs w:val="20"/>
          <w:highlight w:val="none"/>
          <w:u w:val="none"/>
          <w:lang w:val="en-US" w:eastAsia="zh-CN" w:bidi="ar-SA"/>
        </w:rPr>
      </w:pPr>
      <w:bookmarkStart w:id="362" w:name="_Toc28092"/>
      <w:r>
        <w:rPr>
          <w:rFonts w:hint="eastAsia" w:ascii="宋体" w:hAnsi="Calibri" w:eastAsia="宋体" w:cs="宋体"/>
          <w:b/>
          <w:kern w:val="0"/>
          <w:sz w:val="24"/>
          <w:szCs w:val="20"/>
          <w:highlight w:val="none"/>
          <w:u w:val="none"/>
          <w:lang w:val="en-US" w:eastAsia="zh-CN" w:bidi="ar-SA"/>
        </w:rPr>
        <w:t>技术条款偏离表</w:t>
      </w:r>
      <w:bookmarkEnd w:id="362"/>
    </w:p>
    <w:tbl>
      <w:tblPr>
        <w:tblStyle w:val="3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83"/>
        <w:gridCol w:w="2518"/>
        <w:gridCol w:w="1081"/>
        <w:gridCol w:w="2518"/>
        <w:gridCol w:w="1257"/>
      </w:tblGrid>
      <w:tr w14:paraId="40C6B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restart"/>
            <w:vAlign w:val="center"/>
          </w:tcPr>
          <w:p w14:paraId="12964A6B">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01" w:type="dxa"/>
            <w:gridSpan w:val="2"/>
            <w:vAlign w:val="center"/>
          </w:tcPr>
          <w:p w14:paraId="0C14F723">
            <w:pPr>
              <w:spacing w:line="440" w:lineRule="exact"/>
              <w:jc w:val="center"/>
              <w:rPr>
                <w:rFonts w:ascii="宋体" w:cs="宋体"/>
                <w:sz w:val="24"/>
                <w:szCs w:val="24"/>
                <w:highlight w:val="none"/>
              </w:rPr>
            </w:pPr>
            <w:r>
              <w:rPr>
                <w:rFonts w:hint="eastAsia" w:ascii="宋体" w:cs="宋体"/>
                <w:sz w:val="24"/>
                <w:szCs w:val="24"/>
                <w:highlight w:val="none"/>
              </w:rPr>
              <w:t>磋商文件</w:t>
            </w:r>
          </w:p>
        </w:tc>
        <w:tc>
          <w:tcPr>
            <w:tcW w:w="3599" w:type="dxa"/>
            <w:gridSpan w:val="2"/>
            <w:vAlign w:val="center"/>
          </w:tcPr>
          <w:p w14:paraId="71E71FD8">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7" w:type="dxa"/>
            <w:vMerge w:val="restart"/>
            <w:vAlign w:val="center"/>
          </w:tcPr>
          <w:p w14:paraId="4317AA3B">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7A2B6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continue"/>
            <w:vAlign w:val="center"/>
          </w:tcPr>
          <w:p w14:paraId="5E4D1E61">
            <w:pPr>
              <w:rPr>
                <w:highlight w:val="none"/>
              </w:rPr>
            </w:pPr>
          </w:p>
        </w:tc>
        <w:tc>
          <w:tcPr>
            <w:tcW w:w="1083" w:type="dxa"/>
            <w:vAlign w:val="center"/>
          </w:tcPr>
          <w:p w14:paraId="253B2477">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4497B6E1">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081" w:type="dxa"/>
            <w:vAlign w:val="center"/>
          </w:tcPr>
          <w:p w14:paraId="1047A256">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0E13611B">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7" w:type="dxa"/>
            <w:vMerge w:val="continue"/>
            <w:vAlign w:val="center"/>
          </w:tcPr>
          <w:p w14:paraId="01A71830">
            <w:pPr>
              <w:rPr>
                <w:highlight w:val="none"/>
              </w:rPr>
            </w:pPr>
          </w:p>
        </w:tc>
      </w:tr>
      <w:tr w14:paraId="72939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30CB7EA3">
            <w:pPr>
              <w:spacing w:line="440" w:lineRule="exact"/>
              <w:jc w:val="center"/>
              <w:rPr>
                <w:rFonts w:ascii="宋体" w:cs="宋体"/>
                <w:sz w:val="24"/>
                <w:szCs w:val="24"/>
                <w:highlight w:val="none"/>
              </w:rPr>
            </w:pPr>
          </w:p>
        </w:tc>
        <w:tc>
          <w:tcPr>
            <w:tcW w:w="1083" w:type="dxa"/>
            <w:vAlign w:val="center"/>
          </w:tcPr>
          <w:p w14:paraId="39F3A009">
            <w:pPr>
              <w:spacing w:line="440" w:lineRule="exact"/>
              <w:jc w:val="center"/>
              <w:rPr>
                <w:rFonts w:ascii="宋体" w:cs="宋体"/>
                <w:sz w:val="24"/>
                <w:szCs w:val="24"/>
                <w:highlight w:val="none"/>
              </w:rPr>
            </w:pPr>
          </w:p>
        </w:tc>
        <w:tc>
          <w:tcPr>
            <w:tcW w:w="2518" w:type="dxa"/>
            <w:vAlign w:val="center"/>
          </w:tcPr>
          <w:p w14:paraId="648E2CCE">
            <w:pPr>
              <w:spacing w:line="440" w:lineRule="exact"/>
              <w:jc w:val="center"/>
              <w:rPr>
                <w:rFonts w:ascii="宋体" w:cs="宋体"/>
                <w:sz w:val="24"/>
                <w:szCs w:val="24"/>
                <w:highlight w:val="none"/>
              </w:rPr>
            </w:pPr>
          </w:p>
        </w:tc>
        <w:tc>
          <w:tcPr>
            <w:tcW w:w="1081" w:type="dxa"/>
            <w:vAlign w:val="center"/>
          </w:tcPr>
          <w:p w14:paraId="35B20721">
            <w:pPr>
              <w:spacing w:line="440" w:lineRule="exact"/>
              <w:jc w:val="center"/>
              <w:rPr>
                <w:rFonts w:ascii="宋体" w:cs="宋体"/>
                <w:sz w:val="24"/>
                <w:szCs w:val="24"/>
                <w:highlight w:val="none"/>
              </w:rPr>
            </w:pPr>
          </w:p>
        </w:tc>
        <w:tc>
          <w:tcPr>
            <w:tcW w:w="2518" w:type="dxa"/>
            <w:vAlign w:val="center"/>
          </w:tcPr>
          <w:p w14:paraId="5C1182EE">
            <w:pPr>
              <w:spacing w:line="440" w:lineRule="exact"/>
              <w:jc w:val="center"/>
              <w:rPr>
                <w:rFonts w:ascii="宋体" w:cs="宋体"/>
                <w:sz w:val="24"/>
                <w:szCs w:val="24"/>
                <w:highlight w:val="none"/>
              </w:rPr>
            </w:pPr>
          </w:p>
        </w:tc>
        <w:tc>
          <w:tcPr>
            <w:tcW w:w="1257" w:type="dxa"/>
            <w:vAlign w:val="center"/>
          </w:tcPr>
          <w:p w14:paraId="3FA09994">
            <w:pPr>
              <w:spacing w:line="440" w:lineRule="exact"/>
              <w:jc w:val="center"/>
              <w:rPr>
                <w:rFonts w:ascii="宋体" w:cs="宋体"/>
                <w:sz w:val="24"/>
                <w:szCs w:val="24"/>
                <w:highlight w:val="none"/>
              </w:rPr>
            </w:pPr>
          </w:p>
        </w:tc>
      </w:tr>
      <w:tr w14:paraId="16ADE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842D4CD">
            <w:pPr>
              <w:spacing w:line="440" w:lineRule="exact"/>
              <w:jc w:val="center"/>
              <w:rPr>
                <w:rFonts w:ascii="宋体" w:cs="宋体"/>
                <w:sz w:val="24"/>
                <w:szCs w:val="24"/>
                <w:highlight w:val="none"/>
              </w:rPr>
            </w:pPr>
          </w:p>
        </w:tc>
        <w:tc>
          <w:tcPr>
            <w:tcW w:w="1083" w:type="dxa"/>
            <w:vAlign w:val="center"/>
          </w:tcPr>
          <w:p w14:paraId="56B7FA1A">
            <w:pPr>
              <w:spacing w:line="440" w:lineRule="exact"/>
              <w:jc w:val="center"/>
              <w:rPr>
                <w:rFonts w:ascii="宋体" w:cs="宋体"/>
                <w:sz w:val="24"/>
                <w:szCs w:val="24"/>
                <w:highlight w:val="none"/>
              </w:rPr>
            </w:pPr>
          </w:p>
        </w:tc>
        <w:tc>
          <w:tcPr>
            <w:tcW w:w="2518" w:type="dxa"/>
            <w:vAlign w:val="center"/>
          </w:tcPr>
          <w:p w14:paraId="5B60038B">
            <w:pPr>
              <w:spacing w:line="440" w:lineRule="exact"/>
              <w:jc w:val="center"/>
              <w:rPr>
                <w:rFonts w:ascii="宋体" w:cs="宋体"/>
                <w:sz w:val="24"/>
                <w:szCs w:val="24"/>
                <w:highlight w:val="none"/>
              </w:rPr>
            </w:pPr>
          </w:p>
        </w:tc>
        <w:tc>
          <w:tcPr>
            <w:tcW w:w="1081" w:type="dxa"/>
            <w:vAlign w:val="center"/>
          </w:tcPr>
          <w:p w14:paraId="78A1711F">
            <w:pPr>
              <w:spacing w:line="440" w:lineRule="exact"/>
              <w:jc w:val="center"/>
              <w:rPr>
                <w:rFonts w:ascii="宋体" w:cs="宋体"/>
                <w:sz w:val="24"/>
                <w:szCs w:val="24"/>
                <w:highlight w:val="none"/>
              </w:rPr>
            </w:pPr>
          </w:p>
        </w:tc>
        <w:tc>
          <w:tcPr>
            <w:tcW w:w="2518" w:type="dxa"/>
            <w:vAlign w:val="center"/>
          </w:tcPr>
          <w:p w14:paraId="2E6A194F">
            <w:pPr>
              <w:spacing w:line="440" w:lineRule="exact"/>
              <w:jc w:val="center"/>
              <w:rPr>
                <w:rFonts w:ascii="宋体" w:cs="宋体"/>
                <w:sz w:val="24"/>
                <w:szCs w:val="24"/>
                <w:highlight w:val="none"/>
              </w:rPr>
            </w:pPr>
          </w:p>
        </w:tc>
        <w:tc>
          <w:tcPr>
            <w:tcW w:w="1257" w:type="dxa"/>
            <w:vAlign w:val="center"/>
          </w:tcPr>
          <w:p w14:paraId="0F126660">
            <w:pPr>
              <w:spacing w:line="440" w:lineRule="exact"/>
              <w:jc w:val="center"/>
              <w:rPr>
                <w:rFonts w:ascii="宋体" w:cs="宋体"/>
                <w:sz w:val="24"/>
                <w:szCs w:val="24"/>
                <w:highlight w:val="none"/>
              </w:rPr>
            </w:pPr>
          </w:p>
        </w:tc>
      </w:tr>
      <w:tr w14:paraId="64DD4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40302AE">
            <w:pPr>
              <w:spacing w:line="440" w:lineRule="exact"/>
              <w:jc w:val="center"/>
              <w:rPr>
                <w:rFonts w:ascii="宋体" w:cs="宋体"/>
                <w:sz w:val="24"/>
                <w:szCs w:val="24"/>
                <w:highlight w:val="none"/>
              </w:rPr>
            </w:pPr>
          </w:p>
        </w:tc>
        <w:tc>
          <w:tcPr>
            <w:tcW w:w="1083" w:type="dxa"/>
            <w:vAlign w:val="center"/>
          </w:tcPr>
          <w:p w14:paraId="34C05C7A">
            <w:pPr>
              <w:spacing w:line="440" w:lineRule="exact"/>
              <w:jc w:val="center"/>
              <w:rPr>
                <w:rFonts w:ascii="宋体" w:cs="宋体"/>
                <w:sz w:val="24"/>
                <w:szCs w:val="24"/>
                <w:highlight w:val="none"/>
              </w:rPr>
            </w:pPr>
          </w:p>
        </w:tc>
        <w:tc>
          <w:tcPr>
            <w:tcW w:w="2518" w:type="dxa"/>
            <w:vAlign w:val="center"/>
          </w:tcPr>
          <w:p w14:paraId="0CDEDE76">
            <w:pPr>
              <w:spacing w:line="440" w:lineRule="exact"/>
              <w:jc w:val="center"/>
              <w:rPr>
                <w:rFonts w:ascii="宋体" w:cs="宋体"/>
                <w:sz w:val="24"/>
                <w:szCs w:val="24"/>
                <w:highlight w:val="none"/>
              </w:rPr>
            </w:pPr>
          </w:p>
        </w:tc>
        <w:tc>
          <w:tcPr>
            <w:tcW w:w="1081" w:type="dxa"/>
            <w:vAlign w:val="center"/>
          </w:tcPr>
          <w:p w14:paraId="354D695D">
            <w:pPr>
              <w:spacing w:line="440" w:lineRule="exact"/>
              <w:jc w:val="center"/>
              <w:rPr>
                <w:rFonts w:ascii="宋体" w:cs="宋体"/>
                <w:sz w:val="24"/>
                <w:szCs w:val="24"/>
                <w:highlight w:val="none"/>
              </w:rPr>
            </w:pPr>
          </w:p>
        </w:tc>
        <w:tc>
          <w:tcPr>
            <w:tcW w:w="2518" w:type="dxa"/>
            <w:vAlign w:val="center"/>
          </w:tcPr>
          <w:p w14:paraId="44692333">
            <w:pPr>
              <w:spacing w:line="440" w:lineRule="exact"/>
              <w:jc w:val="center"/>
              <w:rPr>
                <w:rFonts w:ascii="宋体" w:cs="宋体"/>
                <w:sz w:val="24"/>
                <w:szCs w:val="24"/>
                <w:highlight w:val="none"/>
              </w:rPr>
            </w:pPr>
          </w:p>
        </w:tc>
        <w:tc>
          <w:tcPr>
            <w:tcW w:w="1257" w:type="dxa"/>
            <w:vAlign w:val="center"/>
          </w:tcPr>
          <w:p w14:paraId="42F77F84">
            <w:pPr>
              <w:spacing w:line="440" w:lineRule="exact"/>
              <w:jc w:val="center"/>
              <w:rPr>
                <w:rFonts w:ascii="宋体" w:cs="宋体"/>
                <w:sz w:val="24"/>
                <w:szCs w:val="24"/>
                <w:highlight w:val="none"/>
              </w:rPr>
            </w:pPr>
          </w:p>
        </w:tc>
      </w:tr>
      <w:tr w14:paraId="6C85A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971B726">
            <w:pPr>
              <w:spacing w:line="440" w:lineRule="exact"/>
              <w:jc w:val="center"/>
              <w:rPr>
                <w:rFonts w:ascii="宋体" w:cs="宋体"/>
                <w:sz w:val="24"/>
                <w:szCs w:val="24"/>
                <w:highlight w:val="none"/>
              </w:rPr>
            </w:pPr>
          </w:p>
        </w:tc>
        <w:tc>
          <w:tcPr>
            <w:tcW w:w="1083" w:type="dxa"/>
            <w:vAlign w:val="center"/>
          </w:tcPr>
          <w:p w14:paraId="4188AB52">
            <w:pPr>
              <w:spacing w:line="440" w:lineRule="exact"/>
              <w:jc w:val="center"/>
              <w:rPr>
                <w:rFonts w:ascii="宋体" w:cs="宋体"/>
                <w:sz w:val="24"/>
                <w:szCs w:val="24"/>
                <w:highlight w:val="none"/>
              </w:rPr>
            </w:pPr>
          </w:p>
        </w:tc>
        <w:tc>
          <w:tcPr>
            <w:tcW w:w="2518" w:type="dxa"/>
            <w:vAlign w:val="center"/>
          </w:tcPr>
          <w:p w14:paraId="6FF00BA9">
            <w:pPr>
              <w:spacing w:line="440" w:lineRule="exact"/>
              <w:jc w:val="center"/>
              <w:rPr>
                <w:rFonts w:ascii="宋体" w:cs="宋体"/>
                <w:sz w:val="24"/>
                <w:szCs w:val="24"/>
                <w:highlight w:val="none"/>
              </w:rPr>
            </w:pPr>
          </w:p>
        </w:tc>
        <w:tc>
          <w:tcPr>
            <w:tcW w:w="1081" w:type="dxa"/>
            <w:vAlign w:val="center"/>
          </w:tcPr>
          <w:p w14:paraId="7D964901">
            <w:pPr>
              <w:spacing w:line="440" w:lineRule="exact"/>
              <w:jc w:val="center"/>
              <w:rPr>
                <w:rFonts w:ascii="宋体" w:cs="宋体"/>
                <w:sz w:val="24"/>
                <w:szCs w:val="24"/>
                <w:highlight w:val="none"/>
              </w:rPr>
            </w:pPr>
          </w:p>
        </w:tc>
        <w:tc>
          <w:tcPr>
            <w:tcW w:w="2518" w:type="dxa"/>
            <w:vAlign w:val="center"/>
          </w:tcPr>
          <w:p w14:paraId="57BE0F68">
            <w:pPr>
              <w:spacing w:line="440" w:lineRule="exact"/>
              <w:jc w:val="center"/>
              <w:rPr>
                <w:rFonts w:ascii="宋体" w:cs="宋体"/>
                <w:sz w:val="24"/>
                <w:szCs w:val="24"/>
                <w:highlight w:val="none"/>
              </w:rPr>
            </w:pPr>
          </w:p>
        </w:tc>
        <w:tc>
          <w:tcPr>
            <w:tcW w:w="1257" w:type="dxa"/>
            <w:vAlign w:val="center"/>
          </w:tcPr>
          <w:p w14:paraId="239E7DBF">
            <w:pPr>
              <w:spacing w:line="440" w:lineRule="exact"/>
              <w:jc w:val="center"/>
              <w:rPr>
                <w:rFonts w:ascii="宋体" w:cs="宋体"/>
                <w:sz w:val="24"/>
                <w:szCs w:val="24"/>
                <w:highlight w:val="none"/>
              </w:rPr>
            </w:pPr>
          </w:p>
        </w:tc>
      </w:tr>
      <w:tr w14:paraId="71F48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83398D8">
            <w:pPr>
              <w:spacing w:line="440" w:lineRule="exact"/>
              <w:jc w:val="center"/>
              <w:rPr>
                <w:rFonts w:ascii="宋体" w:cs="宋体"/>
                <w:sz w:val="24"/>
                <w:szCs w:val="24"/>
                <w:highlight w:val="none"/>
              </w:rPr>
            </w:pPr>
          </w:p>
        </w:tc>
        <w:tc>
          <w:tcPr>
            <w:tcW w:w="1083" w:type="dxa"/>
            <w:vAlign w:val="center"/>
          </w:tcPr>
          <w:p w14:paraId="2C3E08DD">
            <w:pPr>
              <w:spacing w:line="440" w:lineRule="exact"/>
              <w:jc w:val="center"/>
              <w:rPr>
                <w:rFonts w:ascii="宋体" w:cs="宋体"/>
                <w:sz w:val="24"/>
                <w:szCs w:val="24"/>
                <w:highlight w:val="none"/>
              </w:rPr>
            </w:pPr>
          </w:p>
        </w:tc>
        <w:tc>
          <w:tcPr>
            <w:tcW w:w="2518" w:type="dxa"/>
            <w:vAlign w:val="center"/>
          </w:tcPr>
          <w:p w14:paraId="1DF147EB">
            <w:pPr>
              <w:spacing w:line="440" w:lineRule="exact"/>
              <w:jc w:val="center"/>
              <w:rPr>
                <w:rFonts w:ascii="宋体" w:cs="宋体"/>
                <w:sz w:val="24"/>
                <w:szCs w:val="24"/>
                <w:highlight w:val="none"/>
              </w:rPr>
            </w:pPr>
          </w:p>
        </w:tc>
        <w:tc>
          <w:tcPr>
            <w:tcW w:w="1081" w:type="dxa"/>
            <w:vAlign w:val="center"/>
          </w:tcPr>
          <w:p w14:paraId="1099DEC4">
            <w:pPr>
              <w:spacing w:line="440" w:lineRule="exact"/>
              <w:jc w:val="center"/>
              <w:rPr>
                <w:rFonts w:ascii="宋体" w:cs="宋体"/>
                <w:sz w:val="24"/>
                <w:szCs w:val="24"/>
                <w:highlight w:val="none"/>
              </w:rPr>
            </w:pPr>
          </w:p>
        </w:tc>
        <w:tc>
          <w:tcPr>
            <w:tcW w:w="2518" w:type="dxa"/>
            <w:vAlign w:val="center"/>
          </w:tcPr>
          <w:p w14:paraId="7653BE48">
            <w:pPr>
              <w:spacing w:line="440" w:lineRule="exact"/>
              <w:jc w:val="center"/>
              <w:rPr>
                <w:rFonts w:ascii="宋体" w:cs="宋体"/>
                <w:sz w:val="24"/>
                <w:szCs w:val="24"/>
                <w:highlight w:val="none"/>
              </w:rPr>
            </w:pPr>
          </w:p>
        </w:tc>
        <w:tc>
          <w:tcPr>
            <w:tcW w:w="1257" w:type="dxa"/>
            <w:vAlign w:val="center"/>
          </w:tcPr>
          <w:p w14:paraId="189EF144">
            <w:pPr>
              <w:spacing w:line="440" w:lineRule="exact"/>
              <w:jc w:val="center"/>
              <w:rPr>
                <w:rFonts w:ascii="宋体" w:cs="宋体"/>
                <w:sz w:val="24"/>
                <w:szCs w:val="24"/>
                <w:highlight w:val="none"/>
              </w:rPr>
            </w:pPr>
          </w:p>
        </w:tc>
      </w:tr>
    </w:tbl>
    <w:p w14:paraId="12C9080D">
      <w:pPr>
        <w:spacing w:line="440" w:lineRule="exact"/>
        <w:rPr>
          <w:rFonts w:ascii="宋体" w:cs="宋体"/>
          <w:sz w:val="24"/>
          <w:highlight w:val="none"/>
        </w:rPr>
      </w:pPr>
    </w:p>
    <w:p w14:paraId="588B7050">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654CF5D0">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65949261">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659AD457">
      <w:pPr>
        <w:pStyle w:val="2"/>
        <w:rPr>
          <w:rFonts w:hint="eastAsia" w:asciiTheme="minorEastAsia" w:hAnsiTheme="minorEastAsia" w:eastAsiaTheme="minorEastAsia" w:cstheme="minorEastAsia"/>
          <w:sz w:val="24"/>
          <w:highlight w:val="none"/>
        </w:rPr>
      </w:pPr>
    </w:p>
    <w:p w14:paraId="7F9FAADE">
      <w:pPr>
        <w:pStyle w:val="5"/>
        <w:spacing w:line="480" w:lineRule="exact"/>
        <w:rPr>
          <w:rFonts w:hint="eastAsia" w:ascii="宋体" w:eastAsia="宋体" w:cs="宋体"/>
          <w:highlight w:val="none"/>
          <w:u w:val="none"/>
        </w:rPr>
      </w:pPr>
      <w:bookmarkStart w:id="363" w:name="_Toc26204"/>
      <w:bookmarkStart w:id="364" w:name="_Toc8671"/>
      <w:r>
        <w:rPr>
          <w:rFonts w:hint="eastAsia" w:ascii="宋体" w:eastAsia="宋体" w:cs="宋体"/>
          <w:highlight w:val="none"/>
          <w:u w:val="none"/>
          <w:lang w:val="en-US" w:eastAsia="zh-CN"/>
        </w:rPr>
        <w:t>1</w:t>
      </w:r>
      <w:r>
        <w:rPr>
          <w:rFonts w:hint="eastAsia" w:cs="宋体"/>
          <w:highlight w:val="none"/>
          <w:u w:val="none"/>
          <w:lang w:val="en-US" w:eastAsia="zh-CN"/>
        </w:rPr>
        <w:t>6</w:t>
      </w:r>
      <w:r>
        <w:rPr>
          <w:rFonts w:hint="eastAsia" w:ascii="宋体" w:eastAsia="宋体" w:cs="宋体"/>
          <w:highlight w:val="none"/>
          <w:u w:val="none"/>
          <w:lang w:val="en-US" w:eastAsia="zh-CN"/>
        </w:rPr>
        <w:t>.</w:t>
      </w:r>
      <w:r>
        <w:rPr>
          <w:rFonts w:hint="eastAsia" w:ascii="宋体" w:eastAsia="宋体" w:cs="宋体"/>
          <w:highlight w:val="none"/>
          <w:u w:val="none"/>
        </w:rPr>
        <w:t>本项目拟投入人员配备、设备明细表</w:t>
      </w:r>
      <w:bookmarkEnd w:id="363"/>
    </w:p>
    <w:p w14:paraId="0F6F6332">
      <w:pPr>
        <w:pStyle w:val="4"/>
        <w:rPr>
          <w:rFonts w:hint="eastAsia" w:ascii="宋体" w:hAnsi="Calibri" w:eastAsia="宋体" w:cs="宋体"/>
          <w:b/>
          <w:kern w:val="0"/>
          <w:sz w:val="24"/>
          <w:szCs w:val="20"/>
          <w:highlight w:val="none"/>
          <w:u w:val="none"/>
          <w:lang w:val="en-US" w:eastAsia="zh-CN" w:bidi="ar-SA"/>
        </w:rPr>
      </w:pPr>
      <w:bookmarkStart w:id="365" w:name="_Toc17250"/>
      <w:r>
        <w:rPr>
          <w:rFonts w:hint="eastAsia" w:ascii="宋体" w:hAnsi="Calibri" w:eastAsia="宋体" w:cs="宋体"/>
          <w:b/>
          <w:kern w:val="0"/>
          <w:sz w:val="24"/>
          <w:szCs w:val="20"/>
          <w:highlight w:val="none"/>
          <w:u w:val="none"/>
          <w:lang w:val="en-US" w:eastAsia="zh-CN" w:bidi="ar-SA"/>
        </w:rPr>
        <w:t>人员配备表</w:t>
      </w:r>
      <w:bookmarkEnd w:id="364"/>
      <w:bookmarkEnd w:id="365"/>
    </w:p>
    <w:tbl>
      <w:tblPr>
        <w:tblStyle w:val="32"/>
        <w:tblW w:w="9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775"/>
        <w:gridCol w:w="851"/>
        <w:gridCol w:w="851"/>
        <w:gridCol w:w="1171"/>
        <w:gridCol w:w="1380"/>
        <w:gridCol w:w="1356"/>
        <w:gridCol w:w="1926"/>
      </w:tblGrid>
      <w:tr w14:paraId="6459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jc w:val="center"/>
        </w:trPr>
        <w:tc>
          <w:tcPr>
            <w:tcW w:w="786" w:type="dxa"/>
            <w:vAlign w:val="center"/>
          </w:tcPr>
          <w:p w14:paraId="4A34D1B0">
            <w:pPr>
              <w:spacing w:line="500" w:lineRule="exact"/>
              <w:jc w:val="center"/>
              <w:rPr>
                <w:rFonts w:ascii="宋体" w:hAnsi="宋体" w:cs="仿宋"/>
                <w:sz w:val="24"/>
                <w:highlight w:val="none"/>
              </w:rPr>
            </w:pPr>
            <w:r>
              <w:rPr>
                <w:rFonts w:hint="eastAsia" w:ascii="宋体" w:hAnsi="宋体" w:cs="仿宋"/>
                <w:sz w:val="24"/>
                <w:highlight w:val="none"/>
              </w:rPr>
              <w:t>序号</w:t>
            </w:r>
          </w:p>
        </w:tc>
        <w:tc>
          <w:tcPr>
            <w:tcW w:w="775" w:type="dxa"/>
            <w:vAlign w:val="center"/>
          </w:tcPr>
          <w:p w14:paraId="34994848">
            <w:pPr>
              <w:spacing w:line="500" w:lineRule="exact"/>
              <w:rPr>
                <w:rFonts w:ascii="宋体" w:hAnsi="宋体" w:cs="仿宋"/>
                <w:sz w:val="24"/>
                <w:highlight w:val="none"/>
              </w:rPr>
            </w:pPr>
            <w:r>
              <w:rPr>
                <w:rFonts w:hint="eastAsia" w:ascii="宋体" w:hAnsi="宋体" w:cs="仿宋"/>
                <w:sz w:val="24"/>
                <w:highlight w:val="none"/>
              </w:rPr>
              <w:t xml:space="preserve"> 姓名</w:t>
            </w:r>
          </w:p>
        </w:tc>
        <w:tc>
          <w:tcPr>
            <w:tcW w:w="851" w:type="dxa"/>
            <w:vAlign w:val="center"/>
          </w:tcPr>
          <w:p w14:paraId="2DC4ECA2">
            <w:pPr>
              <w:spacing w:line="500" w:lineRule="exact"/>
              <w:jc w:val="center"/>
              <w:rPr>
                <w:rFonts w:ascii="宋体" w:hAnsi="宋体" w:cs="仿宋"/>
                <w:sz w:val="24"/>
                <w:highlight w:val="none"/>
              </w:rPr>
            </w:pPr>
            <w:r>
              <w:rPr>
                <w:rFonts w:hint="eastAsia" w:ascii="宋体" w:hAnsi="宋体" w:cs="仿宋"/>
                <w:sz w:val="24"/>
                <w:highlight w:val="none"/>
              </w:rPr>
              <w:t>专业</w:t>
            </w:r>
          </w:p>
        </w:tc>
        <w:tc>
          <w:tcPr>
            <w:tcW w:w="851" w:type="dxa"/>
            <w:vAlign w:val="center"/>
          </w:tcPr>
          <w:p w14:paraId="0915BE3A">
            <w:pPr>
              <w:spacing w:line="500" w:lineRule="exact"/>
              <w:jc w:val="center"/>
              <w:rPr>
                <w:rFonts w:ascii="宋体" w:hAnsi="宋体" w:cs="仿宋"/>
                <w:sz w:val="24"/>
                <w:highlight w:val="none"/>
              </w:rPr>
            </w:pPr>
            <w:r>
              <w:rPr>
                <w:rFonts w:hint="eastAsia" w:ascii="宋体" w:hAnsi="宋体" w:cs="仿宋"/>
                <w:sz w:val="24"/>
                <w:highlight w:val="none"/>
              </w:rPr>
              <w:t>学历</w:t>
            </w:r>
          </w:p>
        </w:tc>
        <w:tc>
          <w:tcPr>
            <w:tcW w:w="1171" w:type="dxa"/>
            <w:vAlign w:val="center"/>
          </w:tcPr>
          <w:p w14:paraId="42079379">
            <w:pPr>
              <w:spacing w:line="500" w:lineRule="exact"/>
              <w:jc w:val="center"/>
              <w:rPr>
                <w:rFonts w:ascii="宋体" w:hAnsi="宋体" w:cs="仿宋"/>
                <w:sz w:val="24"/>
                <w:highlight w:val="none"/>
              </w:rPr>
            </w:pPr>
            <w:r>
              <w:rPr>
                <w:rFonts w:hint="eastAsia" w:ascii="宋体" w:hAnsi="宋体" w:cs="仿宋"/>
                <w:sz w:val="24"/>
                <w:highlight w:val="none"/>
              </w:rPr>
              <w:t>执业资格/职称</w:t>
            </w:r>
          </w:p>
        </w:tc>
        <w:tc>
          <w:tcPr>
            <w:tcW w:w="1380" w:type="dxa"/>
            <w:vAlign w:val="center"/>
          </w:tcPr>
          <w:p w14:paraId="23E13053">
            <w:pPr>
              <w:spacing w:line="500" w:lineRule="exact"/>
              <w:jc w:val="center"/>
              <w:rPr>
                <w:rFonts w:ascii="宋体" w:hAnsi="宋体" w:cs="仿宋"/>
                <w:sz w:val="24"/>
                <w:highlight w:val="none"/>
              </w:rPr>
            </w:pPr>
            <w:r>
              <w:rPr>
                <w:rFonts w:hint="eastAsia" w:ascii="宋体" w:hAnsi="宋体" w:cs="仿宋"/>
                <w:sz w:val="24"/>
                <w:highlight w:val="none"/>
              </w:rPr>
              <w:t>职业或执业证书名称</w:t>
            </w:r>
          </w:p>
        </w:tc>
        <w:tc>
          <w:tcPr>
            <w:tcW w:w="1356" w:type="dxa"/>
            <w:vAlign w:val="center"/>
          </w:tcPr>
          <w:p w14:paraId="06CA0462">
            <w:pPr>
              <w:spacing w:line="500" w:lineRule="exact"/>
              <w:jc w:val="center"/>
              <w:rPr>
                <w:rFonts w:ascii="宋体" w:hAnsi="宋体" w:cs="仿宋"/>
                <w:sz w:val="24"/>
                <w:highlight w:val="none"/>
              </w:rPr>
            </w:pPr>
            <w:r>
              <w:rPr>
                <w:rFonts w:hint="eastAsia" w:ascii="宋体" w:hAnsi="宋体" w:cs="仿宋"/>
                <w:sz w:val="24"/>
                <w:highlight w:val="none"/>
              </w:rPr>
              <w:t>证书编号</w:t>
            </w:r>
          </w:p>
        </w:tc>
        <w:tc>
          <w:tcPr>
            <w:tcW w:w="1926" w:type="dxa"/>
            <w:vAlign w:val="center"/>
          </w:tcPr>
          <w:p w14:paraId="63642A86">
            <w:pPr>
              <w:spacing w:line="500" w:lineRule="exact"/>
              <w:jc w:val="center"/>
              <w:rPr>
                <w:rFonts w:ascii="宋体" w:hAnsi="宋体" w:cs="仿宋"/>
                <w:sz w:val="24"/>
                <w:highlight w:val="none"/>
              </w:rPr>
            </w:pPr>
            <w:r>
              <w:rPr>
                <w:rFonts w:hint="eastAsia" w:ascii="宋体" w:hAnsi="宋体" w:cs="仿宋"/>
                <w:sz w:val="24"/>
                <w:highlight w:val="none"/>
              </w:rPr>
              <w:t>从事相关工作年限、经验和在本项目拟任职务</w:t>
            </w:r>
          </w:p>
        </w:tc>
      </w:tr>
      <w:tr w14:paraId="7CEA1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76C17DF1">
            <w:pPr>
              <w:spacing w:line="500" w:lineRule="exact"/>
              <w:jc w:val="center"/>
              <w:rPr>
                <w:rFonts w:ascii="宋体" w:hAnsi="宋体" w:cs="仿宋"/>
                <w:sz w:val="24"/>
                <w:highlight w:val="none"/>
              </w:rPr>
            </w:pPr>
          </w:p>
        </w:tc>
        <w:tc>
          <w:tcPr>
            <w:tcW w:w="775" w:type="dxa"/>
            <w:vAlign w:val="center"/>
          </w:tcPr>
          <w:p w14:paraId="524BE452">
            <w:pPr>
              <w:spacing w:line="500" w:lineRule="exact"/>
              <w:jc w:val="center"/>
              <w:rPr>
                <w:rFonts w:ascii="宋体" w:hAnsi="宋体" w:cs="仿宋"/>
                <w:sz w:val="24"/>
                <w:highlight w:val="none"/>
              </w:rPr>
            </w:pPr>
          </w:p>
        </w:tc>
        <w:tc>
          <w:tcPr>
            <w:tcW w:w="851" w:type="dxa"/>
            <w:vAlign w:val="center"/>
          </w:tcPr>
          <w:p w14:paraId="7DB885B9">
            <w:pPr>
              <w:spacing w:line="500" w:lineRule="exact"/>
              <w:jc w:val="center"/>
              <w:rPr>
                <w:rFonts w:ascii="宋体" w:hAnsi="宋体" w:cs="仿宋"/>
                <w:sz w:val="24"/>
                <w:highlight w:val="none"/>
              </w:rPr>
            </w:pPr>
          </w:p>
        </w:tc>
        <w:tc>
          <w:tcPr>
            <w:tcW w:w="851" w:type="dxa"/>
            <w:vAlign w:val="center"/>
          </w:tcPr>
          <w:p w14:paraId="4C3FD416">
            <w:pPr>
              <w:spacing w:line="500" w:lineRule="exact"/>
              <w:jc w:val="center"/>
              <w:rPr>
                <w:rFonts w:ascii="宋体" w:hAnsi="宋体" w:cs="仿宋"/>
                <w:sz w:val="24"/>
                <w:highlight w:val="none"/>
              </w:rPr>
            </w:pPr>
          </w:p>
        </w:tc>
        <w:tc>
          <w:tcPr>
            <w:tcW w:w="1171" w:type="dxa"/>
            <w:vAlign w:val="center"/>
          </w:tcPr>
          <w:p w14:paraId="33155088">
            <w:pPr>
              <w:spacing w:line="500" w:lineRule="exact"/>
              <w:jc w:val="center"/>
              <w:rPr>
                <w:rFonts w:ascii="宋体" w:hAnsi="宋体" w:cs="仿宋"/>
                <w:sz w:val="24"/>
                <w:highlight w:val="none"/>
              </w:rPr>
            </w:pPr>
          </w:p>
        </w:tc>
        <w:tc>
          <w:tcPr>
            <w:tcW w:w="1380" w:type="dxa"/>
            <w:vAlign w:val="center"/>
          </w:tcPr>
          <w:p w14:paraId="4C4EEA7E">
            <w:pPr>
              <w:spacing w:line="500" w:lineRule="exact"/>
              <w:jc w:val="center"/>
              <w:rPr>
                <w:rFonts w:ascii="宋体" w:hAnsi="宋体" w:cs="仿宋"/>
                <w:sz w:val="24"/>
                <w:highlight w:val="none"/>
              </w:rPr>
            </w:pPr>
          </w:p>
        </w:tc>
        <w:tc>
          <w:tcPr>
            <w:tcW w:w="1356" w:type="dxa"/>
            <w:vAlign w:val="center"/>
          </w:tcPr>
          <w:p w14:paraId="1763D4CC">
            <w:pPr>
              <w:spacing w:line="500" w:lineRule="exact"/>
              <w:jc w:val="center"/>
              <w:rPr>
                <w:rFonts w:ascii="宋体" w:hAnsi="宋体" w:cs="仿宋"/>
                <w:sz w:val="24"/>
                <w:highlight w:val="none"/>
              </w:rPr>
            </w:pPr>
          </w:p>
        </w:tc>
        <w:tc>
          <w:tcPr>
            <w:tcW w:w="1926" w:type="dxa"/>
            <w:vAlign w:val="center"/>
          </w:tcPr>
          <w:p w14:paraId="5F17B876">
            <w:pPr>
              <w:spacing w:line="500" w:lineRule="exact"/>
              <w:jc w:val="center"/>
              <w:rPr>
                <w:rFonts w:ascii="宋体" w:hAnsi="宋体" w:cs="仿宋"/>
                <w:sz w:val="24"/>
                <w:highlight w:val="none"/>
              </w:rPr>
            </w:pPr>
          </w:p>
        </w:tc>
      </w:tr>
      <w:tr w14:paraId="63AAC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05056526">
            <w:pPr>
              <w:spacing w:line="500" w:lineRule="exact"/>
              <w:jc w:val="center"/>
              <w:rPr>
                <w:rFonts w:ascii="宋体" w:hAnsi="宋体" w:cs="仿宋"/>
                <w:sz w:val="24"/>
                <w:highlight w:val="none"/>
              </w:rPr>
            </w:pPr>
          </w:p>
        </w:tc>
        <w:tc>
          <w:tcPr>
            <w:tcW w:w="775" w:type="dxa"/>
            <w:vAlign w:val="center"/>
          </w:tcPr>
          <w:p w14:paraId="35EB3D64">
            <w:pPr>
              <w:spacing w:line="500" w:lineRule="exact"/>
              <w:jc w:val="center"/>
              <w:rPr>
                <w:rFonts w:ascii="宋体" w:hAnsi="宋体" w:cs="仿宋"/>
                <w:sz w:val="24"/>
                <w:highlight w:val="none"/>
              </w:rPr>
            </w:pPr>
          </w:p>
        </w:tc>
        <w:tc>
          <w:tcPr>
            <w:tcW w:w="851" w:type="dxa"/>
            <w:vAlign w:val="center"/>
          </w:tcPr>
          <w:p w14:paraId="3216382B">
            <w:pPr>
              <w:spacing w:line="500" w:lineRule="exact"/>
              <w:jc w:val="center"/>
              <w:rPr>
                <w:rFonts w:ascii="宋体" w:hAnsi="宋体" w:cs="仿宋"/>
                <w:sz w:val="24"/>
                <w:highlight w:val="none"/>
              </w:rPr>
            </w:pPr>
          </w:p>
        </w:tc>
        <w:tc>
          <w:tcPr>
            <w:tcW w:w="851" w:type="dxa"/>
            <w:vAlign w:val="center"/>
          </w:tcPr>
          <w:p w14:paraId="58056B57">
            <w:pPr>
              <w:spacing w:line="500" w:lineRule="exact"/>
              <w:jc w:val="center"/>
              <w:rPr>
                <w:rFonts w:ascii="宋体" w:hAnsi="宋体" w:cs="仿宋"/>
                <w:sz w:val="24"/>
                <w:highlight w:val="none"/>
              </w:rPr>
            </w:pPr>
          </w:p>
        </w:tc>
        <w:tc>
          <w:tcPr>
            <w:tcW w:w="1171" w:type="dxa"/>
            <w:vAlign w:val="center"/>
          </w:tcPr>
          <w:p w14:paraId="7811FE23">
            <w:pPr>
              <w:spacing w:line="500" w:lineRule="exact"/>
              <w:jc w:val="center"/>
              <w:rPr>
                <w:rFonts w:ascii="宋体" w:hAnsi="宋体" w:cs="仿宋"/>
                <w:sz w:val="24"/>
                <w:highlight w:val="none"/>
              </w:rPr>
            </w:pPr>
          </w:p>
        </w:tc>
        <w:tc>
          <w:tcPr>
            <w:tcW w:w="1380" w:type="dxa"/>
            <w:vAlign w:val="center"/>
          </w:tcPr>
          <w:p w14:paraId="7ECD24B7">
            <w:pPr>
              <w:spacing w:line="500" w:lineRule="exact"/>
              <w:jc w:val="center"/>
              <w:rPr>
                <w:rFonts w:ascii="宋体" w:hAnsi="宋体" w:cs="仿宋"/>
                <w:sz w:val="24"/>
                <w:highlight w:val="none"/>
              </w:rPr>
            </w:pPr>
          </w:p>
        </w:tc>
        <w:tc>
          <w:tcPr>
            <w:tcW w:w="1356" w:type="dxa"/>
            <w:vAlign w:val="center"/>
          </w:tcPr>
          <w:p w14:paraId="140EAE58">
            <w:pPr>
              <w:spacing w:line="500" w:lineRule="exact"/>
              <w:jc w:val="center"/>
              <w:rPr>
                <w:rFonts w:ascii="宋体" w:hAnsi="宋体" w:cs="仿宋"/>
                <w:sz w:val="24"/>
                <w:highlight w:val="none"/>
              </w:rPr>
            </w:pPr>
          </w:p>
        </w:tc>
        <w:tc>
          <w:tcPr>
            <w:tcW w:w="1926" w:type="dxa"/>
            <w:vAlign w:val="center"/>
          </w:tcPr>
          <w:p w14:paraId="472AA0AD">
            <w:pPr>
              <w:spacing w:line="500" w:lineRule="exact"/>
              <w:jc w:val="center"/>
              <w:rPr>
                <w:rFonts w:ascii="宋体" w:hAnsi="宋体" w:cs="仿宋"/>
                <w:sz w:val="24"/>
                <w:highlight w:val="none"/>
              </w:rPr>
            </w:pPr>
          </w:p>
        </w:tc>
      </w:tr>
      <w:tr w14:paraId="66AD8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7D2856D0">
            <w:pPr>
              <w:spacing w:line="500" w:lineRule="exact"/>
              <w:jc w:val="center"/>
              <w:rPr>
                <w:rFonts w:ascii="宋体" w:hAnsi="宋体" w:cs="仿宋"/>
                <w:sz w:val="24"/>
                <w:highlight w:val="none"/>
              </w:rPr>
            </w:pPr>
          </w:p>
        </w:tc>
        <w:tc>
          <w:tcPr>
            <w:tcW w:w="775" w:type="dxa"/>
            <w:vAlign w:val="center"/>
          </w:tcPr>
          <w:p w14:paraId="1A66F74F">
            <w:pPr>
              <w:spacing w:line="500" w:lineRule="exact"/>
              <w:jc w:val="center"/>
              <w:rPr>
                <w:rFonts w:ascii="宋体" w:hAnsi="宋体" w:cs="仿宋"/>
                <w:sz w:val="24"/>
                <w:highlight w:val="none"/>
              </w:rPr>
            </w:pPr>
          </w:p>
        </w:tc>
        <w:tc>
          <w:tcPr>
            <w:tcW w:w="851" w:type="dxa"/>
            <w:vAlign w:val="center"/>
          </w:tcPr>
          <w:p w14:paraId="6A61C64C">
            <w:pPr>
              <w:spacing w:line="500" w:lineRule="exact"/>
              <w:jc w:val="center"/>
              <w:rPr>
                <w:rFonts w:ascii="宋体" w:hAnsi="宋体" w:cs="仿宋"/>
                <w:sz w:val="24"/>
                <w:highlight w:val="none"/>
              </w:rPr>
            </w:pPr>
          </w:p>
        </w:tc>
        <w:tc>
          <w:tcPr>
            <w:tcW w:w="851" w:type="dxa"/>
            <w:vAlign w:val="center"/>
          </w:tcPr>
          <w:p w14:paraId="164E552E">
            <w:pPr>
              <w:spacing w:line="500" w:lineRule="exact"/>
              <w:jc w:val="center"/>
              <w:rPr>
                <w:rFonts w:ascii="宋体" w:hAnsi="宋体" w:cs="仿宋"/>
                <w:sz w:val="24"/>
                <w:highlight w:val="none"/>
              </w:rPr>
            </w:pPr>
          </w:p>
        </w:tc>
        <w:tc>
          <w:tcPr>
            <w:tcW w:w="1171" w:type="dxa"/>
            <w:vAlign w:val="center"/>
          </w:tcPr>
          <w:p w14:paraId="2A8DDA27">
            <w:pPr>
              <w:spacing w:line="500" w:lineRule="exact"/>
              <w:jc w:val="center"/>
              <w:rPr>
                <w:rFonts w:ascii="宋体" w:hAnsi="宋体" w:cs="仿宋"/>
                <w:sz w:val="24"/>
                <w:highlight w:val="none"/>
              </w:rPr>
            </w:pPr>
          </w:p>
        </w:tc>
        <w:tc>
          <w:tcPr>
            <w:tcW w:w="1380" w:type="dxa"/>
            <w:vAlign w:val="center"/>
          </w:tcPr>
          <w:p w14:paraId="36B8ABD1">
            <w:pPr>
              <w:spacing w:line="500" w:lineRule="exact"/>
              <w:jc w:val="center"/>
              <w:rPr>
                <w:rFonts w:ascii="宋体" w:hAnsi="宋体" w:cs="仿宋"/>
                <w:sz w:val="24"/>
                <w:highlight w:val="none"/>
              </w:rPr>
            </w:pPr>
          </w:p>
        </w:tc>
        <w:tc>
          <w:tcPr>
            <w:tcW w:w="1356" w:type="dxa"/>
            <w:vAlign w:val="center"/>
          </w:tcPr>
          <w:p w14:paraId="777C57A3">
            <w:pPr>
              <w:spacing w:line="500" w:lineRule="exact"/>
              <w:jc w:val="center"/>
              <w:rPr>
                <w:rFonts w:ascii="宋体" w:hAnsi="宋体" w:cs="仿宋"/>
                <w:sz w:val="24"/>
                <w:highlight w:val="none"/>
              </w:rPr>
            </w:pPr>
          </w:p>
        </w:tc>
        <w:tc>
          <w:tcPr>
            <w:tcW w:w="1926" w:type="dxa"/>
            <w:vAlign w:val="center"/>
          </w:tcPr>
          <w:p w14:paraId="7EAA52D6">
            <w:pPr>
              <w:spacing w:line="500" w:lineRule="exact"/>
              <w:jc w:val="center"/>
              <w:rPr>
                <w:rFonts w:ascii="宋体" w:hAnsi="宋体" w:cs="仿宋"/>
                <w:sz w:val="24"/>
                <w:highlight w:val="none"/>
              </w:rPr>
            </w:pPr>
          </w:p>
        </w:tc>
      </w:tr>
      <w:tr w14:paraId="61580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4D50F1AC">
            <w:pPr>
              <w:spacing w:line="500" w:lineRule="exact"/>
              <w:jc w:val="center"/>
              <w:rPr>
                <w:rFonts w:ascii="宋体" w:hAnsi="宋体" w:cs="仿宋"/>
                <w:sz w:val="24"/>
                <w:highlight w:val="none"/>
              </w:rPr>
            </w:pPr>
          </w:p>
        </w:tc>
        <w:tc>
          <w:tcPr>
            <w:tcW w:w="775" w:type="dxa"/>
            <w:vAlign w:val="center"/>
          </w:tcPr>
          <w:p w14:paraId="16BCBFE3">
            <w:pPr>
              <w:spacing w:line="500" w:lineRule="exact"/>
              <w:jc w:val="center"/>
              <w:rPr>
                <w:rFonts w:ascii="宋体" w:hAnsi="宋体" w:cs="仿宋"/>
                <w:sz w:val="24"/>
                <w:highlight w:val="none"/>
              </w:rPr>
            </w:pPr>
          </w:p>
        </w:tc>
        <w:tc>
          <w:tcPr>
            <w:tcW w:w="851" w:type="dxa"/>
            <w:vAlign w:val="center"/>
          </w:tcPr>
          <w:p w14:paraId="1730BF3C">
            <w:pPr>
              <w:spacing w:line="500" w:lineRule="exact"/>
              <w:jc w:val="center"/>
              <w:rPr>
                <w:rFonts w:ascii="宋体" w:hAnsi="宋体" w:cs="仿宋"/>
                <w:sz w:val="24"/>
                <w:highlight w:val="none"/>
              </w:rPr>
            </w:pPr>
          </w:p>
        </w:tc>
        <w:tc>
          <w:tcPr>
            <w:tcW w:w="851" w:type="dxa"/>
            <w:vAlign w:val="center"/>
          </w:tcPr>
          <w:p w14:paraId="4198C3F4">
            <w:pPr>
              <w:spacing w:line="500" w:lineRule="exact"/>
              <w:jc w:val="center"/>
              <w:rPr>
                <w:rFonts w:ascii="宋体" w:hAnsi="宋体" w:cs="仿宋"/>
                <w:sz w:val="24"/>
                <w:highlight w:val="none"/>
              </w:rPr>
            </w:pPr>
          </w:p>
        </w:tc>
        <w:tc>
          <w:tcPr>
            <w:tcW w:w="1171" w:type="dxa"/>
            <w:vAlign w:val="center"/>
          </w:tcPr>
          <w:p w14:paraId="118FC950">
            <w:pPr>
              <w:spacing w:line="500" w:lineRule="exact"/>
              <w:jc w:val="center"/>
              <w:rPr>
                <w:rFonts w:ascii="宋体" w:hAnsi="宋体" w:cs="仿宋"/>
                <w:sz w:val="24"/>
                <w:highlight w:val="none"/>
              </w:rPr>
            </w:pPr>
          </w:p>
        </w:tc>
        <w:tc>
          <w:tcPr>
            <w:tcW w:w="1380" w:type="dxa"/>
            <w:vAlign w:val="center"/>
          </w:tcPr>
          <w:p w14:paraId="210350A5">
            <w:pPr>
              <w:spacing w:line="500" w:lineRule="exact"/>
              <w:jc w:val="center"/>
              <w:rPr>
                <w:rFonts w:ascii="宋体" w:hAnsi="宋体" w:cs="仿宋"/>
                <w:sz w:val="24"/>
                <w:highlight w:val="none"/>
              </w:rPr>
            </w:pPr>
          </w:p>
        </w:tc>
        <w:tc>
          <w:tcPr>
            <w:tcW w:w="1356" w:type="dxa"/>
            <w:vAlign w:val="center"/>
          </w:tcPr>
          <w:p w14:paraId="53CF26B0">
            <w:pPr>
              <w:spacing w:line="500" w:lineRule="exact"/>
              <w:jc w:val="center"/>
              <w:rPr>
                <w:rFonts w:ascii="宋体" w:hAnsi="宋体" w:cs="仿宋"/>
                <w:sz w:val="24"/>
                <w:highlight w:val="none"/>
              </w:rPr>
            </w:pPr>
          </w:p>
        </w:tc>
        <w:tc>
          <w:tcPr>
            <w:tcW w:w="1926" w:type="dxa"/>
            <w:vAlign w:val="center"/>
          </w:tcPr>
          <w:p w14:paraId="5D2F34B6">
            <w:pPr>
              <w:spacing w:line="500" w:lineRule="exact"/>
              <w:jc w:val="center"/>
              <w:rPr>
                <w:rFonts w:ascii="宋体" w:hAnsi="宋体" w:cs="仿宋"/>
                <w:sz w:val="24"/>
                <w:highlight w:val="none"/>
              </w:rPr>
            </w:pPr>
          </w:p>
        </w:tc>
      </w:tr>
      <w:tr w14:paraId="5578D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189085FF">
            <w:pPr>
              <w:spacing w:line="500" w:lineRule="exact"/>
              <w:jc w:val="center"/>
              <w:rPr>
                <w:rFonts w:ascii="宋体" w:hAnsi="宋体" w:cs="仿宋"/>
                <w:sz w:val="24"/>
                <w:highlight w:val="none"/>
              </w:rPr>
            </w:pPr>
          </w:p>
        </w:tc>
        <w:tc>
          <w:tcPr>
            <w:tcW w:w="775" w:type="dxa"/>
            <w:vAlign w:val="center"/>
          </w:tcPr>
          <w:p w14:paraId="4DD21BB2">
            <w:pPr>
              <w:spacing w:line="500" w:lineRule="exact"/>
              <w:jc w:val="center"/>
              <w:rPr>
                <w:rFonts w:ascii="宋体" w:hAnsi="宋体" w:cs="仿宋"/>
                <w:sz w:val="24"/>
                <w:highlight w:val="none"/>
              </w:rPr>
            </w:pPr>
          </w:p>
        </w:tc>
        <w:tc>
          <w:tcPr>
            <w:tcW w:w="851" w:type="dxa"/>
            <w:vAlign w:val="center"/>
          </w:tcPr>
          <w:p w14:paraId="53505ECA">
            <w:pPr>
              <w:spacing w:line="500" w:lineRule="exact"/>
              <w:jc w:val="center"/>
              <w:rPr>
                <w:rFonts w:ascii="宋体" w:hAnsi="宋体" w:cs="仿宋"/>
                <w:sz w:val="24"/>
                <w:highlight w:val="none"/>
              </w:rPr>
            </w:pPr>
          </w:p>
        </w:tc>
        <w:tc>
          <w:tcPr>
            <w:tcW w:w="851" w:type="dxa"/>
            <w:vAlign w:val="center"/>
          </w:tcPr>
          <w:p w14:paraId="7156797F">
            <w:pPr>
              <w:spacing w:line="500" w:lineRule="exact"/>
              <w:jc w:val="center"/>
              <w:rPr>
                <w:rFonts w:ascii="宋体" w:hAnsi="宋体" w:cs="仿宋"/>
                <w:sz w:val="24"/>
                <w:highlight w:val="none"/>
              </w:rPr>
            </w:pPr>
          </w:p>
        </w:tc>
        <w:tc>
          <w:tcPr>
            <w:tcW w:w="1171" w:type="dxa"/>
            <w:vAlign w:val="center"/>
          </w:tcPr>
          <w:p w14:paraId="1F922D07">
            <w:pPr>
              <w:spacing w:line="500" w:lineRule="exact"/>
              <w:jc w:val="center"/>
              <w:rPr>
                <w:rFonts w:ascii="宋体" w:hAnsi="宋体" w:cs="仿宋"/>
                <w:sz w:val="24"/>
                <w:highlight w:val="none"/>
              </w:rPr>
            </w:pPr>
          </w:p>
        </w:tc>
        <w:tc>
          <w:tcPr>
            <w:tcW w:w="1380" w:type="dxa"/>
            <w:vAlign w:val="center"/>
          </w:tcPr>
          <w:p w14:paraId="2FDC8A1F">
            <w:pPr>
              <w:spacing w:line="500" w:lineRule="exact"/>
              <w:jc w:val="center"/>
              <w:rPr>
                <w:rFonts w:ascii="宋体" w:hAnsi="宋体" w:cs="仿宋"/>
                <w:sz w:val="24"/>
                <w:highlight w:val="none"/>
              </w:rPr>
            </w:pPr>
          </w:p>
        </w:tc>
        <w:tc>
          <w:tcPr>
            <w:tcW w:w="1356" w:type="dxa"/>
            <w:vAlign w:val="center"/>
          </w:tcPr>
          <w:p w14:paraId="3165C024">
            <w:pPr>
              <w:spacing w:line="500" w:lineRule="exact"/>
              <w:jc w:val="center"/>
              <w:rPr>
                <w:rFonts w:ascii="宋体" w:hAnsi="宋体" w:cs="仿宋"/>
                <w:sz w:val="24"/>
                <w:highlight w:val="none"/>
              </w:rPr>
            </w:pPr>
          </w:p>
        </w:tc>
        <w:tc>
          <w:tcPr>
            <w:tcW w:w="1926" w:type="dxa"/>
            <w:vAlign w:val="center"/>
          </w:tcPr>
          <w:p w14:paraId="2A1F2DED">
            <w:pPr>
              <w:spacing w:line="500" w:lineRule="exact"/>
              <w:jc w:val="center"/>
              <w:rPr>
                <w:rFonts w:ascii="宋体" w:hAnsi="宋体" w:cs="仿宋"/>
                <w:sz w:val="24"/>
                <w:highlight w:val="none"/>
              </w:rPr>
            </w:pPr>
          </w:p>
        </w:tc>
      </w:tr>
      <w:tr w14:paraId="36642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20977D29">
            <w:pPr>
              <w:spacing w:line="500" w:lineRule="exact"/>
              <w:jc w:val="center"/>
              <w:rPr>
                <w:rFonts w:ascii="宋体" w:hAnsi="宋体" w:cs="仿宋"/>
                <w:sz w:val="24"/>
                <w:highlight w:val="none"/>
              </w:rPr>
            </w:pPr>
          </w:p>
        </w:tc>
        <w:tc>
          <w:tcPr>
            <w:tcW w:w="775" w:type="dxa"/>
            <w:vAlign w:val="center"/>
          </w:tcPr>
          <w:p w14:paraId="49A0CA39">
            <w:pPr>
              <w:spacing w:line="500" w:lineRule="exact"/>
              <w:jc w:val="center"/>
              <w:rPr>
                <w:rFonts w:ascii="宋体" w:hAnsi="宋体" w:cs="仿宋"/>
                <w:sz w:val="24"/>
                <w:highlight w:val="none"/>
              </w:rPr>
            </w:pPr>
          </w:p>
        </w:tc>
        <w:tc>
          <w:tcPr>
            <w:tcW w:w="851" w:type="dxa"/>
            <w:vAlign w:val="center"/>
          </w:tcPr>
          <w:p w14:paraId="5DCB4AE1">
            <w:pPr>
              <w:spacing w:line="500" w:lineRule="exact"/>
              <w:jc w:val="center"/>
              <w:rPr>
                <w:rFonts w:ascii="宋体" w:hAnsi="宋体" w:cs="仿宋"/>
                <w:sz w:val="24"/>
                <w:highlight w:val="none"/>
              </w:rPr>
            </w:pPr>
          </w:p>
        </w:tc>
        <w:tc>
          <w:tcPr>
            <w:tcW w:w="851" w:type="dxa"/>
            <w:vAlign w:val="center"/>
          </w:tcPr>
          <w:p w14:paraId="04713484">
            <w:pPr>
              <w:spacing w:line="500" w:lineRule="exact"/>
              <w:jc w:val="center"/>
              <w:rPr>
                <w:rFonts w:ascii="宋体" w:hAnsi="宋体" w:cs="仿宋"/>
                <w:sz w:val="24"/>
                <w:highlight w:val="none"/>
              </w:rPr>
            </w:pPr>
          </w:p>
        </w:tc>
        <w:tc>
          <w:tcPr>
            <w:tcW w:w="1171" w:type="dxa"/>
            <w:vAlign w:val="center"/>
          </w:tcPr>
          <w:p w14:paraId="4C959AFA">
            <w:pPr>
              <w:spacing w:line="500" w:lineRule="exact"/>
              <w:jc w:val="center"/>
              <w:rPr>
                <w:rFonts w:ascii="宋体" w:hAnsi="宋体" w:cs="仿宋"/>
                <w:sz w:val="24"/>
                <w:highlight w:val="none"/>
              </w:rPr>
            </w:pPr>
          </w:p>
        </w:tc>
        <w:tc>
          <w:tcPr>
            <w:tcW w:w="1380" w:type="dxa"/>
            <w:vAlign w:val="center"/>
          </w:tcPr>
          <w:p w14:paraId="52C97467">
            <w:pPr>
              <w:spacing w:line="500" w:lineRule="exact"/>
              <w:jc w:val="center"/>
              <w:rPr>
                <w:rFonts w:ascii="宋体" w:hAnsi="宋体" w:cs="仿宋"/>
                <w:sz w:val="24"/>
                <w:highlight w:val="none"/>
              </w:rPr>
            </w:pPr>
          </w:p>
        </w:tc>
        <w:tc>
          <w:tcPr>
            <w:tcW w:w="1356" w:type="dxa"/>
            <w:vAlign w:val="center"/>
          </w:tcPr>
          <w:p w14:paraId="506848CD">
            <w:pPr>
              <w:spacing w:line="500" w:lineRule="exact"/>
              <w:jc w:val="center"/>
              <w:rPr>
                <w:rFonts w:ascii="宋体" w:hAnsi="宋体" w:cs="仿宋"/>
                <w:sz w:val="24"/>
                <w:highlight w:val="none"/>
              </w:rPr>
            </w:pPr>
          </w:p>
        </w:tc>
        <w:tc>
          <w:tcPr>
            <w:tcW w:w="1926" w:type="dxa"/>
            <w:vAlign w:val="center"/>
          </w:tcPr>
          <w:p w14:paraId="02151CF6">
            <w:pPr>
              <w:spacing w:line="500" w:lineRule="exact"/>
              <w:jc w:val="center"/>
              <w:rPr>
                <w:rFonts w:ascii="宋体" w:hAnsi="宋体" w:cs="仿宋"/>
                <w:sz w:val="24"/>
                <w:highlight w:val="none"/>
              </w:rPr>
            </w:pPr>
          </w:p>
        </w:tc>
      </w:tr>
      <w:tr w14:paraId="31110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67478330">
            <w:pPr>
              <w:spacing w:line="500" w:lineRule="exact"/>
              <w:jc w:val="center"/>
              <w:rPr>
                <w:rFonts w:ascii="宋体" w:hAnsi="宋体" w:cs="仿宋"/>
                <w:sz w:val="24"/>
                <w:highlight w:val="none"/>
              </w:rPr>
            </w:pPr>
          </w:p>
        </w:tc>
        <w:tc>
          <w:tcPr>
            <w:tcW w:w="775" w:type="dxa"/>
            <w:vAlign w:val="center"/>
          </w:tcPr>
          <w:p w14:paraId="510BBAB8">
            <w:pPr>
              <w:spacing w:line="500" w:lineRule="exact"/>
              <w:jc w:val="center"/>
              <w:rPr>
                <w:rFonts w:ascii="宋体" w:hAnsi="宋体" w:cs="仿宋"/>
                <w:sz w:val="24"/>
                <w:highlight w:val="none"/>
              </w:rPr>
            </w:pPr>
          </w:p>
        </w:tc>
        <w:tc>
          <w:tcPr>
            <w:tcW w:w="851" w:type="dxa"/>
            <w:vAlign w:val="center"/>
          </w:tcPr>
          <w:p w14:paraId="605B3F41">
            <w:pPr>
              <w:spacing w:line="500" w:lineRule="exact"/>
              <w:jc w:val="center"/>
              <w:rPr>
                <w:rFonts w:ascii="宋体" w:hAnsi="宋体" w:cs="仿宋"/>
                <w:sz w:val="24"/>
                <w:highlight w:val="none"/>
              </w:rPr>
            </w:pPr>
          </w:p>
        </w:tc>
        <w:tc>
          <w:tcPr>
            <w:tcW w:w="851" w:type="dxa"/>
            <w:vAlign w:val="center"/>
          </w:tcPr>
          <w:p w14:paraId="2C6EFDC4">
            <w:pPr>
              <w:spacing w:line="500" w:lineRule="exact"/>
              <w:jc w:val="center"/>
              <w:rPr>
                <w:rFonts w:ascii="宋体" w:hAnsi="宋体" w:cs="仿宋"/>
                <w:sz w:val="24"/>
                <w:highlight w:val="none"/>
              </w:rPr>
            </w:pPr>
          </w:p>
        </w:tc>
        <w:tc>
          <w:tcPr>
            <w:tcW w:w="1171" w:type="dxa"/>
            <w:vAlign w:val="center"/>
          </w:tcPr>
          <w:p w14:paraId="0A472DFE">
            <w:pPr>
              <w:spacing w:line="500" w:lineRule="exact"/>
              <w:jc w:val="center"/>
              <w:rPr>
                <w:rFonts w:ascii="宋体" w:hAnsi="宋体" w:cs="仿宋"/>
                <w:sz w:val="24"/>
                <w:highlight w:val="none"/>
              </w:rPr>
            </w:pPr>
          </w:p>
        </w:tc>
        <w:tc>
          <w:tcPr>
            <w:tcW w:w="1380" w:type="dxa"/>
            <w:vAlign w:val="center"/>
          </w:tcPr>
          <w:p w14:paraId="4720683E">
            <w:pPr>
              <w:spacing w:line="500" w:lineRule="exact"/>
              <w:jc w:val="center"/>
              <w:rPr>
                <w:rFonts w:ascii="宋体" w:hAnsi="宋体" w:cs="仿宋"/>
                <w:sz w:val="24"/>
                <w:highlight w:val="none"/>
              </w:rPr>
            </w:pPr>
          </w:p>
        </w:tc>
        <w:tc>
          <w:tcPr>
            <w:tcW w:w="1356" w:type="dxa"/>
            <w:vAlign w:val="center"/>
          </w:tcPr>
          <w:p w14:paraId="156AD3DA">
            <w:pPr>
              <w:spacing w:line="500" w:lineRule="exact"/>
              <w:jc w:val="center"/>
              <w:rPr>
                <w:rFonts w:ascii="宋体" w:hAnsi="宋体" w:cs="仿宋"/>
                <w:sz w:val="24"/>
                <w:highlight w:val="none"/>
              </w:rPr>
            </w:pPr>
          </w:p>
        </w:tc>
        <w:tc>
          <w:tcPr>
            <w:tcW w:w="1926" w:type="dxa"/>
            <w:vAlign w:val="center"/>
          </w:tcPr>
          <w:p w14:paraId="1F5A6729">
            <w:pPr>
              <w:spacing w:line="500" w:lineRule="exact"/>
              <w:jc w:val="center"/>
              <w:rPr>
                <w:rFonts w:ascii="宋体" w:hAnsi="宋体" w:cs="仿宋"/>
                <w:sz w:val="24"/>
                <w:highlight w:val="none"/>
              </w:rPr>
            </w:pPr>
          </w:p>
        </w:tc>
      </w:tr>
      <w:tr w14:paraId="310D9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0DB4F8D5">
            <w:pPr>
              <w:spacing w:line="500" w:lineRule="exact"/>
              <w:jc w:val="center"/>
              <w:rPr>
                <w:rFonts w:ascii="宋体" w:hAnsi="宋体" w:cs="仿宋"/>
                <w:sz w:val="24"/>
                <w:highlight w:val="none"/>
              </w:rPr>
            </w:pPr>
          </w:p>
        </w:tc>
        <w:tc>
          <w:tcPr>
            <w:tcW w:w="775" w:type="dxa"/>
            <w:vAlign w:val="center"/>
          </w:tcPr>
          <w:p w14:paraId="02D1371A">
            <w:pPr>
              <w:spacing w:line="500" w:lineRule="exact"/>
              <w:jc w:val="center"/>
              <w:rPr>
                <w:rFonts w:ascii="宋体" w:hAnsi="宋体" w:cs="仿宋"/>
                <w:sz w:val="24"/>
                <w:highlight w:val="none"/>
              </w:rPr>
            </w:pPr>
          </w:p>
        </w:tc>
        <w:tc>
          <w:tcPr>
            <w:tcW w:w="851" w:type="dxa"/>
            <w:vAlign w:val="center"/>
          </w:tcPr>
          <w:p w14:paraId="5A39DB60">
            <w:pPr>
              <w:spacing w:line="500" w:lineRule="exact"/>
              <w:jc w:val="center"/>
              <w:rPr>
                <w:rFonts w:ascii="宋体" w:hAnsi="宋体" w:cs="仿宋"/>
                <w:sz w:val="24"/>
                <w:highlight w:val="none"/>
              </w:rPr>
            </w:pPr>
          </w:p>
        </w:tc>
        <w:tc>
          <w:tcPr>
            <w:tcW w:w="851" w:type="dxa"/>
            <w:vAlign w:val="center"/>
          </w:tcPr>
          <w:p w14:paraId="733F3CB2">
            <w:pPr>
              <w:spacing w:line="500" w:lineRule="exact"/>
              <w:jc w:val="center"/>
              <w:rPr>
                <w:rFonts w:ascii="宋体" w:hAnsi="宋体" w:cs="仿宋"/>
                <w:sz w:val="24"/>
                <w:highlight w:val="none"/>
              </w:rPr>
            </w:pPr>
          </w:p>
        </w:tc>
        <w:tc>
          <w:tcPr>
            <w:tcW w:w="1171" w:type="dxa"/>
            <w:vAlign w:val="center"/>
          </w:tcPr>
          <w:p w14:paraId="44296AB4">
            <w:pPr>
              <w:spacing w:line="500" w:lineRule="exact"/>
              <w:jc w:val="center"/>
              <w:rPr>
                <w:rFonts w:ascii="宋体" w:hAnsi="宋体" w:cs="仿宋"/>
                <w:sz w:val="24"/>
                <w:highlight w:val="none"/>
              </w:rPr>
            </w:pPr>
          </w:p>
        </w:tc>
        <w:tc>
          <w:tcPr>
            <w:tcW w:w="1380" w:type="dxa"/>
            <w:vAlign w:val="center"/>
          </w:tcPr>
          <w:p w14:paraId="0181213D">
            <w:pPr>
              <w:spacing w:line="500" w:lineRule="exact"/>
              <w:jc w:val="center"/>
              <w:rPr>
                <w:rFonts w:ascii="宋体" w:hAnsi="宋体" w:cs="仿宋"/>
                <w:sz w:val="24"/>
                <w:highlight w:val="none"/>
              </w:rPr>
            </w:pPr>
          </w:p>
        </w:tc>
        <w:tc>
          <w:tcPr>
            <w:tcW w:w="1356" w:type="dxa"/>
            <w:vAlign w:val="center"/>
          </w:tcPr>
          <w:p w14:paraId="572216CB">
            <w:pPr>
              <w:spacing w:line="500" w:lineRule="exact"/>
              <w:jc w:val="center"/>
              <w:rPr>
                <w:rFonts w:ascii="宋体" w:hAnsi="宋体" w:cs="仿宋"/>
                <w:sz w:val="24"/>
                <w:highlight w:val="none"/>
              </w:rPr>
            </w:pPr>
          </w:p>
        </w:tc>
        <w:tc>
          <w:tcPr>
            <w:tcW w:w="1926" w:type="dxa"/>
            <w:vAlign w:val="center"/>
          </w:tcPr>
          <w:p w14:paraId="6488471A">
            <w:pPr>
              <w:spacing w:line="500" w:lineRule="exact"/>
              <w:jc w:val="center"/>
              <w:rPr>
                <w:rFonts w:ascii="宋体" w:hAnsi="宋体" w:cs="仿宋"/>
                <w:sz w:val="24"/>
                <w:highlight w:val="none"/>
              </w:rPr>
            </w:pPr>
          </w:p>
        </w:tc>
      </w:tr>
      <w:tr w14:paraId="25DE7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6" w:type="dxa"/>
            <w:vAlign w:val="center"/>
          </w:tcPr>
          <w:p w14:paraId="37596ED6">
            <w:pPr>
              <w:spacing w:line="500" w:lineRule="exact"/>
              <w:jc w:val="center"/>
              <w:rPr>
                <w:rFonts w:ascii="宋体" w:hAnsi="宋体" w:cs="仿宋"/>
                <w:sz w:val="24"/>
                <w:highlight w:val="none"/>
              </w:rPr>
            </w:pPr>
          </w:p>
        </w:tc>
        <w:tc>
          <w:tcPr>
            <w:tcW w:w="775" w:type="dxa"/>
            <w:vAlign w:val="center"/>
          </w:tcPr>
          <w:p w14:paraId="78E29837">
            <w:pPr>
              <w:spacing w:line="500" w:lineRule="exact"/>
              <w:jc w:val="center"/>
              <w:rPr>
                <w:rFonts w:ascii="宋体" w:hAnsi="宋体" w:cs="仿宋"/>
                <w:sz w:val="24"/>
                <w:highlight w:val="none"/>
              </w:rPr>
            </w:pPr>
          </w:p>
        </w:tc>
        <w:tc>
          <w:tcPr>
            <w:tcW w:w="851" w:type="dxa"/>
            <w:vAlign w:val="center"/>
          </w:tcPr>
          <w:p w14:paraId="05C7A695">
            <w:pPr>
              <w:spacing w:line="500" w:lineRule="exact"/>
              <w:jc w:val="center"/>
              <w:rPr>
                <w:rFonts w:ascii="宋体" w:hAnsi="宋体" w:cs="仿宋"/>
                <w:sz w:val="24"/>
                <w:highlight w:val="none"/>
              </w:rPr>
            </w:pPr>
          </w:p>
        </w:tc>
        <w:tc>
          <w:tcPr>
            <w:tcW w:w="851" w:type="dxa"/>
            <w:vAlign w:val="center"/>
          </w:tcPr>
          <w:p w14:paraId="112DEDE0">
            <w:pPr>
              <w:spacing w:line="500" w:lineRule="exact"/>
              <w:jc w:val="center"/>
              <w:rPr>
                <w:rFonts w:ascii="宋体" w:hAnsi="宋体" w:cs="仿宋"/>
                <w:sz w:val="24"/>
                <w:highlight w:val="none"/>
              </w:rPr>
            </w:pPr>
          </w:p>
        </w:tc>
        <w:tc>
          <w:tcPr>
            <w:tcW w:w="1171" w:type="dxa"/>
            <w:vAlign w:val="center"/>
          </w:tcPr>
          <w:p w14:paraId="65F5D7A4">
            <w:pPr>
              <w:spacing w:line="500" w:lineRule="exact"/>
              <w:jc w:val="center"/>
              <w:rPr>
                <w:rFonts w:ascii="宋体" w:hAnsi="宋体" w:cs="仿宋"/>
                <w:sz w:val="24"/>
                <w:highlight w:val="none"/>
              </w:rPr>
            </w:pPr>
          </w:p>
        </w:tc>
        <w:tc>
          <w:tcPr>
            <w:tcW w:w="1380" w:type="dxa"/>
            <w:vAlign w:val="center"/>
          </w:tcPr>
          <w:p w14:paraId="3DDE7F80">
            <w:pPr>
              <w:spacing w:line="500" w:lineRule="exact"/>
              <w:jc w:val="center"/>
              <w:rPr>
                <w:rFonts w:ascii="宋体" w:hAnsi="宋体" w:cs="仿宋"/>
                <w:sz w:val="24"/>
                <w:highlight w:val="none"/>
              </w:rPr>
            </w:pPr>
          </w:p>
        </w:tc>
        <w:tc>
          <w:tcPr>
            <w:tcW w:w="1356" w:type="dxa"/>
            <w:vAlign w:val="center"/>
          </w:tcPr>
          <w:p w14:paraId="64FB0EBD">
            <w:pPr>
              <w:spacing w:line="500" w:lineRule="exact"/>
              <w:jc w:val="center"/>
              <w:rPr>
                <w:rFonts w:ascii="宋体" w:hAnsi="宋体" w:cs="仿宋"/>
                <w:sz w:val="24"/>
                <w:highlight w:val="none"/>
              </w:rPr>
            </w:pPr>
          </w:p>
        </w:tc>
        <w:tc>
          <w:tcPr>
            <w:tcW w:w="1926" w:type="dxa"/>
            <w:vAlign w:val="center"/>
          </w:tcPr>
          <w:p w14:paraId="687CA92C">
            <w:pPr>
              <w:spacing w:line="500" w:lineRule="exact"/>
              <w:jc w:val="center"/>
              <w:rPr>
                <w:rFonts w:ascii="宋体" w:hAnsi="宋体" w:cs="仿宋"/>
                <w:sz w:val="24"/>
                <w:highlight w:val="none"/>
              </w:rPr>
            </w:pPr>
          </w:p>
        </w:tc>
      </w:tr>
    </w:tbl>
    <w:p w14:paraId="57CAC2AA">
      <w:pPr>
        <w:spacing w:line="440" w:lineRule="exact"/>
        <w:ind w:firstLine="240" w:firstLineChars="100"/>
        <w:rPr>
          <w:rFonts w:ascii="宋体" w:hAnsi="宋体"/>
          <w:sz w:val="24"/>
          <w:highlight w:val="none"/>
        </w:rPr>
      </w:pPr>
      <w:r>
        <w:rPr>
          <w:rFonts w:hint="eastAsia" w:ascii="宋体" w:hAnsi="宋体"/>
          <w:sz w:val="24"/>
          <w:highlight w:val="none"/>
        </w:rPr>
        <w:t>注：供应商需随此表附上相关人员的学历证明、职称证及专业资格证书、社保证明等相关资料复印件。</w:t>
      </w:r>
    </w:p>
    <w:p w14:paraId="3C50F9A0">
      <w:pPr>
        <w:rPr>
          <w:rFonts w:ascii="宋体" w:hAnsi="宋体" w:cs="仿宋"/>
          <w:sz w:val="24"/>
          <w:highlight w:val="none"/>
        </w:rPr>
      </w:pPr>
    </w:p>
    <w:p w14:paraId="5F7FDC18">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73079245">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4DF98FDB">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12508E23">
      <w:pPr>
        <w:pStyle w:val="4"/>
        <w:rPr>
          <w:rFonts w:ascii="宋体" w:hAnsi="宋体"/>
          <w:b/>
          <w:sz w:val="36"/>
          <w:szCs w:val="36"/>
          <w:highlight w:val="none"/>
        </w:rPr>
      </w:pPr>
      <w:r>
        <w:rPr>
          <w:rFonts w:ascii="宋体" w:hAnsi="宋体" w:cs="仿宋"/>
          <w:bCs/>
          <w:sz w:val="24"/>
          <w:szCs w:val="24"/>
          <w:highlight w:val="none"/>
        </w:rPr>
        <w:br w:type="page"/>
      </w:r>
      <w:bookmarkStart w:id="366" w:name="_Toc1355"/>
      <w:r>
        <w:rPr>
          <w:rFonts w:hint="eastAsia" w:ascii="宋体" w:hAnsi="Calibri" w:eastAsia="宋体" w:cs="宋体"/>
          <w:b/>
          <w:kern w:val="0"/>
          <w:sz w:val="24"/>
          <w:szCs w:val="20"/>
          <w:highlight w:val="none"/>
          <w:u w:val="none"/>
          <w:lang w:val="en-US" w:eastAsia="zh-CN" w:bidi="ar-SA"/>
        </w:rPr>
        <w:t>拟投入设备明细表</w:t>
      </w:r>
      <w:bookmarkEnd w:id="366"/>
    </w:p>
    <w:tbl>
      <w:tblPr>
        <w:tblStyle w:val="32"/>
        <w:tblW w:w="97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7"/>
        <w:gridCol w:w="2192"/>
        <w:gridCol w:w="2129"/>
        <w:gridCol w:w="1822"/>
        <w:gridCol w:w="1574"/>
        <w:gridCol w:w="1345"/>
      </w:tblGrid>
      <w:tr w14:paraId="6014EB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51DC424C">
            <w:pPr>
              <w:spacing w:line="300" w:lineRule="auto"/>
              <w:jc w:val="center"/>
              <w:rPr>
                <w:rFonts w:ascii="宋体" w:hAnsi="宋体"/>
                <w:sz w:val="24"/>
                <w:szCs w:val="24"/>
                <w:highlight w:val="none"/>
              </w:rPr>
            </w:pPr>
            <w:r>
              <w:rPr>
                <w:rFonts w:ascii="宋体" w:hAnsi="宋体"/>
                <w:sz w:val="24"/>
                <w:szCs w:val="24"/>
                <w:highlight w:val="none"/>
              </w:rPr>
              <w:t>序号</w:t>
            </w:r>
          </w:p>
        </w:tc>
        <w:tc>
          <w:tcPr>
            <w:tcW w:w="2192" w:type="dxa"/>
            <w:tcBorders>
              <w:tl2br w:val="nil"/>
              <w:tr2bl w:val="nil"/>
            </w:tcBorders>
            <w:vAlign w:val="center"/>
          </w:tcPr>
          <w:p w14:paraId="17F3CF1A">
            <w:pPr>
              <w:spacing w:line="300" w:lineRule="auto"/>
              <w:jc w:val="center"/>
              <w:rPr>
                <w:rFonts w:ascii="宋体" w:hAnsi="宋体"/>
                <w:sz w:val="24"/>
                <w:szCs w:val="24"/>
                <w:highlight w:val="none"/>
              </w:rPr>
            </w:pPr>
            <w:r>
              <w:rPr>
                <w:rFonts w:ascii="宋体" w:hAnsi="宋体"/>
                <w:sz w:val="24"/>
                <w:szCs w:val="24"/>
                <w:highlight w:val="none"/>
              </w:rPr>
              <w:t>名称</w:t>
            </w:r>
          </w:p>
        </w:tc>
        <w:tc>
          <w:tcPr>
            <w:tcW w:w="2129" w:type="dxa"/>
            <w:tcBorders>
              <w:tl2br w:val="nil"/>
              <w:tr2bl w:val="nil"/>
            </w:tcBorders>
            <w:vAlign w:val="center"/>
          </w:tcPr>
          <w:p w14:paraId="71323E80">
            <w:pPr>
              <w:spacing w:line="300" w:lineRule="auto"/>
              <w:jc w:val="center"/>
              <w:rPr>
                <w:rFonts w:ascii="宋体" w:hAnsi="宋体"/>
                <w:sz w:val="24"/>
                <w:szCs w:val="24"/>
                <w:highlight w:val="none"/>
              </w:rPr>
            </w:pPr>
            <w:r>
              <w:rPr>
                <w:rFonts w:hint="eastAsia" w:ascii="宋体" w:hAnsi="宋体"/>
                <w:sz w:val="24"/>
                <w:szCs w:val="24"/>
                <w:highlight w:val="none"/>
              </w:rPr>
              <w:t>品牌型号</w:t>
            </w:r>
          </w:p>
        </w:tc>
        <w:tc>
          <w:tcPr>
            <w:tcW w:w="1822" w:type="dxa"/>
            <w:tcBorders>
              <w:tl2br w:val="nil"/>
              <w:tr2bl w:val="nil"/>
            </w:tcBorders>
            <w:vAlign w:val="center"/>
          </w:tcPr>
          <w:p w14:paraId="0AB9C763">
            <w:pPr>
              <w:spacing w:line="300" w:lineRule="auto"/>
              <w:jc w:val="center"/>
              <w:rPr>
                <w:rFonts w:ascii="宋体" w:hAnsi="宋体"/>
                <w:sz w:val="24"/>
                <w:szCs w:val="24"/>
                <w:highlight w:val="none"/>
              </w:rPr>
            </w:pPr>
            <w:r>
              <w:rPr>
                <w:rFonts w:hint="eastAsia" w:ascii="宋体" w:hAnsi="宋体"/>
                <w:sz w:val="24"/>
                <w:szCs w:val="24"/>
                <w:highlight w:val="none"/>
              </w:rPr>
              <w:t>主要技术参数</w:t>
            </w:r>
          </w:p>
        </w:tc>
        <w:tc>
          <w:tcPr>
            <w:tcW w:w="1574" w:type="dxa"/>
            <w:tcBorders>
              <w:tl2br w:val="nil"/>
              <w:tr2bl w:val="nil"/>
            </w:tcBorders>
            <w:vAlign w:val="center"/>
          </w:tcPr>
          <w:p w14:paraId="46BF4C80">
            <w:pPr>
              <w:spacing w:line="300" w:lineRule="auto"/>
              <w:jc w:val="center"/>
              <w:rPr>
                <w:rFonts w:ascii="宋体" w:hAnsi="宋体"/>
                <w:sz w:val="24"/>
                <w:szCs w:val="24"/>
                <w:highlight w:val="none"/>
              </w:rPr>
            </w:pPr>
            <w:r>
              <w:rPr>
                <w:rFonts w:hint="eastAsia" w:ascii="宋体" w:hAnsi="宋体"/>
                <w:sz w:val="24"/>
                <w:szCs w:val="24"/>
                <w:highlight w:val="none"/>
              </w:rPr>
              <w:t>拟投入数量</w:t>
            </w:r>
          </w:p>
        </w:tc>
        <w:tc>
          <w:tcPr>
            <w:tcW w:w="1345" w:type="dxa"/>
            <w:tcBorders>
              <w:tl2br w:val="nil"/>
              <w:tr2bl w:val="nil"/>
            </w:tcBorders>
            <w:vAlign w:val="center"/>
          </w:tcPr>
          <w:p w14:paraId="4DECCDA8">
            <w:pPr>
              <w:spacing w:line="300" w:lineRule="auto"/>
              <w:jc w:val="center"/>
              <w:rPr>
                <w:rFonts w:ascii="宋体" w:hAnsi="宋体"/>
                <w:sz w:val="24"/>
                <w:szCs w:val="24"/>
                <w:highlight w:val="none"/>
              </w:rPr>
            </w:pPr>
            <w:r>
              <w:rPr>
                <w:rFonts w:hint="eastAsia" w:ascii="宋体" w:hAnsi="宋体"/>
                <w:sz w:val="24"/>
                <w:szCs w:val="24"/>
                <w:highlight w:val="none"/>
              </w:rPr>
              <w:t>参考单价</w:t>
            </w:r>
          </w:p>
        </w:tc>
      </w:tr>
      <w:tr w14:paraId="66E130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2F9875AF">
            <w:pPr>
              <w:spacing w:line="300" w:lineRule="auto"/>
              <w:jc w:val="center"/>
              <w:rPr>
                <w:rFonts w:ascii="宋体" w:hAnsi="宋体"/>
                <w:sz w:val="24"/>
                <w:szCs w:val="24"/>
                <w:highlight w:val="none"/>
              </w:rPr>
            </w:pPr>
          </w:p>
        </w:tc>
        <w:tc>
          <w:tcPr>
            <w:tcW w:w="2192" w:type="dxa"/>
            <w:tcBorders>
              <w:tl2br w:val="nil"/>
              <w:tr2bl w:val="nil"/>
            </w:tcBorders>
            <w:vAlign w:val="center"/>
          </w:tcPr>
          <w:p w14:paraId="4925562A">
            <w:pPr>
              <w:spacing w:line="300" w:lineRule="auto"/>
              <w:ind w:firstLine="240"/>
              <w:jc w:val="center"/>
              <w:rPr>
                <w:rFonts w:ascii="宋体" w:hAnsi="宋体"/>
                <w:sz w:val="24"/>
                <w:szCs w:val="24"/>
                <w:highlight w:val="none"/>
              </w:rPr>
            </w:pPr>
          </w:p>
        </w:tc>
        <w:tc>
          <w:tcPr>
            <w:tcW w:w="2129" w:type="dxa"/>
            <w:tcBorders>
              <w:tl2br w:val="nil"/>
              <w:tr2bl w:val="nil"/>
            </w:tcBorders>
            <w:vAlign w:val="center"/>
          </w:tcPr>
          <w:p w14:paraId="652AD145">
            <w:pPr>
              <w:spacing w:line="300" w:lineRule="auto"/>
              <w:jc w:val="center"/>
              <w:rPr>
                <w:rFonts w:ascii="宋体" w:hAnsi="宋体"/>
                <w:sz w:val="24"/>
                <w:szCs w:val="24"/>
                <w:highlight w:val="none"/>
              </w:rPr>
            </w:pPr>
          </w:p>
        </w:tc>
        <w:tc>
          <w:tcPr>
            <w:tcW w:w="1822" w:type="dxa"/>
            <w:tcBorders>
              <w:tl2br w:val="nil"/>
              <w:tr2bl w:val="nil"/>
            </w:tcBorders>
            <w:vAlign w:val="center"/>
          </w:tcPr>
          <w:p w14:paraId="5AD36B24">
            <w:pPr>
              <w:spacing w:line="300" w:lineRule="auto"/>
              <w:jc w:val="center"/>
              <w:rPr>
                <w:rFonts w:ascii="宋体" w:hAnsi="宋体"/>
                <w:sz w:val="24"/>
                <w:szCs w:val="24"/>
                <w:highlight w:val="none"/>
              </w:rPr>
            </w:pPr>
          </w:p>
        </w:tc>
        <w:tc>
          <w:tcPr>
            <w:tcW w:w="1574" w:type="dxa"/>
            <w:tcBorders>
              <w:tl2br w:val="nil"/>
              <w:tr2bl w:val="nil"/>
            </w:tcBorders>
            <w:vAlign w:val="center"/>
          </w:tcPr>
          <w:p w14:paraId="2AC077C3">
            <w:pPr>
              <w:spacing w:line="300" w:lineRule="auto"/>
              <w:jc w:val="center"/>
              <w:rPr>
                <w:rFonts w:ascii="宋体" w:hAnsi="宋体"/>
                <w:sz w:val="24"/>
                <w:szCs w:val="24"/>
                <w:highlight w:val="none"/>
              </w:rPr>
            </w:pPr>
          </w:p>
        </w:tc>
        <w:tc>
          <w:tcPr>
            <w:tcW w:w="1345" w:type="dxa"/>
            <w:tcBorders>
              <w:tl2br w:val="nil"/>
              <w:tr2bl w:val="nil"/>
            </w:tcBorders>
            <w:vAlign w:val="center"/>
          </w:tcPr>
          <w:p w14:paraId="6D40FB48">
            <w:pPr>
              <w:spacing w:line="300" w:lineRule="auto"/>
              <w:jc w:val="center"/>
              <w:rPr>
                <w:rFonts w:ascii="宋体" w:hAnsi="宋体"/>
                <w:sz w:val="24"/>
                <w:szCs w:val="24"/>
                <w:highlight w:val="none"/>
              </w:rPr>
            </w:pPr>
          </w:p>
        </w:tc>
      </w:tr>
      <w:tr w14:paraId="0316B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2A14F7E2">
            <w:pPr>
              <w:spacing w:line="300" w:lineRule="auto"/>
              <w:jc w:val="center"/>
              <w:rPr>
                <w:rFonts w:ascii="宋体" w:hAnsi="宋体"/>
                <w:sz w:val="24"/>
                <w:szCs w:val="24"/>
                <w:highlight w:val="none"/>
              </w:rPr>
            </w:pPr>
          </w:p>
        </w:tc>
        <w:tc>
          <w:tcPr>
            <w:tcW w:w="2192" w:type="dxa"/>
            <w:tcBorders>
              <w:tl2br w:val="nil"/>
              <w:tr2bl w:val="nil"/>
            </w:tcBorders>
            <w:vAlign w:val="center"/>
          </w:tcPr>
          <w:p w14:paraId="4B5D8FE4">
            <w:pPr>
              <w:spacing w:line="300" w:lineRule="auto"/>
              <w:jc w:val="center"/>
              <w:rPr>
                <w:rFonts w:ascii="宋体" w:hAnsi="宋体"/>
                <w:sz w:val="24"/>
                <w:szCs w:val="24"/>
                <w:highlight w:val="none"/>
              </w:rPr>
            </w:pPr>
          </w:p>
        </w:tc>
        <w:tc>
          <w:tcPr>
            <w:tcW w:w="2129" w:type="dxa"/>
            <w:tcBorders>
              <w:tl2br w:val="nil"/>
              <w:tr2bl w:val="nil"/>
            </w:tcBorders>
            <w:vAlign w:val="center"/>
          </w:tcPr>
          <w:p w14:paraId="246DA968">
            <w:pPr>
              <w:spacing w:line="300" w:lineRule="auto"/>
              <w:jc w:val="center"/>
              <w:rPr>
                <w:rFonts w:ascii="宋体" w:hAnsi="宋体"/>
                <w:sz w:val="24"/>
                <w:szCs w:val="24"/>
                <w:highlight w:val="none"/>
              </w:rPr>
            </w:pPr>
          </w:p>
        </w:tc>
        <w:tc>
          <w:tcPr>
            <w:tcW w:w="1822" w:type="dxa"/>
            <w:tcBorders>
              <w:tl2br w:val="nil"/>
              <w:tr2bl w:val="nil"/>
            </w:tcBorders>
            <w:vAlign w:val="center"/>
          </w:tcPr>
          <w:p w14:paraId="70BE15CA">
            <w:pPr>
              <w:spacing w:line="300" w:lineRule="auto"/>
              <w:jc w:val="center"/>
              <w:rPr>
                <w:rFonts w:ascii="宋体" w:hAnsi="宋体"/>
                <w:sz w:val="24"/>
                <w:szCs w:val="24"/>
                <w:highlight w:val="none"/>
              </w:rPr>
            </w:pPr>
          </w:p>
        </w:tc>
        <w:tc>
          <w:tcPr>
            <w:tcW w:w="1574" w:type="dxa"/>
            <w:tcBorders>
              <w:tl2br w:val="nil"/>
              <w:tr2bl w:val="nil"/>
            </w:tcBorders>
            <w:vAlign w:val="center"/>
          </w:tcPr>
          <w:p w14:paraId="267E0FCC">
            <w:pPr>
              <w:spacing w:line="300" w:lineRule="auto"/>
              <w:jc w:val="center"/>
              <w:rPr>
                <w:rFonts w:ascii="宋体" w:hAnsi="宋体"/>
                <w:sz w:val="24"/>
                <w:szCs w:val="24"/>
                <w:highlight w:val="none"/>
              </w:rPr>
            </w:pPr>
          </w:p>
        </w:tc>
        <w:tc>
          <w:tcPr>
            <w:tcW w:w="1345" w:type="dxa"/>
            <w:tcBorders>
              <w:tl2br w:val="nil"/>
              <w:tr2bl w:val="nil"/>
            </w:tcBorders>
            <w:vAlign w:val="center"/>
          </w:tcPr>
          <w:p w14:paraId="303EEF35">
            <w:pPr>
              <w:spacing w:line="300" w:lineRule="auto"/>
              <w:jc w:val="center"/>
              <w:rPr>
                <w:rFonts w:ascii="宋体" w:hAnsi="宋体"/>
                <w:sz w:val="24"/>
                <w:szCs w:val="24"/>
                <w:highlight w:val="none"/>
              </w:rPr>
            </w:pPr>
          </w:p>
        </w:tc>
      </w:tr>
      <w:tr w14:paraId="7AEF8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074B20EF">
            <w:pPr>
              <w:spacing w:line="300" w:lineRule="auto"/>
              <w:jc w:val="center"/>
              <w:rPr>
                <w:rFonts w:ascii="宋体" w:hAnsi="宋体"/>
                <w:sz w:val="24"/>
                <w:szCs w:val="24"/>
                <w:highlight w:val="none"/>
              </w:rPr>
            </w:pPr>
          </w:p>
        </w:tc>
        <w:tc>
          <w:tcPr>
            <w:tcW w:w="2192" w:type="dxa"/>
            <w:tcBorders>
              <w:tl2br w:val="nil"/>
              <w:tr2bl w:val="nil"/>
            </w:tcBorders>
            <w:vAlign w:val="center"/>
          </w:tcPr>
          <w:p w14:paraId="194E1DD1">
            <w:pPr>
              <w:spacing w:line="300" w:lineRule="auto"/>
              <w:jc w:val="center"/>
              <w:rPr>
                <w:rFonts w:ascii="宋体" w:hAnsi="宋体"/>
                <w:sz w:val="24"/>
                <w:szCs w:val="24"/>
                <w:highlight w:val="none"/>
              </w:rPr>
            </w:pPr>
          </w:p>
        </w:tc>
        <w:tc>
          <w:tcPr>
            <w:tcW w:w="2129" w:type="dxa"/>
            <w:tcBorders>
              <w:tl2br w:val="nil"/>
              <w:tr2bl w:val="nil"/>
            </w:tcBorders>
            <w:vAlign w:val="center"/>
          </w:tcPr>
          <w:p w14:paraId="22735BE9">
            <w:pPr>
              <w:spacing w:line="300" w:lineRule="auto"/>
              <w:jc w:val="center"/>
              <w:rPr>
                <w:rFonts w:ascii="宋体" w:hAnsi="宋体"/>
                <w:sz w:val="24"/>
                <w:szCs w:val="24"/>
                <w:highlight w:val="none"/>
              </w:rPr>
            </w:pPr>
          </w:p>
        </w:tc>
        <w:tc>
          <w:tcPr>
            <w:tcW w:w="1822" w:type="dxa"/>
            <w:tcBorders>
              <w:tl2br w:val="nil"/>
              <w:tr2bl w:val="nil"/>
            </w:tcBorders>
            <w:vAlign w:val="center"/>
          </w:tcPr>
          <w:p w14:paraId="365491CC">
            <w:pPr>
              <w:spacing w:line="300" w:lineRule="auto"/>
              <w:jc w:val="center"/>
              <w:rPr>
                <w:rFonts w:ascii="宋体" w:hAnsi="宋体"/>
                <w:sz w:val="24"/>
                <w:szCs w:val="24"/>
                <w:highlight w:val="none"/>
              </w:rPr>
            </w:pPr>
          </w:p>
        </w:tc>
        <w:tc>
          <w:tcPr>
            <w:tcW w:w="1574" w:type="dxa"/>
            <w:tcBorders>
              <w:tl2br w:val="nil"/>
              <w:tr2bl w:val="nil"/>
            </w:tcBorders>
            <w:vAlign w:val="center"/>
          </w:tcPr>
          <w:p w14:paraId="4D3832F4">
            <w:pPr>
              <w:spacing w:line="300" w:lineRule="auto"/>
              <w:jc w:val="center"/>
              <w:rPr>
                <w:rFonts w:ascii="宋体" w:hAnsi="宋体"/>
                <w:sz w:val="24"/>
                <w:szCs w:val="24"/>
                <w:highlight w:val="none"/>
              </w:rPr>
            </w:pPr>
          </w:p>
        </w:tc>
        <w:tc>
          <w:tcPr>
            <w:tcW w:w="1345" w:type="dxa"/>
            <w:tcBorders>
              <w:tl2br w:val="nil"/>
              <w:tr2bl w:val="nil"/>
            </w:tcBorders>
            <w:vAlign w:val="center"/>
          </w:tcPr>
          <w:p w14:paraId="01ADA9EC">
            <w:pPr>
              <w:spacing w:line="300" w:lineRule="auto"/>
              <w:jc w:val="center"/>
              <w:rPr>
                <w:rFonts w:ascii="宋体" w:hAnsi="宋体"/>
                <w:sz w:val="24"/>
                <w:szCs w:val="24"/>
                <w:highlight w:val="none"/>
              </w:rPr>
            </w:pPr>
          </w:p>
        </w:tc>
      </w:tr>
      <w:tr w14:paraId="1902D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323BA99B">
            <w:pPr>
              <w:spacing w:line="300" w:lineRule="auto"/>
              <w:jc w:val="center"/>
              <w:rPr>
                <w:rFonts w:ascii="宋体" w:hAnsi="宋体"/>
                <w:sz w:val="24"/>
                <w:szCs w:val="24"/>
                <w:highlight w:val="none"/>
              </w:rPr>
            </w:pPr>
          </w:p>
        </w:tc>
        <w:tc>
          <w:tcPr>
            <w:tcW w:w="2192" w:type="dxa"/>
            <w:tcBorders>
              <w:tl2br w:val="nil"/>
              <w:tr2bl w:val="nil"/>
            </w:tcBorders>
            <w:vAlign w:val="center"/>
          </w:tcPr>
          <w:p w14:paraId="01531E55">
            <w:pPr>
              <w:spacing w:line="300" w:lineRule="auto"/>
              <w:jc w:val="center"/>
              <w:rPr>
                <w:rFonts w:ascii="宋体" w:hAnsi="宋体"/>
                <w:sz w:val="24"/>
                <w:szCs w:val="24"/>
                <w:highlight w:val="none"/>
              </w:rPr>
            </w:pPr>
          </w:p>
        </w:tc>
        <w:tc>
          <w:tcPr>
            <w:tcW w:w="2129" w:type="dxa"/>
            <w:tcBorders>
              <w:tl2br w:val="nil"/>
              <w:tr2bl w:val="nil"/>
            </w:tcBorders>
            <w:vAlign w:val="center"/>
          </w:tcPr>
          <w:p w14:paraId="5A6CB3FE">
            <w:pPr>
              <w:spacing w:line="300" w:lineRule="auto"/>
              <w:jc w:val="center"/>
              <w:rPr>
                <w:rFonts w:ascii="宋体" w:hAnsi="宋体"/>
                <w:sz w:val="24"/>
                <w:szCs w:val="24"/>
                <w:highlight w:val="none"/>
              </w:rPr>
            </w:pPr>
          </w:p>
        </w:tc>
        <w:tc>
          <w:tcPr>
            <w:tcW w:w="1822" w:type="dxa"/>
            <w:tcBorders>
              <w:tl2br w:val="nil"/>
              <w:tr2bl w:val="nil"/>
            </w:tcBorders>
            <w:vAlign w:val="center"/>
          </w:tcPr>
          <w:p w14:paraId="0D366BD7">
            <w:pPr>
              <w:spacing w:line="300" w:lineRule="auto"/>
              <w:jc w:val="center"/>
              <w:rPr>
                <w:rFonts w:ascii="宋体" w:hAnsi="宋体"/>
                <w:sz w:val="24"/>
                <w:szCs w:val="24"/>
                <w:highlight w:val="none"/>
              </w:rPr>
            </w:pPr>
          </w:p>
        </w:tc>
        <w:tc>
          <w:tcPr>
            <w:tcW w:w="1574" w:type="dxa"/>
            <w:tcBorders>
              <w:tl2br w:val="nil"/>
              <w:tr2bl w:val="nil"/>
            </w:tcBorders>
            <w:vAlign w:val="center"/>
          </w:tcPr>
          <w:p w14:paraId="276AFA79">
            <w:pPr>
              <w:spacing w:line="300" w:lineRule="auto"/>
              <w:jc w:val="center"/>
              <w:rPr>
                <w:rFonts w:ascii="宋体" w:hAnsi="宋体"/>
                <w:sz w:val="24"/>
                <w:szCs w:val="24"/>
                <w:highlight w:val="none"/>
              </w:rPr>
            </w:pPr>
          </w:p>
        </w:tc>
        <w:tc>
          <w:tcPr>
            <w:tcW w:w="1345" w:type="dxa"/>
            <w:tcBorders>
              <w:tl2br w:val="nil"/>
              <w:tr2bl w:val="nil"/>
            </w:tcBorders>
            <w:vAlign w:val="center"/>
          </w:tcPr>
          <w:p w14:paraId="074D6D2A">
            <w:pPr>
              <w:spacing w:line="300" w:lineRule="auto"/>
              <w:jc w:val="center"/>
              <w:rPr>
                <w:rFonts w:ascii="宋体" w:hAnsi="宋体"/>
                <w:sz w:val="24"/>
                <w:szCs w:val="24"/>
                <w:highlight w:val="none"/>
              </w:rPr>
            </w:pPr>
          </w:p>
        </w:tc>
      </w:tr>
      <w:tr w14:paraId="2B8D5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4442BA99">
            <w:pPr>
              <w:spacing w:line="300" w:lineRule="auto"/>
              <w:jc w:val="center"/>
              <w:rPr>
                <w:rFonts w:ascii="宋体" w:hAnsi="宋体"/>
                <w:sz w:val="24"/>
                <w:szCs w:val="24"/>
                <w:highlight w:val="none"/>
              </w:rPr>
            </w:pPr>
          </w:p>
        </w:tc>
        <w:tc>
          <w:tcPr>
            <w:tcW w:w="2192" w:type="dxa"/>
            <w:tcBorders>
              <w:tl2br w:val="nil"/>
              <w:tr2bl w:val="nil"/>
            </w:tcBorders>
            <w:vAlign w:val="center"/>
          </w:tcPr>
          <w:p w14:paraId="5992A903">
            <w:pPr>
              <w:spacing w:line="300" w:lineRule="auto"/>
              <w:jc w:val="center"/>
              <w:rPr>
                <w:rFonts w:ascii="宋体" w:hAnsi="宋体"/>
                <w:sz w:val="24"/>
                <w:szCs w:val="24"/>
                <w:highlight w:val="none"/>
              </w:rPr>
            </w:pPr>
          </w:p>
        </w:tc>
        <w:tc>
          <w:tcPr>
            <w:tcW w:w="2129" w:type="dxa"/>
            <w:tcBorders>
              <w:tl2br w:val="nil"/>
              <w:tr2bl w:val="nil"/>
            </w:tcBorders>
            <w:vAlign w:val="center"/>
          </w:tcPr>
          <w:p w14:paraId="1E703237">
            <w:pPr>
              <w:spacing w:line="300" w:lineRule="auto"/>
              <w:jc w:val="center"/>
              <w:rPr>
                <w:rFonts w:ascii="宋体" w:hAnsi="宋体"/>
                <w:sz w:val="24"/>
                <w:szCs w:val="24"/>
                <w:highlight w:val="none"/>
              </w:rPr>
            </w:pPr>
          </w:p>
        </w:tc>
        <w:tc>
          <w:tcPr>
            <w:tcW w:w="1822" w:type="dxa"/>
            <w:tcBorders>
              <w:tl2br w:val="nil"/>
              <w:tr2bl w:val="nil"/>
            </w:tcBorders>
            <w:vAlign w:val="center"/>
          </w:tcPr>
          <w:p w14:paraId="0BA2B5B2">
            <w:pPr>
              <w:spacing w:line="300" w:lineRule="auto"/>
              <w:jc w:val="center"/>
              <w:rPr>
                <w:rFonts w:ascii="宋体" w:hAnsi="宋体"/>
                <w:sz w:val="24"/>
                <w:szCs w:val="24"/>
                <w:highlight w:val="none"/>
              </w:rPr>
            </w:pPr>
          </w:p>
        </w:tc>
        <w:tc>
          <w:tcPr>
            <w:tcW w:w="1574" w:type="dxa"/>
            <w:tcBorders>
              <w:tl2br w:val="nil"/>
              <w:tr2bl w:val="nil"/>
            </w:tcBorders>
            <w:vAlign w:val="center"/>
          </w:tcPr>
          <w:p w14:paraId="5814D59A">
            <w:pPr>
              <w:spacing w:line="300" w:lineRule="auto"/>
              <w:jc w:val="center"/>
              <w:rPr>
                <w:rFonts w:ascii="宋体" w:hAnsi="宋体"/>
                <w:sz w:val="24"/>
                <w:szCs w:val="24"/>
                <w:highlight w:val="none"/>
              </w:rPr>
            </w:pPr>
          </w:p>
        </w:tc>
        <w:tc>
          <w:tcPr>
            <w:tcW w:w="1345" w:type="dxa"/>
            <w:tcBorders>
              <w:tl2br w:val="nil"/>
              <w:tr2bl w:val="nil"/>
            </w:tcBorders>
            <w:vAlign w:val="center"/>
          </w:tcPr>
          <w:p w14:paraId="7229B600">
            <w:pPr>
              <w:spacing w:line="300" w:lineRule="auto"/>
              <w:jc w:val="center"/>
              <w:rPr>
                <w:rFonts w:ascii="宋体" w:hAnsi="宋体"/>
                <w:sz w:val="24"/>
                <w:szCs w:val="24"/>
                <w:highlight w:val="none"/>
              </w:rPr>
            </w:pPr>
          </w:p>
        </w:tc>
      </w:tr>
      <w:tr w14:paraId="3C0885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4A7E1543">
            <w:pPr>
              <w:spacing w:line="300" w:lineRule="auto"/>
              <w:jc w:val="center"/>
              <w:rPr>
                <w:rFonts w:ascii="宋体" w:hAnsi="宋体"/>
                <w:sz w:val="24"/>
                <w:szCs w:val="24"/>
                <w:highlight w:val="none"/>
              </w:rPr>
            </w:pPr>
          </w:p>
        </w:tc>
        <w:tc>
          <w:tcPr>
            <w:tcW w:w="2192" w:type="dxa"/>
            <w:tcBorders>
              <w:tl2br w:val="nil"/>
              <w:tr2bl w:val="nil"/>
            </w:tcBorders>
            <w:vAlign w:val="center"/>
          </w:tcPr>
          <w:p w14:paraId="4EDC3159">
            <w:pPr>
              <w:spacing w:line="300" w:lineRule="auto"/>
              <w:jc w:val="center"/>
              <w:rPr>
                <w:rFonts w:ascii="宋体" w:hAnsi="宋体"/>
                <w:sz w:val="24"/>
                <w:szCs w:val="24"/>
                <w:highlight w:val="none"/>
              </w:rPr>
            </w:pPr>
          </w:p>
        </w:tc>
        <w:tc>
          <w:tcPr>
            <w:tcW w:w="2129" w:type="dxa"/>
            <w:tcBorders>
              <w:tl2br w:val="nil"/>
              <w:tr2bl w:val="nil"/>
            </w:tcBorders>
            <w:vAlign w:val="center"/>
          </w:tcPr>
          <w:p w14:paraId="1CFE606F">
            <w:pPr>
              <w:spacing w:line="300" w:lineRule="auto"/>
              <w:jc w:val="center"/>
              <w:rPr>
                <w:rFonts w:ascii="宋体" w:hAnsi="宋体"/>
                <w:sz w:val="24"/>
                <w:szCs w:val="24"/>
                <w:highlight w:val="none"/>
              </w:rPr>
            </w:pPr>
          </w:p>
        </w:tc>
        <w:tc>
          <w:tcPr>
            <w:tcW w:w="1822" w:type="dxa"/>
            <w:tcBorders>
              <w:tl2br w:val="nil"/>
              <w:tr2bl w:val="nil"/>
            </w:tcBorders>
            <w:vAlign w:val="center"/>
          </w:tcPr>
          <w:p w14:paraId="6914ED4D">
            <w:pPr>
              <w:spacing w:line="300" w:lineRule="auto"/>
              <w:jc w:val="center"/>
              <w:rPr>
                <w:rFonts w:ascii="宋体" w:hAnsi="宋体"/>
                <w:sz w:val="24"/>
                <w:szCs w:val="24"/>
                <w:highlight w:val="none"/>
              </w:rPr>
            </w:pPr>
          </w:p>
        </w:tc>
        <w:tc>
          <w:tcPr>
            <w:tcW w:w="1574" w:type="dxa"/>
            <w:tcBorders>
              <w:tl2br w:val="nil"/>
              <w:tr2bl w:val="nil"/>
            </w:tcBorders>
            <w:vAlign w:val="center"/>
          </w:tcPr>
          <w:p w14:paraId="191E1288">
            <w:pPr>
              <w:spacing w:line="300" w:lineRule="auto"/>
              <w:jc w:val="center"/>
              <w:rPr>
                <w:rFonts w:ascii="宋体" w:hAnsi="宋体"/>
                <w:sz w:val="24"/>
                <w:szCs w:val="24"/>
                <w:highlight w:val="none"/>
              </w:rPr>
            </w:pPr>
          </w:p>
        </w:tc>
        <w:tc>
          <w:tcPr>
            <w:tcW w:w="1345" w:type="dxa"/>
            <w:tcBorders>
              <w:tl2br w:val="nil"/>
              <w:tr2bl w:val="nil"/>
            </w:tcBorders>
            <w:vAlign w:val="center"/>
          </w:tcPr>
          <w:p w14:paraId="0390C8A7">
            <w:pPr>
              <w:spacing w:line="300" w:lineRule="auto"/>
              <w:jc w:val="center"/>
              <w:rPr>
                <w:rFonts w:ascii="宋体" w:hAnsi="宋体"/>
                <w:sz w:val="24"/>
                <w:szCs w:val="24"/>
                <w:highlight w:val="none"/>
              </w:rPr>
            </w:pPr>
          </w:p>
        </w:tc>
      </w:tr>
      <w:tr w14:paraId="47430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717" w:type="dxa"/>
            <w:tcBorders>
              <w:tl2br w:val="nil"/>
              <w:tr2bl w:val="nil"/>
            </w:tcBorders>
            <w:vAlign w:val="center"/>
          </w:tcPr>
          <w:p w14:paraId="0FA2C05B">
            <w:pPr>
              <w:spacing w:line="300" w:lineRule="auto"/>
              <w:jc w:val="center"/>
              <w:rPr>
                <w:rFonts w:ascii="宋体" w:hAnsi="宋体"/>
                <w:sz w:val="24"/>
                <w:szCs w:val="24"/>
                <w:highlight w:val="none"/>
              </w:rPr>
            </w:pPr>
          </w:p>
        </w:tc>
        <w:tc>
          <w:tcPr>
            <w:tcW w:w="2192" w:type="dxa"/>
            <w:tcBorders>
              <w:tl2br w:val="nil"/>
              <w:tr2bl w:val="nil"/>
            </w:tcBorders>
            <w:vAlign w:val="center"/>
          </w:tcPr>
          <w:p w14:paraId="687C4CC4">
            <w:pPr>
              <w:spacing w:line="300" w:lineRule="auto"/>
              <w:jc w:val="center"/>
              <w:rPr>
                <w:rFonts w:ascii="宋体" w:hAnsi="宋体"/>
                <w:sz w:val="24"/>
                <w:szCs w:val="24"/>
                <w:highlight w:val="none"/>
              </w:rPr>
            </w:pPr>
          </w:p>
        </w:tc>
        <w:tc>
          <w:tcPr>
            <w:tcW w:w="2129" w:type="dxa"/>
            <w:tcBorders>
              <w:tl2br w:val="nil"/>
              <w:tr2bl w:val="nil"/>
            </w:tcBorders>
            <w:vAlign w:val="center"/>
          </w:tcPr>
          <w:p w14:paraId="32973F3E">
            <w:pPr>
              <w:spacing w:line="300" w:lineRule="auto"/>
              <w:jc w:val="center"/>
              <w:rPr>
                <w:rFonts w:ascii="宋体" w:hAnsi="宋体"/>
                <w:sz w:val="24"/>
                <w:szCs w:val="24"/>
                <w:highlight w:val="none"/>
              </w:rPr>
            </w:pPr>
          </w:p>
        </w:tc>
        <w:tc>
          <w:tcPr>
            <w:tcW w:w="1822" w:type="dxa"/>
            <w:tcBorders>
              <w:tl2br w:val="nil"/>
              <w:tr2bl w:val="nil"/>
            </w:tcBorders>
            <w:vAlign w:val="center"/>
          </w:tcPr>
          <w:p w14:paraId="0C87A2E0">
            <w:pPr>
              <w:spacing w:line="300" w:lineRule="auto"/>
              <w:jc w:val="center"/>
              <w:rPr>
                <w:rFonts w:ascii="宋体" w:hAnsi="宋体"/>
                <w:sz w:val="24"/>
                <w:szCs w:val="24"/>
                <w:highlight w:val="none"/>
              </w:rPr>
            </w:pPr>
          </w:p>
        </w:tc>
        <w:tc>
          <w:tcPr>
            <w:tcW w:w="1574" w:type="dxa"/>
            <w:tcBorders>
              <w:tl2br w:val="nil"/>
              <w:tr2bl w:val="nil"/>
            </w:tcBorders>
            <w:vAlign w:val="center"/>
          </w:tcPr>
          <w:p w14:paraId="3DCF0CD4">
            <w:pPr>
              <w:spacing w:line="300" w:lineRule="auto"/>
              <w:jc w:val="center"/>
              <w:rPr>
                <w:rFonts w:ascii="宋体" w:hAnsi="宋体"/>
                <w:sz w:val="24"/>
                <w:szCs w:val="24"/>
                <w:highlight w:val="none"/>
              </w:rPr>
            </w:pPr>
          </w:p>
        </w:tc>
        <w:tc>
          <w:tcPr>
            <w:tcW w:w="1345" w:type="dxa"/>
            <w:tcBorders>
              <w:tl2br w:val="nil"/>
              <w:tr2bl w:val="nil"/>
            </w:tcBorders>
            <w:vAlign w:val="center"/>
          </w:tcPr>
          <w:p w14:paraId="06800D81">
            <w:pPr>
              <w:spacing w:line="300" w:lineRule="auto"/>
              <w:jc w:val="center"/>
              <w:rPr>
                <w:rFonts w:ascii="宋体" w:hAnsi="宋体"/>
                <w:sz w:val="24"/>
                <w:szCs w:val="24"/>
                <w:highlight w:val="none"/>
              </w:rPr>
            </w:pPr>
          </w:p>
        </w:tc>
      </w:tr>
      <w:tr w14:paraId="708596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7" w:hRule="atLeast"/>
          <w:jc w:val="center"/>
        </w:trPr>
        <w:tc>
          <w:tcPr>
            <w:tcW w:w="9779" w:type="dxa"/>
            <w:gridSpan w:val="6"/>
            <w:tcBorders>
              <w:tl2br w:val="nil"/>
              <w:tr2bl w:val="nil"/>
            </w:tcBorders>
            <w:vAlign w:val="center"/>
          </w:tcPr>
          <w:p w14:paraId="2446E56C">
            <w:pPr>
              <w:spacing w:line="300" w:lineRule="auto"/>
              <w:rPr>
                <w:rFonts w:ascii="宋体" w:hAnsi="宋体"/>
                <w:sz w:val="24"/>
                <w:szCs w:val="24"/>
                <w:highlight w:val="none"/>
              </w:rPr>
            </w:pPr>
            <w:r>
              <w:rPr>
                <w:rFonts w:hint="eastAsia" w:ascii="宋体" w:hAnsi="宋体"/>
                <w:sz w:val="24"/>
                <w:szCs w:val="24"/>
                <w:highlight w:val="none"/>
              </w:rPr>
              <w:t>总投资：     元</w:t>
            </w:r>
          </w:p>
        </w:tc>
      </w:tr>
    </w:tbl>
    <w:p w14:paraId="6FBA78B3">
      <w:pPr>
        <w:spacing w:line="300" w:lineRule="auto"/>
        <w:rPr>
          <w:rFonts w:ascii="宋体" w:hAnsi="宋体" w:cs="仿宋_GB2312"/>
          <w:b/>
          <w:sz w:val="28"/>
          <w:szCs w:val="28"/>
          <w:highlight w:val="none"/>
        </w:rPr>
      </w:pPr>
    </w:p>
    <w:p w14:paraId="1CF14399">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供应商名称(公章)：______________</w:t>
      </w:r>
    </w:p>
    <w:p w14:paraId="253524EE">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法定代表人或负责人或其授权代表(签字或盖章)：______________</w:t>
      </w:r>
    </w:p>
    <w:p w14:paraId="392083CA">
      <w:pPr>
        <w:pStyle w:val="16"/>
        <w:spacing w:line="480" w:lineRule="exact"/>
        <w:ind w:firstLine="480" w:firstLineChars="200"/>
        <w:rPr>
          <w:rFonts w:hAnsi="宋体" w:cs="宋体"/>
          <w:sz w:val="24"/>
          <w:szCs w:val="24"/>
          <w:highlight w:val="none"/>
        </w:rPr>
      </w:pPr>
      <w:r>
        <w:rPr>
          <w:rFonts w:hint="eastAsia" w:hAnsi="宋体" w:cs="宋体"/>
          <w:sz w:val="24"/>
          <w:szCs w:val="24"/>
          <w:highlight w:val="none"/>
        </w:rPr>
        <w:t>日期：______年____月____日</w:t>
      </w:r>
    </w:p>
    <w:p w14:paraId="6277C9AA">
      <w:pPr>
        <w:pStyle w:val="5"/>
        <w:spacing w:line="480" w:lineRule="exact"/>
        <w:rPr>
          <w:rFonts w:cs="宋体"/>
          <w:highlight w:val="none"/>
          <w:u w:val="none"/>
        </w:rPr>
      </w:pPr>
      <w:bookmarkStart w:id="367" w:name="_Toc3986"/>
      <w:r>
        <w:rPr>
          <w:rFonts w:hint="eastAsia" w:cs="宋体"/>
          <w:highlight w:val="none"/>
          <w:u w:val="none"/>
        </w:rPr>
        <w:t>1</w:t>
      </w:r>
      <w:r>
        <w:rPr>
          <w:rFonts w:hint="eastAsia" w:cs="宋体"/>
          <w:highlight w:val="none"/>
          <w:u w:val="none"/>
          <w:lang w:val="en-US" w:eastAsia="zh-CN"/>
        </w:rPr>
        <w:t>7</w:t>
      </w:r>
      <w:r>
        <w:rPr>
          <w:rFonts w:hint="eastAsia" w:cs="宋体"/>
          <w:highlight w:val="none"/>
          <w:u w:val="none"/>
        </w:rPr>
        <w:t>.技术评审文件</w:t>
      </w:r>
      <w:bookmarkEnd w:id="367"/>
    </w:p>
    <w:p w14:paraId="01905C5C">
      <w:pPr>
        <w:spacing w:line="480" w:lineRule="exact"/>
        <w:jc w:val="left"/>
        <w:rPr>
          <w:rFonts w:ascii="宋体" w:hAnsi="宋体" w:cs="宋体"/>
          <w:kern w:val="0"/>
          <w:sz w:val="24"/>
          <w:szCs w:val="22"/>
          <w:highlight w:val="none"/>
        </w:rPr>
      </w:pPr>
      <w:r>
        <w:rPr>
          <w:rFonts w:hint="eastAsia" w:ascii="宋体" w:hAnsi="宋体" w:cs="宋体"/>
          <w:kern w:val="0"/>
          <w:sz w:val="24"/>
          <w:szCs w:val="22"/>
          <w:highlight w:val="none"/>
        </w:rPr>
        <w:t>技术部分评分中要求的相关技术文件。</w:t>
      </w:r>
    </w:p>
    <w:p w14:paraId="71E62D31">
      <w:pPr>
        <w:pStyle w:val="5"/>
        <w:spacing w:line="480" w:lineRule="exact"/>
        <w:rPr>
          <w:rFonts w:cs="宋体"/>
          <w:highlight w:val="none"/>
          <w:u w:val="none"/>
        </w:rPr>
      </w:pPr>
      <w:bookmarkStart w:id="368" w:name="_Toc12264"/>
      <w:r>
        <w:rPr>
          <w:rFonts w:hint="eastAsia" w:cs="宋体"/>
          <w:highlight w:val="none"/>
          <w:u w:val="none"/>
        </w:rPr>
        <w:t>1</w:t>
      </w:r>
      <w:r>
        <w:rPr>
          <w:rFonts w:hint="eastAsia" w:cs="宋体"/>
          <w:highlight w:val="none"/>
          <w:u w:val="none"/>
          <w:lang w:val="en-US" w:eastAsia="zh-CN"/>
        </w:rPr>
        <w:t>8</w:t>
      </w:r>
      <w:r>
        <w:rPr>
          <w:rFonts w:hint="eastAsia" w:cs="宋体"/>
          <w:highlight w:val="none"/>
          <w:u w:val="none"/>
        </w:rPr>
        <w:t>.其他用于评分的证明材料</w:t>
      </w:r>
      <w:bookmarkEnd w:id="368"/>
    </w:p>
    <w:p w14:paraId="04984025">
      <w:pPr>
        <w:spacing w:line="480" w:lineRule="exact"/>
        <w:jc w:val="left"/>
        <w:rPr>
          <w:rFonts w:ascii="宋体" w:hAnsi="宋体" w:cs="宋体"/>
          <w:kern w:val="0"/>
          <w:sz w:val="24"/>
          <w:szCs w:val="22"/>
          <w:highlight w:val="none"/>
        </w:rPr>
      </w:pPr>
      <w:r>
        <w:rPr>
          <w:rFonts w:hint="eastAsia" w:ascii="宋体" w:hAnsi="宋体" w:cs="宋体"/>
          <w:kern w:val="0"/>
          <w:sz w:val="24"/>
          <w:szCs w:val="22"/>
          <w:highlight w:val="none"/>
        </w:rPr>
        <w:t>评分中要求的相关文件。</w:t>
      </w:r>
    </w:p>
    <w:p w14:paraId="091CED90">
      <w:pPr>
        <w:pStyle w:val="5"/>
        <w:spacing w:line="480" w:lineRule="exact"/>
        <w:rPr>
          <w:rFonts w:cs="宋体"/>
          <w:highlight w:val="none"/>
          <w:u w:val="none"/>
        </w:rPr>
      </w:pPr>
      <w:bookmarkStart w:id="369" w:name="_Toc17368"/>
      <w:r>
        <w:rPr>
          <w:rFonts w:hint="eastAsia" w:cs="宋体"/>
          <w:highlight w:val="none"/>
          <w:u w:val="none"/>
          <w:lang w:val="en-US" w:eastAsia="zh-CN"/>
        </w:rPr>
        <w:t>19</w:t>
      </w:r>
      <w:r>
        <w:rPr>
          <w:rFonts w:hint="eastAsia" w:cs="宋体"/>
          <w:highlight w:val="none"/>
          <w:u w:val="none"/>
        </w:rPr>
        <w:t>.供应商关联单位的说明</w:t>
      </w:r>
      <w:bookmarkEnd w:id="369"/>
    </w:p>
    <w:p w14:paraId="2471E343">
      <w:pPr>
        <w:autoSpaceDE w:val="0"/>
        <w:autoSpaceDN w:val="0"/>
        <w:adjustRightInd w:val="0"/>
        <w:spacing w:line="480" w:lineRule="exact"/>
        <w:ind w:firstLine="480" w:firstLineChars="200"/>
        <w:jc w:val="left"/>
        <w:rPr>
          <w:rFonts w:ascii="宋体" w:hAnsi="宋体" w:cs="宋体"/>
          <w:kern w:val="0"/>
          <w:sz w:val="24"/>
          <w:szCs w:val="20"/>
          <w:highlight w:val="none"/>
        </w:rPr>
      </w:pPr>
      <w:r>
        <w:rPr>
          <w:rFonts w:hint="eastAsia" w:ascii="宋体" w:hAnsi="宋体" w:cs="宋体"/>
          <w:kern w:val="0"/>
          <w:sz w:val="24"/>
          <w:szCs w:val="20"/>
          <w:highlight w:val="none"/>
        </w:rPr>
        <w:t>说明：供应商应当如实披露与本单位存在下列关联关系的单位名称：</w:t>
      </w:r>
    </w:p>
    <w:p w14:paraId="7B2B5FA5">
      <w:pPr>
        <w:autoSpaceDE w:val="0"/>
        <w:autoSpaceDN w:val="0"/>
        <w:adjustRightInd w:val="0"/>
        <w:spacing w:line="480" w:lineRule="exact"/>
        <w:ind w:firstLine="480" w:firstLineChars="200"/>
        <w:jc w:val="left"/>
        <w:rPr>
          <w:rFonts w:ascii="宋体" w:hAnsi="宋体" w:cs="宋体"/>
          <w:kern w:val="0"/>
          <w:sz w:val="24"/>
          <w:szCs w:val="20"/>
          <w:highlight w:val="none"/>
        </w:rPr>
      </w:pPr>
      <w:r>
        <w:rPr>
          <w:rFonts w:hint="eastAsia" w:ascii="宋体" w:hAnsi="宋体" w:cs="宋体"/>
          <w:kern w:val="0"/>
          <w:sz w:val="24"/>
          <w:szCs w:val="20"/>
          <w:highlight w:val="none"/>
        </w:rPr>
        <w:t>（1）与供应商单位负责人为同一人的其他单位；</w:t>
      </w:r>
    </w:p>
    <w:p w14:paraId="7A43B930">
      <w:pPr>
        <w:autoSpaceDE w:val="0"/>
        <w:autoSpaceDN w:val="0"/>
        <w:adjustRightInd w:val="0"/>
        <w:spacing w:line="480" w:lineRule="exact"/>
        <w:ind w:firstLine="480" w:firstLineChars="200"/>
        <w:jc w:val="left"/>
        <w:rPr>
          <w:rFonts w:ascii="宋体" w:hAnsi="宋体" w:cs="宋体"/>
          <w:kern w:val="0"/>
          <w:sz w:val="24"/>
          <w:szCs w:val="20"/>
          <w:highlight w:val="none"/>
        </w:rPr>
      </w:pPr>
      <w:r>
        <w:rPr>
          <w:rFonts w:hint="eastAsia" w:ascii="宋体" w:hAnsi="宋体" w:cs="宋体"/>
          <w:kern w:val="0"/>
          <w:sz w:val="24"/>
          <w:szCs w:val="20"/>
          <w:highlight w:val="none"/>
        </w:rPr>
        <w:t xml:space="preserve"> （2）与供应商存在直接控股、管理关系的其他单位。</w:t>
      </w:r>
    </w:p>
    <w:p w14:paraId="69B7F71A">
      <w:pPr>
        <w:pStyle w:val="5"/>
        <w:spacing w:line="480" w:lineRule="exact"/>
        <w:rPr>
          <w:rFonts w:cs="宋体"/>
          <w:highlight w:val="none"/>
          <w:u w:val="none"/>
        </w:rPr>
      </w:pPr>
      <w:bookmarkStart w:id="370" w:name="_Toc20959"/>
      <w:r>
        <w:rPr>
          <w:rFonts w:hint="eastAsia" w:cs="宋体"/>
          <w:highlight w:val="none"/>
          <w:u w:val="none"/>
          <w:lang w:val="en-US" w:eastAsia="zh-CN"/>
        </w:rPr>
        <w:t>20</w:t>
      </w:r>
      <w:r>
        <w:rPr>
          <w:rFonts w:hint="eastAsia" w:cs="宋体"/>
          <w:highlight w:val="none"/>
          <w:u w:val="none"/>
        </w:rPr>
        <w:t>.其它材料</w:t>
      </w:r>
      <w:bookmarkEnd w:id="370"/>
    </w:p>
    <w:p w14:paraId="721BF369">
      <w:pPr>
        <w:autoSpaceDE w:val="0"/>
        <w:autoSpaceDN w:val="0"/>
        <w:adjustRightInd w:val="0"/>
        <w:spacing w:line="360" w:lineRule="auto"/>
        <w:ind w:left="643" w:leftChars="306"/>
        <w:jc w:val="left"/>
        <w:rPr>
          <w:rFonts w:hint="eastAsia" w:ascii="宋体" w:hAnsi="宋体" w:cs="宋体"/>
          <w:color w:val="000000" w:themeColor="text1"/>
          <w:kern w:val="0"/>
          <w:sz w:val="24"/>
          <w:szCs w:val="20"/>
          <w:highlight w:val="none"/>
          <w14:textFill>
            <w14:solidFill>
              <w14:schemeClr w14:val="tx1"/>
            </w14:solidFill>
          </w14:textFill>
        </w:rPr>
      </w:pPr>
    </w:p>
    <w:p w14:paraId="3F767FC3">
      <w:pPr>
        <w:autoSpaceDE w:val="0"/>
        <w:autoSpaceDN w:val="0"/>
        <w:adjustRightInd w:val="0"/>
        <w:spacing w:line="360" w:lineRule="auto"/>
        <w:ind w:left="643" w:leftChars="306"/>
        <w:jc w:val="left"/>
        <w:rPr>
          <w:rFonts w:hint="eastAsia" w:ascii="宋体" w:hAnsi="宋体" w:cs="宋体"/>
          <w:color w:val="000000" w:themeColor="text1"/>
          <w:kern w:val="0"/>
          <w:sz w:val="24"/>
          <w:szCs w:val="20"/>
          <w:highlight w:val="none"/>
          <w14:textFill>
            <w14:solidFill>
              <w14:schemeClr w14:val="tx1"/>
            </w14:solidFill>
          </w14:textFill>
        </w:rPr>
      </w:pPr>
    </w:p>
    <w:p w14:paraId="027CBD16">
      <w:pPr>
        <w:spacing w:line="360" w:lineRule="auto"/>
        <w:rPr>
          <w:rFonts w:ascii="宋体" w:hAnsi="宋体" w:cs="宋体"/>
          <w:i/>
          <w:iCs/>
          <w:color w:val="000000" w:themeColor="text1"/>
          <w:highlight w:val="none"/>
          <w14:textFill>
            <w14:solidFill>
              <w14:schemeClr w14:val="tx1"/>
            </w14:solidFill>
          </w14:textFill>
        </w:rPr>
      </w:pPr>
    </w:p>
    <w:p w14:paraId="6E62B119">
      <w:pPr>
        <w:widowControl/>
        <w:spacing w:line="360" w:lineRule="auto"/>
        <w:jc w:val="left"/>
        <w:rPr>
          <w:rFonts w:ascii="宋体" w:hAnsi="宋体" w:cs="宋体"/>
          <w:i/>
          <w:iCs/>
          <w:color w:val="000000" w:themeColor="text1"/>
          <w:highlight w:val="none"/>
          <w14:textFill>
            <w14:solidFill>
              <w14:schemeClr w14:val="tx1"/>
            </w14:solidFill>
          </w14:textFill>
        </w:rPr>
      </w:pPr>
      <w:r>
        <w:rPr>
          <w:rFonts w:hint="eastAsia" w:ascii="宋体" w:hAnsi="宋体" w:cs="宋体"/>
          <w:i/>
          <w:iCs/>
          <w:color w:val="000000" w:themeColor="text1"/>
          <w:highlight w:val="none"/>
          <w14:textFill>
            <w14:solidFill>
              <w14:schemeClr w14:val="tx1"/>
            </w14:solidFill>
          </w14:textFill>
        </w:rPr>
        <w:br w:type="page"/>
      </w:r>
    </w:p>
    <w:p w14:paraId="3F701593">
      <w:pPr>
        <w:pStyle w:val="3"/>
        <w:tabs>
          <w:tab w:val="left" w:pos="0"/>
          <w:tab w:val="left" w:pos="2850"/>
        </w:tabs>
        <w:spacing w:before="0" w:after="0" w:line="240" w:lineRule="atLeast"/>
        <w:ind w:left="1560"/>
        <w:rPr>
          <w:rFonts w:hAnsi="宋体" w:cs="宋体"/>
          <w:color w:val="000000" w:themeColor="text1"/>
          <w:highlight w:val="none"/>
          <w14:textFill>
            <w14:solidFill>
              <w14:schemeClr w14:val="tx1"/>
            </w14:solidFill>
          </w14:textFill>
        </w:rPr>
      </w:pPr>
      <w:bookmarkStart w:id="371" w:name="_Toc4145"/>
      <w:r>
        <w:rPr>
          <w:rFonts w:hint="eastAsia" w:hAnsi="宋体" w:cs="宋体"/>
          <w:color w:val="000000" w:themeColor="text1"/>
          <w:highlight w:val="none"/>
          <w14:textFill>
            <w14:solidFill>
              <w14:schemeClr w14:val="tx1"/>
            </w14:solidFill>
          </w14:textFill>
        </w:rPr>
        <w:t>第7章  采购合同格式</w:t>
      </w:r>
      <w:bookmarkEnd w:id="371"/>
    </w:p>
    <w:p w14:paraId="7958FE3D">
      <w:pPr>
        <w:rPr>
          <w:rFonts w:ascii="宋体" w:hAnsi="宋体" w:cs="宋体"/>
          <w:color w:val="000000" w:themeColor="text1"/>
          <w:szCs w:val="21"/>
          <w:highlight w:val="none"/>
          <w14:textFill>
            <w14:solidFill>
              <w14:schemeClr w14:val="tx1"/>
            </w14:solidFill>
          </w14:textFill>
        </w:rPr>
      </w:pPr>
    </w:p>
    <w:tbl>
      <w:tblPr>
        <w:tblStyle w:val="33"/>
        <w:tblpPr w:leftFromText="180" w:rightFromText="180" w:vertAnchor="page" w:horzAnchor="page" w:tblpX="5153" w:tblpY="23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514"/>
      </w:tblGrid>
      <w:tr w14:paraId="55759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vAlign w:val="center"/>
          </w:tcPr>
          <w:p w14:paraId="24E2088A">
            <w:pPr>
              <w:jc w:val="center"/>
              <w:rPr>
                <w:rFonts w:ascii="Times New Roman" w:hAnsi="Times New Roman" w:eastAsia="宋体"/>
                <w:color w:val="auto"/>
                <w:sz w:val="28"/>
                <w:szCs w:val="28"/>
                <w:highlight w:val="none"/>
              </w:rPr>
            </w:pPr>
            <w:r>
              <w:rPr>
                <w:rFonts w:hint="eastAsia" w:ascii="Times New Roman" w:hAnsi="Times New Roman" w:eastAsia="宋体"/>
                <w:b/>
                <w:bCs/>
                <w:color w:val="auto"/>
                <w:sz w:val="28"/>
                <w:szCs w:val="28"/>
                <w:highlight w:val="none"/>
              </w:rPr>
              <w:t>备案编号</w:t>
            </w:r>
          </w:p>
        </w:tc>
        <w:tc>
          <w:tcPr>
            <w:tcW w:w="3514" w:type="dxa"/>
            <w:vAlign w:val="center"/>
          </w:tcPr>
          <w:p w14:paraId="18F622D3">
            <w:pPr>
              <w:jc w:val="center"/>
              <w:rPr>
                <w:rFonts w:hint="default" w:ascii="Times New Roman" w:hAnsi="Times New Roman" w:eastAsia="宋体"/>
                <w:b/>
                <w:color w:val="auto"/>
                <w:sz w:val="32"/>
                <w:szCs w:val="32"/>
                <w:highlight w:val="none"/>
                <w:lang w:val="en-US" w:eastAsia="zh-CN"/>
              </w:rPr>
            </w:pPr>
            <w:r>
              <w:rPr>
                <w:rFonts w:ascii="Times New Roman" w:hAnsi="Times New Roman" w:eastAsia="宋体"/>
                <w:b/>
                <w:color w:val="auto"/>
                <w:sz w:val="32"/>
                <w:szCs w:val="32"/>
                <w:highlight w:val="none"/>
              </w:rPr>
              <w:t>LD-</w:t>
            </w:r>
            <w:r>
              <w:rPr>
                <w:rFonts w:hint="eastAsia" w:ascii="Times New Roman" w:hAnsi="Times New Roman" w:eastAsia="宋体"/>
                <w:b/>
                <w:color w:val="auto"/>
                <w:sz w:val="32"/>
                <w:szCs w:val="32"/>
                <w:highlight w:val="none"/>
              </w:rPr>
              <w:t>2</w:t>
            </w:r>
            <w:r>
              <w:rPr>
                <w:rFonts w:ascii="Times New Roman" w:hAnsi="Times New Roman" w:eastAsia="宋体"/>
                <w:b/>
                <w:color w:val="auto"/>
                <w:sz w:val="32"/>
                <w:szCs w:val="32"/>
                <w:highlight w:val="none"/>
              </w:rPr>
              <w:t>02</w:t>
            </w:r>
            <w:r>
              <w:rPr>
                <w:rFonts w:hint="eastAsia" w:ascii="Times New Roman" w:hAnsi="Times New Roman"/>
                <w:b/>
                <w:color w:val="auto"/>
                <w:sz w:val="32"/>
                <w:szCs w:val="32"/>
                <w:highlight w:val="none"/>
                <w:lang w:val="en-US" w:eastAsia="zh-CN"/>
              </w:rPr>
              <w:t>5</w:t>
            </w:r>
            <w:r>
              <w:rPr>
                <w:rFonts w:ascii="Times New Roman" w:hAnsi="Times New Roman" w:eastAsia="宋体"/>
                <w:b/>
                <w:color w:val="auto"/>
                <w:sz w:val="32"/>
                <w:szCs w:val="32"/>
                <w:highlight w:val="none"/>
              </w:rPr>
              <w:t>-ZB</w:t>
            </w:r>
            <w:r>
              <w:rPr>
                <w:rFonts w:hint="eastAsia" w:ascii="Times New Roman" w:hAnsi="Times New Roman" w:eastAsia="宋体"/>
                <w:b/>
                <w:color w:val="auto"/>
                <w:sz w:val="32"/>
                <w:szCs w:val="32"/>
                <w:highlight w:val="none"/>
                <w:lang w:val="en-US" w:eastAsia="zh-CN"/>
              </w:rPr>
              <w:t>2</w:t>
            </w:r>
            <w:r>
              <w:rPr>
                <w:rFonts w:ascii="Times New Roman" w:hAnsi="Times New Roman" w:eastAsia="宋体"/>
                <w:b/>
                <w:color w:val="auto"/>
                <w:sz w:val="32"/>
                <w:szCs w:val="32"/>
                <w:highlight w:val="none"/>
              </w:rPr>
              <w:t>-</w:t>
            </w:r>
            <w:r>
              <w:rPr>
                <w:rFonts w:hint="eastAsia" w:ascii="Times New Roman" w:hAnsi="Times New Roman" w:eastAsia="宋体"/>
                <w:b/>
                <w:color w:val="auto"/>
                <w:sz w:val="32"/>
                <w:szCs w:val="32"/>
                <w:highlight w:val="none"/>
                <w:lang w:val="en-US" w:eastAsia="zh-CN"/>
              </w:rPr>
              <w:t xml:space="preserve">  </w:t>
            </w:r>
          </w:p>
        </w:tc>
      </w:tr>
    </w:tbl>
    <w:p w14:paraId="74904E58">
      <w:pPr>
        <w:spacing w:line="320" w:lineRule="atLeast"/>
        <w:ind w:firstLine="420" w:firstLineChars="200"/>
        <w:jc w:val="left"/>
        <w:rPr>
          <w:rFonts w:hint="eastAsia"/>
          <w:highlight w:val="none"/>
        </w:rPr>
      </w:pPr>
      <w:r>
        <w:rPr>
          <w:rFonts w:hint="eastAsia"/>
          <w:highlight w:val="none"/>
        </w:rPr>
        <w:t xml:space="preserve">        </w:t>
      </w:r>
    </w:p>
    <w:p w14:paraId="204DCC94">
      <w:pPr>
        <w:spacing w:line="320" w:lineRule="atLeast"/>
        <w:ind w:firstLine="420" w:firstLineChars="200"/>
        <w:jc w:val="left"/>
        <w:rPr>
          <w:highlight w:val="none"/>
        </w:rPr>
      </w:pPr>
      <w:r>
        <w:rPr>
          <w:rFonts w:hint="eastAsia"/>
          <w:highlight w:val="none"/>
        </w:rPr>
        <w:t xml:space="preserve">  </w:t>
      </w:r>
      <w:r>
        <w:rPr>
          <w:highlight w:val="none"/>
        </w:rPr>
        <w:drawing>
          <wp:inline distT="0" distB="0" distL="114300" distR="114300">
            <wp:extent cx="934720" cy="923925"/>
            <wp:effectExtent l="0" t="0" r="17780" b="9525"/>
            <wp:docPr id="8" name="图片 5"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u=3151740014,3740664874&amp;fm=15&amp;gp=0"/>
                    <pic:cNvPicPr>
                      <a:picLocks noChangeAspect="1"/>
                    </pic:cNvPicPr>
                  </pic:nvPicPr>
                  <pic:blipFill>
                    <a:blip r:embed="rId12"/>
                    <a:stretch>
                      <a:fillRect/>
                    </a:stretch>
                  </pic:blipFill>
                  <pic:spPr>
                    <a:xfrm>
                      <a:off x="0" y="0"/>
                      <a:ext cx="934720" cy="923925"/>
                    </a:xfrm>
                    <a:prstGeom prst="rect">
                      <a:avLst/>
                    </a:prstGeom>
                    <a:noFill/>
                    <a:ln>
                      <a:noFill/>
                    </a:ln>
                  </pic:spPr>
                </pic:pic>
              </a:graphicData>
            </a:graphic>
          </wp:inline>
        </w:drawing>
      </w:r>
    </w:p>
    <w:p w14:paraId="5CC37D5B">
      <w:pPr>
        <w:spacing w:line="320" w:lineRule="atLeast"/>
        <w:jc w:val="left"/>
        <w:rPr>
          <w:b/>
          <w:bCs/>
          <w:color w:val="92D050"/>
          <w:sz w:val="32"/>
          <w:szCs w:val="32"/>
          <w:highlight w:val="none"/>
        </w:rPr>
      </w:pPr>
      <w:r>
        <w:rPr>
          <w:rFonts w:hint="eastAsia"/>
          <w:highlight w:val="none"/>
        </w:rPr>
        <w:t xml:space="preserve"> </w:t>
      </w:r>
      <w:r>
        <w:rPr>
          <w:rFonts w:hint="eastAsia"/>
          <w:highlight w:val="none"/>
          <w:lang w:val="en-US" w:eastAsia="zh-CN"/>
        </w:rPr>
        <w:t xml:space="preserve">  </w:t>
      </w:r>
      <w:r>
        <w:rPr>
          <w:rFonts w:hint="eastAsia"/>
          <w:b/>
          <w:bCs/>
          <w:color w:val="92D050"/>
          <w:sz w:val="32"/>
          <w:szCs w:val="32"/>
          <w:highlight w:val="none"/>
        </w:rPr>
        <w:t>临沂大学合同</w:t>
      </w:r>
    </w:p>
    <w:p w14:paraId="378A1E73">
      <w:pPr>
        <w:pStyle w:val="2"/>
        <w:rPr>
          <w:rFonts w:ascii="宋体" w:hAnsi="宋体" w:cs="宋体"/>
          <w:color w:val="000000" w:themeColor="text1"/>
          <w:szCs w:val="21"/>
          <w:highlight w:val="none"/>
          <w14:textFill>
            <w14:solidFill>
              <w14:schemeClr w14:val="tx1"/>
            </w14:solidFill>
          </w14:textFill>
        </w:rPr>
      </w:pPr>
    </w:p>
    <w:p w14:paraId="22871347">
      <w:pPr>
        <w:pStyle w:val="2"/>
        <w:rPr>
          <w:rFonts w:ascii="宋体" w:hAnsi="宋体" w:cs="宋体"/>
          <w:color w:val="000000" w:themeColor="text1"/>
          <w:szCs w:val="21"/>
          <w:highlight w:val="none"/>
          <w14:textFill>
            <w14:solidFill>
              <w14:schemeClr w14:val="tx1"/>
            </w14:solidFill>
          </w14:textFill>
        </w:rPr>
      </w:pPr>
    </w:p>
    <w:p w14:paraId="6F61EE82">
      <w:pPr>
        <w:jc w:val="center"/>
        <w:rPr>
          <w:rFonts w:hint="eastAsia" w:ascii="仿宋" w:hAnsi="仿宋" w:eastAsia="仿宋" w:cs="仿宋"/>
          <w:b/>
          <w:sz w:val="72"/>
          <w:szCs w:val="24"/>
          <w:highlight w:val="none"/>
        </w:rPr>
      </w:pPr>
      <w:r>
        <w:rPr>
          <w:rFonts w:hint="eastAsia" w:ascii="仿宋" w:hAnsi="仿宋" w:eastAsia="仿宋" w:cs="仿宋"/>
          <w:b/>
          <w:sz w:val="72"/>
          <w:szCs w:val="24"/>
          <w:highlight w:val="none"/>
        </w:rPr>
        <w:t>临沂大学合同</w:t>
      </w:r>
    </w:p>
    <w:p w14:paraId="44F26D55">
      <w:pPr>
        <w:widowControl/>
        <w:snapToGrid w:val="0"/>
        <w:spacing w:line="320" w:lineRule="atLeast"/>
        <w:jc w:val="center"/>
        <w:rPr>
          <w:kern w:val="0"/>
          <w:szCs w:val="21"/>
          <w:highlight w:val="none"/>
        </w:rPr>
      </w:pPr>
      <w:r>
        <w:rPr>
          <w:kern w:val="0"/>
          <w:szCs w:val="21"/>
          <w:highlight w:val="none"/>
        </w:rPr>
        <w:t> </w:t>
      </w:r>
    </w:p>
    <w:p w14:paraId="24CD80EB">
      <w:pPr>
        <w:ind w:left="1319" w:leftChars="400" w:hanging="479" w:hangingChars="133"/>
        <w:rPr>
          <w:rFonts w:hint="eastAsia" w:ascii="华文仿宋" w:hAnsi="华文仿宋" w:eastAsia="华文仿宋"/>
          <w:b/>
          <w:sz w:val="36"/>
          <w:highlight w:val="none"/>
        </w:rPr>
      </w:pPr>
    </w:p>
    <w:p w14:paraId="7814F94F">
      <w:pPr>
        <w:snapToGrid w:val="0"/>
        <w:spacing w:before="312"/>
        <w:ind w:firstLine="1269" w:firstLineChars="395"/>
        <w:rPr>
          <w:rStyle w:val="35"/>
          <w:highlight w:val="none"/>
        </w:rPr>
      </w:pPr>
      <w:r>
        <w:rPr>
          <w:rStyle w:val="35"/>
          <w:rFonts w:hint="eastAsia" w:ascii="黑体" w:eastAsia="黑体"/>
          <w:sz w:val="32"/>
          <w:szCs w:val="32"/>
          <w:highlight w:val="none"/>
        </w:rPr>
        <w:t>项目名称:</w:t>
      </w:r>
      <w:r>
        <w:rPr>
          <w:rFonts w:ascii="ˎ̥" w:hAnsi="ˎ̥" w:cs="宋体"/>
          <w:bCs/>
          <w:sz w:val="32"/>
          <w:szCs w:val="32"/>
          <w:highlight w:val="none"/>
        </w:rPr>
        <w:t xml:space="preserve"> </w:t>
      </w:r>
      <w:r>
        <w:rPr>
          <w:rStyle w:val="35"/>
          <w:rFonts w:hint="eastAsia" w:ascii="黑体" w:eastAsia="黑体"/>
          <w:sz w:val="32"/>
          <w:szCs w:val="32"/>
          <w:highlight w:val="none"/>
          <w:u w:val="single"/>
        </w:rPr>
        <w:t xml:space="preserve">                             </w:t>
      </w:r>
    </w:p>
    <w:p w14:paraId="09DDC693">
      <w:pPr>
        <w:snapToGrid w:val="0"/>
        <w:spacing w:before="312"/>
        <w:ind w:firstLine="1269" w:firstLineChars="395"/>
        <w:rPr>
          <w:rFonts w:ascii="宋体" w:hAnsi="宋体" w:eastAsia="黑体"/>
          <w:sz w:val="24"/>
          <w:highlight w:val="none"/>
        </w:rPr>
      </w:pPr>
      <w:r>
        <w:rPr>
          <w:rStyle w:val="35"/>
          <w:rFonts w:hint="eastAsia" w:ascii="黑体" w:eastAsia="黑体"/>
          <w:sz w:val="32"/>
          <w:szCs w:val="32"/>
          <w:highlight w:val="none"/>
        </w:rPr>
        <w:t>合同名称：</w:t>
      </w:r>
      <w:r>
        <w:rPr>
          <w:rStyle w:val="35"/>
          <w:rFonts w:hint="eastAsia" w:ascii="黑体" w:eastAsia="黑体"/>
          <w:sz w:val="32"/>
          <w:szCs w:val="32"/>
          <w:highlight w:val="none"/>
          <w:u w:val="single"/>
        </w:rPr>
        <w:t xml:space="preserve">                              </w:t>
      </w:r>
    </w:p>
    <w:p w14:paraId="38CD84BA">
      <w:pPr>
        <w:snapToGrid w:val="0"/>
        <w:spacing w:before="312"/>
        <w:ind w:firstLine="1269" w:firstLineChars="395"/>
        <w:rPr>
          <w:rStyle w:val="35"/>
          <w:highlight w:val="none"/>
          <w:u w:val="single"/>
        </w:rPr>
      </w:pPr>
      <w:r>
        <w:rPr>
          <w:rStyle w:val="35"/>
          <w:rFonts w:hint="eastAsia" w:ascii="黑体" w:eastAsia="黑体"/>
          <w:sz w:val="32"/>
          <w:szCs w:val="32"/>
          <w:highlight w:val="none"/>
        </w:rPr>
        <w:t>项目编号</w:t>
      </w:r>
      <w:r>
        <w:rPr>
          <w:b/>
          <w:bCs/>
          <w:sz w:val="32"/>
          <w:szCs w:val="32"/>
          <w:highlight w:val="none"/>
        </w:rPr>
        <w:t>:</w:t>
      </w:r>
      <w:r>
        <w:rPr>
          <w:rFonts w:hint="eastAsia"/>
          <w:b/>
          <w:bCs/>
          <w:sz w:val="32"/>
          <w:szCs w:val="32"/>
          <w:highlight w:val="none"/>
        </w:rPr>
        <w:t xml:space="preserve">  </w:t>
      </w:r>
      <w:r>
        <w:rPr>
          <w:rStyle w:val="35"/>
          <w:rFonts w:hint="eastAsia" w:ascii="黑体" w:eastAsia="黑体"/>
          <w:sz w:val="32"/>
          <w:szCs w:val="32"/>
          <w:highlight w:val="none"/>
          <w:u w:val="single"/>
        </w:rPr>
        <w:t xml:space="preserve">                             </w:t>
      </w:r>
    </w:p>
    <w:p w14:paraId="56A539C7">
      <w:pPr>
        <w:snapToGrid w:val="0"/>
        <w:jc w:val="center"/>
        <w:rPr>
          <w:sz w:val="32"/>
          <w:szCs w:val="32"/>
          <w:highlight w:val="none"/>
        </w:rPr>
      </w:pPr>
      <w:r>
        <w:rPr>
          <w:sz w:val="32"/>
          <w:szCs w:val="32"/>
          <w:highlight w:val="none"/>
        </w:rPr>
        <w:t> </w:t>
      </w:r>
    </w:p>
    <w:p w14:paraId="0F381779">
      <w:pPr>
        <w:snapToGrid w:val="0"/>
        <w:jc w:val="center"/>
        <w:rPr>
          <w:sz w:val="32"/>
          <w:szCs w:val="32"/>
          <w:highlight w:val="none"/>
        </w:rPr>
      </w:pPr>
      <w:r>
        <w:rPr>
          <w:sz w:val="32"/>
          <w:szCs w:val="32"/>
          <w:highlight w:val="none"/>
        </w:rPr>
        <w:t>  </w:t>
      </w:r>
    </w:p>
    <w:p w14:paraId="3BCF7B06">
      <w:pPr>
        <w:snapToGrid w:val="0"/>
        <w:jc w:val="center"/>
        <w:rPr>
          <w:sz w:val="32"/>
          <w:szCs w:val="32"/>
          <w:highlight w:val="none"/>
        </w:rPr>
      </w:pPr>
    </w:p>
    <w:p w14:paraId="0266996A">
      <w:pPr>
        <w:snapToGrid w:val="0"/>
        <w:jc w:val="center"/>
        <w:rPr>
          <w:sz w:val="32"/>
          <w:szCs w:val="32"/>
          <w:highlight w:val="none"/>
        </w:rPr>
      </w:pPr>
    </w:p>
    <w:p w14:paraId="6A8A78CA">
      <w:pPr>
        <w:snapToGrid w:val="0"/>
        <w:spacing w:line="360" w:lineRule="auto"/>
        <w:ind w:firstLine="1275" w:firstLineChars="397"/>
        <w:rPr>
          <w:bCs/>
          <w:sz w:val="32"/>
          <w:szCs w:val="32"/>
          <w:highlight w:val="none"/>
          <w:u w:val="single"/>
        </w:rPr>
      </w:pPr>
      <w:r>
        <w:rPr>
          <w:rFonts w:hint="eastAsia" w:ascii="黑体" w:eastAsia="黑体"/>
          <w:b/>
          <w:bCs/>
          <w:sz w:val="32"/>
          <w:szCs w:val="32"/>
          <w:highlight w:val="none"/>
        </w:rPr>
        <w:t xml:space="preserve">甲  </w:t>
      </w:r>
      <w:r>
        <w:rPr>
          <w:b/>
          <w:bCs/>
          <w:sz w:val="32"/>
          <w:szCs w:val="32"/>
          <w:highlight w:val="none"/>
        </w:rPr>
        <w:t xml:space="preserve"> </w:t>
      </w:r>
      <w:r>
        <w:rPr>
          <w:rFonts w:hint="eastAsia" w:ascii="黑体" w:eastAsia="黑体"/>
          <w:b/>
          <w:bCs/>
          <w:sz w:val="32"/>
          <w:szCs w:val="32"/>
          <w:highlight w:val="none"/>
        </w:rPr>
        <w:t>方</w:t>
      </w:r>
      <w:r>
        <w:rPr>
          <w:b/>
          <w:bCs/>
          <w:sz w:val="32"/>
          <w:szCs w:val="32"/>
          <w:highlight w:val="none"/>
        </w:rPr>
        <w:t>:</w:t>
      </w:r>
      <w:r>
        <w:rPr>
          <w:rFonts w:hint="eastAsia" w:ascii="宋体" w:hAnsi="宋体"/>
          <w:bCs/>
          <w:sz w:val="32"/>
          <w:szCs w:val="32"/>
          <w:highlight w:val="none"/>
        </w:rPr>
        <w:t xml:space="preserve"> </w:t>
      </w:r>
      <w:r>
        <w:rPr>
          <w:rFonts w:hint="eastAsia" w:ascii="宋体" w:hAnsi="宋体"/>
          <w:bCs/>
          <w:sz w:val="32"/>
          <w:szCs w:val="32"/>
          <w:highlight w:val="none"/>
          <w:u w:val="single"/>
        </w:rPr>
        <w:t xml:space="preserve"> </w:t>
      </w:r>
      <w:r>
        <w:rPr>
          <w:rFonts w:ascii="宋体" w:hAnsi="宋体"/>
          <w:bCs/>
          <w:sz w:val="32"/>
          <w:szCs w:val="32"/>
          <w:highlight w:val="none"/>
          <w:u w:val="single"/>
        </w:rPr>
        <w:t xml:space="preserve">         </w:t>
      </w:r>
      <w:r>
        <w:rPr>
          <w:rFonts w:hint="eastAsia"/>
          <w:b/>
          <w:bCs/>
          <w:sz w:val="32"/>
          <w:szCs w:val="32"/>
          <w:highlight w:val="none"/>
          <w:u w:val="single"/>
        </w:rPr>
        <w:t>临沂大学</w:t>
      </w:r>
      <w:r>
        <w:rPr>
          <w:bCs/>
          <w:sz w:val="32"/>
          <w:szCs w:val="32"/>
          <w:highlight w:val="none"/>
          <w:u w:val="single"/>
        </w:rPr>
        <w:t xml:space="preserve">              </w:t>
      </w:r>
    </w:p>
    <w:p w14:paraId="43F1F3EA">
      <w:pPr>
        <w:spacing w:line="360" w:lineRule="auto"/>
        <w:ind w:firstLine="1272" w:firstLineChars="396"/>
        <w:rPr>
          <w:rFonts w:ascii="宋体" w:hAnsi="宋体"/>
          <w:b/>
          <w:bCs/>
          <w:sz w:val="32"/>
          <w:szCs w:val="32"/>
          <w:highlight w:val="none"/>
          <w:u w:val="single"/>
        </w:rPr>
      </w:pPr>
      <w:r>
        <w:rPr>
          <w:rFonts w:hint="eastAsia" w:ascii="黑体" w:eastAsia="黑体"/>
          <w:b/>
          <w:bCs/>
          <w:sz w:val="32"/>
          <w:szCs w:val="32"/>
          <w:highlight w:val="none"/>
        </w:rPr>
        <w:t>乙   方</w:t>
      </w:r>
      <w:r>
        <w:rPr>
          <w:b/>
          <w:bCs/>
          <w:sz w:val="32"/>
          <w:szCs w:val="32"/>
          <w:highlight w:val="none"/>
        </w:rPr>
        <w:t>:</w:t>
      </w:r>
      <w:r>
        <w:rPr>
          <w:rFonts w:hint="eastAsia" w:ascii="宋体"/>
          <w:bCs/>
          <w:sz w:val="32"/>
          <w:szCs w:val="32"/>
          <w:highlight w:val="none"/>
        </w:rPr>
        <w:t xml:space="preserve"> </w:t>
      </w:r>
      <w:r>
        <w:rPr>
          <w:rFonts w:ascii="宋体"/>
          <w:bCs/>
          <w:sz w:val="32"/>
          <w:szCs w:val="32"/>
          <w:highlight w:val="none"/>
        </w:rPr>
        <w:t xml:space="preserve">    </w:t>
      </w:r>
      <w:r>
        <w:rPr>
          <w:rFonts w:hint="eastAsia"/>
          <w:b/>
          <w:bCs/>
          <w:sz w:val="32"/>
          <w:szCs w:val="32"/>
          <w:highlight w:val="none"/>
          <w:u w:val="single"/>
        </w:rPr>
        <w:t xml:space="preserve">                            </w:t>
      </w:r>
    </w:p>
    <w:p w14:paraId="7D34E637">
      <w:pPr>
        <w:spacing w:line="700" w:lineRule="atLeast"/>
        <w:ind w:firstLine="1272" w:firstLineChars="396"/>
        <w:rPr>
          <w:rStyle w:val="35"/>
          <w:sz w:val="32"/>
          <w:szCs w:val="32"/>
          <w:highlight w:val="none"/>
          <w:u w:val="single"/>
        </w:rPr>
      </w:pPr>
      <w:r>
        <w:rPr>
          <w:rStyle w:val="35"/>
          <w:rFonts w:hint="eastAsia" w:ascii="黑体" w:eastAsia="黑体"/>
          <w:sz w:val="32"/>
          <w:szCs w:val="32"/>
          <w:highlight w:val="none"/>
        </w:rPr>
        <w:t>招标代理机构：</w:t>
      </w:r>
      <w:r>
        <w:rPr>
          <w:rFonts w:hint="eastAsia"/>
          <w:b/>
          <w:bCs/>
          <w:sz w:val="32"/>
          <w:szCs w:val="32"/>
          <w:highlight w:val="none"/>
          <w:u w:val="single"/>
        </w:rPr>
        <w:t>临沂市沂蒙国际招标有限公司</w:t>
      </w:r>
      <w:r>
        <w:rPr>
          <w:rStyle w:val="35"/>
          <w:rFonts w:hint="eastAsia"/>
          <w:sz w:val="32"/>
          <w:szCs w:val="32"/>
          <w:highlight w:val="none"/>
          <w:u w:val="single"/>
        </w:rPr>
        <w:t xml:space="preserve"> </w:t>
      </w:r>
    </w:p>
    <w:p w14:paraId="065000D8">
      <w:pPr>
        <w:spacing w:line="700" w:lineRule="atLeast"/>
        <w:ind w:firstLine="630" w:firstLineChars="196"/>
        <w:rPr>
          <w:rStyle w:val="35"/>
          <w:sz w:val="32"/>
          <w:szCs w:val="32"/>
          <w:highlight w:val="none"/>
          <w:u w:val="single"/>
        </w:rPr>
      </w:pPr>
    </w:p>
    <w:p w14:paraId="3075F9E9">
      <w:pPr>
        <w:spacing w:line="320" w:lineRule="atLeast"/>
        <w:ind w:firstLine="1285" w:firstLineChars="400"/>
        <w:rPr>
          <w:b/>
          <w:bCs/>
          <w:sz w:val="32"/>
          <w:szCs w:val="32"/>
          <w:highlight w:val="none"/>
        </w:rPr>
      </w:pPr>
      <w:r>
        <w:rPr>
          <w:rFonts w:hint="eastAsia"/>
          <w:b/>
          <w:bCs/>
          <w:sz w:val="32"/>
          <w:szCs w:val="32"/>
          <w:highlight w:val="none"/>
        </w:rPr>
        <w:t xml:space="preserve">签订地点： </w:t>
      </w:r>
      <w:r>
        <w:rPr>
          <w:b/>
          <w:bCs/>
          <w:sz w:val="32"/>
          <w:szCs w:val="32"/>
          <w:highlight w:val="none"/>
        </w:rPr>
        <w:t xml:space="preserve">       </w:t>
      </w:r>
      <w:r>
        <w:rPr>
          <w:rFonts w:hint="eastAsia"/>
          <w:b/>
          <w:bCs/>
          <w:sz w:val="32"/>
          <w:szCs w:val="32"/>
          <w:highlight w:val="none"/>
        </w:rPr>
        <w:t>临沂大学</w:t>
      </w:r>
    </w:p>
    <w:p w14:paraId="35E2BD33">
      <w:pPr>
        <w:spacing w:line="320" w:lineRule="atLeast"/>
        <w:ind w:firstLine="1285" w:firstLineChars="400"/>
        <w:rPr>
          <w:b/>
          <w:bCs/>
          <w:sz w:val="32"/>
          <w:szCs w:val="32"/>
          <w:highlight w:val="none"/>
        </w:rPr>
      </w:pPr>
      <w:r>
        <w:rPr>
          <w:rFonts w:hint="eastAsia"/>
          <w:b/>
          <w:bCs/>
          <w:sz w:val="32"/>
          <w:szCs w:val="32"/>
          <w:highlight w:val="none"/>
        </w:rPr>
        <w:t>签订时间：202</w:t>
      </w:r>
      <w:r>
        <w:rPr>
          <w:rFonts w:hint="eastAsia"/>
          <w:b/>
          <w:bCs/>
          <w:sz w:val="32"/>
          <w:szCs w:val="32"/>
          <w:highlight w:val="none"/>
          <w:lang w:val="en-US" w:eastAsia="zh-CN"/>
        </w:rPr>
        <w:t>5</w:t>
      </w:r>
      <w:r>
        <w:rPr>
          <w:rFonts w:hint="eastAsia"/>
          <w:b/>
          <w:bCs/>
          <w:sz w:val="32"/>
          <w:szCs w:val="32"/>
          <w:highlight w:val="none"/>
        </w:rPr>
        <w:t xml:space="preserve">年 </w:t>
      </w:r>
      <w:r>
        <w:rPr>
          <w:b/>
          <w:bCs/>
          <w:sz w:val="32"/>
          <w:szCs w:val="32"/>
          <w:highlight w:val="none"/>
        </w:rPr>
        <w:t xml:space="preserve">    </w:t>
      </w:r>
      <w:r>
        <w:rPr>
          <w:rFonts w:hint="eastAsia"/>
          <w:b/>
          <w:bCs/>
          <w:sz w:val="32"/>
          <w:szCs w:val="32"/>
          <w:highlight w:val="none"/>
        </w:rPr>
        <w:t xml:space="preserve">月 </w:t>
      </w:r>
      <w:r>
        <w:rPr>
          <w:b/>
          <w:bCs/>
          <w:sz w:val="32"/>
          <w:szCs w:val="32"/>
          <w:highlight w:val="none"/>
        </w:rPr>
        <w:t xml:space="preserve">   </w:t>
      </w:r>
      <w:r>
        <w:rPr>
          <w:rFonts w:hint="eastAsia"/>
          <w:b/>
          <w:bCs/>
          <w:sz w:val="32"/>
          <w:szCs w:val="32"/>
          <w:highlight w:val="none"/>
        </w:rPr>
        <w:t xml:space="preserve"> 日</w:t>
      </w:r>
    </w:p>
    <w:p w14:paraId="7B4FEAB1">
      <w:pPr>
        <w:spacing w:line="480" w:lineRule="exact"/>
        <w:jc w:val="center"/>
        <w:rPr>
          <w:rFonts w:hint="eastAsia"/>
          <w:highlight w:val="none"/>
        </w:rPr>
      </w:pPr>
      <w:r>
        <w:rPr>
          <w:rFonts w:hint="eastAsia" w:ascii="宋体" w:hAnsi="宋体" w:cs="宋体"/>
          <w:sz w:val="24"/>
          <w:highlight w:val="none"/>
        </w:rPr>
        <w:t>（此合同仅供参考。以最终采购人与成交供应商签定的合同条款为准进行公示，最终签定合同的主要条款不能与竞争性磋商文件冲突）</w:t>
      </w:r>
    </w:p>
    <w:p w14:paraId="4D8FBD60">
      <w:pPr>
        <w:tabs>
          <w:tab w:val="left" w:pos="7449"/>
        </w:tabs>
        <w:spacing w:before="240" w:beforeLines="100" w:line="500" w:lineRule="exact"/>
        <w:ind w:firstLine="480" w:firstLineChars="200"/>
        <w:rPr>
          <w:rFonts w:ascii="宋体" w:hAnsi="宋体"/>
          <w:b/>
          <w:sz w:val="36"/>
          <w:szCs w:val="36"/>
          <w:highlight w:val="none"/>
        </w:rPr>
      </w:pPr>
      <w:r>
        <w:rPr>
          <w:rFonts w:hint="eastAsia" w:ascii="宋体" w:hAnsi="宋体"/>
          <w:sz w:val="24"/>
          <w:highlight w:val="none"/>
          <w:u w:val="single"/>
        </w:rPr>
        <w:t>临沂大学</w:t>
      </w:r>
      <w:r>
        <w:rPr>
          <w:rFonts w:hint="eastAsia" w:ascii="宋体" w:hAnsi="宋体"/>
          <w:sz w:val="24"/>
          <w:highlight w:val="none"/>
        </w:rPr>
        <w:t>（甲方）所需</w:t>
      </w:r>
      <w:r>
        <w:rPr>
          <w:rFonts w:hint="eastAsia" w:ascii="宋体" w:hAnsi="宋体"/>
          <w:sz w:val="24"/>
          <w:highlight w:val="none"/>
          <w:u w:val="single"/>
          <w:lang w:eastAsia="zh-CN"/>
        </w:rPr>
        <w:t>临沂大学沂水校区直饮水项目</w:t>
      </w:r>
      <w:r>
        <w:rPr>
          <w:rFonts w:hint="eastAsia" w:ascii="宋体" w:hAnsi="宋体"/>
          <w:sz w:val="24"/>
          <w:highlight w:val="none"/>
        </w:rPr>
        <w:t>经</w:t>
      </w:r>
      <w:r>
        <w:rPr>
          <w:rFonts w:hint="eastAsia" w:ascii="宋体" w:hAnsi="宋体" w:cs="仿宋_GB2312"/>
          <w:b/>
          <w:sz w:val="24"/>
          <w:highlight w:val="none"/>
          <w:u w:val="single"/>
        </w:rPr>
        <w:t>临沂市沂蒙国际招标有限公司</w:t>
      </w:r>
      <w:r>
        <w:rPr>
          <w:rFonts w:hint="eastAsia" w:ascii="宋体" w:hAnsi="宋体"/>
          <w:sz w:val="24"/>
          <w:highlight w:val="none"/>
        </w:rPr>
        <w:t>以</w:t>
      </w:r>
      <w:r>
        <w:rPr>
          <w:rFonts w:hint="eastAsia" w:ascii="宋体" w:hAnsi="宋体"/>
          <w:sz w:val="24"/>
          <w:highlight w:val="none"/>
          <w:u w:val="single"/>
          <w:lang w:eastAsia="zh-CN"/>
        </w:rPr>
        <w:t>SDCS2025110</w:t>
      </w:r>
      <w:r>
        <w:rPr>
          <w:rFonts w:hint="eastAsia" w:ascii="宋体" w:hAnsi="宋体"/>
          <w:sz w:val="24"/>
          <w:highlight w:val="none"/>
        </w:rPr>
        <w:t>磋商文件在国内以</w:t>
      </w:r>
      <w:r>
        <w:rPr>
          <w:rFonts w:hint="eastAsia" w:ascii="宋体" w:hAnsi="宋体"/>
          <w:b/>
          <w:sz w:val="24"/>
          <w:highlight w:val="none"/>
          <w:u w:val="single"/>
        </w:rPr>
        <w:t>竞争性磋商</w:t>
      </w:r>
      <w:r>
        <w:rPr>
          <w:rFonts w:hint="eastAsia" w:ascii="宋体" w:hAnsi="宋体"/>
          <w:sz w:val="24"/>
          <w:highlight w:val="none"/>
        </w:rPr>
        <w:t>方式进行采购。经评审小组确定</w:t>
      </w:r>
      <w:r>
        <w:rPr>
          <w:rFonts w:hint="eastAsia" w:ascii="宋体" w:hAnsi="宋体"/>
          <w:sz w:val="24"/>
          <w:highlight w:val="none"/>
          <w:u w:val="single"/>
          <w:lang w:val="en-US" w:eastAsia="zh-CN"/>
        </w:rPr>
        <w:t xml:space="preserve">              </w:t>
      </w:r>
      <w:r>
        <w:rPr>
          <w:rFonts w:hint="eastAsia" w:ascii="宋体" w:hAnsi="宋体"/>
          <w:sz w:val="24"/>
          <w:highlight w:val="none"/>
        </w:rPr>
        <w:t>（乙方）为该项目乙方。甲、乙双方根据《中华人民共和国民法典》和其他法律、法规的规定，并按照公正、平等、自愿、诚实信用的原则，同意按照以下条款和条件，签署本合同。</w:t>
      </w:r>
    </w:p>
    <w:p w14:paraId="2011F79D">
      <w:pPr>
        <w:spacing w:line="500" w:lineRule="exact"/>
        <w:ind w:firstLine="383" w:firstLineChars="159"/>
        <w:outlineLvl w:val="9"/>
        <w:rPr>
          <w:rFonts w:ascii="宋体" w:hAnsi="宋体"/>
          <w:b/>
          <w:bCs/>
          <w:sz w:val="24"/>
          <w:highlight w:val="none"/>
        </w:rPr>
      </w:pPr>
      <w:r>
        <w:rPr>
          <w:rFonts w:hint="eastAsia" w:ascii="宋体" w:hAnsi="宋体"/>
          <w:b/>
          <w:bCs/>
          <w:sz w:val="24"/>
          <w:highlight w:val="none"/>
        </w:rPr>
        <w:t>一、本合同由合同文本和下列文件组成</w:t>
      </w:r>
    </w:p>
    <w:p w14:paraId="4B52580C">
      <w:pPr>
        <w:spacing w:line="500" w:lineRule="exact"/>
        <w:ind w:firstLine="480"/>
        <w:outlineLvl w:val="9"/>
        <w:rPr>
          <w:rFonts w:ascii="宋体" w:hAnsi="宋体"/>
          <w:sz w:val="24"/>
          <w:highlight w:val="none"/>
        </w:rPr>
      </w:pPr>
      <w:r>
        <w:rPr>
          <w:rFonts w:hint="eastAsia" w:ascii="宋体" w:hAnsi="宋体"/>
          <w:sz w:val="24"/>
          <w:highlight w:val="none"/>
        </w:rPr>
        <w:t>1、磋商文件</w:t>
      </w:r>
    </w:p>
    <w:p w14:paraId="380F5B48">
      <w:pPr>
        <w:spacing w:line="500" w:lineRule="exact"/>
        <w:ind w:firstLine="480"/>
        <w:outlineLvl w:val="9"/>
        <w:rPr>
          <w:rFonts w:ascii="宋体" w:hAnsi="宋体"/>
          <w:sz w:val="24"/>
          <w:highlight w:val="none"/>
        </w:rPr>
      </w:pPr>
      <w:r>
        <w:rPr>
          <w:rFonts w:hint="eastAsia" w:ascii="宋体" w:hAnsi="宋体"/>
          <w:sz w:val="24"/>
          <w:highlight w:val="none"/>
        </w:rPr>
        <w:t>2、响应文件</w:t>
      </w:r>
    </w:p>
    <w:p w14:paraId="60A8300E">
      <w:pPr>
        <w:spacing w:line="500" w:lineRule="exact"/>
        <w:ind w:firstLine="480"/>
        <w:outlineLvl w:val="9"/>
        <w:rPr>
          <w:rFonts w:ascii="宋体" w:hAnsi="宋体"/>
          <w:sz w:val="24"/>
          <w:highlight w:val="none"/>
        </w:rPr>
      </w:pPr>
      <w:r>
        <w:rPr>
          <w:rFonts w:hint="eastAsia" w:ascii="宋体" w:hAnsi="宋体"/>
          <w:sz w:val="24"/>
          <w:highlight w:val="none"/>
        </w:rPr>
        <w:t>3、成交通知书</w:t>
      </w:r>
    </w:p>
    <w:p w14:paraId="4DB341A0">
      <w:pPr>
        <w:spacing w:line="500" w:lineRule="exact"/>
        <w:ind w:firstLine="480"/>
        <w:outlineLvl w:val="9"/>
        <w:rPr>
          <w:rFonts w:ascii="宋体" w:hAnsi="宋体"/>
          <w:sz w:val="24"/>
          <w:highlight w:val="none"/>
        </w:rPr>
      </w:pPr>
      <w:r>
        <w:rPr>
          <w:rFonts w:hint="eastAsia" w:ascii="宋体" w:hAnsi="宋体"/>
          <w:sz w:val="24"/>
          <w:highlight w:val="none"/>
        </w:rPr>
        <w:t>4、乙方在评标过程中做出的书面澄清或承诺</w:t>
      </w:r>
    </w:p>
    <w:p w14:paraId="76B42A99">
      <w:pPr>
        <w:spacing w:line="480" w:lineRule="exact"/>
        <w:ind w:firstLine="480"/>
        <w:outlineLvl w:val="9"/>
        <w:rPr>
          <w:rFonts w:ascii="宋体" w:hAnsi="宋体"/>
          <w:sz w:val="24"/>
          <w:highlight w:val="none"/>
        </w:rPr>
      </w:pPr>
      <w:r>
        <w:rPr>
          <w:rFonts w:hint="eastAsia" w:ascii="宋体" w:hAnsi="宋体"/>
          <w:sz w:val="24"/>
          <w:highlight w:val="none"/>
        </w:rPr>
        <w:t>5、本合同附件</w:t>
      </w:r>
    </w:p>
    <w:p w14:paraId="5651B615">
      <w:pPr>
        <w:autoSpaceDE w:val="0"/>
        <w:autoSpaceDN w:val="0"/>
        <w:adjustRightInd w:val="0"/>
        <w:spacing w:line="480" w:lineRule="exact"/>
        <w:ind w:firstLine="482" w:firstLineChars="200"/>
        <w:outlineLvl w:val="9"/>
        <w:rPr>
          <w:rFonts w:ascii="宋体"/>
          <w:b/>
          <w:sz w:val="24"/>
          <w:highlight w:val="none"/>
        </w:rPr>
      </w:pPr>
      <w:r>
        <w:rPr>
          <w:rFonts w:hint="eastAsia" w:ascii="宋体"/>
          <w:b/>
          <w:sz w:val="24"/>
          <w:highlight w:val="none"/>
        </w:rPr>
        <w:t>二</w:t>
      </w:r>
      <w:r>
        <w:rPr>
          <w:rFonts w:hint="eastAsia" w:ascii="宋体"/>
          <w:b/>
          <w:sz w:val="24"/>
          <w:highlight w:val="none"/>
          <w:lang w:val="zh-CN"/>
        </w:rPr>
        <w:t>、</w:t>
      </w:r>
      <w:r>
        <w:rPr>
          <w:rFonts w:hint="eastAsia" w:ascii="宋体"/>
          <w:b/>
          <w:sz w:val="24"/>
          <w:highlight w:val="none"/>
        </w:rPr>
        <w:t>合同标的</w:t>
      </w:r>
    </w:p>
    <w:p w14:paraId="3DD64AFA">
      <w:pPr>
        <w:autoSpaceDE w:val="0"/>
        <w:autoSpaceDN w:val="0"/>
        <w:adjustRightInd w:val="0"/>
        <w:spacing w:line="480" w:lineRule="exact"/>
        <w:ind w:firstLine="480" w:firstLineChars="200"/>
        <w:outlineLvl w:val="9"/>
        <w:rPr>
          <w:rFonts w:ascii="宋体" w:hAnsi="宋体"/>
          <w:sz w:val="24"/>
          <w:highlight w:val="none"/>
          <w:lang w:val="zh-CN"/>
        </w:rPr>
      </w:pPr>
      <w:r>
        <w:rPr>
          <w:rFonts w:hint="eastAsia" w:ascii="宋体" w:hAnsi="宋体"/>
          <w:sz w:val="24"/>
          <w:highlight w:val="none"/>
          <w:u w:val="single"/>
          <w:lang w:eastAsia="zh-CN"/>
        </w:rPr>
        <w:t>临沂大学沂水校区直饮水项目。</w:t>
      </w:r>
    </w:p>
    <w:p w14:paraId="34CF1771">
      <w:pPr>
        <w:autoSpaceDE w:val="0"/>
        <w:autoSpaceDN w:val="0"/>
        <w:adjustRightInd w:val="0"/>
        <w:spacing w:line="480" w:lineRule="exact"/>
        <w:ind w:firstLine="482" w:firstLineChars="200"/>
        <w:outlineLvl w:val="9"/>
        <w:rPr>
          <w:rFonts w:hint="eastAsia" w:ascii="宋体" w:eastAsia="宋体" w:cs="Times New Roman"/>
          <w:b/>
          <w:sz w:val="24"/>
          <w:highlight w:val="none"/>
        </w:rPr>
      </w:pPr>
      <w:r>
        <w:rPr>
          <w:rFonts w:hint="eastAsia" w:ascii="宋体" w:eastAsia="宋体" w:cs="Times New Roman"/>
          <w:b/>
          <w:sz w:val="24"/>
          <w:highlight w:val="none"/>
        </w:rPr>
        <w:t>三、合作方式</w:t>
      </w:r>
    </w:p>
    <w:p w14:paraId="241FCBCC">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1.为保障项目乙方合理的投资回报，合同年限为</w:t>
      </w:r>
      <w:r>
        <w:rPr>
          <w:rFonts w:hint="eastAsia" w:ascii="宋体" w:hAnsi="宋体" w:cs="宋体"/>
          <w:sz w:val="24"/>
          <w:szCs w:val="24"/>
          <w:highlight w:val="none"/>
          <w:lang w:val="en-US" w:eastAsia="zh-CN"/>
        </w:rPr>
        <w:t>10</w:t>
      </w:r>
      <w:r>
        <w:rPr>
          <w:rFonts w:hint="eastAsia" w:ascii="宋体" w:hAnsi="宋体" w:cs="宋体"/>
          <w:sz w:val="24"/>
          <w:szCs w:val="24"/>
          <w:highlight w:val="none"/>
        </w:rPr>
        <w:t>年。</w:t>
      </w:r>
    </w:p>
    <w:p w14:paraId="0C2DDCEB">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2.甲方为了让利于学生，不收取乙方管理费、场地占用费，乙方必须向学生提供优惠价格、优质服务。合作期内所产生的水、电费用由乙方承担，按规定按时向甲方缴纳。</w:t>
      </w:r>
    </w:p>
    <w:p w14:paraId="0B2E89CB">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3.合作期内，乙方负责全部设备的免费维修维护，如果设备已经不能正常工作，根据学生要求必须及时维修更换。</w:t>
      </w:r>
    </w:p>
    <w:p w14:paraId="78E581D7">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4.本服务标的不允许进行任何形式的转包，否则甲方有权解除合同，一切责任由乙方承担。</w:t>
      </w:r>
    </w:p>
    <w:p w14:paraId="11C03239">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5.甲方提供项目经营权和设备运行供水、供电及场地。</w:t>
      </w:r>
    </w:p>
    <w:p w14:paraId="43AFC4E5">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6.该项目运行中的风险由乙方自行承担，与甲方无关。</w:t>
      </w:r>
    </w:p>
    <w:p w14:paraId="04091277">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7.乙方必须接受甲方监管，如违反合同，达不到工作标准和要求，甲方有权单方终止合同。</w:t>
      </w:r>
    </w:p>
    <w:p w14:paraId="7683ED28">
      <w:pPr>
        <w:autoSpaceDE w:val="0"/>
        <w:autoSpaceDN w:val="0"/>
        <w:adjustRightInd w:val="0"/>
        <w:spacing w:line="480" w:lineRule="exact"/>
        <w:ind w:firstLine="482" w:firstLineChars="200"/>
        <w:outlineLvl w:val="9"/>
        <w:rPr>
          <w:rFonts w:hint="eastAsia" w:ascii="宋体" w:eastAsia="宋体" w:cs="Times New Roman"/>
          <w:b/>
          <w:sz w:val="24"/>
          <w:highlight w:val="none"/>
        </w:rPr>
      </w:pPr>
      <w:r>
        <w:rPr>
          <w:rFonts w:hint="eastAsia" w:ascii="宋体" w:eastAsia="宋体" w:cs="Times New Roman"/>
          <w:b/>
          <w:sz w:val="24"/>
          <w:highlight w:val="none"/>
        </w:rPr>
        <w:t>四、施工标准及时间</w:t>
      </w:r>
    </w:p>
    <w:p w14:paraId="27BEC463">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1.采用符合国家标准的设备及材料，杜绝使用三无产品，确保施工质量。如因施工质量问题导致后续无法使用设备，责任由乙方自行承担。</w:t>
      </w:r>
    </w:p>
    <w:p w14:paraId="4A19273E">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2.乙方根据学校实际情况制订施工方案，经学校同意后方可实行。</w:t>
      </w:r>
    </w:p>
    <w:p w14:paraId="48228925">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3.施工完成时间为</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日历天。</w:t>
      </w:r>
    </w:p>
    <w:p w14:paraId="5A57C13A">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4.施工工作符合国家相关技术规范和技术标准，并与学生公寓整体协调美观。</w:t>
      </w:r>
    </w:p>
    <w:p w14:paraId="4DA63BBD">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5.乙方在施工期间应严格遵守国家、省、市施工规范，安全、文明施工，安全防护措施严格。在施工期间造成的人身伤害、财产损失、安全事故等所有责任，均由乙方承担。</w:t>
      </w:r>
    </w:p>
    <w:p w14:paraId="202EBF84">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施工过程中造成的地面、墙面、公共设施设备和学生财产等损失，必须给予修复或赔偿。涉及到安全问题，需要请具有相应安全资质的机构进行评估，确定修复方案，修复完成后请专业人士进行复检，合格后方可投入使用。</w:t>
      </w:r>
    </w:p>
    <w:p w14:paraId="15597348">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7.现场安装、调试须服从学校管理，安装时应充分考虑不同建筑物的承受力，制定合理的安装方案，做好安全预案，采取相应措施，确保施工和后期使用安全。</w:t>
      </w:r>
    </w:p>
    <w:p w14:paraId="1828C84A">
      <w:pPr>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8.安装过程中如出现影响设备安装位置的情况，由乙方提出解决方案报学校同意后方可施工，所有费用均由乙方自行承担。</w:t>
      </w:r>
    </w:p>
    <w:p w14:paraId="67B8CD1C">
      <w:pPr>
        <w:autoSpaceDE w:val="0"/>
        <w:autoSpaceDN w:val="0"/>
        <w:adjustRightInd w:val="0"/>
        <w:spacing w:line="480" w:lineRule="exact"/>
        <w:ind w:firstLine="482" w:firstLineChars="200"/>
        <w:outlineLvl w:val="9"/>
        <w:rPr>
          <w:rFonts w:hint="eastAsia" w:ascii="宋体" w:eastAsia="宋体" w:cs="Times New Roman"/>
          <w:b/>
          <w:sz w:val="24"/>
          <w:highlight w:val="none"/>
        </w:rPr>
      </w:pPr>
      <w:r>
        <w:rPr>
          <w:rFonts w:hint="eastAsia" w:ascii="宋体" w:eastAsia="宋体" w:cs="Times New Roman"/>
          <w:b/>
          <w:sz w:val="24"/>
          <w:highlight w:val="none"/>
        </w:rPr>
        <w:t>五.费用</w:t>
      </w:r>
    </w:p>
    <w:p w14:paraId="1BC8A17E">
      <w:pPr>
        <w:spacing w:line="480" w:lineRule="exact"/>
        <w:ind w:firstLine="480" w:firstLineChars="200"/>
        <w:rPr>
          <w:rFonts w:ascii="宋体" w:hAnsi="宋体" w:cs="宋体"/>
          <w:b w:val="0"/>
          <w:bCs/>
          <w:color w:val="auto"/>
          <w:sz w:val="24"/>
          <w:szCs w:val="24"/>
          <w:highlight w:val="none"/>
        </w:rPr>
      </w:pPr>
      <w:r>
        <w:rPr>
          <w:rStyle w:val="77"/>
          <w:rFonts w:hint="eastAsia" w:cs="宋体"/>
          <w:b w:val="0"/>
          <w:bCs/>
          <w:color w:val="auto"/>
          <w:sz w:val="24"/>
          <w:szCs w:val="24"/>
          <w:highlight w:val="none"/>
          <w:u w:val="none"/>
        </w:rPr>
        <w:t>1.</w:t>
      </w:r>
      <w:r>
        <w:rPr>
          <w:rFonts w:hint="eastAsia" w:ascii="宋体" w:hAnsi="宋体" w:cs="宋体"/>
          <w:b w:val="0"/>
          <w:bCs/>
          <w:color w:val="auto"/>
          <w:sz w:val="24"/>
          <w:szCs w:val="24"/>
          <w:highlight w:val="none"/>
        </w:rPr>
        <w:t>在甲方指定饮用水设备场地，乙方于中标后30天内将全部饮用水设备安装到位,所有设施整体布局，精装处理，安全防护到位。所有设备均需张贴详细使用说明和售后服务电话，并保证设备正常使用，学生正常饮用水。由供应商在服务期内负责该项目的投资、建设、维护，按照流量计费模式，收取饮用水费用。</w:t>
      </w:r>
    </w:p>
    <w:p w14:paraId="151D8294">
      <w:pPr>
        <w:spacing w:line="480" w:lineRule="exact"/>
        <w:ind w:firstLine="480" w:firstLineChars="200"/>
        <w:rPr>
          <w:rFonts w:ascii="宋体" w:hAnsi="宋体" w:cs="宋体"/>
          <w:b w:val="0"/>
          <w:bCs/>
          <w:color w:val="auto"/>
          <w:sz w:val="24"/>
          <w:szCs w:val="24"/>
          <w:highlight w:val="none"/>
        </w:rPr>
      </w:pPr>
      <w:r>
        <w:rPr>
          <w:rStyle w:val="77"/>
          <w:rFonts w:hint="eastAsia" w:cs="宋体"/>
          <w:b w:val="0"/>
          <w:bCs/>
          <w:color w:val="auto"/>
          <w:sz w:val="24"/>
          <w:szCs w:val="24"/>
          <w:highlight w:val="none"/>
          <w:u w:val="none"/>
        </w:rPr>
        <w:t>2.</w:t>
      </w:r>
      <w:r>
        <w:rPr>
          <w:rFonts w:hint="eastAsia" w:ascii="宋体" w:hAnsi="宋体" w:cs="宋体"/>
          <w:b w:val="0"/>
          <w:bCs/>
          <w:color w:val="auto"/>
          <w:sz w:val="24"/>
          <w:szCs w:val="24"/>
          <w:highlight w:val="none"/>
        </w:rPr>
        <w:t>服务价格：直饮热水</w:t>
      </w:r>
      <w:r>
        <w:rPr>
          <w:rFonts w:hint="eastAsia" w:ascii="宋体" w:hAnsi="宋体" w:cs="宋体"/>
          <w:b w:val="0"/>
          <w:bCs/>
          <w:color w:val="auto"/>
          <w:sz w:val="24"/>
          <w:szCs w:val="24"/>
          <w:highlight w:val="none"/>
          <w:u w:val="single"/>
        </w:rPr>
        <w:t xml:space="preserve">      </w:t>
      </w:r>
      <w:r>
        <w:rPr>
          <w:rFonts w:hint="eastAsia" w:ascii="宋体" w:hAnsi="宋体" w:cs="宋体"/>
          <w:b w:val="0"/>
          <w:bCs/>
          <w:color w:val="auto"/>
          <w:sz w:val="24"/>
          <w:szCs w:val="24"/>
          <w:highlight w:val="none"/>
        </w:rPr>
        <w:t>元/L；直饮</w:t>
      </w:r>
      <w:r>
        <w:rPr>
          <w:rFonts w:hint="eastAsia" w:ascii="宋体" w:hAnsi="宋体" w:cs="宋体"/>
          <w:b w:val="0"/>
          <w:bCs/>
          <w:color w:val="auto"/>
          <w:sz w:val="24"/>
          <w:szCs w:val="24"/>
          <w:highlight w:val="none"/>
          <w:lang w:val="en-US" w:eastAsia="zh-CN"/>
        </w:rPr>
        <w:t>凉</w:t>
      </w:r>
      <w:r>
        <w:rPr>
          <w:rFonts w:hint="eastAsia" w:ascii="宋体" w:hAnsi="宋体" w:cs="宋体"/>
          <w:b w:val="0"/>
          <w:bCs/>
          <w:color w:val="auto"/>
          <w:sz w:val="24"/>
          <w:szCs w:val="24"/>
          <w:highlight w:val="none"/>
        </w:rPr>
        <w:t>水</w:t>
      </w:r>
      <w:r>
        <w:rPr>
          <w:rFonts w:hint="eastAsia" w:ascii="宋体" w:hAnsi="宋体" w:cs="宋体"/>
          <w:b w:val="0"/>
          <w:bCs/>
          <w:color w:val="auto"/>
          <w:sz w:val="24"/>
          <w:szCs w:val="24"/>
          <w:highlight w:val="none"/>
          <w:u w:val="single"/>
        </w:rPr>
        <w:t xml:space="preserve">      </w:t>
      </w:r>
      <w:r>
        <w:rPr>
          <w:rFonts w:hint="eastAsia" w:ascii="宋体" w:hAnsi="宋体" w:cs="宋体"/>
          <w:b w:val="0"/>
          <w:bCs/>
          <w:color w:val="auto"/>
          <w:sz w:val="24"/>
          <w:szCs w:val="24"/>
          <w:highlight w:val="none"/>
        </w:rPr>
        <w:t>元/L。水质符合国家相关要求，水质每年供应商委托有资质的专业机构检测二次，出具相应的检测报告并公示，检测所产生费用由供应商承担，甲方全程参与监督。</w:t>
      </w:r>
    </w:p>
    <w:p w14:paraId="5955BB11">
      <w:pPr>
        <w:spacing w:line="480" w:lineRule="exact"/>
        <w:ind w:firstLine="480" w:firstLineChars="200"/>
        <w:rPr>
          <w:rFonts w:ascii="宋体" w:hAnsi="宋体" w:cs="宋体"/>
          <w:b w:val="0"/>
          <w:bCs/>
          <w:color w:val="auto"/>
          <w:sz w:val="24"/>
          <w:szCs w:val="24"/>
          <w:highlight w:val="none"/>
          <w:u w:val="none"/>
        </w:rPr>
      </w:pPr>
      <w:r>
        <w:rPr>
          <w:rStyle w:val="77"/>
          <w:rFonts w:hint="eastAsia" w:cs="宋体"/>
          <w:b w:val="0"/>
          <w:bCs/>
          <w:color w:val="auto"/>
          <w:sz w:val="24"/>
          <w:szCs w:val="24"/>
          <w:highlight w:val="none"/>
          <w:u w:val="none"/>
        </w:rPr>
        <w:t>3.</w:t>
      </w:r>
      <w:r>
        <w:rPr>
          <w:rFonts w:hint="eastAsia" w:ascii="宋体" w:hAnsi="宋体" w:cs="宋体"/>
          <w:b w:val="0"/>
          <w:bCs/>
          <w:color w:val="auto"/>
          <w:sz w:val="24"/>
          <w:szCs w:val="24"/>
          <w:highlight w:val="none"/>
          <w:u w:val="none"/>
        </w:rPr>
        <w:t>乙方所投设备收费系统需对接学校临沂大学E码通服务，只能使用此收费方式。</w:t>
      </w:r>
    </w:p>
    <w:p w14:paraId="5745AB2E">
      <w:pPr>
        <w:spacing w:line="480" w:lineRule="exact"/>
        <w:ind w:firstLine="480" w:firstLineChars="200"/>
        <w:rPr>
          <w:rFonts w:ascii="宋体" w:hAnsi="宋体" w:cs="宋体"/>
          <w:b w:val="0"/>
          <w:bCs/>
          <w:color w:val="auto"/>
          <w:sz w:val="24"/>
          <w:szCs w:val="24"/>
          <w:highlight w:val="none"/>
          <w:u w:val="none"/>
        </w:rPr>
      </w:pPr>
      <w:r>
        <w:rPr>
          <w:rStyle w:val="77"/>
          <w:rFonts w:hint="eastAsia" w:cs="宋体"/>
          <w:b w:val="0"/>
          <w:bCs/>
          <w:color w:val="auto"/>
          <w:sz w:val="24"/>
          <w:szCs w:val="24"/>
          <w:highlight w:val="none"/>
          <w:u w:val="none"/>
        </w:rPr>
        <w:t>4.</w:t>
      </w:r>
      <w:r>
        <w:rPr>
          <w:rFonts w:hint="eastAsia" w:ascii="宋体" w:hAnsi="宋体" w:cs="宋体"/>
          <w:b w:val="0"/>
          <w:bCs/>
          <w:color w:val="auto"/>
          <w:sz w:val="24"/>
          <w:szCs w:val="24"/>
          <w:highlight w:val="none"/>
          <w:u w:val="none"/>
        </w:rPr>
        <w:t>乙方所设消费服务平台须具有查看设备订单、运行状态、故障设备、离线设备等信息的功能，全部信息后台展示，实时监控，也可根据后台信息进行大数据分析等功能。</w:t>
      </w:r>
    </w:p>
    <w:p w14:paraId="771778B3">
      <w:pPr>
        <w:spacing w:line="480" w:lineRule="exact"/>
        <w:ind w:firstLine="480" w:firstLineChars="200"/>
        <w:rPr>
          <w:rFonts w:ascii="宋体" w:hAnsi="宋体" w:cs="宋体"/>
          <w:b w:val="0"/>
          <w:bCs/>
          <w:color w:val="auto"/>
          <w:sz w:val="24"/>
          <w:szCs w:val="24"/>
          <w:highlight w:val="none"/>
          <w:u w:val="none"/>
        </w:rPr>
      </w:pPr>
      <w:r>
        <w:rPr>
          <w:rStyle w:val="77"/>
          <w:rFonts w:hint="eastAsia" w:cs="宋体"/>
          <w:b w:val="0"/>
          <w:bCs/>
          <w:color w:val="auto"/>
          <w:sz w:val="24"/>
          <w:szCs w:val="24"/>
          <w:highlight w:val="none"/>
          <w:u w:val="none"/>
        </w:rPr>
        <w:t>5.</w:t>
      </w:r>
      <w:r>
        <w:rPr>
          <w:rFonts w:hint="eastAsia" w:ascii="宋体" w:hAnsi="宋体" w:cs="宋体"/>
          <w:b w:val="0"/>
          <w:bCs/>
          <w:color w:val="auto"/>
          <w:sz w:val="24"/>
          <w:szCs w:val="24"/>
          <w:highlight w:val="none"/>
          <w:u w:val="none"/>
        </w:rPr>
        <w:t>设备所产生的噪音、震动须在标准范围内，不得影响学生正常作息。</w:t>
      </w:r>
    </w:p>
    <w:p w14:paraId="064CBC41">
      <w:pPr>
        <w:spacing w:line="480" w:lineRule="exact"/>
        <w:ind w:firstLine="480" w:firstLineChars="200"/>
        <w:rPr>
          <w:rFonts w:ascii="宋体" w:hAnsi="宋体" w:cs="宋体"/>
          <w:b w:val="0"/>
          <w:bCs/>
          <w:color w:val="auto"/>
          <w:sz w:val="24"/>
          <w:szCs w:val="24"/>
          <w:highlight w:val="none"/>
          <w:u w:val="none"/>
        </w:rPr>
      </w:pPr>
      <w:r>
        <w:rPr>
          <w:rStyle w:val="77"/>
          <w:rFonts w:hint="eastAsia" w:cs="宋体"/>
          <w:b w:val="0"/>
          <w:bCs/>
          <w:color w:val="auto"/>
          <w:sz w:val="24"/>
          <w:szCs w:val="24"/>
          <w:highlight w:val="none"/>
          <w:u w:val="none"/>
        </w:rPr>
        <w:t>6.</w:t>
      </w:r>
      <w:r>
        <w:rPr>
          <w:rFonts w:hint="eastAsia" w:ascii="宋体" w:hAnsi="宋体" w:cs="宋体"/>
          <w:b w:val="0"/>
          <w:bCs/>
          <w:color w:val="auto"/>
          <w:sz w:val="24"/>
          <w:szCs w:val="24"/>
          <w:highlight w:val="none"/>
          <w:u w:val="none"/>
        </w:rPr>
        <w:t>在安装过程中：由供应商负责按照项目需求进行水、电、排水设施建设改造；废水根据学校要求进行处理。设备涉水部件具有《涉及饮用水卫生安全产品卫生许可批件》。供应商需承担水表和电表采购及安装的费用。本项目中所涉及到的所有设备安装及施工等费用由供应商承担，施工中不得对甲方的建筑设施造成毁坏，施工方案须报甲方审批同意后实施，如由此造成损失由供应商承担；水电费按照甲方当地的收费标准执行（教学楼免费提供的开水项目免水电费，其他位置饮用水设备不免水电费）。</w:t>
      </w:r>
    </w:p>
    <w:p w14:paraId="6752D939">
      <w:pPr>
        <w:autoSpaceDE w:val="0"/>
        <w:autoSpaceDN w:val="0"/>
        <w:adjustRightInd w:val="0"/>
        <w:spacing w:line="480" w:lineRule="exact"/>
        <w:ind w:firstLine="482" w:firstLineChars="200"/>
        <w:outlineLvl w:val="9"/>
        <w:rPr>
          <w:rFonts w:hint="eastAsia" w:ascii="宋体" w:eastAsia="宋体" w:cs="Times New Roman"/>
          <w:b/>
          <w:sz w:val="24"/>
          <w:highlight w:val="none"/>
        </w:rPr>
      </w:pPr>
      <w:r>
        <w:rPr>
          <w:rFonts w:hint="eastAsia" w:ascii="宋体" w:eastAsia="宋体" w:cs="Times New Roman"/>
          <w:b/>
          <w:sz w:val="24"/>
          <w:highlight w:val="none"/>
        </w:rPr>
        <w:t>六．安全和管理</w:t>
      </w:r>
    </w:p>
    <w:p w14:paraId="1A8049ED">
      <w:pPr>
        <w:spacing w:line="480" w:lineRule="exact"/>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直饮水水质须经市场监管部门认可的第三方专业机构进行检验，每年不少于两次，所需费用由成交供应商自行承担。水质检验报告需交采购人留存备案。根据直饮水机的滤芯使用状况，及时更换滤芯。直饮水水质必须达到国家规定的相关标准。</w:t>
      </w:r>
    </w:p>
    <w:p w14:paraId="6C96FD79">
      <w:pPr>
        <w:spacing w:line="480" w:lineRule="exact"/>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2.成交供应商必须保证学生现有水卡金额有效并可以正常有效使用。</w:t>
      </w:r>
    </w:p>
    <w:p w14:paraId="60C42CCA">
      <w:pPr>
        <w:spacing w:line="480" w:lineRule="exact"/>
        <w:ind w:firstLine="480" w:firstLineChars="200"/>
        <w:rPr>
          <w:rFonts w:hint="eastAsia" w:ascii="宋体" w:hAnsi="宋体" w:cs="宋体"/>
          <w:bCs/>
          <w:color w:val="auto"/>
          <w:sz w:val="24"/>
          <w:szCs w:val="24"/>
          <w:highlight w:val="none"/>
        </w:rPr>
      </w:pPr>
      <w:r>
        <w:rPr>
          <w:rFonts w:hint="eastAsia" w:ascii="宋体" w:hAnsi="宋体" w:cs="宋体"/>
          <w:bCs/>
          <w:color w:val="auto"/>
          <w:sz w:val="24"/>
          <w:szCs w:val="24"/>
          <w:highlight w:val="none"/>
        </w:rPr>
        <w:t>3.成交供应商提供的移动支付及智能报修程序不得强制获取学生个人核心信息，且须做好学生信息的保护工作，不用作其他用途。学校有权对智能支付系统进行监管。除必要的产品标识、操作说明、收费标准外，饮水机机身等位置不得张贴任何形式的广告。</w:t>
      </w:r>
    </w:p>
    <w:p w14:paraId="7F5608F9">
      <w:pPr>
        <w:spacing w:line="480" w:lineRule="exact"/>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4.成交供应商须承诺能够提供本地化服务，专业维修维护人员数量不少于2名，定期巡检消毒和保养；接到设备故障信息后，维修人员必须在30分钟做出响应，24小时内到现场进行维修处理；若无法通过维修解决时，必须提供同类设备，确保正常使用。维修员必须遵守学校校园管理和疫情防控规定。</w:t>
      </w:r>
    </w:p>
    <w:p w14:paraId="31C742BB">
      <w:pPr>
        <w:spacing w:line="480" w:lineRule="exact"/>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5.成交供应商在施工及运营期间所有设备使用出现的安全责任概由成交单位独立承担。经营期限内，不得以任何理由提高对学生的收费标准。如因安全责任事故出现赔付学生情形，拒不赔付的，将终止其运营合同，自行投入的可移动的设备设施无条件撤出并自行处理，装饰装潢等不可移动/拆除的设施及所有权属招标人的设备设施不得损坏。</w:t>
      </w:r>
    </w:p>
    <w:p w14:paraId="5ADB5EB8">
      <w:pPr>
        <w:spacing w:line="480" w:lineRule="exact"/>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6.规范化施工，成交供应商的员工必须具有2名及以上水处理职业资格证书和健康证，才可以施工。成交供应商自行铺设用水、用电线路，设备安装位置可在学校监管部门论证同意下，进行必要的改造和修缮。但不得损害学校基础设施，且满足消防安全需要。</w:t>
      </w:r>
    </w:p>
    <w:p w14:paraId="403F19FC">
      <w:pPr>
        <w:spacing w:line="480" w:lineRule="exact"/>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7.</w:t>
      </w:r>
      <w:r>
        <w:rPr>
          <w:rFonts w:hint="eastAsia" w:ascii="宋体" w:hAnsi="宋体" w:cs="宋体"/>
          <w:bCs/>
          <w:color w:val="auto"/>
          <w:sz w:val="24"/>
          <w:szCs w:val="24"/>
          <w:highlight w:val="none"/>
          <w:lang w:eastAsia="zh-CN"/>
        </w:rPr>
        <w:t>成交供应商</w:t>
      </w:r>
      <w:r>
        <w:rPr>
          <w:rFonts w:hint="eastAsia" w:ascii="宋体" w:hAnsi="宋体" w:cs="宋体"/>
          <w:bCs/>
          <w:color w:val="auto"/>
          <w:sz w:val="24"/>
          <w:szCs w:val="24"/>
          <w:highlight w:val="none"/>
        </w:rPr>
        <w:t>须服从采购人管理部门的管理与监督，并随时接受并配合学校、工商、防疫、消防、卫生、计量、物价、教育等部门的检查，并负责自行协调解决相关事务。</w:t>
      </w:r>
    </w:p>
    <w:p w14:paraId="02E2B605">
      <w:pPr>
        <w:autoSpaceDE w:val="0"/>
        <w:autoSpaceDN w:val="0"/>
        <w:adjustRightInd w:val="0"/>
        <w:spacing w:line="480" w:lineRule="exact"/>
        <w:ind w:firstLine="482" w:firstLineChars="200"/>
        <w:outlineLvl w:val="9"/>
        <w:rPr>
          <w:rFonts w:hint="eastAsia" w:ascii="宋体" w:eastAsia="宋体" w:cs="Times New Roman"/>
          <w:b/>
          <w:sz w:val="24"/>
          <w:highlight w:val="none"/>
        </w:rPr>
      </w:pPr>
      <w:r>
        <w:rPr>
          <w:rFonts w:hint="eastAsia" w:ascii="宋体" w:eastAsia="宋体" w:cs="Times New Roman"/>
          <w:b/>
          <w:sz w:val="24"/>
          <w:highlight w:val="none"/>
        </w:rPr>
        <w:t>七．安全责任界定</w:t>
      </w:r>
    </w:p>
    <w:p w14:paraId="7C6CC66D">
      <w:pPr>
        <w:autoSpaceDE w:val="0"/>
        <w:autoSpaceDN w:val="0"/>
        <w:adjustRightInd w:val="0"/>
        <w:spacing w:line="480" w:lineRule="exact"/>
        <w:ind w:firstLine="480" w:firstLineChars="200"/>
        <w:outlineLvl w:val="9"/>
        <w:rPr>
          <w:rFonts w:hint="eastAsia" w:ascii="宋体" w:eastAsia="宋体" w:cs="Times New Roman"/>
          <w:b w:val="0"/>
          <w:bCs/>
          <w:sz w:val="24"/>
          <w:highlight w:val="none"/>
        </w:rPr>
      </w:pPr>
      <w:r>
        <w:rPr>
          <w:rFonts w:hint="eastAsia" w:ascii="宋体" w:eastAsia="宋体" w:cs="Times New Roman"/>
          <w:b w:val="0"/>
          <w:bCs/>
          <w:sz w:val="24"/>
          <w:highlight w:val="none"/>
        </w:rPr>
        <w:t>1.成交供应商提供的所有设备在未使用情况下发生的任何安全问题，以及学生在使用成交供应商提供的设备时发生的任何安全问题，由成交供应商负责，并对后续所有事情进行处理和赔偿。</w:t>
      </w:r>
    </w:p>
    <w:p w14:paraId="7220A4FC">
      <w:pPr>
        <w:autoSpaceDE w:val="0"/>
        <w:autoSpaceDN w:val="0"/>
        <w:adjustRightInd w:val="0"/>
        <w:spacing w:line="480" w:lineRule="exact"/>
        <w:ind w:firstLine="480" w:firstLineChars="200"/>
        <w:outlineLvl w:val="9"/>
        <w:rPr>
          <w:rFonts w:hint="eastAsia" w:ascii="宋体" w:eastAsia="宋体" w:cs="Times New Roman"/>
          <w:b w:val="0"/>
          <w:bCs/>
          <w:sz w:val="24"/>
          <w:highlight w:val="none"/>
        </w:rPr>
      </w:pPr>
      <w:r>
        <w:rPr>
          <w:rFonts w:hint="eastAsia" w:ascii="宋体" w:eastAsia="宋体" w:cs="Times New Roman"/>
          <w:b w:val="0"/>
          <w:bCs/>
          <w:sz w:val="24"/>
          <w:highlight w:val="none"/>
        </w:rPr>
        <w:t>2.成交供应商对改造过程中和改造后产生的安全问题负责，并对后续所有事情进行处理和赔偿。</w:t>
      </w:r>
    </w:p>
    <w:p w14:paraId="6A80DFAB">
      <w:pPr>
        <w:autoSpaceDE w:val="0"/>
        <w:autoSpaceDN w:val="0"/>
        <w:adjustRightInd w:val="0"/>
        <w:spacing w:line="480" w:lineRule="exact"/>
        <w:ind w:firstLine="480" w:firstLineChars="200"/>
        <w:outlineLvl w:val="9"/>
        <w:rPr>
          <w:rFonts w:hint="eastAsia" w:ascii="宋体" w:eastAsia="宋体" w:cs="Times New Roman"/>
          <w:b w:val="0"/>
          <w:bCs/>
          <w:sz w:val="24"/>
          <w:highlight w:val="none"/>
        </w:rPr>
      </w:pPr>
      <w:r>
        <w:rPr>
          <w:rFonts w:hint="eastAsia" w:ascii="宋体" w:eastAsia="宋体" w:cs="Times New Roman"/>
          <w:b w:val="0"/>
          <w:bCs/>
          <w:sz w:val="24"/>
          <w:highlight w:val="none"/>
        </w:rPr>
        <w:t>3.成交供应商所提供的设备在使用过程中发生公共卫生事件（重大传染病疫情、群体性不明原因疾病、中毒或流行病传染）的情况，所有损失由成交供应商承担。成交供应商负责所提供设备安全（防火、放电、防盗、卫生、防毒、防传染病、防公共卫生事件等），并进行有效的管理。</w:t>
      </w:r>
    </w:p>
    <w:p w14:paraId="10BB7CEF">
      <w:pPr>
        <w:autoSpaceDE w:val="0"/>
        <w:autoSpaceDN w:val="0"/>
        <w:adjustRightInd w:val="0"/>
        <w:spacing w:line="480" w:lineRule="exact"/>
        <w:ind w:firstLine="480" w:firstLineChars="200"/>
        <w:outlineLvl w:val="9"/>
        <w:rPr>
          <w:rFonts w:hint="eastAsia" w:ascii="宋体" w:eastAsia="宋体" w:cs="Times New Roman"/>
          <w:b w:val="0"/>
          <w:bCs/>
          <w:sz w:val="24"/>
          <w:highlight w:val="none"/>
        </w:rPr>
      </w:pPr>
      <w:r>
        <w:rPr>
          <w:rFonts w:hint="eastAsia" w:ascii="宋体" w:eastAsia="宋体" w:cs="Times New Roman"/>
          <w:b w:val="0"/>
          <w:bCs/>
          <w:sz w:val="24"/>
          <w:highlight w:val="none"/>
        </w:rPr>
        <w:t>4.成交供应商应定期对提供的所有设备和改造施工场所进行安全隐患排查及复查，确定无安全隐患后方可继续使用，检查结果需要认真做好记录。</w:t>
      </w:r>
    </w:p>
    <w:p w14:paraId="1F63C047">
      <w:pPr>
        <w:autoSpaceDE w:val="0"/>
        <w:autoSpaceDN w:val="0"/>
        <w:adjustRightInd w:val="0"/>
        <w:spacing w:line="480" w:lineRule="exact"/>
        <w:ind w:firstLine="480" w:firstLineChars="200"/>
        <w:outlineLvl w:val="9"/>
        <w:rPr>
          <w:rFonts w:hint="eastAsia" w:ascii="宋体" w:eastAsia="宋体" w:cs="Times New Roman"/>
          <w:b w:val="0"/>
          <w:bCs/>
          <w:sz w:val="24"/>
          <w:highlight w:val="none"/>
        </w:rPr>
      </w:pPr>
      <w:r>
        <w:rPr>
          <w:rFonts w:hint="eastAsia" w:ascii="宋体" w:eastAsia="宋体" w:cs="Times New Roman"/>
          <w:b w:val="0"/>
          <w:bCs/>
          <w:sz w:val="24"/>
          <w:highlight w:val="none"/>
        </w:rPr>
        <w:t>5.成交供应商提供设备在使用过程中出现安全问题，一个月内三次以上的，成交供应商进行改造和更换设备。</w:t>
      </w:r>
    </w:p>
    <w:p w14:paraId="48855F05">
      <w:pPr>
        <w:autoSpaceDE w:val="0"/>
        <w:autoSpaceDN w:val="0"/>
        <w:adjustRightInd w:val="0"/>
        <w:spacing w:line="480" w:lineRule="exact"/>
        <w:ind w:firstLine="480" w:firstLineChars="200"/>
        <w:outlineLvl w:val="9"/>
        <w:rPr>
          <w:rFonts w:hint="eastAsia" w:ascii="宋体" w:eastAsia="宋体" w:cs="Times New Roman"/>
          <w:b w:val="0"/>
          <w:bCs/>
          <w:sz w:val="24"/>
          <w:highlight w:val="none"/>
        </w:rPr>
      </w:pPr>
      <w:r>
        <w:rPr>
          <w:rFonts w:hint="eastAsia" w:ascii="宋体" w:eastAsia="宋体" w:cs="Times New Roman"/>
          <w:b w:val="0"/>
          <w:bCs/>
          <w:sz w:val="24"/>
          <w:highlight w:val="none"/>
        </w:rPr>
        <w:t>6.学生在使用成交供应商提供的设备时，发生安全事故（造成人身伤亡、伤害等），经鉴定后属于成交供应商提供设备造成的，所造成的一切损失由成交供应商全部承担，学校有权解除合同。</w:t>
      </w:r>
    </w:p>
    <w:p w14:paraId="6853C433">
      <w:pPr>
        <w:autoSpaceDE w:val="0"/>
        <w:autoSpaceDN w:val="0"/>
        <w:adjustRightInd w:val="0"/>
        <w:spacing w:line="480" w:lineRule="exact"/>
        <w:ind w:firstLine="480" w:firstLineChars="200"/>
        <w:outlineLvl w:val="9"/>
        <w:rPr>
          <w:rFonts w:hint="eastAsia" w:ascii="宋体" w:eastAsia="宋体" w:cs="Times New Roman"/>
          <w:b w:val="0"/>
          <w:bCs/>
          <w:sz w:val="24"/>
          <w:highlight w:val="none"/>
        </w:rPr>
      </w:pPr>
      <w:r>
        <w:rPr>
          <w:rFonts w:hint="eastAsia" w:ascii="宋体" w:eastAsia="宋体" w:cs="Times New Roman"/>
          <w:b w:val="0"/>
          <w:bCs/>
          <w:sz w:val="24"/>
          <w:highlight w:val="none"/>
        </w:rPr>
        <w:t>7.成交供应商确保所提供的设备美观大方，未经学校允许不得在设备上做任何广告宣传，如有，学校可按约定终止合同。</w:t>
      </w:r>
    </w:p>
    <w:p w14:paraId="5F032F81">
      <w:pPr>
        <w:autoSpaceDE w:val="0"/>
        <w:autoSpaceDN w:val="0"/>
        <w:adjustRightInd w:val="0"/>
        <w:spacing w:line="480" w:lineRule="exact"/>
        <w:ind w:firstLine="482" w:firstLineChars="200"/>
        <w:outlineLvl w:val="9"/>
        <w:rPr>
          <w:rFonts w:hint="eastAsia" w:ascii="宋体" w:eastAsia="宋体" w:cs="Times New Roman"/>
          <w:b/>
          <w:sz w:val="24"/>
          <w:highlight w:val="none"/>
        </w:rPr>
      </w:pPr>
      <w:r>
        <w:rPr>
          <w:rFonts w:hint="eastAsia" w:ascii="宋体" w:eastAsia="宋体" w:cs="Times New Roman"/>
          <w:b/>
          <w:sz w:val="24"/>
          <w:highlight w:val="none"/>
        </w:rPr>
        <w:t>八.验收标准</w:t>
      </w:r>
    </w:p>
    <w:p w14:paraId="7D320D0E">
      <w:pPr>
        <w:spacing w:line="50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成交供应商</w:t>
      </w:r>
      <w:r>
        <w:rPr>
          <w:rFonts w:hint="eastAsia" w:ascii="宋体" w:hAnsi="宋体" w:cs="宋体"/>
          <w:color w:val="auto"/>
          <w:sz w:val="24"/>
          <w:szCs w:val="24"/>
          <w:highlight w:val="none"/>
        </w:rPr>
        <w:t>提供的所有设备，必须经过学校相关部门验收后方可进行安装。饮用水设备全部安装完毕后，随机抽样送检（</w:t>
      </w:r>
      <w:r>
        <w:rPr>
          <w:rFonts w:hint="eastAsia" w:ascii="宋体" w:hAnsi="宋体" w:cs="宋体"/>
          <w:color w:val="auto"/>
          <w:sz w:val="24"/>
          <w:szCs w:val="24"/>
          <w:highlight w:val="none"/>
          <w:lang w:eastAsia="zh-CN"/>
        </w:rPr>
        <w:t>成交供应商</w:t>
      </w:r>
      <w:r>
        <w:rPr>
          <w:rFonts w:hint="eastAsia" w:ascii="宋体" w:hAnsi="宋体" w:cs="宋体"/>
          <w:color w:val="auto"/>
          <w:sz w:val="24"/>
          <w:szCs w:val="24"/>
          <w:highlight w:val="none"/>
        </w:rPr>
        <w:t>承担费用），检测结果符饮用净水水质标准。</w:t>
      </w:r>
    </w:p>
    <w:p w14:paraId="7B85E54A">
      <w:pPr>
        <w:spacing w:line="500" w:lineRule="exact"/>
        <w:ind w:left="479" w:leftChars="228"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2.全部工程施工完毕，调试完成后，由学校相关部门进行验收后方可投入使用。</w:t>
      </w:r>
    </w:p>
    <w:p w14:paraId="1A7D18EC">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3.发现</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提供的产品质量问题不合格的，学校有权利退货，</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赔偿学校由此产生的一切费用和损失。</w:t>
      </w:r>
    </w:p>
    <w:p w14:paraId="779BBFE8">
      <w:pPr>
        <w:autoSpaceDE w:val="0"/>
        <w:autoSpaceDN w:val="0"/>
        <w:adjustRightInd w:val="0"/>
        <w:spacing w:line="480" w:lineRule="exact"/>
        <w:ind w:firstLine="482" w:firstLineChars="200"/>
        <w:outlineLvl w:val="9"/>
        <w:rPr>
          <w:rFonts w:hint="eastAsia" w:ascii="宋体" w:eastAsia="宋体" w:cs="Times New Roman"/>
          <w:b/>
          <w:sz w:val="24"/>
          <w:highlight w:val="none"/>
        </w:rPr>
      </w:pPr>
      <w:r>
        <w:rPr>
          <w:rFonts w:hint="eastAsia" w:ascii="宋体" w:eastAsia="宋体" w:cs="Times New Roman"/>
          <w:b/>
          <w:sz w:val="24"/>
          <w:highlight w:val="none"/>
        </w:rPr>
        <w:t>九、违约条款</w:t>
      </w:r>
    </w:p>
    <w:p w14:paraId="09DD8500">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1.乙方延迟交货，每延迟1日，按施工总额0.3‰支付违约金。</w:t>
      </w:r>
    </w:p>
    <w:p w14:paraId="68CDA9DD">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2.乙方履行不符合规定，除应按合同约定及时调换外，在调换产品期间，应按调换产品金额每日3‰向甲方支付违约金。</w:t>
      </w:r>
    </w:p>
    <w:p w14:paraId="0FD241BF">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3.一方不按期履行合同，并经另一方提示后15日内仍不履行合同的，守约方有权解除合同，违约方要承担相应的赔偿责任。</w:t>
      </w:r>
    </w:p>
    <w:p w14:paraId="010C9FF1">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4.如因一方违约，双方未能就赔偿损失达成协议，引起诉讼或仲裁时，违约方除应赔偿对方经济损失外，还应承担对方因诉讼或仲裁所支付的律师代理费等相关费用。</w:t>
      </w:r>
    </w:p>
    <w:p w14:paraId="231D50C4">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 xml:space="preserve">5.其它应承担的违约责任，以《中华人民共和国民法典》和其它有关法律、法规规定为准，无相关规定的，双方协商解决。 </w:t>
      </w:r>
    </w:p>
    <w:p w14:paraId="5BA33C0D">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6.按照规定应该偿付的违约金、赔偿金等，应当在明确责任后7日内，按银行规定或双方商定的结算办法付清，否则按逾期付款处理。</w:t>
      </w:r>
    </w:p>
    <w:p w14:paraId="0E5720DD">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7.其它未尽事宜，以《中华人民共和国民法典》规定为准。</w:t>
      </w:r>
    </w:p>
    <w:p w14:paraId="45D682C5">
      <w:pPr>
        <w:autoSpaceDE w:val="0"/>
        <w:autoSpaceDN w:val="0"/>
        <w:adjustRightInd w:val="0"/>
        <w:spacing w:line="480" w:lineRule="exact"/>
        <w:ind w:firstLine="482" w:firstLineChars="200"/>
        <w:outlineLvl w:val="9"/>
        <w:rPr>
          <w:rFonts w:hint="eastAsia" w:ascii="宋体" w:eastAsia="宋体" w:cs="Times New Roman"/>
          <w:b/>
          <w:sz w:val="24"/>
          <w:highlight w:val="none"/>
        </w:rPr>
      </w:pPr>
      <w:r>
        <w:rPr>
          <w:rFonts w:hint="eastAsia" w:ascii="宋体" w:eastAsia="宋体" w:cs="Times New Roman"/>
          <w:b/>
          <w:sz w:val="24"/>
          <w:highlight w:val="none"/>
        </w:rPr>
        <w:t>十、不可抗力条款</w:t>
      </w:r>
    </w:p>
    <w:p w14:paraId="0FFCF671">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1.因不可抗力致使一方不能及时或完全履行合同的，应及时通知代理机构及另一方，双方互不承担责任，并在15天内提供有关不可抗力的相应证明。</w:t>
      </w:r>
    </w:p>
    <w:p w14:paraId="0C67373F">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2.合同未履行部分是否继续履行、如何履行等问题，可由双方协商解决。</w:t>
      </w:r>
    </w:p>
    <w:p w14:paraId="55E24E41">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3.本合同所称“不可抗力”是指不能预见、不能避免并不能克服的客观情况，包括但不限于自然灾害如水灾、火灾、旱灾、台风、地震，以及公共卫生时间和社会事件，如战争、动乱、罢工、新冠疫情、政府行为或新颁布法律规定、政策调整等。</w:t>
      </w:r>
    </w:p>
    <w:p w14:paraId="2B3A4F8E">
      <w:pPr>
        <w:spacing w:line="500" w:lineRule="exact"/>
        <w:ind w:firstLine="480" w:firstLineChars="200"/>
        <w:outlineLvl w:val="9"/>
        <w:rPr>
          <w:rFonts w:ascii="宋体" w:hAnsi="宋体" w:cs="宋体"/>
          <w:sz w:val="24"/>
          <w:szCs w:val="24"/>
          <w:highlight w:val="none"/>
        </w:rPr>
      </w:pPr>
      <w:r>
        <w:rPr>
          <w:rFonts w:hint="eastAsia" w:ascii="宋体" w:hAnsi="宋体" w:cs="宋体"/>
          <w:sz w:val="24"/>
          <w:szCs w:val="24"/>
          <w:highlight w:val="none"/>
        </w:rPr>
        <w:t>4.声称受到不可抗力事件影响的一方，应尽可能在最短的时间（48小时）内将不可抗力事件的发生书面通知对方，并有责任尽一切合理的努力消除或减轻不可抗力事件的影响。</w:t>
      </w:r>
    </w:p>
    <w:p w14:paraId="3C398D0F">
      <w:pPr>
        <w:pStyle w:val="10"/>
        <w:autoSpaceDE w:val="0"/>
        <w:autoSpaceDN w:val="0"/>
        <w:spacing w:after="0" w:line="500" w:lineRule="exact"/>
        <w:ind w:firstLine="480" w:firstLineChars="200"/>
        <w:outlineLvl w:val="9"/>
        <w:rPr>
          <w:rFonts w:cs="宋体"/>
          <w:sz w:val="24"/>
          <w:szCs w:val="24"/>
          <w:highlight w:val="none"/>
        </w:rPr>
      </w:pPr>
      <w:r>
        <w:rPr>
          <w:rFonts w:hint="eastAsia" w:cs="宋体"/>
          <w:sz w:val="24"/>
          <w:szCs w:val="24"/>
          <w:highlight w:val="none"/>
        </w:rPr>
        <w:t>5.其它未尽事宜，以《中华人民共和国民法典》规定为准。</w:t>
      </w:r>
    </w:p>
    <w:p w14:paraId="42657A6A">
      <w:pPr>
        <w:pStyle w:val="76"/>
        <w:widowControl w:val="0"/>
        <w:autoSpaceDE w:val="0"/>
        <w:autoSpaceDN w:val="0"/>
        <w:spacing w:line="500" w:lineRule="exact"/>
        <w:outlineLvl w:val="9"/>
        <w:rPr>
          <w:rFonts w:ascii="宋体" w:hAnsi="宋体" w:cs="宋体"/>
          <w:sz w:val="24"/>
          <w:szCs w:val="24"/>
          <w:highlight w:val="none"/>
        </w:rPr>
      </w:pPr>
      <w:r>
        <w:rPr>
          <w:rFonts w:hint="eastAsia" w:ascii="宋体" w:hAnsi="宋体" w:cs="宋体"/>
          <w:sz w:val="24"/>
          <w:szCs w:val="24"/>
          <w:highlight w:val="none"/>
        </w:rPr>
        <w:t>十一、争议的解决方式</w:t>
      </w:r>
    </w:p>
    <w:p w14:paraId="4B41F263">
      <w:pPr>
        <w:numPr>
          <w:ilvl w:val="0"/>
          <w:numId w:val="12"/>
        </w:numPr>
        <w:tabs>
          <w:tab w:val="left" w:pos="851"/>
          <w:tab w:val="left" w:pos="1575"/>
          <w:tab w:val="left" w:pos="1680"/>
          <w:tab w:val="left" w:pos="2205"/>
        </w:tabs>
        <w:spacing w:line="500" w:lineRule="exact"/>
        <w:ind w:left="0" w:firstLine="426"/>
        <w:outlineLvl w:val="9"/>
        <w:rPr>
          <w:rFonts w:ascii="宋体" w:hAnsi="宋体" w:cs="Arial"/>
          <w:sz w:val="24"/>
          <w:szCs w:val="24"/>
          <w:highlight w:val="none"/>
        </w:rPr>
      </w:pPr>
      <w:r>
        <w:rPr>
          <w:rFonts w:hint="eastAsia" w:ascii="宋体" w:hAnsi="宋体" w:cs="Arial"/>
          <w:sz w:val="24"/>
          <w:szCs w:val="24"/>
          <w:highlight w:val="none"/>
        </w:rPr>
        <w:t>本合同适用中华人民共和国法律。</w:t>
      </w:r>
    </w:p>
    <w:p w14:paraId="7143C15B">
      <w:pPr>
        <w:numPr>
          <w:ilvl w:val="0"/>
          <w:numId w:val="12"/>
        </w:numPr>
        <w:tabs>
          <w:tab w:val="left" w:pos="851"/>
          <w:tab w:val="left" w:pos="1575"/>
          <w:tab w:val="left" w:pos="1680"/>
          <w:tab w:val="left" w:pos="2205"/>
        </w:tabs>
        <w:spacing w:line="500" w:lineRule="exact"/>
        <w:ind w:left="0" w:firstLine="426"/>
        <w:outlineLvl w:val="9"/>
        <w:rPr>
          <w:rFonts w:ascii="宋体" w:hAnsi="宋体" w:cs="Arial"/>
          <w:sz w:val="24"/>
          <w:szCs w:val="24"/>
          <w:highlight w:val="none"/>
        </w:rPr>
      </w:pPr>
      <w:r>
        <w:rPr>
          <w:rFonts w:hint="eastAsia" w:ascii="宋体" w:hAnsi="宋体" w:cs="Arial"/>
          <w:sz w:val="24"/>
          <w:szCs w:val="24"/>
          <w:highlight w:val="none"/>
        </w:rPr>
        <w:t>凡因本合同引起的或与本合同有关的任何争议，合同各方可通过协商解决，协商不成，按照以下第</w:t>
      </w:r>
      <w:r>
        <w:rPr>
          <w:rFonts w:hint="eastAsia" w:ascii="宋体" w:hAnsi="宋体" w:cs="Arial"/>
          <w:sz w:val="24"/>
          <w:szCs w:val="24"/>
          <w:highlight w:val="none"/>
          <w:u w:val="single"/>
        </w:rPr>
        <w:t>（一）</w:t>
      </w:r>
      <w:r>
        <w:rPr>
          <w:rFonts w:hint="eastAsia" w:ascii="宋体" w:hAnsi="宋体" w:cs="Arial"/>
          <w:sz w:val="24"/>
          <w:szCs w:val="24"/>
          <w:highlight w:val="none"/>
        </w:rPr>
        <w:t>种方式解决:</w:t>
      </w:r>
    </w:p>
    <w:p w14:paraId="2AC72936">
      <w:pPr>
        <w:spacing w:line="500" w:lineRule="exact"/>
        <w:ind w:firstLine="480" w:firstLineChars="200"/>
        <w:outlineLvl w:val="9"/>
        <w:rPr>
          <w:rFonts w:ascii="宋体" w:hAnsi="宋体"/>
          <w:sz w:val="24"/>
          <w:szCs w:val="24"/>
          <w:highlight w:val="none"/>
        </w:rPr>
      </w:pPr>
      <w:r>
        <w:rPr>
          <w:rFonts w:hint="eastAsia" w:ascii="宋体" w:hAnsi="宋体"/>
          <w:sz w:val="24"/>
          <w:szCs w:val="24"/>
          <w:highlight w:val="none"/>
        </w:rPr>
        <w:t>(一) 向甲方住所地人民法院起诉。</w:t>
      </w:r>
    </w:p>
    <w:p w14:paraId="6BA98C13">
      <w:pPr>
        <w:spacing w:line="500" w:lineRule="exact"/>
        <w:ind w:firstLine="480" w:firstLineChars="200"/>
        <w:outlineLvl w:val="9"/>
        <w:rPr>
          <w:rFonts w:ascii="宋体" w:hAnsi="宋体"/>
          <w:sz w:val="24"/>
          <w:szCs w:val="24"/>
          <w:highlight w:val="none"/>
        </w:rPr>
      </w:pPr>
      <w:r>
        <w:rPr>
          <w:rFonts w:hint="eastAsia" w:ascii="宋体" w:hAnsi="宋体"/>
          <w:sz w:val="24"/>
          <w:szCs w:val="24"/>
          <w:highlight w:val="none"/>
        </w:rPr>
        <w:t>(二)将争议提交</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仲裁委员会并按照申请仲裁时该会现行有效的仲裁规则进行仲裁。仲裁裁决是终局的，对各方均有约束力。</w:t>
      </w:r>
    </w:p>
    <w:p w14:paraId="315A9055">
      <w:pPr>
        <w:spacing w:line="500" w:lineRule="exact"/>
        <w:ind w:firstLine="480" w:firstLineChars="200"/>
        <w:outlineLvl w:val="9"/>
        <w:rPr>
          <w:rFonts w:ascii="宋体" w:hAnsi="宋体"/>
          <w:sz w:val="24"/>
          <w:szCs w:val="24"/>
          <w:highlight w:val="none"/>
        </w:rPr>
      </w:pPr>
      <w:r>
        <w:rPr>
          <w:rFonts w:hint="eastAsia" w:ascii="宋体" w:hAnsi="宋体"/>
          <w:sz w:val="24"/>
          <w:szCs w:val="24"/>
          <w:highlight w:val="none"/>
        </w:rPr>
        <w:t>在诉讼或仲裁期间，本合同不涉及争议的条款仍须履行。</w:t>
      </w:r>
    </w:p>
    <w:p w14:paraId="4F217664">
      <w:pPr>
        <w:pStyle w:val="76"/>
        <w:widowControl w:val="0"/>
        <w:autoSpaceDE w:val="0"/>
        <w:autoSpaceDN w:val="0"/>
        <w:spacing w:line="500" w:lineRule="exact"/>
        <w:outlineLvl w:val="9"/>
        <w:rPr>
          <w:rFonts w:ascii="宋体" w:hAnsi="宋体" w:cs="宋体"/>
          <w:sz w:val="24"/>
          <w:szCs w:val="24"/>
          <w:highlight w:val="none"/>
        </w:rPr>
      </w:pPr>
      <w:r>
        <w:rPr>
          <w:rFonts w:hint="eastAsia" w:ascii="宋体" w:hAnsi="宋体" w:cs="宋体"/>
          <w:sz w:val="24"/>
          <w:szCs w:val="24"/>
          <w:highlight w:val="none"/>
        </w:rPr>
        <w:t>十二、合同生效及其它</w:t>
      </w:r>
    </w:p>
    <w:p w14:paraId="077FB0CF">
      <w:pPr>
        <w:pStyle w:val="10"/>
        <w:autoSpaceDE w:val="0"/>
        <w:autoSpaceDN w:val="0"/>
        <w:spacing w:after="0" w:line="500" w:lineRule="exact"/>
        <w:ind w:firstLine="480" w:firstLineChars="200"/>
        <w:outlineLvl w:val="9"/>
        <w:rPr>
          <w:rFonts w:cs="宋体"/>
          <w:sz w:val="24"/>
          <w:szCs w:val="24"/>
          <w:highlight w:val="none"/>
          <w:lang w:val="zh-CN"/>
        </w:rPr>
      </w:pPr>
      <w:r>
        <w:rPr>
          <w:rFonts w:hint="eastAsia" w:cs="宋体"/>
          <w:sz w:val="24"/>
          <w:szCs w:val="24"/>
          <w:highlight w:val="none"/>
        </w:rPr>
        <w:t>1.</w:t>
      </w:r>
      <w:r>
        <w:rPr>
          <w:rFonts w:hint="eastAsia" w:cs="宋体"/>
          <w:sz w:val="24"/>
          <w:szCs w:val="24"/>
          <w:highlight w:val="none"/>
          <w:lang w:val="zh-CN"/>
        </w:rPr>
        <w:t xml:space="preserve">本协议书自甲、乙双方签字盖章之日起生效，在协议书有效期内,如甲乙双方发生纠纷,应通过协商解决;协商解决不成的,可通过双方所在地的法律机构解决。 </w:t>
      </w:r>
    </w:p>
    <w:p w14:paraId="20E6BD0E">
      <w:pPr>
        <w:pStyle w:val="10"/>
        <w:autoSpaceDE w:val="0"/>
        <w:autoSpaceDN w:val="0"/>
        <w:spacing w:after="0" w:line="500" w:lineRule="exact"/>
        <w:ind w:firstLine="480" w:firstLineChars="200"/>
        <w:outlineLvl w:val="9"/>
        <w:rPr>
          <w:rFonts w:cs="宋体"/>
          <w:sz w:val="24"/>
          <w:szCs w:val="24"/>
          <w:highlight w:val="none"/>
          <w:lang w:val="zh-CN"/>
        </w:rPr>
      </w:pPr>
      <w:r>
        <w:rPr>
          <w:rFonts w:hint="eastAsia" w:cs="宋体"/>
          <w:sz w:val="24"/>
          <w:szCs w:val="24"/>
          <w:highlight w:val="none"/>
        </w:rPr>
        <w:t>2.</w:t>
      </w:r>
      <w:r>
        <w:rPr>
          <w:rFonts w:hint="eastAsia" w:cs="宋体"/>
          <w:sz w:val="24"/>
          <w:szCs w:val="24"/>
          <w:highlight w:val="none"/>
          <w:lang w:val="zh-CN"/>
        </w:rPr>
        <w:t xml:space="preserve">本协议书一式四份，甲、乙双方各执两份，具有同等的法律效力。 </w:t>
      </w:r>
    </w:p>
    <w:p w14:paraId="096494A7">
      <w:pPr>
        <w:pStyle w:val="10"/>
        <w:autoSpaceDE w:val="0"/>
        <w:autoSpaceDN w:val="0"/>
        <w:spacing w:after="0" w:line="500" w:lineRule="exact"/>
        <w:ind w:firstLine="480" w:firstLineChars="200"/>
        <w:outlineLvl w:val="9"/>
        <w:rPr>
          <w:rFonts w:cs="宋体"/>
          <w:sz w:val="24"/>
          <w:szCs w:val="24"/>
          <w:highlight w:val="none"/>
          <w:lang w:val="zh-CN"/>
        </w:rPr>
      </w:pPr>
      <w:r>
        <w:rPr>
          <w:rFonts w:hint="eastAsia" w:cs="宋体"/>
          <w:sz w:val="24"/>
          <w:szCs w:val="24"/>
          <w:highlight w:val="none"/>
        </w:rPr>
        <w:t>3.</w:t>
      </w:r>
      <w:r>
        <w:rPr>
          <w:rFonts w:hint="eastAsia" w:cs="宋体"/>
          <w:sz w:val="24"/>
          <w:szCs w:val="24"/>
          <w:highlight w:val="none"/>
          <w:lang w:val="zh-CN"/>
        </w:rPr>
        <w:t>本协议未尽事宜，双方另行签订补充协议。补充协议是本协议的组成部份，与本协议具有同等法律效力。</w:t>
      </w:r>
    </w:p>
    <w:p w14:paraId="0B464755">
      <w:pPr>
        <w:pStyle w:val="8"/>
        <w:outlineLvl w:val="9"/>
        <w:rPr>
          <w:rFonts w:hint="eastAsia"/>
          <w:highlight w:val="none"/>
        </w:rPr>
      </w:pPr>
    </w:p>
    <w:p w14:paraId="6DA5F6B0">
      <w:pPr>
        <w:outlineLvl w:val="9"/>
        <w:rPr>
          <w:rFonts w:hint="eastAsia"/>
          <w:highlight w:val="none"/>
        </w:rPr>
      </w:pPr>
    </w:p>
    <w:tbl>
      <w:tblPr>
        <w:tblStyle w:val="33"/>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07320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2C489154">
            <w:pPr>
              <w:pStyle w:val="10"/>
              <w:outlineLvl w:val="9"/>
              <w:rPr>
                <w:rFonts w:ascii="宋体" w:hAnsi="宋体" w:cs="宋体"/>
                <w:color w:val="000000"/>
                <w:sz w:val="24"/>
                <w:szCs w:val="24"/>
                <w:highlight w:val="none"/>
              </w:rPr>
            </w:pPr>
            <w:bookmarkStart w:id="372" w:name="_Toc78940144"/>
            <w:bookmarkStart w:id="373" w:name="_Hlk23397894"/>
            <w:r>
              <w:rPr>
                <w:rFonts w:hint="eastAsia" w:ascii="宋体" w:hAnsi="宋体" w:cs="宋体"/>
                <w:color w:val="000000"/>
                <w:sz w:val="24"/>
                <w:szCs w:val="24"/>
                <w:highlight w:val="none"/>
              </w:rPr>
              <w:t>采购人：(公章)</w:t>
            </w:r>
          </w:p>
        </w:tc>
        <w:tc>
          <w:tcPr>
            <w:tcW w:w="240" w:type="dxa"/>
            <w:noWrap w:val="0"/>
            <w:vAlign w:val="center"/>
          </w:tcPr>
          <w:p w14:paraId="1B174717">
            <w:pPr>
              <w:spacing w:line="360" w:lineRule="auto"/>
              <w:ind w:left="-2" w:leftChars="-1"/>
              <w:outlineLvl w:val="9"/>
              <w:rPr>
                <w:rFonts w:ascii="宋体" w:hAnsi="宋体" w:cs="宋体"/>
                <w:color w:val="000000"/>
                <w:sz w:val="24"/>
                <w:highlight w:val="none"/>
              </w:rPr>
            </w:pPr>
          </w:p>
        </w:tc>
        <w:tc>
          <w:tcPr>
            <w:tcW w:w="5203" w:type="dxa"/>
            <w:noWrap w:val="0"/>
            <w:vAlign w:val="center"/>
          </w:tcPr>
          <w:p w14:paraId="61FD4188">
            <w:pPr>
              <w:spacing w:line="360" w:lineRule="auto"/>
              <w:ind w:left="-2" w:leftChars="-1"/>
              <w:outlineLvl w:val="9"/>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rPr>
              <w:t>供应商：(公章)</w:t>
            </w:r>
          </w:p>
        </w:tc>
      </w:tr>
      <w:tr w14:paraId="56E03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25D69FAD">
            <w:pPr>
              <w:pStyle w:val="10"/>
              <w:outlineLvl w:val="9"/>
              <w:rPr>
                <w:rFonts w:ascii="宋体" w:hAnsi="宋体" w:cs="宋体"/>
                <w:color w:val="000000"/>
                <w:sz w:val="24"/>
                <w:szCs w:val="24"/>
                <w:highlight w:val="none"/>
              </w:rPr>
            </w:pPr>
            <w:r>
              <w:rPr>
                <w:rFonts w:hint="eastAsia" w:ascii="宋体" w:hAnsi="宋体" w:cs="宋体"/>
                <w:color w:val="000000"/>
                <w:sz w:val="24"/>
                <w:szCs w:val="24"/>
                <w:highlight w:val="none"/>
              </w:rPr>
              <w:t>法定代表人或其委托代理人：</w:t>
            </w:r>
          </w:p>
          <w:p w14:paraId="5B9FDDF2">
            <w:pPr>
              <w:pStyle w:val="10"/>
              <w:outlineLvl w:val="9"/>
              <w:rPr>
                <w:rFonts w:ascii="宋体" w:hAnsi="宋体" w:cs="宋体"/>
                <w:color w:val="000000"/>
                <w:sz w:val="24"/>
                <w:szCs w:val="24"/>
                <w:highlight w:val="none"/>
              </w:rPr>
            </w:pPr>
            <w:r>
              <w:rPr>
                <w:rFonts w:hint="eastAsia" w:ascii="宋体" w:hAnsi="宋体" w:cs="宋体"/>
                <w:sz w:val="24"/>
                <w:szCs w:val="24"/>
                <w:highlight w:val="none"/>
              </w:rPr>
              <w:t>（签字或签章）</w:t>
            </w:r>
          </w:p>
        </w:tc>
        <w:tc>
          <w:tcPr>
            <w:tcW w:w="240" w:type="dxa"/>
            <w:noWrap w:val="0"/>
            <w:vAlign w:val="center"/>
          </w:tcPr>
          <w:p w14:paraId="0785C25A">
            <w:pPr>
              <w:spacing w:line="360" w:lineRule="auto"/>
              <w:ind w:left="-2" w:leftChars="-1"/>
              <w:outlineLvl w:val="9"/>
              <w:rPr>
                <w:rFonts w:ascii="宋体" w:hAnsi="宋体" w:cs="宋体"/>
                <w:color w:val="000000"/>
                <w:sz w:val="24"/>
                <w:highlight w:val="none"/>
              </w:rPr>
            </w:pPr>
          </w:p>
        </w:tc>
        <w:tc>
          <w:tcPr>
            <w:tcW w:w="5203" w:type="dxa"/>
            <w:noWrap w:val="0"/>
            <w:vAlign w:val="center"/>
          </w:tcPr>
          <w:p w14:paraId="54AB9AA6">
            <w:pPr>
              <w:pStyle w:val="10"/>
              <w:outlineLvl w:val="9"/>
              <w:rPr>
                <w:rFonts w:hint="eastAsia" w:ascii="宋体" w:hAnsi="宋体" w:cs="宋体"/>
                <w:color w:val="000000"/>
                <w:sz w:val="24"/>
                <w:szCs w:val="24"/>
                <w:highlight w:val="none"/>
              </w:rPr>
            </w:pPr>
            <w:r>
              <w:rPr>
                <w:rFonts w:hint="eastAsia" w:ascii="宋体" w:hAnsi="宋体" w:cs="宋体"/>
                <w:color w:val="000000"/>
                <w:sz w:val="24"/>
                <w:szCs w:val="24"/>
                <w:highlight w:val="none"/>
              </w:rPr>
              <w:t>法定代表人或其委托代理人：</w:t>
            </w:r>
          </w:p>
          <w:p w14:paraId="76E716D9">
            <w:pPr>
              <w:outlineLvl w:val="9"/>
              <w:rPr>
                <w:rFonts w:ascii="宋体" w:hAnsi="宋体" w:cs="宋体"/>
                <w:color w:val="000000"/>
                <w:sz w:val="24"/>
                <w:highlight w:val="none"/>
              </w:rPr>
            </w:pPr>
            <w:r>
              <w:rPr>
                <w:rFonts w:hint="eastAsia" w:ascii="宋体" w:hAnsi="宋体" w:cs="宋体"/>
                <w:sz w:val="24"/>
                <w:szCs w:val="24"/>
                <w:highlight w:val="none"/>
              </w:rPr>
              <w:t>（签字或签章）</w:t>
            </w:r>
          </w:p>
        </w:tc>
      </w:tr>
      <w:tr w14:paraId="09415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084C14B9">
            <w:pPr>
              <w:pStyle w:val="10"/>
              <w:outlineLvl w:val="9"/>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地址</w:t>
            </w:r>
            <w:r>
              <w:rPr>
                <w:rFonts w:hint="eastAsia" w:ascii="宋体" w:hAnsi="宋体" w:cs="宋体"/>
                <w:color w:val="000000"/>
                <w:sz w:val="24"/>
                <w:szCs w:val="24"/>
                <w:highlight w:val="none"/>
              </w:rPr>
              <w:t xml:space="preserve">： </w:t>
            </w:r>
          </w:p>
        </w:tc>
        <w:tc>
          <w:tcPr>
            <w:tcW w:w="240" w:type="dxa"/>
            <w:noWrap w:val="0"/>
            <w:vAlign w:val="center"/>
          </w:tcPr>
          <w:p w14:paraId="203A8218">
            <w:pPr>
              <w:pStyle w:val="10"/>
              <w:outlineLvl w:val="9"/>
              <w:rPr>
                <w:rFonts w:ascii="宋体" w:hAnsi="宋体" w:cs="宋体"/>
                <w:color w:val="000000"/>
                <w:sz w:val="24"/>
                <w:szCs w:val="24"/>
                <w:highlight w:val="none"/>
              </w:rPr>
            </w:pPr>
          </w:p>
        </w:tc>
        <w:tc>
          <w:tcPr>
            <w:tcW w:w="5203" w:type="dxa"/>
            <w:noWrap w:val="0"/>
            <w:vAlign w:val="center"/>
          </w:tcPr>
          <w:p w14:paraId="50C78F7D">
            <w:pPr>
              <w:pStyle w:val="10"/>
              <w:outlineLvl w:val="9"/>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地址</w:t>
            </w:r>
            <w:r>
              <w:rPr>
                <w:rFonts w:hint="eastAsia" w:ascii="宋体" w:hAnsi="宋体" w:cs="宋体"/>
                <w:color w:val="000000"/>
                <w:sz w:val="24"/>
                <w:szCs w:val="24"/>
                <w:highlight w:val="none"/>
              </w:rPr>
              <w:t>：</w:t>
            </w:r>
          </w:p>
        </w:tc>
      </w:tr>
      <w:tr w14:paraId="7DF07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noWrap w:val="0"/>
            <w:vAlign w:val="center"/>
          </w:tcPr>
          <w:p w14:paraId="2A1AA05B">
            <w:pPr>
              <w:pStyle w:val="10"/>
              <w:outlineLvl w:val="9"/>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rPr>
              <w:t>电 话：</w:t>
            </w:r>
          </w:p>
        </w:tc>
        <w:tc>
          <w:tcPr>
            <w:tcW w:w="240" w:type="dxa"/>
            <w:noWrap w:val="0"/>
            <w:vAlign w:val="center"/>
          </w:tcPr>
          <w:p w14:paraId="73121B1E">
            <w:pPr>
              <w:pStyle w:val="10"/>
              <w:outlineLvl w:val="9"/>
              <w:rPr>
                <w:rFonts w:ascii="宋体" w:hAnsi="宋体" w:cs="宋体"/>
                <w:color w:val="000000"/>
                <w:sz w:val="24"/>
                <w:szCs w:val="24"/>
                <w:highlight w:val="none"/>
              </w:rPr>
            </w:pPr>
          </w:p>
        </w:tc>
        <w:tc>
          <w:tcPr>
            <w:tcW w:w="5203" w:type="dxa"/>
            <w:noWrap w:val="0"/>
            <w:vAlign w:val="center"/>
          </w:tcPr>
          <w:p w14:paraId="72492802">
            <w:pPr>
              <w:pStyle w:val="10"/>
              <w:outlineLvl w:val="9"/>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电 话：</w:t>
            </w:r>
          </w:p>
        </w:tc>
      </w:tr>
      <w:tr w14:paraId="1231F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575" w:type="dxa"/>
            <w:noWrap w:val="0"/>
            <w:vAlign w:val="center"/>
          </w:tcPr>
          <w:p w14:paraId="76418D63">
            <w:pPr>
              <w:pStyle w:val="10"/>
              <w:outlineLvl w:val="9"/>
              <w:rPr>
                <w:rFonts w:ascii="宋体" w:hAnsi="宋体" w:cs="宋体"/>
                <w:color w:val="000000"/>
                <w:sz w:val="24"/>
                <w:szCs w:val="24"/>
                <w:highlight w:val="none"/>
              </w:rPr>
            </w:pPr>
            <w:r>
              <w:rPr>
                <w:rFonts w:hint="eastAsia" w:ascii="宋体" w:hAnsi="宋体" w:cs="宋体"/>
                <w:color w:val="000000"/>
                <w:sz w:val="24"/>
                <w:szCs w:val="24"/>
                <w:highlight w:val="none"/>
              </w:rPr>
              <w:t>开户银行：</w:t>
            </w:r>
          </w:p>
        </w:tc>
        <w:tc>
          <w:tcPr>
            <w:tcW w:w="240" w:type="dxa"/>
            <w:noWrap w:val="0"/>
            <w:vAlign w:val="center"/>
          </w:tcPr>
          <w:p w14:paraId="53FAE2D0">
            <w:pPr>
              <w:pStyle w:val="10"/>
              <w:outlineLvl w:val="9"/>
              <w:rPr>
                <w:rFonts w:ascii="宋体" w:hAnsi="宋体" w:cs="宋体"/>
                <w:color w:val="000000"/>
                <w:sz w:val="24"/>
                <w:szCs w:val="24"/>
                <w:highlight w:val="none"/>
              </w:rPr>
            </w:pPr>
          </w:p>
        </w:tc>
        <w:tc>
          <w:tcPr>
            <w:tcW w:w="5203" w:type="dxa"/>
            <w:noWrap w:val="0"/>
            <w:vAlign w:val="center"/>
          </w:tcPr>
          <w:p w14:paraId="2E7F8ACB">
            <w:pPr>
              <w:pStyle w:val="10"/>
              <w:outlineLvl w:val="9"/>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开户银行：</w:t>
            </w:r>
          </w:p>
        </w:tc>
      </w:tr>
      <w:tr w14:paraId="43400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4395770F">
            <w:pPr>
              <w:pStyle w:val="10"/>
              <w:outlineLvl w:val="9"/>
              <w:rPr>
                <w:rFonts w:ascii="宋体" w:hAnsi="宋体" w:cs="宋体"/>
                <w:color w:val="000000"/>
                <w:sz w:val="24"/>
                <w:szCs w:val="24"/>
                <w:highlight w:val="none"/>
              </w:rPr>
            </w:pPr>
            <w:r>
              <w:rPr>
                <w:rFonts w:hint="eastAsia" w:ascii="宋体" w:hAnsi="宋体" w:cs="宋体"/>
                <w:color w:val="000000"/>
                <w:sz w:val="24"/>
                <w:szCs w:val="24"/>
                <w:highlight w:val="none"/>
              </w:rPr>
              <w:t>账号：</w:t>
            </w:r>
          </w:p>
        </w:tc>
        <w:tc>
          <w:tcPr>
            <w:tcW w:w="240" w:type="dxa"/>
            <w:noWrap w:val="0"/>
            <w:vAlign w:val="center"/>
          </w:tcPr>
          <w:p w14:paraId="41C0DD8E">
            <w:pPr>
              <w:pStyle w:val="10"/>
              <w:outlineLvl w:val="9"/>
              <w:rPr>
                <w:rFonts w:ascii="宋体" w:hAnsi="宋体" w:cs="宋体"/>
                <w:color w:val="000000"/>
                <w:sz w:val="24"/>
                <w:szCs w:val="24"/>
                <w:highlight w:val="none"/>
              </w:rPr>
            </w:pPr>
          </w:p>
        </w:tc>
        <w:tc>
          <w:tcPr>
            <w:tcW w:w="5203" w:type="dxa"/>
            <w:noWrap w:val="0"/>
            <w:vAlign w:val="center"/>
          </w:tcPr>
          <w:p w14:paraId="4830DCFC">
            <w:pPr>
              <w:spacing w:line="500" w:lineRule="exact"/>
              <w:outlineLvl w:val="9"/>
              <w:rPr>
                <w:rFonts w:hint="eastAsia" w:ascii="宋体" w:hAnsi="宋体" w:cs="仿宋_GB2312"/>
                <w:color w:val="auto"/>
                <w:sz w:val="28"/>
                <w:szCs w:val="28"/>
                <w:highlight w:val="none"/>
                <w:lang w:val="en-US" w:eastAsia="zh-CN"/>
              </w:rPr>
            </w:pPr>
            <w:r>
              <w:rPr>
                <w:rFonts w:hint="eastAsia" w:ascii="宋体" w:hAnsi="宋体" w:cs="宋体"/>
                <w:color w:val="000000"/>
                <w:sz w:val="24"/>
                <w:szCs w:val="24"/>
                <w:highlight w:val="none"/>
              </w:rPr>
              <w:t>账号</w:t>
            </w:r>
            <w:r>
              <w:rPr>
                <w:rFonts w:hint="eastAsia" w:ascii="宋体" w:hAnsi="宋体" w:eastAsia="宋体" w:cs="宋体"/>
                <w:color w:val="000000"/>
                <w:kern w:val="2"/>
                <w:sz w:val="24"/>
                <w:szCs w:val="24"/>
                <w:highlight w:val="none"/>
                <w:lang w:val="en-US" w:eastAsia="zh-CN" w:bidi="ar-SA"/>
              </w:rPr>
              <w:t>：</w:t>
            </w:r>
          </w:p>
          <w:p w14:paraId="50511695">
            <w:pPr>
              <w:pStyle w:val="10"/>
              <w:outlineLvl w:val="9"/>
              <w:rPr>
                <w:rFonts w:hint="default" w:ascii="宋体" w:hAnsi="宋体" w:eastAsia="宋体" w:cs="宋体"/>
                <w:color w:val="000000"/>
                <w:sz w:val="24"/>
                <w:szCs w:val="24"/>
                <w:highlight w:val="none"/>
                <w:lang w:val="en-US" w:eastAsia="zh-CN"/>
              </w:rPr>
            </w:pPr>
          </w:p>
        </w:tc>
      </w:tr>
      <w:tr w14:paraId="04E88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3A95A3FD">
            <w:pPr>
              <w:pStyle w:val="10"/>
              <w:outlineLvl w:val="9"/>
              <w:rPr>
                <w:rFonts w:ascii="宋体" w:hAnsi="宋体" w:cs="宋体"/>
                <w:color w:val="000000"/>
                <w:sz w:val="24"/>
                <w:szCs w:val="24"/>
                <w:highlight w:val="none"/>
              </w:rPr>
            </w:pPr>
            <w:r>
              <w:rPr>
                <w:rFonts w:hint="eastAsia" w:ascii="宋体" w:hAnsi="宋体" w:cs="宋体"/>
                <w:color w:val="000000"/>
                <w:sz w:val="24"/>
                <w:szCs w:val="24"/>
                <w:highlight w:val="none"/>
              </w:rPr>
              <w:t>邮政编码：</w:t>
            </w:r>
          </w:p>
        </w:tc>
        <w:tc>
          <w:tcPr>
            <w:tcW w:w="240" w:type="dxa"/>
            <w:noWrap w:val="0"/>
            <w:vAlign w:val="center"/>
          </w:tcPr>
          <w:p w14:paraId="515F0EBD">
            <w:pPr>
              <w:pStyle w:val="10"/>
              <w:outlineLvl w:val="9"/>
              <w:rPr>
                <w:rFonts w:ascii="宋体" w:hAnsi="宋体" w:cs="宋体"/>
                <w:color w:val="000000"/>
                <w:sz w:val="24"/>
                <w:szCs w:val="24"/>
                <w:highlight w:val="none"/>
              </w:rPr>
            </w:pPr>
          </w:p>
        </w:tc>
        <w:tc>
          <w:tcPr>
            <w:tcW w:w="5203" w:type="dxa"/>
            <w:noWrap w:val="0"/>
            <w:vAlign w:val="center"/>
          </w:tcPr>
          <w:p w14:paraId="20310B3D">
            <w:pPr>
              <w:pStyle w:val="10"/>
              <w:outlineLvl w:val="9"/>
              <w:rPr>
                <w:rFonts w:ascii="宋体" w:hAnsi="宋体" w:cs="宋体"/>
                <w:color w:val="000000"/>
                <w:sz w:val="24"/>
                <w:szCs w:val="24"/>
                <w:highlight w:val="none"/>
              </w:rPr>
            </w:pPr>
            <w:r>
              <w:rPr>
                <w:rFonts w:hint="eastAsia" w:ascii="宋体" w:hAnsi="宋体" w:cs="宋体"/>
                <w:color w:val="000000"/>
                <w:sz w:val="24"/>
                <w:szCs w:val="24"/>
                <w:highlight w:val="none"/>
              </w:rPr>
              <w:t>邮政编码：</w:t>
            </w:r>
          </w:p>
        </w:tc>
      </w:tr>
      <w:bookmarkEnd w:id="372"/>
      <w:bookmarkEnd w:id="373"/>
    </w:tbl>
    <w:p w14:paraId="55CBBB2B">
      <w:pPr>
        <w:pStyle w:val="2"/>
        <w:outlineLvl w:val="9"/>
        <w:rPr>
          <w:rFonts w:ascii="宋体" w:hAnsi="宋体" w:cs="宋体"/>
          <w:color w:val="000000" w:themeColor="text1"/>
          <w:szCs w:val="21"/>
          <w:highlight w:val="none"/>
          <w14:textFill>
            <w14:solidFill>
              <w14:schemeClr w14:val="tx1"/>
            </w14:solidFill>
          </w14:textFill>
        </w:rPr>
      </w:pPr>
    </w:p>
    <w:p w14:paraId="04439184">
      <w:pPr>
        <w:pStyle w:val="2"/>
        <w:outlineLvl w:val="9"/>
        <w:rPr>
          <w:rFonts w:ascii="宋体" w:hAnsi="宋体" w:cs="宋体"/>
          <w:color w:val="000000" w:themeColor="text1"/>
          <w:szCs w:val="21"/>
          <w:highlight w:val="none"/>
          <w14:textFill>
            <w14:solidFill>
              <w14:schemeClr w14:val="tx1"/>
            </w14:solidFill>
          </w14:textFill>
        </w:rPr>
      </w:pPr>
    </w:p>
    <w:p w14:paraId="550D30FB">
      <w:pPr>
        <w:pStyle w:val="2"/>
        <w:outlineLvl w:val="9"/>
        <w:rPr>
          <w:rFonts w:ascii="宋体" w:hAnsi="宋体" w:cs="宋体"/>
          <w:color w:val="000000" w:themeColor="text1"/>
          <w:szCs w:val="21"/>
          <w:highlight w:val="none"/>
          <w14:textFill>
            <w14:solidFill>
              <w14:schemeClr w14:val="tx1"/>
            </w14:solidFill>
          </w14:textFill>
        </w:rPr>
      </w:pPr>
    </w:p>
    <w:p w14:paraId="5ADFCAF5">
      <w:pPr>
        <w:pStyle w:val="2"/>
        <w:outlineLvl w:val="9"/>
        <w:rPr>
          <w:rFonts w:ascii="宋体" w:hAnsi="宋体" w:cs="宋体"/>
          <w:color w:val="000000" w:themeColor="text1"/>
          <w:szCs w:val="21"/>
          <w:highlight w:val="none"/>
          <w14:textFill>
            <w14:solidFill>
              <w14:schemeClr w14:val="tx1"/>
            </w14:solidFill>
          </w14:textFill>
        </w:rPr>
      </w:pPr>
    </w:p>
    <w:p w14:paraId="273B586A">
      <w:pPr>
        <w:pStyle w:val="2"/>
        <w:outlineLvl w:val="9"/>
        <w:rPr>
          <w:rFonts w:ascii="宋体" w:hAnsi="宋体" w:cs="宋体"/>
          <w:color w:val="000000" w:themeColor="text1"/>
          <w:szCs w:val="21"/>
          <w:highlight w:val="none"/>
          <w14:textFill>
            <w14:solidFill>
              <w14:schemeClr w14:val="tx1"/>
            </w14:solidFill>
          </w14:textFill>
        </w:rPr>
      </w:pPr>
    </w:p>
    <w:p w14:paraId="5B6A7648">
      <w:pPr>
        <w:pStyle w:val="2"/>
        <w:outlineLvl w:val="9"/>
        <w:rPr>
          <w:rFonts w:ascii="宋体" w:hAnsi="宋体" w:cs="宋体"/>
          <w:color w:val="000000" w:themeColor="text1"/>
          <w:szCs w:val="21"/>
          <w:highlight w:val="none"/>
          <w14:textFill>
            <w14:solidFill>
              <w14:schemeClr w14:val="tx1"/>
            </w14:solidFill>
          </w14:textFill>
        </w:rPr>
      </w:pPr>
    </w:p>
    <w:p w14:paraId="12FA8272">
      <w:pPr>
        <w:pStyle w:val="2"/>
        <w:outlineLvl w:val="9"/>
        <w:rPr>
          <w:rFonts w:ascii="宋体" w:hAnsi="宋体" w:cs="宋体"/>
          <w:color w:val="000000" w:themeColor="text1"/>
          <w:szCs w:val="21"/>
          <w:highlight w:val="none"/>
          <w14:textFill>
            <w14:solidFill>
              <w14:schemeClr w14:val="tx1"/>
            </w14:solidFill>
          </w14:textFill>
        </w:rPr>
      </w:pPr>
    </w:p>
    <w:p w14:paraId="78A35910">
      <w:pPr>
        <w:pStyle w:val="2"/>
        <w:outlineLvl w:val="9"/>
        <w:rPr>
          <w:rFonts w:ascii="宋体" w:hAnsi="宋体" w:cs="宋体"/>
          <w:color w:val="000000" w:themeColor="text1"/>
          <w:szCs w:val="21"/>
          <w:highlight w:val="none"/>
          <w14:textFill>
            <w14:solidFill>
              <w14:schemeClr w14:val="tx1"/>
            </w14:solidFill>
          </w14:textFill>
        </w:rPr>
      </w:pPr>
    </w:p>
    <w:p w14:paraId="7D87A280">
      <w:pPr>
        <w:pStyle w:val="2"/>
        <w:outlineLvl w:val="9"/>
        <w:rPr>
          <w:rFonts w:ascii="宋体" w:hAnsi="宋体" w:cs="宋体"/>
          <w:color w:val="000000" w:themeColor="text1"/>
          <w:szCs w:val="21"/>
          <w:highlight w:val="none"/>
          <w14:textFill>
            <w14:solidFill>
              <w14:schemeClr w14:val="tx1"/>
            </w14:solidFill>
          </w14:textFill>
        </w:rPr>
      </w:pPr>
    </w:p>
    <w:p w14:paraId="4A60DCD2">
      <w:pPr>
        <w:pStyle w:val="2"/>
        <w:outlineLvl w:val="9"/>
        <w:rPr>
          <w:rFonts w:ascii="宋体" w:hAnsi="宋体" w:cs="宋体"/>
          <w:color w:val="000000" w:themeColor="text1"/>
          <w:szCs w:val="21"/>
          <w:highlight w:val="none"/>
          <w14:textFill>
            <w14:solidFill>
              <w14:schemeClr w14:val="tx1"/>
            </w14:solidFill>
          </w14:textFill>
        </w:rPr>
      </w:pPr>
    </w:p>
    <w:p w14:paraId="5D967726">
      <w:pPr>
        <w:pStyle w:val="2"/>
        <w:rPr>
          <w:highlight w:val="none"/>
        </w:rPr>
      </w:pPr>
    </w:p>
    <w:sectPr>
      <w:headerReference r:id="rId9" w:type="default"/>
      <w:footerReference r:id="rId10" w:type="default"/>
      <w:pgSz w:w="11922" w:h="16838"/>
      <w:pgMar w:top="1559" w:right="1582" w:bottom="1559" w:left="1582" w:header="720" w:footer="720"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ˎ̥">
    <w:altName w:val="Courier New"/>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81B39">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7E7BC5B5">
                          <w:pPr>
                            <w:pStyle w:val="19"/>
                            <w:rPr>
                              <w:rStyle w:val="36"/>
                            </w:rPr>
                          </w:pPr>
                          <w:r>
                            <w:fldChar w:fldCharType="begin"/>
                          </w:r>
                          <w:r>
                            <w:rPr>
                              <w:rStyle w:val="36"/>
                            </w:rPr>
                            <w:instrText xml:space="preserve">PAGE  </w:instrText>
                          </w:r>
                          <w:r>
                            <w:fldChar w:fldCharType="separate"/>
                          </w:r>
                          <w:r>
                            <w:rPr>
                              <w:rStyle w:val="36"/>
                            </w:rPr>
                            <w:t>40</w:t>
                          </w:r>
                          <w: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t2fwAdABAAClAwAADgAAAAAAAAABACAAAAAeAQAAZHJz&#10;L2Uyb0RvYy54bWxQSwUGAAAAAAYABgBZAQAAYAUAAAAA&#10;">
              <v:fill on="f" focussize="0,0"/>
              <v:stroke on="f"/>
              <v:imagedata o:title=""/>
              <o:lock v:ext="edit" aspectratio="f"/>
              <v:textbox inset="0mm,0mm,0mm,0mm" style="mso-fit-shape-to-text:t;">
                <w:txbxContent>
                  <w:p w14:paraId="7E7BC5B5">
                    <w:pPr>
                      <w:pStyle w:val="19"/>
                      <w:rPr>
                        <w:rStyle w:val="36"/>
                      </w:rPr>
                    </w:pPr>
                    <w:r>
                      <w:fldChar w:fldCharType="begin"/>
                    </w:r>
                    <w:r>
                      <w:rPr>
                        <w:rStyle w:val="36"/>
                      </w:rPr>
                      <w:instrText xml:space="preserve">PAGE  </w:instrText>
                    </w:r>
                    <w:r>
                      <w:fldChar w:fldCharType="separate"/>
                    </w:r>
                    <w:r>
                      <w:rPr>
                        <w:rStyle w:val="36"/>
                      </w:rPr>
                      <w:t>40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047E8">
    <w:pPr>
      <w:pStyle w:val="19"/>
      <w:ind w:right="360" w:firstLine="360"/>
      <w:jc w:val="right"/>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254EC3DA">
                          <w:pPr>
                            <w:pStyle w:val="19"/>
                            <w:rPr>
                              <w:rStyle w:val="36"/>
                            </w:rPr>
                          </w:pPr>
                          <w:r>
                            <w:fldChar w:fldCharType="begin"/>
                          </w:r>
                          <w:r>
                            <w:rPr>
                              <w:rStyle w:val="36"/>
                            </w:rPr>
                            <w:instrText xml:space="preserve">PAGE  </w:instrText>
                          </w:r>
                          <w:r>
                            <w:fldChar w:fldCharType="separate"/>
                          </w:r>
                          <w:r>
                            <w:rPr>
                              <w:rStyle w:val="36"/>
                            </w:rPr>
                            <w:t>62</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LOqwXNABAAClAwAADgAAAAAAAAABACAAAAAeAQAAZHJz&#10;L2Uyb0RvYy54bWxQSwUGAAAAAAYABgBZAQAAYAUAAAAA&#10;">
              <v:fill on="f" focussize="0,0"/>
              <v:stroke on="f"/>
              <v:imagedata o:title=""/>
              <o:lock v:ext="edit" aspectratio="f"/>
              <v:textbox inset="0mm,0mm,0mm,0mm" style="mso-fit-shape-to-text:t;">
                <w:txbxContent>
                  <w:p w14:paraId="254EC3DA">
                    <w:pPr>
                      <w:pStyle w:val="19"/>
                      <w:rPr>
                        <w:rStyle w:val="36"/>
                      </w:rPr>
                    </w:pPr>
                    <w:r>
                      <w:fldChar w:fldCharType="begin"/>
                    </w:r>
                    <w:r>
                      <w:rPr>
                        <w:rStyle w:val="36"/>
                      </w:rPr>
                      <w:instrText xml:space="preserve">PAGE  </w:instrText>
                    </w:r>
                    <w:r>
                      <w:fldChar w:fldCharType="separate"/>
                    </w:r>
                    <w:r>
                      <w:rPr>
                        <w:rStyle w:val="36"/>
                      </w:rPr>
                      <w:t>62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91019">
    <w:pPr>
      <w:pStyle w:val="19"/>
      <w:framePr w:wrap="around" w:vAnchor="text" w:hAnchor="margin" w:xAlign="center" w:y="1"/>
      <w:rPr>
        <w:rStyle w:val="36"/>
      </w:rPr>
    </w:pPr>
    <w:r>
      <w:fldChar w:fldCharType="begin"/>
    </w:r>
    <w:r>
      <w:rPr>
        <w:rStyle w:val="36"/>
      </w:rPr>
      <w:instrText xml:space="preserve">PAGE  </w:instrText>
    </w:r>
    <w:r>
      <w:fldChar w:fldCharType="end"/>
    </w:r>
  </w:p>
  <w:p w14:paraId="77574362">
    <w:pPr>
      <w:pStyle w:val="19"/>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09A91">
    <w:pPr>
      <w:pStyle w:val="19"/>
      <w:framePr w:wrap="around" w:vAnchor="text" w:hAnchor="margin" w:xAlign="right" w:y="1"/>
      <w:rPr>
        <w:rStyle w:val="36"/>
      </w:rPr>
    </w:pPr>
  </w:p>
  <w:p w14:paraId="2C3A1D90">
    <w:pPr>
      <w:pStyle w:val="19"/>
      <w:ind w:right="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3FD06">
    <w:pPr>
      <w:pStyle w:val="19"/>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5A3B2719">
                          <w:pPr>
                            <w:pStyle w:val="19"/>
                            <w:jc w:val="center"/>
                          </w:pPr>
                          <w:r>
                            <w:fldChar w:fldCharType="begin"/>
                          </w:r>
                          <w:r>
                            <w:instrText xml:space="preserve">PAGE   \* MERGEFORMAT</w:instrText>
                          </w:r>
                          <w:r>
                            <w:fldChar w:fldCharType="separate"/>
                          </w:r>
                          <w:r>
                            <w:rPr>
                              <w:lang w:val="zh-CN"/>
                            </w:rPr>
                            <w:t>71</w:t>
                          </w:r>
                          <w: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bQ0oUNABAAClAwAADgAAAAAAAAABACAAAAAeAQAAZHJz&#10;L2Uyb0RvYy54bWxQSwUGAAAAAAYABgBZAQAAYAUAAAAA&#10;">
              <v:fill on="f" focussize="0,0"/>
              <v:stroke on="f"/>
              <v:imagedata o:title=""/>
              <o:lock v:ext="edit" aspectratio="f"/>
              <v:textbox inset="0mm,0mm,0mm,0mm" style="mso-fit-shape-to-text:t;">
                <w:txbxContent>
                  <w:p w14:paraId="5A3B2719">
                    <w:pPr>
                      <w:pStyle w:val="19"/>
                      <w:jc w:val="center"/>
                    </w:pPr>
                    <w:r>
                      <w:fldChar w:fldCharType="begin"/>
                    </w:r>
                    <w:r>
                      <w:instrText xml:space="preserve">PAGE   \* MERGEFORMAT</w:instrText>
                    </w:r>
                    <w:r>
                      <w:fldChar w:fldCharType="separate"/>
                    </w:r>
                    <w:r>
                      <w:rPr>
                        <w:lang w:val="zh-CN"/>
                      </w:rPr>
                      <w:t>71</w:t>
                    </w:r>
                    <w:r>
                      <w:fldChar w:fldCharType="end"/>
                    </w:r>
                  </w:p>
                </w:txbxContent>
              </v:textbox>
            </v:shape>
          </w:pict>
        </mc:Fallback>
      </mc:AlternateContent>
    </w:r>
  </w:p>
  <w:p w14:paraId="4EF1FBC6">
    <w:pPr>
      <w:pStyle w:val="19"/>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53F8E">
    <w:pPr>
      <w:pStyle w:val="2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F4B33">
    <w:pPr>
      <w:pStyle w:val="10"/>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345E5">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BD6182"/>
    <w:multiLevelType w:val="singleLevel"/>
    <w:tmpl w:val="94BD6182"/>
    <w:lvl w:ilvl="0" w:tentative="0">
      <w:start w:val="4"/>
      <w:numFmt w:val="chineseCounting"/>
      <w:suff w:val="nothing"/>
      <w:lvlText w:val="（%1）"/>
      <w:lvlJc w:val="left"/>
      <w:rPr>
        <w:rFonts w:hint="eastAsia"/>
      </w:rPr>
    </w:lvl>
  </w:abstractNum>
  <w:abstractNum w:abstractNumId="1">
    <w:nsid w:val="C1B44E13"/>
    <w:multiLevelType w:val="singleLevel"/>
    <w:tmpl w:val="C1B44E13"/>
    <w:lvl w:ilvl="0" w:tentative="0">
      <w:start w:val="1"/>
      <w:numFmt w:val="decimal"/>
      <w:suff w:val="nothing"/>
      <w:lvlText w:val="%1、"/>
      <w:lvlJc w:val="left"/>
    </w:lvl>
  </w:abstractNum>
  <w:abstractNum w:abstractNumId="2">
    <w:nsid w:val="CC6B2DB5"/>
    <w:multiLevelType w:val="singleLevel"/>
    <w:tmpl w:val="CC6B2DB5"/>
    <w:lvl w:ilvl="0" w:tentative="0">
      <w:start w:val="2"/>
      <w:numFmt w:val="chineseCounting"/>
      <w:suff w:val="nothing"/>
      <w:lvlText w:val="（%1）"/>
      <w:lvlJc w:val="left"/>
      <w:rPr>
        <w:rFonts w:hint="eastAsia"/>
      </w:rPr>
    </w:lvl>
  </w:abstractNum>
  <w:abstractNum w:abstractNumId="3">
    <w:nsid w:val="D4F06988"/>
    <w:multiLevelType w:val="multilevel"/>
    <w:tmpl w:val="D4F06988"/>
    <w:lvl w:ilvl="0" w:tentative="0">
      <w:start w:val="18"/>
      <w:numFmt w:val="decimal"/>
      <w:lvlText w:val="%1."/>
      <w:lvlJc w:val="left"/>
    </w:lvl>
    <w:lvl w:ilvl="1" w:tentative="0">
      <w:start w:val="1"/>
      <w:numFmt w:val="decimal"/>
      <w:lvlText w:val="%1.%2"/>
      <w:lvlJc w:val="left"/>
      <w:pPr>
        <w:tabs>
          <w:tab w:val="left" w:pos="454"/>
        </w:tabs>
        <w:ind w:left="142" w:firstLine="0"/>
      </w:pPr>
      <w:rPr>
        <w:rFonts w:hint="default"/>
      </w:rPr>
    </w:lvl>
    <w:lvl w:ilvl="2" w:tentative="0">
      <w:start w:val="1"/>
      <w:numFmt w:val="decimal"/>
      <w:lvlText w:val="%1.%2.%3"/>
      <w:lvlJc w:val="left"/>
      <w:pPr>
        <w:tabs>
          <w:tab w:val="left" w:pos="312"/>
        </w:tabs>
        <w:ind w:left="0" w:firstLine="0"/>
      </w:pPr>
      <w:rPr>
        <w:rFonts w:hint="default"/>
      </w:rPr>
    </w:lvl>
    <w:lvl w:ilvl="3" w:tentative="0">
      <w:start w:val="1"/>
      <w:numFmt w:val="decimal"/>
      <w:lvlText w:val="%1.%2.%3.%4"/>
      <w:lvlJc w:val="left"/>
      <w:pPr>
        <w:tabs>
          <w:tab w:val="left" w:pos="312"/>
        </w:tabs>
        <w:ind w:left="0" w:firstLine="0"/>
      </w:pPr>
      <w:rPr>
        <w:rFonts w:hint="default"/>
      </w:rPr>
    </w:lvl>
    <w:lvl w:ilvl="4" w:tentative="0">
      <w:start w:val="1"/>
      <w:numFmt w:val="decimal"/>
      <w:lvlText w:val="%1.%2.%3.%4.%5"/>
      <w:lvlJc w:val="left"/>
      <w:pPr>
        <w:tabs>
          <w:tab w:val="left" w:pos="312"/>
        </w:tabs>
        <w:ind w:left="0" w:firstLine="0"/>
      </w:pPr>
      <w:rPr>
        <w:rFonts w:hint="default"/>
      </w:rPr>
    </w:lvl>
    <w:lvl w:ilvl="5" w:tentative="0">
      <w:start w:val="1"/>
      <w:numFmt w:val="decimal"/>
      <w:lvlText w:val="%1.%2.%3.%4.%5.%6"/>
      <w:lvlJc w:val="left"/>
      <w:pPr>
        <w:tabs>
          <w:tab w:val="left" w:pos="312"/>
        </w:tabs>
        <w:ind w:left="0" w:firstLine="0"/>
      </w:pPr>
      <w:rPr>
        <w:rFonts w:hint="default"/>
      </w:rPr>
    </w:lvl>
    <w:lvl w:ilvl="6" w:tentative="0">
      <w:start w:val="1"/>
      <w:numFmt w:val="decimal"/>
      <w:lvlText w:val="%1.%2.%3.%4.%5.%6.%7"/>
      <w:lvlJc w:val="left"/>
      <w:pPr>
        <w:tabs>
          <w:tab w:val="left" w:pos="312"/>
        </w:tabs>
        <w:ind w:left="0" w:firstLine="0"/>
      </w:pPr>
      <w:rPr>
        <w:rFonts w:hint="default"/>
      </w:rPr>
    </w:lvl>
    <w:lvl w:ilvl="7" w:tentative="0">
      <w:start w:val="1"/>
      <w:numFmt w:val="decimal"/>
      <w:lvlText w:val="%1.%2.%3.%4.%5.%6.%7.%8"/>
      <w:lvlJc w:val="left"/>
      <w:pPr>
        <w:tabs>
          <w:tab w:val="left" w:pos="312"/>
        </w:tabs>
        <w:ind w:left="0" w:firstLine="0"/>
      </w:pPr>
      <w:rPr>
        <w:rFonts w:hint="default"/>
      </w:rPr>
    </w:lvl>
    <w:lvl w:ilvl="8" w:tentative="0">
      <w:start w:val="1"/>
      <w:numFmt w:val="decimal"/>
      <w:lvlText w:val="%1.%2.%3.%4.%5.%6.%7.%8.%9"/>
      <w:lvlJc w:val="left"/>
      <w:pPr>
        <w:tabs>
          <w:tab w:val="left" w:pos="312"/>
        </w:tabs>
        <w:ind w:left="0" w:firstLine="0"/>
      </w:pPr>
      <w:rPr>
        <w:rFonts w:hint="default"/>
      </w:rPr>
    </w:lvl>
  </w:abstractNum>
  <w:abstractNum w:abstractNumId="4">
    <w:nsid w:val="0000002A"/>
    <w:multiLevelType w:val="multilevel"/>
    <w:tmpl w:val="0000002A"/>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lowerLetter"/>
      <w:lvlText w:val="%4."/>
      <w:lvlJc w:val="left"/>
      <w:pPr>
        <w:tabs>
          <w:tab w:val="left" w:pos="2100"/>
        </w:tabs>
        <w:ind w:left="2100" w:hanging="360"/>
      </w:pPr>
      <w:rPr>
        <w:rFonts w:hint="eastAsia"/>
      </w:r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5">
    <w:nsid w:val="02C389A8"/>
    <w:multiLevelType w:val="singleLevel"/>
    <w:tmpl w:val="02C389A8"/>
    <w:lvl w:ilvl="0" w:tentative="0">
      <w:start w:val="1"/>
      <w:numFmt w:val="decimal"/>
      <w:suff w:val="nothing"/>
      <w:lvlText w:val="%1、"/>
      <w:lvlJc w:val="left"/>
      <w:pPr>
        <w:ind w:left="-398"/>
      </w:pPr>
    </w:lvl>
  </w:abstractNum>
  <w:abstractNum w:abstractNumId="6">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7">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8">
    <w:nsid w:val="5614FC46"/>
    <w:multiLevelType w:val="singleLevel"/>
    <w:tmpl w:val="5614FC46"/>
    <w:lvl w:ilvl="0" w:tentative="0">
      <w:start w:val="1"/>
      <w:numFmt w:val="decimal"/>
      <w:suff w:val="nothing"/>
      <w:lvlText w:val="%1、"/>
      <w:lvlJc w:val="left"/>
    </w:lvl>
  </w:abstractNum>
  <w:abstractNum w:abstractNumId="9">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
    <w:nsid w:val="697879E7"/>
    <w:multiLevelType w:val="multilevel"/>
    <w:tmpl w:val="697879E7"/>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lowerLetter"/>
      <w:lvlText w:val="%4."/>
      <w:lvlJc w:val="left"/>
      <w:pPr>
        <w:tabs>
          <w:tab w:val="left" w:pos="2100"/>
        </w:tabs>
        <w:ind w:left="2100" w:hanging="360"/>
      </w:pPr>
      <w:rPr>
        <w:rFonts w:hint="eastAsia"/>
      </w:r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1">
    <w:nsid w:val="6A6738B0"/>
    <w:multiLevelType w:val="multilevel"/>
    <w:tmpl w:val="6A6738B0"/>
    <w:lvl w:ilvl="0" w:tentative="0">
      <w:start w:val="1"/>
      <w:numFmt w:val="decimal"/>
      <w:lvlText w:val="%1."/>
      <w:lvlJc w:val="left"/>
      <w:pPr>
        <w:ind w:left="782" w:hanging="360"/>
      </w:pPr>
      <w:rPr>
        <w:b/>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6"/>
  </w:num>
  <w:num w:numId="2">
    <w:abstractNumId w:val="7"/>
  </w:num>
  <w:num w:numId="3">
    <w:abstractNumId w:val="9"/>
  </w:num>
  <w:num w:numId="4">
    <w:abstractNumId w:val="3"/>
  </w:num>
  <w:num w:numId="5">
    <w:abstractNumId w:val="0"/>
  </w:num>
  <w:num w:numId="6">
    <w:abstractNumId w:val="2"/>
  </w:num>
  <w:num w:numId="7">
    <w:abstractNumId w:val="1"/>
  </w:num>
  <w:num w:numId="8">
    <w:abstractNumId w:val="8"/>
  </w:num>
  <w:num w:numId="9">
    <w:abstractNumId w:val="5"/>
  </w:num>
  <w:num w:numId="10">
    <w:abstractNumId w:val="4"/>
  </w:num>
  <w:num w:numId="11">
    <w:abstractNumId w:val="1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2YmE5NDQ2MDFhZmU0ZTI1NTg1YjAxNjcyYTFkNWYifQ=="/>
    <w:docVar w:name="KSO_WPS_MARK_KEY" w:val="b7525227-cf06-4100-89d1-388a028418ee"/>
  </w:docVars>
  <w:rsids>
    <w:rsidRoot w:val="00172A27"/>
    <w:rsid w:val="00005825"/>
    <w:rsid w:val="00013B51"/>
    <w:rsid w:val="000262CA"/>
    <w:rsid w:val="0003301B"/>
    <w:rsid w:val="00072D55"/>
    <w:rsid w:val="000851EA"/>
    <w:rsid w:val="000C1CEF"/>
    <w:rsid w:val="000E7B03"/>
    <w:rsid w:val="00117F32"/>
    <w:rsid w:val="0014392C"/>
    <w:rsid w:val="0014668B"/>
    <w:rsid w:val="001619AD"/>
    <w:rsid w:val="00172A27"/>
    <w:rsid w:val="00185D8C"/>
    <w:rsid w:val="001A4C50"/>
    <w:rsid w:val="001E084D"/>
    <w:rsid w:val="001E18CE"/>
    <w:rsid w:val="001E5C2D"/>
    <w:rsid w:val="001E5C52"/>
    <w:rsid w:val="001F5A27"/>
    <w:rsid w:val="00205F1A"/>
    <w:rsid w:val="00226229"/>
    <w:rsid w:val="00237C37"/>
    <w:rsid w:val="00240C3E"/>
    <w:rsid w:val="00286F9E"/>
    <w:rsid w:val="00292666"/>
    <w:rsid w:val="002B6586"/>
    <w:rsid w:val="002C384F"/>
    <w:rsid w:val="002C5111"/>
    <w:rsid w:val="002D3BED"/>
    <w:rsid w:val="00324A71"/>
    <w:rsid w:val="00335D89"/>
    <w:rsid w:val="00352481"/>
    <w:rsid w:val="00353341"/>
    <w:rsid w:val="00357293"/>
    <w:rsid w:val="00365F7F"/>
    <w:rsid w:val="00366F37"/>
    <w:rsid w:val="003728DF"/>
    <w:rsid w:val="00373D9B"/>
    <w:rsid w:val="00391DED"/>
    <w:rsid w:val="0039678A"/>
    <w:rsid w:val="003A4F6B"/>
    <w:rsid w:val="003D30D8"/>
    <w:rsid w:val="003D73B5"/>
    <w:rsid w:val="003E1425"/>
    <w:rsid w:val="00422CEF"/>
    <w:rsid w:val="0043796C"/>
    <w:rsid w:val="00452966"/>
    <w:rsid w:val="00494ABF"/>
    <w:rsid w:val="004B2135"/>
    <w:rsid w:val="004B2876"/>
    <w:rsid w:val="00502134"/>
    <w:rsid w:val="00507E49"/>
    <w:rsid w:val="00510960"/>
    <w:rsid w:val="00524E8E"/>
    <w:rsid w:val="00531699"/>
    <w:rsid w:val="00570A48"/>
    <w:rsid w:val="0059218B"/>
    <w:rsid w:val="005A1E41"/>
    <w:rsid w:val="005A25DC"/>
    <w:rsid w:val="005A5335"/>
    <w:rsid w:val="005B47AB"/>
    <w:rsid w:val="005C2A22"/>
    <w:rsid w:val="005F755B"/>
    <w:rsid w:val="00610312"/>
    <w:rsid w:val="006230D8"/>
    <w:rsid w:val="00634A7C"/>
    <w:rsid w:val="00641454"/>
    <w:rsid w:val="00662F6E"/>
    <w:rsid w:val="0067153F"/>
    <w:rsid w:val="006977AB"/>
    <w:rsid w:val="006A21CA"/>
    <w:rsid w:val="006B5B80"/>
    <w:rsid w:val="006B6DFC"/>
    <w:rsid w:val="006D0611"/>
    <w:rsid w:val="0070239C"/>
    <w:rsid w:val="007047DB"/>
    <w:rsid w:val="00723FDE"/>
    <w:rsid w:val="0073213A"/>
    <w:rsid w:val="007555F7"/>
    <w:rsid w:val="00756932"/>
    <w:rsid w:val="00764B9B"/>
    <w:rsid w:val="00782E59"/>
    <w:rsid w:val="007958B2"/>
    <w:rsid w:val="007C7429"/>
    <w:rsid w:val="007D5C96"/>
    <w:rsid w:val="007F4D4F"/>
    <w:rsid w:val="007F7BCE"/>
    <w:rsid w:val="00810984"/>
    <w:rsid w:val="00812159"/>
    <w:rsid w:val="00832BC5"/>
    <w:rsid w:val="00844E37"/>
    <w:rsid w:val="00871354"/>
    <w:rsid w:val="00880E1B"/>
    <w:rsid w:val="00895679"/>
    <w:rsid w:val="008A6052"/>
    <w:rsid w:val="008B4216"/>
    <w:rsid w:val="008D6D9C"/>
    <w:rsid w:val="008E56F7"/>
    <w:rsid w:val="00906279"/>
    <w:rsid w:val="0092392E"/>
    <w:rsid w:val="009538EC"/>
    <w:rsid w:val="00974465"/>
    <w:rsid w:val="009905C6"/>
    <w:rsid w:val="0099301F"/>
    <w:rsid w:val="009E38DF"/>
    <w:rsid w:val="00A027F9"/>
    <w:rsid w:val="00A056C0"/>
    <w:rsid w:val="00A25B54"/>
    <w:rsid w:val="00A307FD"/>
    <w:rsid w:val="00A357DD"/>
    <w:rsid w:val="00A37925"/>
    <w:rsid w:val="00A47BF0"/>
    <w:rsid w:val="00A63285"/>
    <w:rsid w:val="00A8691E"/>
    <w:rsid w:val="00A97D81"/>
    <w:rsid w:val="00AA40A2"/>
    <w:rsid w:val="00AB06C6"/>
    <w:rsid w:val="00AD22F6"/>
    <w:rsid w:val="00B076EF"/>
    <w:rsid w:val="00B51360"/>
    <w:rsid w:val="00B5197E"/>
    <w:rsid w:val="00B957D9"/>
    <w:rsid w:val="00BA4DC0"/>
    <w:rsid w:val="00BA5F85"/>
    <w:rsid w:val="00BC6F64"/>
    <w:rsid w:val="00BD08D6"/>
    <w:rsid w:val="00BD4ED4"/>
    <w:rsid w:val="00BF0CE9"/>
    <w:rsid w:val="00C019E7"/>
    <w:rsid w:val="00C45960"/>
    <w:rsid w:val="00C62F79"/>
    <w:rsid w:val="00C677AF"/>
    <w:rsid w:val="00C90347"/>
    <w:rsid w:val="00C9528F"/>
    <w:rsid w:val="00C96B70"/>
    <w:rsid w:val="00CA7CEF"/>
    <w:rsid w:val="00CD4FCB"/>
    <w:rsid w:val="00D016D5"/>
    <w:rsid w:val="00D06B85"/>
    <w:rsid w:val="00D06E29"/>
    <w:rsid w:val="00D2545B"/>
    <w:rsid w:val="00D34AD8"/>
    <w:rsid w:val="00D53605"/>
    <w:rsid w:val="00D644CF"/>
    <w:rsid w:val="00D90CE5"/>
    <w:rsid w:val="00DB3496"/>
    <w:rsid w:val="00DE0BB8"/>
    <w:rsid w:val="00DE1AEF"/>
    <w:rsid w:val="00E23B11"/>
    <w:rsid w:val="00E24743"/>
    <w:rsid w:val="00E24BE7"/>
    <w:rsid w:val="00E67583"/>
    <w:rsid w:val="00E67A5E"/>
    <w:rsid w:val="00E720F5"/>
    <w:rsid w:val="00E81961"/>
    <w:rsid w:val="00EB1944"/>
    <w:rsid w:val="00ED2458"/>
    <w:rsid w:val="00ED55AF"/>
    <w:rsid w:val="00EF1668"/>
    <w:rsid w:val="00EF4D30"/>
    <w:rsid w:val="00EF4D87"/>
    <w:rsid w:val="00F03E88"/>
    <w:rsid w:val="00F151CB"/>
    <w:rsid w:val="00F351CC"/>
    <w:rsid w:val="00F35B32"/>
    <w:rsid w:val="00F46F99"/>
    <w:rsid w:val="00F67906"/>
    <w:rsid w:val="00FA6E48"/>
    <w:rsid w:val="00FB2855"/>
    <w:rsid w:val="00FB40D4"/>
    <w:rsid w:val="00FB66E3"/>
    <w:rsid w:val="00FC6DF3"/>
    <w:rsid w:val="01E75674"/>
    <w:rsid w:val="02090000"/>
    <w:rsid w:val="02DF7EB2"/>
    <w:rsid w:val="02F83478"/>
    <w:rsid w:val="030003DF"/>
    <w:rsid w:val="043D0FA7"/>
    <w:rsid w:val="048C54B6"/>
    <w:rsid w:val="04A92486"/>
    <w:rsid w:val="054A119B"/>
    <w:rsid w:val="059627A0"/>
    <w:rsid w:val="05B51738"/>
    <w:rsid w:val="06334A31"/>
    <w:rsid w:val="06351F5E"/>
    <w:rsid w:val="0635597E"/>
    <w:rsid w:val="06710693"/>
    <w:rsid w:val="07761A42"/>
    <w:rsid w:val="07A33D7A"/>
    <w:rsid w:val="07A62C9A"/>
    <w:rsid w:val="07C61E54"/>
    <w:rsid w:val="08330197"/>
    <w:rsid w:val="08625689"/>
    <w:rsid w:val="090B6031"/>
    <w:rsid w:val="096422B6"/>
    <w:rsid w:val="09910AF5"/>
    <w:rsid w:val="0A7D7197"/>
    <w:rsid w:val="0AA417AC"/>
    <w:rsid w:val="0AB81677"/>
    <w:rsid w:val="0AC21C94"/>
    <w:rsid w:val="0AF142C5"/>
    <w:rsid w:val="0B9F46D6"/>
    <w:rsid w:val="0BB71C77"/>
    <w:rsid w:val="0C9D47FD"/>
    <w:rsid w:val="0D040F93"/>
    <w:rsid w:val="0D071932"/>
    <w:rsid w:val="0D426ADD"/>
    <w:rsid w:val="0E2E5D3B"/>
    <w:rsid w:val="0F8934C1"/>
    <w:rsid w:val="0FE4089C"/>
    <w:rsid w:val="101F5CD6"/>
    <w:rsid w:val="10977616"/>
    <w:rsid w:val="111E393A"/>
    <w:rsid w:val="1168136D"/>
    <w:rsid w:val="116B3740"/>
    <w:rsid w:val="1173012A"/>
    <w:rsid w:val="11AF786F"/>
    <w:rsid w:val="12001C97"/>
    <w:rsid w:val="121A1435"/>
    <w:rsid w:val="125E4936"/>
    <w:rsid w:val="13651CF4"/>
    <w:rsid w:val="139D35FD"/>
    <w:rsid w:val="13A77300"/>
    <w:rsid w:val="13B41BCC"/>
    <w:rsid w:val="13D749A0"/>
    <w:rsid w:val="13DA4490"/>
    <w:rsid w:val="147F57B4"/>
    <w:rsid w:val="148745EC"/>
    <w:rsid w:val="14B57065"/>
    <w:rsid w:val="14CD1AEC"/>
    <w:rsid w:val="14D0000F"/>
    <w:rsid w:val="157B0AF7"/>
    <w:rsid w:val="15BB0C35"/>
    <w:rsid w:val="15C5270E"/>
    <w:rsid w:val="160E35B5"/>
    <w:rsid w:val="16247C45"/>
    <w:rsid w:val="1636260B"/>
    <w:rsid w:val="16950EE2"/>
    <w:rsid w:val="1729600A"/>
    <w:rsid w:val="18862070"/>
    <w:rsid w:val="188E0A8C"/>
    <w:rsid w:val="195A76CA"/>
    <w:rsid w:val="19AC41D9"/>
    <w:rsid w:val="1A763CB3"/>
    <w:rsid w:val="1A877CAB"/>
    <w:rsid w:val="1B1341ED"/>
    <w:rsid w:val="1B993C6D"/>
    <w:rsid w:val="1BC452C3"/>
    <w:rsid w:val="1CA127DF"/>
    <w:rsid w:val="1D9C6CC5"/>
    <w:rsid w:val="1DAB1734"/>
    <w:rsid w:val="1DCC1E21"/>
    <w:rsid w:val="1DE21639"/>
    <w:rsid w:val="1E2E1532"/>
    <w:rsid w:val="1EC61592"/>
    <w:rsid w:val="1F0E185C"/>
    <w:rsid w:val="1F1F3939"/>
    <w:rsid w:val="1F4956E2"/>
    <w:rsid w:val="1F7A1A68"/>
    <w:rsid w:val="20205712"/>
    <w:rsid w:val="20345A27"/>
    <w:rsid w:val="209F2350"/>
    <w:rsid w:val="21071252"/>
    <w:rsid w:val="217C2C19"/>
    <w:rsid w:val="226B624B"/>
    <w:rsid w:val="22832B86"/>
    <w:rsid w:val="230F3184"/>
    <w:rsid w:val="239D0DA6"/>
    <w:rsid w:val="23B60887"/>
    <w:rsid w:val="243233AB"/>
    <w:rsid w:val="24410FAE"/>
    <w:rsid w:val="24BB755C"/>
    <w:rsid w:val="24F734D0"/>
    <w:rsid w:val="255F65A3"/>
    <w:rsid w:val="259B28FC"/>
    <w:rsid w:val="26F14F84"/>
    <w:rsid w:val="2769195B"/>
    <w:rsid w:val="28657EA8"/>
    <w:rsid w:val="28BA6ED0"/>
    <w:rsid w:val="28ED26BA"/>
    <w:rsid w:val="2A1D4E7B"/>
    <w:rsid w:val="2A261D85"/>
    <w:rsid w:val="2A545701"/>
    <w:rsid w:val="2A645EF2"/>
    <w:rsid w:val="2A6B1A6B"/>
    <w:rsid w:val="2AB2072D"/>
    <w:rsid w:val="2AC37B95"/>
    <w:rsid w:val="2AFE4DEB"/>
    <w:rsid w:val="2B186073"/>
    <w:rsid w:val="2B2227DE"/>
    <w:rsid w:val="2B8534CB"/>
    <w:rsid w:val="2B9B7333"/>
    <w:rsid w:val="2BB331A5"/>
    <w:rsid w:val="2BCA2EEC"/>
    <w:rsid w:val="2C2B7840"/>
    <w:rsid w:val="2C2C2F57"/>
    <w:rsid w:val="2C3266E3"/>
    <w:rsid w:val="2C9C4091"/>
    <w:rsid w:val="2CAD1495"/>
    <w:rsid w:val="2CCF401E"/>
    <w:rsid w:val="2CF73565"/>
    <w:rsid w:val="2D96306F"/>
    <w:rsid w:val="2DB33A50"/>
    <w:rsid w:val="2DC11CE6"/>
    <w:rsid w:val="2E034A0D"/>
    <w:rsid w:val="2E5140B8"/>
    <w:rsid w:val="2E7B6CC4"/>
    <w:rsid w:val="2F34013B"/>
    <w:rsid w:val="2F496D12"/>
    <w:rsid w:val="2F5D3ABE"/>
    <w:rsid w:val="30190135"/>
    <w:rsid w:val="307E6820"/>
    <w:rsid w:val="30816902"/>
    <w:rsid w:val="30CC1916"/>
    <w:rsid w:val="31030F5D"/>
    <w:rsid w:val="32101DC8"/>
    <w:rsid w:val="32525335"/>
    <w:rsid w:val="32740580"/>
    <w:rsid w:val="32AE191F"/>
    <w:rsid w:val="32B4479A"/>
    <w:rsid w:val="32B82304"/>
    <w:rsid w:val="332640BE"/>
    <w:rsid w:val="334311DB"/>
    <w:rsid w:val="336D6F03"/>
    <w:rsid w:val="33980A13"/>
    <w:rsid w:val="34193E9F"/>
    <w:rsid w:val="345131B1"/>
    <w:rsid w:val="356E7F09"/>
    <w:rsid w:val="35E757EA"/>
    <w:rsid w:val="361352D0"/>
    <w:rsid w:val="36EE2DE5"/>
    <w:rsid w:val="36F27CEC"/>
    <w:rsid w:val="370A20E7"/>
    <w:rsid w:val="37681AD3"/>
    <w:rsid w:val="37907A54"/>
    <w:rsid w:val="37AA41EA"/>
    <w:rsid w:val="384F1294"/>
    <w:rsid w:val="39215908"/>
    <w:rsid w:val="39B36A66"/>
    <w:rsid w:val="39D276DC"/>
    <w:rsid w:val="39E64612"/>
    <w:rsid w:val="3B0024F3"/>
    <w:rsid w:val="3B737A26"/>
    <w:rsid w:val="3C183361"/>
    <w:rsid w:val="3CEE61AA"/>
    <w:rsid w:val="3D202A73"/>
    <w:rsid w:val="3D44229C"/>
    <w:rsid w:val="3D495F07"/>
    <w:rsid w:val="3DD40DA1"/>
    <w:rsid w:val="3DEE10A9"/>
    <w:rsid w:val="3DF14D23"/>
    <w:rsid w:val="3E670C26"/>
    <w:rsid w:val="3EC84B3C"/>
    <w:rsid w:val="3EED5CE2"/>
    <w:rsid w:val="410051CD"/>
    <w:rsid w:val="41292F34"/>
    <w:rsid w:val="41327B4F"/>
    <w:rsid w:val="41E72229"/>
    <w:rsid w:val="41EA1493"/>
    <w:rsid w:val="41F01834"/>
    <w:rsid w:val="4210666A"/>
    <w:rsid w:val="42245E14"/>
    <w:rsid w:val="43196594"/>
    <w:rsid w:val="432F2A14"/>
    <w:rsid w:val="434834C8"/>
    <w:rsid w:val="43C92F1E"/>
    <w:rsid w:val="43EA2390"/>
    <w:rsid w:val="43ED4631"/>
    <w:rsid w:val="44944600"/>
    <w:rsid w:val="44D00AD3"/>
    <w:rsid w:val="44D501D8"/>
    <w:rsid w:val="450A220D"/>
    <w:rsid w:val="450E1F09"/>
    <w:rsid w:val="450E3CAD"/>
    <w:rsid w:val="45105551"/>
    <w:rsid w:val="4522422D"/>
    <w:rsid w:val="452804BB"/>
    <w:rsid w:val="45DE69FC"/>
    <w:rsid w:val="45FD0BBE"/>
    <w:rsid w:val="47122E1B"/>
    <w:rsid w:val="476978FB"/>
    <w:rsid w:val="478E0948"/>
    <w:rsid w:val="47DC04A0"/>
    <w:rsid w:val="482D6E56"/>
    <w:rsid w:val="48436FDA"/>
    <w:rsid w:val="48897173"/>
    <w:rsid w:val="48D100E7"/>
    <w:rsid w:val="48D975D7"/>
    <w:rsid w:val="48EB0E16"/>
    <w:rsid w:val="4A001853"/>
    <w:rsid w:val="4AD81889"/>
    <w:rsid w:val="4B4B51BF"/>
    <w:rsid w:val="4B4E3B1E"/>
    <w:rsid w:val="4BBD1543"/>
    <w:rsid w:val="4C023818"/>
    <w:rsid w:val="4C81207A"/>
    <w:rsid w:val="4CAB34AF"/>
    <w:rsid w:val="4D145493"/>
    <w:rsid w:val="4E171AF7"/>
    <w:rsid w:val="4E257ADB"/>
    <w:rsid w:val="4E5379D5"/>
    <w:rsid w:val="4EA34278"/>
    <w:rsid w:val="4ED9244E"/>
    <w:rsid w:val="4F6B4A2D"/>
    <w:rsid w:val="4F8D6993"/>
    <w:rsid w:val="50AB665B"/>
    <w:rsid w:val="50CC783B"/>
    <w:rsid w:val="50D61560"/>
    <w:rsid w:val="50FA22D5"/>
    <w:rsid w:val="51596F95"/>
    <w:rsid w:val="51A272E6"/>
    <w:rsid w:val="51ED67A5"/>
    <w:rsid w:val="51FF27DF"/>
    <w:rsid w:val="52347646"/>
    <w:rsid w:val="531C1FBD"/>
    <w:rsid w:val="53DA6D55"/>
    <w:rsid w:val="545729B8"/>
    <w:rsid w:val="54D578AF"/>
    <w:rsid w:val="54DE3A55"/>
    <w:rsid w:val="55323A38"/>
    <w:rsid w:val="55356493"/>
    <w:rsid w:val="5536081F"/>
    <w:rsid w:val="55E15092"/>
    <w:rsid w:val="561A5A4B"/>
    <w:rsid w:val="56230E48"/>
    <w:rsid w:val="56282BD5"/>
    <w:rsid w:val="565973AB"/>
    <w:rsid w:val="56BD4A53"/>
    <w:rsid w:val="57D6563F"/>
    <w:rsid w:val="57FA02F6"/>
    <w:rsid w:val="58BB5C2E"/>
    <w:rsid w:val="58CA7BFC"/>
    <w:rsid w:val="59084F10"/>
    <w:rsid w:val="598D06AE"/>
    <w:rsid w:val="59E6219F"/>
    <w:rsid w:val="5A1F1C28"/>
    <w:rsid w:val="5A4B39E2"/>
    <w:rsid w:val="5A585274"/>
    <w:rsid w:val="5A6C467C"/>
    <w:rsid w:val="5AD563E4"/>
    <w:rsid w:val="5AE519B6"/>
    <w:rsid w:val="5AF849B6"/>
    <w:rsid w:val="5C2F00C3"/>
    <w:rsid w:val="5C4750C0"/>
    <w:rsid w:val="5C86163E"/>
    <w:rsid w:val="5CFA0E15"/>
    <w:rsid w:val="5D592B21"/>
    <w:rsid w:val="5DA7240D"/>
    <w:rsid w:val="5DCE486F"/>
    <w:rsid w:val="5E181C7E"/>
    <w:rsid w:val="5E2C4052"/>
    <w:rsid w:val="5ED14739"/>
    <w:rsid w:val="5EEB599B"/>
    <w:rsid w:val="5F064C85"/>
    <w:rsid w:val="5F184CC1"/>
    <w:rsid w:val="5F1E332C"/>
    <w:rsid w:val="5F781673"/>
    <w:rsid w:val="60CA3E22"/>
    <w:rsid w:val="61592AEB"/>
    <w:rsid w:val="62B35552"/>
    <w:rsid w:val="62B40C5B"/>
    <w:rsid w:val="62E02280"/>
    <w:rsid w:val="63470009"/>
    <w:rsid w:val="643F48B7"/>
    <w:rsid w:val="646C3855"/>
    <w:rsid w:val="64857F83"/>
    <w:rsid w:val="64C6047F"/>
    <w:rsid w:val="65390F50"/>
    <w:rsid w:val="65577A57"/>
    <w:rsid w:val="659925F4"/>
    <w:rsid w:val="65DB261F"/>
    <w:rsid w:val="66226FE0"/>
    <w:rsid w:val="665C39B3"/>
    <w:rsid w:val="66BC10CD"/>
    <w:rsid w:val="675D3AB9"/>
    <w:rsid w:val="676677EB"/>
    <w:rsid w:val="67BF1611"/>
    <w:rsid w:val="684E5901"/>
    <w:rsid w:val="68BA2984"/>
    <w:rsid w:val="68BE0203"/>
    <w:rsid w:val="6A160FD9"/>
    <w:rsid w:val="6A3B5433"/>
    <w:rsid w:val="6A4F02C0"/>
    <w:rsid w:val="6AC75EE7"/>
    <w:rsid w:val="6AD23ECA"/>
    <w:rsid w:val="6BD46B1B"/>
    <w:rsid w:val="6BDC3E7D"/>
    <w:rsid w:val="6BE648F5"/>
    <w:rsid w:val="6C4217EA"/>
    <w:rsid w:val="6C68176D"/>
    <w:rsid w:val="6C77637D"/>
    <w:rsid w:val="6D345961"/>
    <w:rsid w:val="6D5A7E24"/>
    <w:rsid w:val="6E132974"/>
    <w:rsid w:val="6F320296"/>
    <w:rsid w:val="6FAF4AB3"/>
    <w:rsid w:val="6FD54286"/>
    <w:rsid w:val="704A204F"/>
    <w:rsid w:val="706D7F34"/>
    <w:rsid w:val="7094469A"/>
    <w:rsid w:val="7198767B"/>
    <w:rsid w:val="71A97AC2"/>
    <w:rsid w:val="7221274A"/>
    <w:rsid w:val="729C5925"/>
    <w:rsid w:val="72B729C4"/>
    <w:rsid w:val="73BF2DAF"/>
    <w:rsid w:val="73FF4FB0"/>
    <w:rsid w:val="741742EE"/>
    <w:rsid w:val="74545912"/>
    <w:rsid w:val="74BB65C0"/>
    <w:rsid w:val="74DF39E2"/>
    <w:rsid w:val="75296581"/>
    <w:rsid w:val="753D12FE"/>
    <w:rsid w:val="75864AF5"/>
    <w:rsid w:val="7589206F"/>
    <w:rsid w:val="75960E2A"/>
    <w:rsid w:val="76081D9C"/>
    <w:rsid w:val="76107F17"/>
    <w:rsid w:val="76780D45"/>
    <w:rsid w:val="76A81A5B"/>
    <w:rsid w:val="76CB3AC4"/>
    <w:rsid w:val="779C5290"/>
    <w:rsid w:val="77A33638"/>
    <w:rsid w:val="782A3662"/>
    <w:rsid w:val="785721B0"/>
    <w:rsid w:val="792B6137"/>
    <w:rsid w:val="797906C6"/>
    <w:rsid w:val="79905EA0"/>
    <w:rsid w:val="79E923FA"/>
    <w:rsid w:val="79FA27C6"/>
    <w:rsid w:val="7ADD0D42"/>
    <w:rsid w:val="7B007BE1"/>
    <w:rsid w:val="7B1254BB"/>
    <w:rsid w:val="7C2B2B7F"/>
    <w:rsid w:val="7C2C1FB2"/>
    <w:rsid w:val="7C881AE4"/>
    <w:rsid w:val="7CE76223"/>
    <w:rsid w:val="7D046E59"/>
    <w:rsid w:val="7DB3663A"/>
    <w:rsid w:val="7E470AF8"/>
    <w:rsid w:val="7F0C2C3D"/>
    <w:rsid w:val="7FCC39AA"/>
    <w:rsid w:val="7FD014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50"/>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1"/>
    <w:link w:val="77"/>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51"/>
    <w:qFormat/>
    <w:uiPriority w:val="99"/>
    <w:pPr>
      <w:keepNext/>
      <w:keepLines/>
      <w:spacing w:before="280" w:after="290" w:line="376" w:lineRule="auto"/>
      <w:outlineLvl w:val="3"/>
    </w:pPr>
    <w:rPr>
      <w:rFonts w:ascii="Cambria" w:hAnsi="Cambria" w:cs="Cambria"/>
      <w:b/>
      <w:bCs/>
      <w:sz w:val="28"/>
      <w:szCs w:val="28"/>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customStyle="1" w:styleId="2">
    <w:name w:val="List Paragraph1"/>
    <w:basedOn w:val="1"/>
    <w:qFormat/>
    <w:uiPriority w:val="0"/>
    <w:pPr>
      <w:widowControl w:val="0"/>
      <w:ind w:firstLine="420" w:firstLineChars="200"/>
      <w:jc w:val="both"/>
    </w:pPr>
    <w:rPr>
      <w:rFonts w:ascii="Calibri" w:hAnsi="Calibri"/>
      <w:kern w:val="2"/>
      <w:sz w:val="21"/>
      <w:szCs w:val="22"/>
    </w:r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9">
    <w:name w:val="annotation text"/>
    <w:basedOn w:val="1"/>
    <w:link w:val="68"/>
    <w:qFormat/>
    <w:uiPriority w:val="0"/>
    <w:pPr>
      <w:jc w:val="left"/>
    </w:pPr>
  </w:style>
  <w:style w:type="paragraph" w:styleId="10">
    <w:name w:val="Body Text"/>
    <w:basedOn w:val="1"/>
    <w:next w:val="1"/>
    <w:link w:val="45"/>
    <w:qFormat/>
    <w:uiPriority w:val="0"/>
    <w:pPr>
      <w:tabs>
        <w:tab w:val="left" w:pos="567"/>
      </w:tabs>
      <w:spacing w:before="120" w:line="22" w:lineRule="atLeast"/>
    </w:pPr>
    <w:rPr>
      <w:rFonts w:ascii="宋体" w:hAnsi="宋体"/>
      <w:sz w:val="24"/>
    </w:rPr>
  </w:style>
  <w:style w:type="paragraph" w:styleId="11">
    <w:name w:val="Body Text Indent"/>
    <w:basedOn w:val="1"/>
    <w:next w:val="1"/>
    <w:semiHidden/>
    <w:unhideWhenUsed/>
    <w:qFormat/>
    <w:uiPriority w:val="99"/>
    <w:pPr>
      <w:spacing w:after="120"/>
      <w:ind w:left="420" w:leftChars="200"/>
    </w:pPr>
  </w:style>
  <w:style w:type="paragraph" w:styleId="12">
    <w:name w:val="List 2"/>
    <w:basedOn w:val="1"/>
    <w:unhideWhenUsed/>
    <w:qFormat/>
    <w:uiPriority w:val="99"/>
    <w:pPr>
      <w:widowControl/>
      <w:spacing w:after="156" w:afterLines="50"/>
      <w:ind w:left="100" w:leftChars="200" w:hanging="200" w:hangingChars="200"/>
      <w:jc w:val="left"/>
    </w:pPr>
    <w:rPr>
      <w:kern w:val="0"/>
      <w:sz w:val="24"/>
      <w:szCs w:val="20"/>
    </w:rPr>
  </w:style>
  <w:style w:type="paragraph" w:styleId="13">
    <w:name w:val="index 4"/>
    <w:basedOn w:val="1"/>
    <w:next w:val="1"/>
    <w:qFormat/>
    <w:uiPriority w:val="0"/>
    <w:pPr>
      <w:adjustRightInd w:val="0"/>
      <w:spacing w:line="360" w:lineRule="auto"/>
      <w:ind w:left="960" w:hanging="240"/>
      <w:jc w:val="left"/>
      <w:textAlignment w:val="baseline"/>
    </w:pPr>
    <w:rPr>
      <w:sz w:val="20"/>
    </w:rPr>
  </w:style>
  <w:style w:type="paragraph" w:styleId="14">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5">
    <w:name w:val="toc 3"/>
    <w:basedOn w:val="1"/>
    <w:next w:val="1"/>
    <w:qFormat/>
    <w:uiPriority w:val="39"/>
    <w:pPr>
      <w:tabs>
        <w:tab w:val="left" w:pos="1260"/>
        <w:tab w:val="right" w:leader="dot" w:pos="8630"/>
      </w:tabs>
      <w:ind w:left="840" w:leftChars="400"/>
    </w:pPr>
  </w:style>
  <w:style w:type="paragraph" w:styleId="16">
    <w:name w:val="Plain Text"/>
    <w:basedOn w:val="1"/>
    <w:link w:val="46"/>
    <w:qFormat/>
    <w:uiPriority w:val="0"/>
    <w:rPr>
      <w:rFonts w:ascii="宋体" w:hAnsi="Courier New"/>
      <w:szCs w:val="20"/>
    </w:rPr>
  </w:style>
  <w:style w:type="paragraph" w:styleId="17">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8">
    <w:name w:val="Balloon Text"/>
    <w:basedOn w:val="1"/>
    <w:link w:val="67"/>
    <w:qFormat/>
    <w:uiPriority w:val="0"/>
    <w:rPr>
      <w:sz w:val="18"/>
      <w:szCs w:val="18"/>
    </w:rPr>
  </w:style>
  <w:style w:type="paragraph" w:styleId="19">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style>
  <w:style w:type="paragraph" w:styleId="22">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3">
    <w:name w:val="Subtitle"/>
    <w:basedOn w:val="1"/>
    <w:next w:val="1"/>
    <w:qFormat/>
    <w:uiPriority w:val="0"/>
    <w:pPr>
      <w:spacing w:before="240" w:after="60" w:line="312" w:lineRule="auto"/>
      <w:ind w:left="200" w:leftChars="200" w:firstLine="200" w:firstLineChars="200"/>
      <w:jc w:val="center"/>
      <w:outlineLvl w:val="1"/>
    </w:pPr>
    <w:rPr>
      <w:rFonts w:ascii="Times New Roman" w:hAnsi="Times New Roman" w:cs="Times New Roman"/>
      <w:b/>
      <w:bCs/>
      <w:kern w:val="28"/>
      <w:sz w:val="20"/>
      <w:szCs w:val="32"/>
    </w:rPr>
  </w:style>
  <w:style w:type="paragraph" w:styleId="24">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5">
    <w:name w:val="toc 2"/>
    <w:basedOn w:val="1"/>
    <w:next w:val="1"/>
    <w:qFormat/>
    <w:uiPriority w:val="39"/>
    <w:pPr>
      <w:ind w:left="420" w:leftChars="200"/>
    </w:pPr>
  </w:style>
  <w:style w:type="paragraph" w:styleId="2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7">
    <w:name w:val="Normal (Web)"/>
    <w:basedOn w:val="1"/>
    <w:qFormat/>
    <w:uiPriority w:val="0"/>
    <w:rPr>
      <w:sz w:val="24"/>
    </w:rPr>
  </w:style>
  <w:style w:type="paragraph" w:styleId="28">
    <w:name w:val="Title"/>
    <w:basedOn w:val="1"/>
    <w:next w:val="1"/>
    <w:qFormat/>
    <w:uiPriority w:val="0"/>
    <w:pPr>
      <w:spacing w:before="240" w:after="60"/>
      <w:jc w:val="center"/>
      <w:outlineLvl w:val="0"/>
    </w:pPr>
    <w:rPr>
      <w:rFonts w:ascii="Cambria" w:hAnsi="Cambria"/>
      <w:b/>
      <w:bCs/>
      <w:sz w:val="32"/>
      <w:szCs w:val="32"/>
    </w:rPr>
  </w:style>
  <w:style w:type="paragraph" w:styleId="29">
    <w:name w:val="annotation subject"/>
    <w:basedOn w:val="9"/>
    <w:next w:val="9"/>
    <w:link w:val="69"/>
    <w:qFormat/>
    <w:uiPriority w:val="0"/>
    <w:rPr>
      <w:b/>
      <w:bCs/>
    </w:rPr>
  </w:style>
  <w:style w:type="paragraph" w:styleId="30">
    <w:name w:val="Body Text First Indent"/>
    <w:basedOn w:val="10"/>
    <w:qFormat/>
    <w:uiPriority w:val="0"/>
    <w:pPr>
      <w:ind w:firstLine="420" w:firstLineChars="100"/>
    </w:pPr>
  </w:style>
  <w:style w:type="paragraph" w:styleId="31">
    <w:name w:val="Body Text First Indent 2"/>
    <w:basedOn w:val="11"/>
    <w:next w:val="1"/>
    <w:semiHidden/>
    <w:unhideWhenUsed/>
    <w:qFormat/>
    <w:uiPriority w:val="99"/>
    <w:pPr>
      <w:ind w:firstLine="420" w:firstLineChars="200"/>
    </w:pPr>
  </w:style>
  <w:style w:type="table" w:styleId="33">
    <w:name w:val="Table Grid"/>
    <w:basedOn w:val="32"/>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basedOn w:val="34"/>
    <w:qFormat/>
    <w:uiPriority w:val="22"/>
    <w:rPr>
      <w:b/>
      <w:bCs/>
    </w:rPr>
  </w:style>
  <w:style w:type="character" w:styleId="36">
    <w:name w:val="page number"/>
    <w:basedOn w:val="34"/>
    <w:qFormat/>
    <w:uiPriority w:val="0"/>
  </w:style>
  <w:style w:type="character" w:styleId="37">
    <w:name w:val="FollowedHyperlink"/>
    <w:basedOn w:val="34"/>
    <w:qFormat/>
    <w:uiPriority w:val="0"/>
    <w:rPr>
      <w:color w:val="800080"/>
      <w:u w:val="none"/>
    </w:rPr>
  </w:style>
  <w:style w:type="character" w:styleId="38">
    <w:name w:val="Hyperlink"/>
    <w:basedOn w:val="34"/>
    <w:qFormat/>
    <w:uiPriority w:val="99"/>
    <w:rPr>
      <w:color w:val="333333"/>
      <w:u w:val="none"/>
    </w:rPr>
  </w:style>
  <w:style w:type="character" w:styleId="39">
    <w:name w:val="annotation reference"/>
    <w:basedOn w:val="34"/>
    <w:qFormat/>
    <w:uiPriority w:val="0"/>
    <w:rPr>
      <w:sz w:val="21"/>
      <w:szCs w:val="21"/>
    </w:rPr>
  </w:style>
  <w:style w:type="paragraph" w:customStyle="1" w:styleId="40">
    <w:name w:val="Default"/>
    <w:qFormat/>
    <w:uiPriority w:val="6"/>
    <w:pPr>
      <w:widowControl w:val="0"/>
    </w:pPr>
    <w:rPr>
      <w:rFonts w:ascii="宋体" w:hAnsi="宋体" w:eastAsia="宋体" w:cs="宋体"/>
      <w:color w:val="000000"/>
      <w:sz w:val="24"/>
      <w:szCs w:val="24"/>
      <w:lang w:val="en-US" w:eastAsia="zh-CN" w:bidi="ar-SA"/>
    </w:rPr>
  </w:style>
  <w:style w:type="paragraph" w:customStyle="1" w:styleId="41">
    <w:name w:val="Fließtext"/>
    <w:basedOn w:val="1"/>
    <w:qFormat/>
    <w:uiPriority w:val="0"/>
    <w:pPr>
      <w:overflowPunct w:val="0"/>
      <w:autoSpaceDE w:val="0"/>
      <w:autoSpaceDN w:val="0"/>
      <w:adjustRightInd w:val="0"/>
      <w:textAlignment w:val="baseline"/>
    </w:pPr>
    <w:rPr>
      <w:kern w:val="28"/>
      <w:szCs w:val="20"/>
    </w:rPr>
  </w:style>
  <w:style w:type="paragraph" w:customStyle="1" w:styleId="42">
    <w:name w:val="Body Text First Indent 21"/>
    <w:basedOn w:val="43"/>
    <w:qFormat/>
    <w:uiPriority w:val="0"/>
    <w:pPr>
      <w:spacing w:after="120" w:line="240" w:lineRule="auto"/>
      <w:ind w:left="420" w:leftChars="200" w:firstLine="420" w:firstLineChars="200"/>
    </w:pPr>
    <w:rPr>
      <w:sz w:val="21"/>
    </w:rPr>
  </w:style>
  <w:style w:type="paragraph" w:customStyle="1" w:styleId="43">
    <w:name w:val="Body Text Indent1"/>
    <w:basedOn w:val="1"/>
    <w:next w:val="1"/>
    <w:qFormat/>
    <w:uiPriority w:val="0"/>
    <w:pPr>
      <w:spacing w:line="360" w:lineRule="auto"/>
      <w:ind w:left="520"/>
    </w:pPr>
    <w:rPr>
      <w:sz w:val="24"/>
    </w:rPr>
  </w:style>
  <w:style w:type="character" w:customStyle="1" w:styleId="44">
    <w:name w:val="fontstyle01"/>
    <w:qFormat/>
    <w:uiPriority w:val="0"/>
    <w:rPr>
      <w:rFonts w:hint="eastAsia" w:ascii="宋体" w:hAnsi="宋体" w:eastAsia="宋体"/>
      <w:color w:val="000000"/>
      <w:sz w:val="22"/>
      <w:szCs w:val="22"/>
    </w:rPr>
  </w:style>
  <w:style w:type="character" w:customStyle="1" w:styleId="45">
    <w:name w:val="正文文本 字符"/>
    <w:link w:val="10"/>
    <w:qFormat/>
    <w:uiPriority w:val="0"/>
    <w:rPr>
      <w:rFonts w:ascii="宋体" w:hAnsi="宋体"/>
      <w:kern w:val="2"/>
      <w:sz w:val="24"/>
      <w:szCs w:val="24"/>
    </w:rPr>
  </w:style>
  <w:style w:type="character" w:customStyle="1" w:styleId="46">
    <w:name w:val="纯文本 字符"/>
    <w:link w:val="16"/>
    <w:qFormat/>
    <w:uiPriority w:val="0"/>
    <w:rPr>
      <w:rFonts w:ascii="宋体" w:hAnsi="Courier New"/>
      <w:kern w:val="2"/>
      <w:sz w:val="21"/>
    </w:rPr>
  </w:style>
  <w:style w:type="paragraph" w:customStyle="1" w:styleId="47">
    <w:name w:val="列出段落1"/>
    <w:basedOn w:val="1"/>
    <w:unhideWhenUsed/>
    <w:qFormat/>
    <w:uiPriority w:val="99"/>
    <w:pPr>
      <w:ind w:firstLine="420" w:firstLineChars="200"/>
    </w:pPr>
  </w:style>
  <w:style w:type="character" w:customStyle="1" w:styleId="48">
    <w:name w:val="正文缩进 Char1"/>
    <w:link w:val="49"/>
    <w:qFormat/>
    <w:uiPriority w:val="0"/>
    <w:rPr>
      <w:rFonts w:ascii="宋体"/>
      <w:sz w:val="24"/>
    </w:rPr>
  </w:style>
  <w:style w:type="paragraph" w:customStyle="1" w:styleId="49">
    <w:name w:val="正文缩进1"/>
    <w:basedOn w:val="1"/>
    <w:link w:val="48"/>
    <w:qFormat/>
    <w:uiPriority w:val="0"/>
    <w:pPr>
      <w:autoSpaceDE w:val="0"/>
      <w:autoSpaceDN w:val="0"/>
      <w:adjustRightInd w:val="0"/>
      <w:ind w:firstLine="420"/>
      <w:jc w:val="left"/>
    </w:pPr>
    <w:rPr>
      <w:rFonts w:ascii="宋体"/>
      <w:kern w:val="0"/>
      <w:sz w:val="24"/>
      <w:szCs w:val="20"/>
    </w:rPr>
  </w:style>
  <w:style w:type="character" w:customStyle="1" w:styleId="50">
    <w:name w:val="标题 1 字符"/>
    <w:link w:val="3"/>
    <w:qFormat/>
    <w:uiPriority w:val="0"/>
    <w:rPr>
      <w:rFonts w:ascii="宋体"/>
      <w:b/>
      <w:kern w:val="44"/>
      <w:sz w:val="32"/>
    </w:rPr>
  </w:style>
  <w:style w:type="character" w:customStyle="1" w:styleId="51">
    <w:name w:val="标题 4 字符"/>
    <w:basedOn w:val="34"/>
    <w:link w:val="6"/>
    <w:qFormat/>
    <w:uiPriority w:val="99"/>
    <w:rPr>
      <w:rFonts w:ascii="Cambria" w:hAnsi="Cambria" w:cs="Cambria"/>
      <w:b/>
      <w:bCs/>
      <w:kern w:val="2"/>
      <w:sz w:val="28"/>
      <w:szCs w:val="28"/>
    </w:rPr>
  </w:style>
  <w:style w:type="paragraph" w:styleId="52">
    <w:name w:val="List Paragraph"/>
    <w:basedOn w:val="1"/>
    <w:qFormat/>
    <w:uiPriority w:val="34"/>
    <w:pPr>
      <w:widowControl/>
      <w:ind w:firstLine="420" w:firstLineChars="200"/>
      <w:jc w:val="left"/>
    </w:pPr>
    <w:rPr>
      <w:kern w:val="0"/>
      <w:sz w:val="24"/>
    </w:rPr>
  </w:style>
  <w:style w:type="character" w:customStyle="1" w:styleId="53">
    <w:name w:val="font112"/>
    <w:basedOn w:val="34"/>
    <w:qFormat/>
    <w:uiPriority w:val="0"/>
    <w:rPr>
      <w:rFonts w:hint="eastAsia" w:ascii="隶书" w:hAnsi="隶书" w:eastAsia="隶书" w:cs="隶书"/>
      <w:color w:val="000000"/>
      <w:sz w:val="24"/>
      <w:szCs w:val="24"/>
      <w:u w:val="none"/>
      <w:vertAlign w:val="superscript"/>
    </w:rPr>
  </w:style>
  <w:style w:type="character" w:customStyle="1" w:styleId="54">
    <w:name w:val="font101"/>
    <w:basedOn w:val="34"/>
    <w:qFormat/>
    <w:uiPriority w:val="0"/>
    <w:rPr>
      <w:rFonts w:hint="eastAsia" w:ascii="宋体" w:hAnsi="宋体" w:eastAsia="宋体" w:cs="宋体"/>
      <w:color w:val="FF0000"/>
      <w:sz w:val="20"/>
      <w:szCs w:val="20"/>
      <w:u w:val="none"/>
    </w:rPr>
  </w:style>
  <w:style w:type="character" w:customStyle="1" w:styleId="55">
    <w:name w:val="font61"/>
    <w:basedOn w:val="34"/>
    <w:qFormat/>
    <w:uiPriority w:val="0"/>
    <w:rPr>
      <w:rFonts w:hint="eastAsia" w:ascii="宋体" w:hAnsi="宋体" w:eastAsia="宋体" w:cs="宋体"/>
      <w:color w:val="FF0000"/>
      <w:sz w:val="24"/>
      <w:szCs w:val="24"/>
      <w:u w:val="none"/>
    </w:rPr>
  </w:style>
  <w:style w:type="character" w:customStyle="1" w:styleId="56">
    <w:name w:val="font21"/>
    <w:basedOn w:val="34"/>
    <w:qFormat/>
    <w:uiPriority w:val="0"/>
    <w:rPr>
      <w:rFonts w:hint="eastAsia" w:ascii="宋体" w:hAnsi="宋体" w:eastAsia="宋体" w:cs="宋体"/>
      <w:color w:val="000000"/>
      <w:sz w:val="24"/>
      <w:szCs w:val="24"/>
      <w:u w:val="none"/>
    </w:rPr>
  </w:style>
  <w:style w:type="character" w:customStyle="1" w:styleId="57">
    <w:name w:val="font71"/>
    <w:basedOn w:val="34"/>
    <w:qFormat/>
    <w:uiPriority w:val="0"/>
    <w:rPr>
      <w:rFonts w:ascii="Arial" w:hAnsi="Arial" w:cs="Arial"/>
      <w:color w:val="000000"/>
      <w:sz w:val="24"/>
      <w:szCs w:val="24"/>
      <w:u w:val="none"/>
    </w:rPr>
  </w:style>
  <w:style w:type="paragraph" w:customStyle="1" w:styleId="58">
    <w:name w:val="*正文"/>
    <w:basedOn w:val="1"/>
    <w:qFormat/>
    <w:uiPriority w:val="0"/>
    <w:pPr>
      <w:spacing w:line="360" w:lineRule="auto"/>
      <w:ind w:firstLine="200"/>
    </w:pPr>
    <w:rPr>
      <w:rFonts w:ascii="宋体" w:hAnsi="宋体"/>
    </w:rPr>
  </w:style>
  <w:style w:type="paragraph" w:customStyle="1" w:styleId="59">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60">
    <w:name w:val="NormalCharacter"/>
    <w:qFormat/>
    <w:uiPriority w:val="0"/>
    <w:rPr>
      <w:kern w:val="0"/>
      <w:sz w:val="24"/>
    </w:rPr>
  </w:style>
  <w:style w:type="paragraph" w:customStyle="1" w:styleId="61">
    <w:name w:val="列出段落2"/>
    <w:basedOn w:val="1"/>
    <w:qFormat/>
    <w:uiPriority w:val="34"/>
    <w:pPr>
      <w:adjustRightInd w:val="0"/>
      <w:spacing w:line="360" w:lineRule="atLeast"/>
      <w:ind w:firstLine="420" w:firstLineChars="200"/>
      <w:textAlignment w:val="baseline"/>
    </w:pPr>
    <w:rPr>
      <w:rFonts w:ascii="Times New Roman" w:hAnsi="Times New Roman" w:eastAsia="Times New Roman"/>
    </w:rPr>
  </w:style>
  <w:style w:type="paragraph" w:customStyle="1" w:styleId="62">
    <w:name w:val="_Style 35"/>
    <w:basedOn w:val="1"/>
    <w:next w:val="52"/>
    <w:qFormat/>
    <w:uiPriority w:val="34"/>
    <w:pPr>
      <w:widowControl/>
      <w:ind w:firstLine="420" w:firstLineChars="200"/>
      <w:jc w:val="left"/>
    </w:pPr>
    <w:rPr>
      <w:rFonts w:ascii="Times New Roman" w:hAnsi="Times New Roman"/>
      <w:kern w:val="0"/>
      <w:sz w:val="24"/>
    </w:rPr>
  </w:style>
  <w:style w:type="paragraph" w:styleId="63">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64">
    <w:name w:val="font91"/>
    <w:basedOn w:val="34"/>
    <w:qFormat/>
    <w:uiPriority w:val="0"/>
    <w:rPr>
      <w:rFonts w:hint="eastAsia" w:ascii="宋体" w:hAnsi="宋体" w:eastAsia="宋体" w:cs="宋体"/>
      <w:color w:val="FF0000"/>
      <w:sz w:val="22"/>
      <w:szCs w:val="22"/>
      <w:u w:val="none"/>
    </w:rPr>
  </w:style>
  <w:style w:type="character" w:customStyle="1" w:styleId="65">
    <w:name w:val="font11"/>
    <w:basedOn w:val="34"/>
    <w:qFormat/>
    <w:uiPriority w:val="0"/>
    <w:rPr>
      <w:rFonts w:hint="eastAsia" w:ascii="宋体" w:hAnsi="宋体" w:eastAsia="宋体" w:cs="宋体"/>
      <w:color w:val="FF0000"/>
      <w:sz w:val="22"/>
      <w:szCs w:val="22"/>
      <w:u w:val="none"/>
    </w:rPr>
  </w:style>
  <w:style w:type="character" w:customStyle="1" w:styleId="66">
    <w:name w:val="font01"/>
    <w:basedOn w:val="34"/>
    <w:qFormat/>
    <w:uiPriority w:val="0"/>
    <w:rPr>
      <w:rFonts w:hint="eastAsia" w:ascii="宋体" w:hAnsi="宋体" w:eastAsia="宋体" w:cs="宋体"/>
      <w:color w:val="000000"/>
      <w:sz w:val="22"/>
      <w:szCs w:val="22"/>
      <w:u w:val="none"/>
    </w:rPr>
  </w:style>
  <w:style w:type="character" w:customStyle="1" w:styleId="67">
    <w:name w:val="批注框文本 字符"/>
    <w:basedOn w:val="34"/>
    <w:link w:val="18"/>
    <w:qFormat/>
    <w:uiPriority w:val="0"/>
    <w:rPr>
      <w:rFonts w:ascii="Calibri" w:hAnsi="Calibri"/>
      <w:kern w:val="2"/>
      <w:sz w:val="18"/>
      <w:szCs w:val="18"/>
    </w:rPr>
  </w:style>
  <w:style w:type="character" w:customStyle="1" w:styleId="68">
    <w:name w:val="批注文字 字符"/>
    <w:basedOn w:val="34"/>
    <w:link w:val="9"/>
    <w:qFormat/>
    <w:uiPriority w:val="0"/>
    <w:rPr>
      <w:rFonts w:ascii="Calibri" w:hAnsi="Calibri"/>
      <w:kern w:val="2"/>
      <w:sz w:val="21"/>
      <w:szCs w:val="24"/>
    </w:rPr>
  </w:style>
  <w:style w:type="character" w:customStyle="1" w:styleId="69">
    <w:name w:val="批注主题 字符"/>
    <w:basedOn w:val="68"/>
    <w:link w:val="29"/>
    <w:qFormat/>
    <w:uiPriority w:val="0"/>
    <w:rPr>
      <w:rFonts w:ascii="Calibri" w:hAnsi="Calibri"/>
      <w:b/>
      <w:bCs/>
      <w:kern w:val="2"/>
      <w:sz w:val="21"/>
      <w:szCs w:val="24"/>
    </w:rPr>
  </w:style>
  <w:style w:type="table" w:customStyle="1" w:styleId="70">
    <w:name w:val="Table Normal"/>
    <w:semiHidden/>
    <w:unhideWhenUsed/>
    <w:qFormat/>
    <w:uiPriority w:val="0"/>
    <w:tblPr>
      <w:tblCellMar>
        <w:top w:w="0" w:type="dxa"/>
        <w:left w:w="0" w:type="dxa"/>
        <w:bottom w:w="0" w:type="dxa"/>
        <w:right w:w="0" w:type="dxa"/>
      </w:tblCellMar>
    </w:tblPr>
  </w:style>
  <w:style w:type="paragraph" w:customStyle="1" w:styleId="71">
    <w:name w:val="石墨文档标题 3"/>
    <w:next w:val="72"/>
    <w:unhideWhenUsed/>
    <w:qFormat/>
    <w:uiPriority w:val="9"/>
    <w:pPr>
      <w:spacing w:before="260" w:after="260"/>
      <w:outlineLvl w:val="3"/>
    </w:pPr>
    <w:rPr>
      <w:rFonts w:ascii="微软雅黑" w:hAnsi="微软雅黑" w:eastAsia="微软雅黑" w:cs="微软雅黑"/>
      <w:b/>
      <w:bCs/>
      <w:sz w:val="26"/>
      <w:szCs w:val="26"/>
      <w:lang w:val="en-US" w:eastAsia="zh-CN" w:bidi="ar-SA"/>
    </w:rPr>
  </w:style>
  <w:style w:type="paragraph" w:customStyle="1" w:styleId="72">
    <w:name w:val="石墨文档正文"/>
    <w:qFormat/>
    <w:uiPriority w:val="0"/>
    <w:rPr>
      <w:rFonts w:ascii="微软雅黑" w:hAnsi="微软雅黑" w:eastAsia="微软雅黑" w:cs="微软雅黑"/>
      <w:sz w:val="22"/>
      <w:szCs w:val="22"/>
      <w:lang w:val="en-US" w:eastAsia="zh-CN" w:bidi="ar-SA"/>
    </w:rPr>
  </w:style>
  <w:style w:type="paragraph" w:customStyle="1" w:styleId="73">
    <w:name w:val="石墨文档标题 4"/>
    <w:next w:val="72"/>
    <w:unhideWhenUsed/>
    <w:qFormat/>
    <w:uiPriority w:val="9"/>
    <w:pPr>
      <w:spacing w:before="260" w:after="260"/>
      <w:outlineLvl w:val="4"/>
    </w:pPr>
    <w:rPr>
      <w:rFonts w:ascii="微软雅黑" w:hAnsi="微软雅黑" w:eastAsia="微软雅黑" w:cs="微软雅黑"/>
      <w:b/>
      <w:bCs/>
      <w:sz w:val="24"/>
      <w:szCs w:val="24"/>
      <w:lang w:val="en-US" w:eastAsia="zh-CN" w:bidi="ar-SA"/>
    </w:rPr>
  </w:style>
  <w:style w:type="paragraph" w:customStyle="1" w:styleId="74">
    <w:name w:val="石墨文档标题 2"/>
    <w:next w:val="72"/>
    <w:unhideWhenUsed/>
    <w:qFormat/>
    <w:uiPriority w:val="9"/>
    <w:pPr>
      <w:spacing w:before="260" w:after="260"/>
      <w:outlineLvl w:val="2"/>
    </w:pPr>
    <w:rPr>
      <w:rFonts w:ascii="微软雅黑" w:hAnsi="微软雅黑" w:eastAsia="微软雅黑" w:cs="微软雅黑"/>
      <w:b/>
      <w:bCs/>
      <w:sz w:val="28"/>
      <w:szCs w:val="28"/>
      <w:lang w:val="en-US" w:eastAsia="zh-CN" w:bidi="ar-SA"/>
    </w:rPr>
  </w:style>
  <w:style w:type="paragraph" w:customStyle="1" w:styleId="75">
    <w:name w:val="编辑正文"/>
    <w:basedOn w:val="1"/>
    <w:qFormat/>
    <w:uiPriority w:val="0"/>
    <w:pPr>
      <w:adjustRightInd w:val="0"/>
      <w:snapToGrid w:val="0"/>
      <w:spacing w:before="62" w:beforeLines="20" w:line="360" w:lineRule="auto"/>
      <w:ind w:firstLine="480" w:firstLineChars="200"/>
    </w:pPr>
    <w:rPr>
      <w:rFonts w:ascii="Times New Roman" w:hAnsi="Times New Roman" w:eastAsia="宋体"/>
      <w:bCs/>
      <w:sz w:val="24"/>
    </w:rPr>
  </w:style>
  <w:style w:type="paragraph" w:customStyle="1" w:styleId="76">
    <w:name w:val="标题 11"/>
    <w:basedOn w:val="1"/>
    <w:qFormat/>
    <w:uiPriority w:val="1"/>
    <w:pPr>
      <w:ind w:left="301"/>
      <w:outlineLvl w:val="1"/>
    </w:pPr>
    <w:rPr>
      <w:b/>
      <w:bCs/>
      <w:sz w:val="28"/>
      <w:szCs w:val="28"/>
    </w:rPr>
  </w:style>
  <w:style w:type="character" w:customStyle="1" w:styleId="77">
    <w:name w:val="标题 3 字符"/>
    <w:link w:val="5"/>
    <w:qFormat/>
    <w:uiPriority w:val="0"/>
    <w:rPr>
      <w:rFonts w:ascii="宋体"/>
      <w:b/>
      <w:kern w:val="0"/>
      <w:sz w:val="24"/>
      <w:szCs w:val="20"/>
      <w:u w:val="singl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65</Pages>
  <Words>18879</Words>
  <Characters>20190</Characters>
  <Lines>391</Lines>
  <Paragraphs>110</Paragraphs>
  <TotalTime>50</TotalTime>
  <ScaleCrop>false</ScaleCrop>
  <LinksUpToDate>false</LinksUpToDate>
  <CharactersWithSpaces>20516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2022-05-31T07:40:00Z</dcterms:created>
  <dc:creator>Administrator</dc:creator>
  <cp:lastModifiedBy>Neltharion</cp:lastModifiedBy>
  <dcterms:modified xsi:type="dcterms:W3CDTF">2025-08-18T06:17:47Z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338C2CA946DB44B387305CCA986625C4_13</vt:lpwstr>
  </property>
  <property fmtid="{D5CDD505-2E9C-101B-9397-08002B2CF9AE}" pid="4" name="GSEDS_HWMT_d46a6755">
    <vt:lpwstr>f245ee94_mFV3wD84Jyk1P8pOlHv5ro4b3wM=_8QYrr1ZNQU9SQbpS6BKDrwkdRJBweEQidm54piqWQ38+drvRBYmbbAKG69c7prvcHWgdIldidOUbRZJDupl3LpOiG3ckIA==_e6f6f939</vt:lpwstr>
  </property>
  <property fmtid="{D5CDD505-2E9C-101B-9397-08002B2CF9AE}" pid="5" name="KSOTemplateDocerSaveRecord">
    <vt:lpwstr>eyJoZGlkIjoiZDU5Zjg0YzNkMmRlOTRmOTAxZjhhYjRmZTFhZWRkOGEiLCJ1c2VySWQiOiI5MzE4MDg1ODcifQ==</vt:lpwstr>
  </property>
</Properties>
</file>