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9BB942">
      <w:pPr>
        <w:spacing w:line="240" w:lineRule="atLeast"/>
        <w:ind w:left="1080" w:leftChars="257" w:hanging="540"/>
        <w:jc w:val="center"/>
        <w:rPr>
          <w:rFonts w:hint="eastAsia" w:ascii="宋体" w:hAnsi="宋体" w:cs="宋体"/>
          <w:b/>
          <w:sz w:val="24"/>
          <w:szCs w:val="24"/>
          <w:highlight w:val="none"/>
          <w:lang w:val="en-US" w:eastAsia="zh-CN"/>
        </w:rPr>
      </w:pPr>
      <w:r>
        <w:rPr>
          <w:rFonts w:hint="eastAsia" w:ascii="宋体" w:hAnsi="宋体" w:cs="宋体"/>
          <w:b/>
          <w:sz w:val="24"/>
          <w:szCs w:val="24"/>
          <w:highlight w:val="none"/>
          <w:lang w:val="en-US" w:eastAsia="zh-CN"/>
        </w:rPr>
        <w:t xml:space="preserve"> </w:t>
      </w:r>
    </w:p>
    <w:p w14:paraId="508A328F">
      <w:pPr>
        <w:spacing w:line="240" w:lineRule="atLeast"/>
        <w:ind w:left="1080" w:leftChars="257" w:hanging="540"/>
        <w:jc w:val="center"/>
        <w:rPr>
          <w:rFonts w:hint="eastAsia" w:ascii="宋体" w:hAnsi="宋体" w:cs="宋体"/>
          <w:b/>
          <w:sz w:val="24"/>
          <w:szCs w:val="24"/>
          <w:highlight w:val="none"/>
          <w:lang w:val="en-US" w:eastAsia="zh-CN"/>
        </w:rPr>
      </w:pPr>
    </w:p>
    <w:p w14:paraId="3FF2EEAC">
      <w:pPr>
        <w:spacing w:line="240" w:lineRule="atLeast"/>
        <w:ind w:left="1080" w:leftChars="257" w:hanging="540"/>
        <w:jc w:val="center"/>
        <w:rPr>
          <w:rFonts w:hint="eastAsia" w:ascii="宋体" w:hAnsi="宋体" w:cs="宋体"/>
          <w:b/>
          <w:sz w:val="24"/>
          <w:szCs w:val="24"/>
          <w:highlight w:val="none"/>
          <w:lang w:val="en-US" w:eastAsia="zh-CN"/>
        </w:rPr>
      </w:pPr>
    </w:p>
    <w:p w14:paraId="707BBF01">
      <w:pPr>
        <w:spacing w:line="240" w:lineRule="atLeast"/>
        <w:ind w:left="1080" w:leftChars="257" w:hanging="540"/>
        <w:jc w:val="center"/>
        <w:rPr>
          <w:rFonts w:hint="eastAsia" w:ascii="仿宋" w:hAnsi="仿宋" w:eastAsia="仿宋" w:cs="仿宋"/>
          <w:b/>
          <w:color w:val="auto"/>
          <w:sz w:val="52"/>
          <w:szCs w:val="52"/>
          <w:highlight w:val="none"/>
        </w:rPr>
      </w:pPr>
    </w:p>
    <w:p w14:paraId="30CFE91C">
      <w:pPr>
        <w:jc w:val="center"/>
        <w:rPr>
          <w:rFonts w:hint="eastAsia" w:ascii="黑体" w:hAnsi="黑体" w:eastAsia="黑体" w:cs="黑体"/>
          <w:bCs/>
          <w:color w:val="auto"/>
          <w:sz w:val="56"/>
          <w:szCs w:val="56"/>
          <w:highlight w:val="none"/>
        </w:rPr>
      </w:pPr>
      <w:r>
        <w:rPr>
          <w:rFonts w:hint="eastAsia" w:ascii="黑体" w:hAnsi="黑体" w:eastAsia="黑体" w:cs="黑体"/>
          <w:bCs/>
          <w:color w:val="auto"/>
          <w:sz w:val="56"/>
          <w:szCs w:val="56"/>
          <w:highlight w:val="none"/>
        </w:rPr>
        <w:t>政府采购竞争性磋商文件</w:t>
      </w:r>
    </w:p>
    <w:p w14:paraId="47F7770F">
      <w:pPr>
        <w:jc w:val="center"/>
        <w:rPr>
          <w:rFonts w:hint="eastAsia" w:ascii="黑体" w:hAnsi="黑体" w:eastAsia="黑体" w:cs="黑体"/>
          <w:bCs/>
          <w:color w:val="auto"/>
          <w:sz w:val="30"/>
          <w:szCs w:val="30"/>
          <w:highlight w:val="none"/>
        </w:rPr>
      </w:pPr>
      <w:r>
        <w:rPr>
          <w:rFonts w:hint="eastAsia" w:ascii="黑体" w:hAnsi="黑体" w:eastAsia="黑体" w:cs="黑体"/>
          <w:bCs/>
          <w:color w:val="auto"/>
          <w:sz w:val="30"/>
          <w:szCs w:val="30"/>
          <w:highlight w:val="none"/>
        </w:rPr>
        <w:t>（货物类）</w:t>
      </w:r>
    </w:p>
    <w:p w14:paraId="17FF3D43">
      <w:pPr>
        <w:spacing w:line="240" w:lineRule="atLeast"/>
        <w:ind w:left="1080" w:leftChars="257" w:hanging="540"/>
        <w:jc w:val="center"/>
        <w:rPr>
          <w:rFonts w:hint="eastAsia" w:ascii="黑体" w:hAnsi="黑体" w:eastAsia="黑体" w:cs="黑体"/>
          <w:b/>
          <w:color w:val="auto"/>
          <w:sz w:val="32"/>
          <w:szCs w:val="32"/>
          <w:highlight w:val="none"/>
        </w:rPr>
      </w:pPr>
    </w:p>
    <w:p w14:paraId="18DEAED9">
      <w:pPr>
        <w:spacing w:line="240" w:lineRule="atLeast"/>
        <w:ind w:left="1080" w:leftChars="257" w:hanging="540"/>
        <w:rPr>
          <w:rFonts w:hint="eastAsia" w:ascii="黑体" w:hAnsi="黑体" w:eastAsia="黑体" w:cs="黑体"/>
          <w:b/>
          <w:color w:val="auto"/>
          <w:sz w:val="28"/>
          <w:highlight w:val="none"/>
        </w:rPr>
      </w:pPr>
    </w:p>
    <w:p w14:paraId="6053AE63">
      <w:pPr>
        <w:spacing w:line="240" w:lineRule="atLeast"/>
        <w:ind w:left="1080" w:leftChars="257" w:hanging="540"/>
        <w:jc w:val="center"/>
        <w:rPr>
          <w:rFonts w:hint="eastAsia" w:ascii="黑体" w:hAnsi="黑体" w:eastAsia="黑体" w:cs="黑体"/>
          <w:b/>
          <w:color w:val="auto"/>
          <w:sz w:val="36"/>
          <w:szCs w:val="36"/>
          <w:highlight w:val="none"/>
        </w:rPr>
      </w:pPr>
      <w:r>
        <w:rPr>
          <w:rFonts w:hint="eastAsia" w:ascii="黑体" w:hAnsi="黑体" w:eastAsia="黑体" w:cs="黑体"/>
          <w:b/>
          <w:color w:val="auto"/>
          <w:sz w:val="36"/>
          <w:szCs w:val="36"/>
          <w:highlight w:val="none"/>
        </w:rPr>
        <w:t xml:space="preserve"> </w:t>
      </w:r>
    </w:p>
    <w:p w14:paraId="2D804A6E">
      <w:pPr>
        <w:pStyle w:val="8"/>
        <w:rPr>
          <w:rFonts w:hint="eastAsia" w:ascii="黑体" w:hAnsi="黑体" w:eastAsia="黑体" w:cs="黑体"/>
          <w:b/>
          <w:color w:val="auto"/>
          <w:sz w:val="36"/>
          <w:szCs w:val="36"/>
          <w:highlight w:val="none"/>
        </w:rPr>
      </w:pPr>
    </w:p>
    <w:p w14:paraId="04192DF4">
      <w:pPr>
        <w:pStyle w:val="29"/>
        <w:rPr>
          <w:rFonts w:hint="eastAsia" w:ascii="黑体" w:hAnsi="黑体" w:eastAsia="黑体" w:cs="黑体"/>
          <w:b/>
          <w:color w:val="auto"/>
          <w:sz w:val="36"/>
          <w:szCs w:val="36"/>
          <w:highlight w:val="none"/>
        </w:rPr>
      </w:pPr>
    </w:p>
    <w:p w14:paraId="321EF6D0">
      <w:pPr>
        <w:spacing w:line="360" w:lineRule="auto"/>
        <w:ind w:left="3139" w:leftChars="733" w:hanging="1600" w:hangingChars="500"/>
        <w:jc w:val="left"/>
        <w:rPr>
          <w:rFonts w:hint="eastAsia" w:ascii="黑体" w:hAnsi="黑体" w:eastAsia="黑体" w:cs="黑体"/>
          <w:bCs/>
          <w:color w:val="auto"/>
          <w:sz w:val="32"/>
          <w:szCs w:val="32"/>
          <w:highlight w:val="none"/>
          <w:lang w:val="en-US" w:eastAsia="zh-CN"/>
        </w:rPr>
      </w:pPr>
      <w:r>
        <w:rPr>
          <w:rFonts w:hint="eastAsia" w:ascii="黑体" w:hAnsi="黑体" w:eastAsia="黑体" w:cs="黑体"/>
          <w:bCs/>
          <w:color w:val="auto"/>
          <w:sz w:val="32"/>
          <w:szCs w:val="32"/>
          <w:highlight w:val="none"/>
        </w:rPr>
        <w:t>项目编号：</w:t>
      </w:r>
      <w:r>
        <w:rPr>
          <w:rFonts w:hint="eastAsia" w:ascii="黑体" w:hAnsi="黑体" w:eastAsia="黑体" w:cs="黑体"/>
          <w:bCs/>
          <w:color w:val="auto"/>
          <w:sz w:val="32"/>
          <w:szCs w:val="32"/>
          <w:highlight w:val="none"/>
          <w:lang w:eastAsia="zh-CN"/>
        </w:rPr>
        <w:t>SDGP370000000202502005154</w:t>
      </w:r>
    </w:p>
    <w:p w14:paraId="41E9A324">
      <w:pPr>
        <w:spacing w:line="360" w:lineRule="auto"/>
        <w:ind w:left="3139" w:leftChars="733" w:hanging="1600" w:hangingChars="500"/>
        <w:jc w:val="left"/>
        <w:rPr>
          <w:rFonts w:hint="eastAsia" w:ascii="黑体" w:hAnsi="黑体" w:eastAsia="黑体" w:cs="黑体"/>
          <w:bCs/>
          <w:color w:val="auto"/>
          <w:sz w:val="32"/>
          <w:szCs w:val="32"/>
          <w:highlight w:val="none"/>
          <w:u w:val="single"/>
        </w:rPr>
      </w:pPr>
      <w:r>
        <w:rPr>
          <w:rFonts w:hint="eastAsia" w:ascii="黑体" w:hAnsi="黑体" w:eastAsia="黑体" w:cs="黑体"/>
          <w:bCs/>
          <w:color w:val="auto"/>
          <w:sz w:val="32"/>
          <w:szCs w:val="32"/>
          <w:highlight w:val="none"/>
        </w:rPr>
        <w:t>项目名称：</w:t>
      </w:r>
      <w:r>
        <w:rPr>
          <w:rFonts w:hint="eastAsia" w:ascii="黑体" w:hAnsi="黑体" w:eastAsia="黑体" w:cs="黑体"/>
          <w:bCs/>
          <w:color w:val="auto"/>
          <w:sz w:val="32"/>
          <w:szCs w:val="32"/>
          <w:highlight w:val="none"/>
          <w:u w:val="none"/>
          <w:lang w:eastAsia="zh-CN"/>
        </w:rPr>
        <w:t>临沂大学2025年农林学院实验室仪器设备采购项目</w:t>
      </w:r>
    </w:p>
    <w:p w14:paraId="3C50AD57">
      <w:pPr>
        <w:spacing w:line="360" w:lineRule="auto"/>
        <w:ind w:left="3139" w:leftChars="733" w:hanging="1600" w:hangingChars="500"/>
        <w:jc w:val="left"/>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lang w:eastAsia="zh-CN"/>
        </w:rPr>
        <w:t>项目</w:t>
      </w:r>
      <w:r>
        <w:rPr>
          <w:rFonts w:hint="eastAsia" w:ascii="黑体" w:hAnsi="黑体" w:eastAsia="黑体" w:cs="黑体"/>
          <w:bCs/>
          <w:color w:val="auto"/>
          <w:sz w:val="32"/>
          <w:szCs w:val="32"/>
          <w:highlight w:val="none"/>
        </w:rPr>
        <w:t>包号：A</w:t>
      </w:r>
    </w:p>
    <w:p w14:paraId="3BD05444">
      <w:pPr>
        <w:spacing w:line="240" w:lineRule="atLeast"/>
        <w:ind w:left="1080" w:leftChars="257" w:hanging="540"/>
        <w:jc w:val="center"/>
        <w:rPr>
          <w:rFonts w:hint="eastAsia" w:ascii="黑体" w:hAnsi="黑体" w:eastAsia="黑体" w:cs="黑体"/>
          <w:bCs/>
          <w:color w:val="auto"/>
          <w:sz w:val="32"/>
          <w:szCs w:val="32"/>
          <w:highlight w:val="none"/>
        </w:rPr>
      </w:pPr>
    </w:p>
    <w:p w14:paraId="73198C3A">
      <w:pPr>
        <w:spacing w:line="240" w:lineRule="atLeast"/>
        <w:ind w:left="1080" w:leftChars="257" w:hanging="540"/>
        <w:jc w:val="center"/>
        <w:rPr>
          <w:rFonts w:hint="eastAsia" w:ascii="黑体" w:hAnsi="黑体" w:eastAsia="黑体" w:cs="黑体"/>
          <w:bCs/>
          <w:color w:val="auto"/>
          <w:sz w:val="32"/>
          <w:szCs w:val="32"/>
          <w:highlight w:val="none"/>
        </w:rPr>
      </w:pPr>
    </w:p>
    <w:p w14:paraId="35A85660">
      <w:pPr>
        <w:spacing w:line="240" w:lineRule="atLeast"/>
        <w:ind w:left="1080" w:leftChars="257" w:hanging="540"/>
        <w:jc w:val="center"/>
        <w:rPr>
          <w:rFonts w:hint="eastAsia" w:ascii="黑体" w:hAnsi="黑体" w:eastAsia="黑体" w:cs="黑体"/>
          <w:bCs/>
          <w:color w:val="auto"/>
          <w:sz w:val="32"/>
          <w:szCs w:val="32"/>
          <w:highlight w:val="none"/>
        </w:rPr>
      </w:pPr>
    </w:p>
    <w:p w14:paraId="325E060C">
      <w:pPr>
        <w:spacing w:line="240" w:lineRule="atLeast"/>
        <w:ind w:left="1080" w:leftChars="257" w:hanging="540"/>
        <w:jc w:val="center"/>
        <w:rPr>
          <w:rFonts w:hint="eastAsia" w:ascii="黑体" w:hAnsi="黑体" w:eastAsia="黑体" w:cs="黑体"/>
          <w:bCs/>
          <w:color w:val="auto"/>
          <w:sz w:val="32"/>
          <w:szCs w:val="32"/>
          <w:highlight w:val="none"/>
        </w:rPr>
      </w:pPr>
    </w:p>
    <w:p w14:paraId="1E3B34D1">
      <w:pPr>
        <w:spacing w:line="240" w:lineRule="atLeast"/>
        <w:ind w:left="1080" w:leftChars="257" w:hanging="540"/>
        <w:jc w:val="center"/>
        <w:rPr>
          <w:rFonts w:hint="eastAsia" w:ascii="黑体" w:hAnsi="黑体" w:eastAsia="黑体" w:cs="黑体"/>
          <w:bCs/>
          <w:color w:val="auto"/>
          <w:sz w:val="32"/>
          <w:szCs w:val="32"/>
          <w:highlight w:val="none"/>
        </w:rPr>
      </w:pPr>
    </w:p>
    <w:p w14:paraId="1AE29189">
      <w:pPr>
        <w:spacing w:line="240" w:lineRule="atLeast"/>
        <w:ind w:left="1080" w:leftChars="257" w:hanging="540"/>
        <w:jc w:val="center"/>
        <w:rPr>
          <w:rFonts w:hint="eastAsia" w:ascii="黑体" w:hAnsi="黑体" w:eastAsia="黑体" w:cs="黑体"/>
          <w:bCs/>
          <w:color w:val="auto"/>
          <w:sz w:val="32"/>
          <w:szCs w:val="32"/>
          <w:highlight w:val="none"/>
        </w:rPr>
      </w:pPr>
    </w:p>
    <w:p w14:paraId="3B953744">
      <w:pPr>
        <w:spacing w:line="240" w:lineRule="atLeast"/>
        <w:ind w:left="1080" w:leftChars="257" w:hanging="540"/>
        <w:jc w:val="center"/>
        <w:rPr>
          <w:rFonts w:hint="eastAsia" w:ascii="黑体" w:hAnsi="黑体" w:eastAsia="黑体" w:cs="黑体"/>
          <w:bCs/>
          <w:color w:val="auto"/>
          <w:sz w:val="32"/>
          <w:szCs w:val="32"/>
          <w:highlight w:val="none"/>
        </w:rPr>
      </w:pPr>
    </w:p>
    <w:p w14:paraId="29761CF4">
      <w:pPr>
        <w:spacing w:line="360" w:lineRule="auto"/>
        <w:ind w:firstLine="1280" w:firstLineChars="400"/>
        <w:rPr>
          <w:rFonts w:hint="eastAsia" w:ascii="黑体" w:hAnsi="黑体" w:eastAsia="黑体" w:cs="黑体"/>
          <w:bCs/>
          <w:color w:val="auto"/>
          <w:sz w:val="32"/>
          <w:szCs w:val="32"/>
          <w:highlight w:val="none"/>
          <w:u w:val="single"/>
          <w:lang w:eastAsia="zh-CN"/>
        </w:rPr>
      </w:pPr>
      <w:r>
        <w:rPr>
          <w:rFonts w:hint="eastAsia" w:ascii="黑体" w:hAnsi="黑体" w:eastAsia="黑体" w:cs="黑体"/>
          <w:bCs/>
          <w:color w:val="auto"/>
          <w:sz w:val="32"/>
          <w:szCs w:val="32"/>
          <w:highlight w:val="none"/>
        </w:rPr>
        <w:t>采 购 人：</w:t>
      </w:r>
      <w:r>
        <w:rPr>
          <w:rFonts w:hint="eastAsia" w:ascii="黑体" w:hAnsi="黑体" w:eastAsia="黑体" w:cs="黑体"/>
          <w:bCs/>
          <w:color w:val="auto"/>
          <w:sz w:val="32"/>
          <w:szCs w:val="32"/>
          <w:highlight w:val="none"/>
          <w:u w:val="none"/>
          <w:lang w:eastAsia="zh-CN"/>
        </w:rPr>
        <w:t xml:space="preserve">临沂大学 </w:t>
      </w:r>
    </w:p>
    <w:p w14:paraId="1F695260">
      <w:pPr>
        <w:spacing w:line="360" w:lineRule="auto"/>
        <w:ind w:firstLine="1280" w:firstLineChars="400"/>
        <w:rPr>
          <w:rFonts w:hint="eastAsia" w:ascii="黑体" w:hAnsi="黑体" w:eastAsia="黑体" w:cs="黑体"/>
          <w:bCs/>
          <w:color w:val="auto"/>
          <w:sz w:val="32"/>
          <w:szCs w:val="32"/>
          <w:highlight w:val="none"/>
          <w:u w:val="single"/>
        </w:rPr>
      </w:pPr>
      <w:r>
        <w:rPr>
          <w:rFonts w:hint="eastAsia" w:ascii="黑体" w:hAnsi="黑体" w:eastAsia="黑体" w:cs="黑体"/>
          <w:bCs/>
          <w:color w:val="auto"/>
          <w:sz w:val="32"/>
          <w:szCs w:val="32"/>
          <w:highlight w:val="none"/>
        </w:rPr>
        <w:t>采购代理机构：山东卓舜招标咨询有限公司</w:t>
      </w:r>
    </w:p>
    <w:p w14:paraId="1115FE63">
      <w:pPr>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br w:type="page"/>
      </w:r>
    </w:p>
    <w:p w14:paraId="7ED67047">
      <w:pPr>
        <w:pStyle w:val="64"/>
        <w:ind w:left="0" w:firstLine="0"/>
        <w:jc w:val="center"/>
        <w:rPr>
          <w:rFonts w:ascii="宋体" w:hAnsi="宋体" w:eastAsia="宋体" w:cs="宋体"/>
          <w:b/>
          <w:bCs/>
          <w:sz w:val="24"/>
          <w:highlight w:val="none"/>
        </w:rPr>
      </w:pPr>
      <w:r>
        <w:rPr>
          <w:rFonts w:hint="eastAsia" w:ascii="宋体" w:hAnsi="宋体" w:eastAsia="宋体" w:cs="宋体"/>
          <w:b/>
          <w:sz w:val="24"/>
          <w:highlight w:val="none"/>
          <w:lang w:val="en-US" w:bidi="ar-SA"/>
        </w:rPr>
        <w:t>临沂大学特别公告</w:t>
      </w:r>
    </w:p>
    <w:p w14:paraId="59934F85">
      <w:pPr>
        <w:pStyle w:val="64"/>
        <w:tabs>
          <w:tab w:val="left" w:pos="840"/>
        </w:tabs>
        <w:spacing w:line="480" w:lineRule="exact"/>
        <w:ind w:left="0" w:firstLine="0"/>
        <w:rPr>
          <w:rFonts w:ascii="宋体" w:hAnsi="宋体" w:eastAsia="宋体" w:cs="宋体"/>
          <w:sz w:val="24"/>
          <w:highlight w:val="none"/>
        </w:rPr>
      </w:pPr>
    </w:p>
    <w:p w14:paraId="21207FFE">
      <w:pPr>
        <w:pStyle w:val="64"/>
        <w:tabs>
          <w:tab w:val="left" w:pos="840"/>
        </w:tabs>
        <w:spacing w:line="520" w:lineRule="exact"/>
        <w:ind w:left="0" w:firstLine="0"/>
        <w:rPr>
          <w:rFonts w:ascii="宋体" w:hAnsi="宋体" w:eastAsia="宋体" w:cs="宋体"/>
          <w:sz w:val="24"/>
          <w:highlight w:val="none"/>
        </w:rPr>
      </w:pPr>
      <w:r>
        <w:rPr>
          <w:rFonts w:hint="eastAsia" w:ascii="宋体" w:hAnsi="宋体" w:eastAsia="宋体" w:cs="宋体"/>
          <w:sz w:val="24"/>
          <w:highlight w:val="none"/>
        </w:rPr>
        <w:t xml:space="preserve">各供应商： </w:t>
      </w:r>
    </w:p>
    <w:p w14:paraId="2397EEB3">
      <w:pPr>
        <w:spacing w:line="360" w:lineRule="auto"/>
        <w:ind w:firstLine="480" w:firstLineChars="200"/>
        <w:rPr>
          <w:rFonts w:ascii="宋体" w:hAnsi="宋体" w:cs="宋体"/>
          <w:sz w:val="24"/>
          <w:highlight w:val="none"/>
        </w:rPr>
      </w:pPr>
      <w:r>
        <w:rPr>
          <w:rFonts w:hint="eastAsia" w:ascii="宋体" w:hAnsi="宋体" w:cs="宋体"/>
          <w:sz w:val="24"/>
          <w:highlight w:val="none"/>
        </w:rPr>
        <w:t>热忱欢迎大家投标竞标，响应我校招标项目！我校承诺该项目在公正公开的原则下公平竞争，客观评审。</w:t>
      </w:r>
    </w:p>
    <w:p w14:paraId="19884718">
      <w:pPr>
        <w:spacing w:line="360" w:lineRule="auto"/>
        <w:ind w:firstLine="480" w:firstLineChars="200"/>
        <w:rPr>
          <w:rFonts w:ascii="宋体" w:hAnsi="宋体" w:cs="宋体"/>
          <w:sz w:val="24"/>
          <w:highlight w:val="none"/>
        </w:rPr>
      </w:pPr>
      <w:r>
        <w:rPr>
          <w:rFonts w:hint="eastAsia" w:ascii="宋体" w:hAnsi="宋体" w:cs="宋体"/>
          <w:sz w:val="24"/>
          <w:highlight w:val="none"/>
        </w:rPr>
        <w:t>本招标文件已经多位专家审核修订，若仍存在涉及指向性、排他性参数指标，请及时与代理机构或我校采购部门反映，并请填写下页附表。</w:t>
      </w:r>
    </w:p>
    <w:p w14:paraId="78DBF4FE">
      <w:pPr>
        <w:spacing w:line="360" w:lineRule="auto"/>
        <w:ind w:firstLine="480" w:firstLineChars="200"/>
        <w:rPr>
          <w:rFonts w:ascii="宋体" w:hAnsi="宋体" w:cs="宋体"/>
          <w:sz w:val="24"/>
          <w:highlight w:val="none"/>
        </w:rPr>
      </w:pPr>
      <w:r>
        <w:rPr>
          <w:rFonts w:hint="eastAsia" w:ascii="宋体" w:hAnsi="宋体" w:cs="宋体"/>
          <w:sz w:val="24"/>
          <w:highlight w:val="none"/>
        </w:rPr>
        <w:t>我校所有项目严格执行“回避”制度，对可能影响评标结果的潜在因素及人员关系（含代理机构、评标专家、工作人员、其他类人员等），请及时与我校采购部门反映（临沂大学资产处采购科蔺老师13954932898）。</w:t>
      </w:r>
    </w:p>
    <w:p w14:paraId="7F7A8EBA">
      <w:pPr>
        <w:spacing w:line="360" w:lineRule="auto"/>
        <w:ind w:firstLine="480" w:firstLineChars="200"/>
        <w:rPr>
          <w:rFonts w:ascii="宋体" w:hAnsi="宋体" w:cs="宋体"/>
          <w:sz w:val="24"/>
          <w:highlight w:val="none"/>
        </w:rPr>
      </w:pPr>
      <w:r>
        <w:rPr>
          <w:rFonts w:hint="eastAsia" w:ascii="宋体" w:hAnsi="宋体" w:cs="宋体"/>
          <w:sz w:val="24"/>
          <w:highlight w:val="none"/>
        </w:rPr>
        <w:t>若报名过程中存在差别性待遇或排他性暗示，请做好取证，及时与我校纪委联系（0539-7258030）进行举报。</w:t>
      </w:r>
    </w:p>
    <w:p w14:paraId="30443776">
      <w:pPr>
        <w:spacing w:line="360" w:lineRule="auto"/>
        <w:ind w:firstLine="480" w:firstLineChars="200"/>
        <w:rPr>
          <w:rFonts w:ascii="宋体" w:hAnsi="宋体" w:cs="宋体"/>
          <w:sz w:val="24"/>
          <w:highlight w:val="none"/>
        </w:rPr>
      </w:pPr>
      <w:r>
        <w:rPr>
          <w:rFonts w:hint="eastAsia" w:ascii="宋体" w:hAnsi="宋体" w:cs="宋体"/>
          <w:sz w:val="24"/>
          <w:highlight w:val="none"/>
        </w:rPr>
        <w:t>临沂大学采购部门联系方式：</w:t>
      </w:r>
    </w:p>
    <w:p w14:paraId="42056434">
      <w:pPr>
        <w:spacing w:line="360" w:lineRule="auto"/>
        <w:ind w:firstLine="480" w:firstLineChars="200"/>
        <w:rPr>
          <w:rFonts w:ascii="宋体" w:hAnsi="宋体" w:cs="宋体"/>
          <w:sz w:val="24"/>
          <w:highlight w:val="none"/>
        </w:rPr>
      </w:pPr>
      <w:r>
        <w:rPr>
          <w:rFonts w:hint="eastAsia" w:ascii="宋体" w:hAnsi="宋体" w:cs="宋体"/>
          <w:sz w:val="24"/>
          <w:highlight w:val="none"/>
        </w:rPr>
        <w:t>电话：0539-725875</w:t>
      </w:r>
      <w:r>
        <w:rPr>
          <w:rFonts w:hint="eastAsia" w:ascii="宋体" w:hAnsi="宋体" w:cs="宋体"/>
          <w:sz w:val="24"/>
          <w:highlight w:val="none"/>
          <w:lang w:val="en-US" w:eastAsia="zh-CN"/>
        </w:rPr>
        <w:t>8</w:t>
      </w:r>
      <w:r>
        <w:rPr>
          <w:rFonts w:hint="eastAsia" w:ascii="宋体" w:hAnsi="宋体" w:cs="宋体"/>
          <w:sz w:val="24"/>
          <w:highlight w:val="none"/>
        </w:rPr>
        <w:t xml:space="preserve">    邮箱：lyuzbb@126.com</w:t>
      </w:r>
    </w:p>
    <w:p w14:paraId="0CA092D1">
      <w:pPr>
        <w:spacing w:line="360" w:lineRule="auto"/>
        <w:ind w:firstLine="480" w:firstLineChars="200"/>
        <w:rPr>
          <w:rFonts w:ascii="宋体" w:hAnsi="宋体" w:cs="宋体"/>
          <w:sz w:val="24"/>
          <w:highlight w:val="none"/>
        </w:rPr>
      </w:pPr>
    </w:p>
    <w:p w14:paraId="2E9467D4">
      <w:pPr>
        <w:spacing w:line="360" w:lineRule="auto"/>
        <w:ind w:firstLine="480" w:firstLineChars="200"/>
        <w:rPr>
          <w:rFonts w:ascii="宋体" w:hAnsi="宋体" w:cs="宋体"/>
          <w:sz w:val="24"/>
          <w:highlight w:val="none"/>
        </w:rPr>
      </w:pPr>
    </w:p>
    <w:p w14:paraId="3F58B5BE">
      <w:pPr>
        <w:pStyle w:val="32"/>
        <w:ind w:firstLine="240"/>
        <w:rPr>
          <w:rFonts w:hint="eastAsia" w:ascii="宋体" w:hAnsi="宋体" w:cs="宋体"/>
          <w:sz w:val="24"/>
          <w:highlight w:val="none"/>
        </w:rPr>
      </w:pPr>
      <w:r>
        <w:rPr>
          <w:rFonts w:hint="eastAsia" w:ascii="宋体" w:hAnsi="宋体" w:cs="宋体"/>
          <w:sz w:val="24"/>
          <w:highlight w:val="none"/>
        </w:rPr>
        <w:t>营造风清气正的招投标环境，让我们一起努力……</w:t>
      </w:r>
    </w:p>
    <w:p w14:paraId="0D2218D3">
      <w:pPr>
        <w:rPr>
          <w:rFonts w:hint="eastAsia" w:ascii="宋体" w:hAnsi="宋体" w:cs="宋体"/>
          <w:sz w:val="24"/>
          <w:highlight w:val="none"/>
        </w:rPr>
      </w:pPr>
      <w:r>
        <w:rPr>
          <w:rFonts w:hint="eastAsia" w:ascii="宋体" w:hAnsi="宋体" w:cs="宋体"/>
          <w:sz w:val="24"/>
          <w:highlight w:val="none"/>
        </w:rPr>
        <w:br w:type="page"/>
      </w:r>
    </w:p>
    <w:p w14:paraId="55172277">
      <w:pPr>
        <w:pStyle w:val="64"/>
        <w:ind w:left="0" w:firstLine="0"/>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附表：</w:t>
      </w:r>
    </w:p>
    <w:p w14:paraId="0AD481A5">
      <w:pPr>
        <w:pStyle w:val="64"/>
        <w:ind w:firstLine="0"/>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致各报名供应商，如发现采购文件存在不合理问题，请填写该表。</w:t>
      </w:r>
    </w:p>
    <w:p w14:paraId="1F9C0915">
      <w:pPr>
        <w:pStyle w:val="64"/>
        <w:ind w:firstLine="0"/>
        <w:jc w:val="center"/>
        <w:rPr>
          <w:rFonts w:hint="eastAsia" w:ascii="仿宋" w:hAnsi="仿宋" w:eastAsia="仿宋" w:cs="仿宋"/>
          <w:b/>
          <w:bCs/>
          <w:color w:val="auto"/>
          <w:sz w:val="24"/>
          <w:szCs w:val="24"/>
          <w:highlight w:val="none"/>
          <w:u w:val="none" w:color="auto"/>
        </w:rPr>
      </w:pPr>
    </w:p>
    <w:p w14:paraId="1D03652D">
      <w:pPr>
        <w:pStyle w:val="64"/>
        <w:ind w:firstLine="0"/>
        <w:jc w:val="cente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本项目采购文件存在不合理性问题反馈单</w:t>
      </w:r>
    </w:p>
    <w:p w14:paraId="1CA8A30F">
      <w:pPr>
        <w:pStyle w:val="64"/>
        <w:ind w:firstLine="0"/>
        <w:jc w:val="cente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（已报名供应商使用）</w:t>
      </w:r>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3"/>
        <w:gridCol w:w="1946"/>
        <w:gridCol w:w="3278"/>
        <w:gridCol w:w="2849"/>
      </w:tblGrid>
      <w:tr w14:paraId="230A1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noWrap w:val="0"/>
            <w:vAlign w:val="center"/>
          </w:tcPr>
          <w:p w14:paraId="49FA9A4E">
            <w:pPr>
              <w:pStyle w:val="64"/>
              <w:ind w:left="0" w:leftChars="0" w:firstLine="0" w:firstLineChars="0"/>
              <w:jc w:val="cente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序号</w:t>
            </w:r>
          </w:p>
        </w:tc>
        <w:tc>
          <w:tcPr>
            <w:tcW w:w="2031" w:type="dxa"/>
            <w:noWrap w:val="0"/>
            <w:vAlign w:val="center"/>
          </w:tcPr>
          <w:p w14:paraId="75D59176">
            <w:pPr>
              <w:pStyle w:val="64"/>
              <w:ind w:left="0" w:leftChars="0" w:firstLine="0" w:firstLineChars="0"/>
              <w:jc w:val="cente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采购设备名称</w:t>
            </w:r>
          </w:p>
        </w:tc>
        <w:tc>
          <w:tcPr>
            <w:tcW w:w="3448" w:type="dxa"/>
            <w:noWrap w:val="0"/>
            <w:vAlign w:val="center"/>
          </w:tcPr>
          <w:p w14:paraId="4285167D">
            <w:pPr>
              <w:pStyle w:val="64"/>
              <w:ind w:left="0" w:firstLine="0"/>
              <w:jc w:val="cente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相关参数</w:t>
            </w:r>
          </w:p>
        </w:tc>
        <w:tc>
          <w:tcPr>
            <w:tcW w:w="2992" w:type="dxa"/>
            <w:noWrap w:val="0"/>
            <w:vAlign w:val="center"/>
          </w:tcPr>
          <w:p w14:paraId="7C07C18D">
            <w:pPr>
              <w:pStyle w:val="64"/>
              <w:ind w:left="0" w:firstLine="0"/>
              <w:jc w:val="cente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存在问题说明</w:t>
            </w:r>
          </w:p>
        </w:tc>
      </w:tr>
      <w:tr w14:paraId="7594D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7" w:hRule="atLeast"/>
        </w:trPr>
        <w:tc>
          <w:tcPr>
            <w:tcW w:w="772" w:type="dxa"/>
            <w:noWrap w:val="0"/>
            <w:vAlign w:val="center"/>
          </w:tcPr>
          <w:p w14:paraId="019E5D76">
            <w:pPr>
              <w:pStyle w:val="64"/>
              <w:ind w:left="0" w:leftChars="0" w:firstLine="0" w:firstLineChars="0"/>
              <w:jc w:val="cente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1</w:t>
            </w:r>
          </w:p>
        </w:tc>
        <w:tc>
          <w:tcPr>
            <w:tcW w:w="2031" w:type="dxa"/>
            <w:noWrap w:val="0"/>
            <w:vAlign w:val="center"/>
          </w:tcPr>
          <w:p w14:paraId="75C9F758">
            <w:pPr>
              <w:pStyle w:val="64"/>
              <w:rPr>
                <w:rFonts w:hint="eastAsia" w:ascii="仿宋" w:hAnsi="仿宋" w:eastAsia="仿宋" w:cs="仿宋"/>
                <w:b/>
                <w:bCs/>
                <w:color w:val="auto"/>
                <w:sz w:val="24"/>
                <w:szCs w:val="24"/>
                <w:highlight w:val="none"/>
                <w:u w:val="none" w:color="auto"/>
              </w:rPr>
            </w:pPr>
          </w:p>
          <w:p w14:paraId="6B6248D5">
            <w:pPr>
              <w:pStyle w:val="64"/>
              <w:rPr>
                <w:rFonts w:hint="eastAsia" w:ascii="仿宋" w:hAnsi="仿宋" w:eastAsia="仿宋" w:cs="仿宋"/>
                <w:b/>
                <w:bCs/>
                <w:color w:val="auto"/>
                <w:sz w:val="24"/>
                <w:szCs w:val="24"/>
                <w:highlight w:val="none"/>
                <w:u w:val="none" w:color="auto"/>
              </w:rPr>
            </w:pPr>
          </w:p>
        </w:tc>
        <w:tc>
          <w:tcPr>
            <w:tcW w:w="3448" w:type="dxa"/>
            <w:noWrap w:val="0"/>
            <w:vAlign w:val="center"/>
          </w:tcPr>
          <w:p w14:paraId="7B689121">
            <w:pPr>
              <w:pStyle w:val="64"/>
              <w:rPr>
                <w:rFonts w:hint="eastAsia" w:ascii="仿宋" w:hAnsi="仿宋" w:eastAsia="仿宋" w:cs="仿宋"/>
                <w:b/>
                <w:bCs/>
                <w:color w:val="auto"/>
                <w:sz w:val="24"/>
                <w:szCs w:val="24"/>
                <w:highlight w:val="none"/>
                <w:u w:val="none" w:color="auto"/>
              </w:rPr>
            </w:pPr>
          </w:p>
        </w:tc>
        <w:tc>
          <w:tcPr>
            <w:tcW w:w="2992" w:type="dxa"/>
            <w:noWrap w:val="0"/>
            <w:vAlign w:val="center"/>
          </w:tcPr>
          <w:p w14:paraId="10AE6BA4">
            <w:pPr>
              <w:pStyle w:val="64"/>
              <w:rPr>
                <w:rFonts w:hint="eastAsia" w:ascii="仿宋" w:hAnsi="仿宋" w:eastAsia="仿宋" w:cs="仿宋"/>
                <w:b/>
                <w:bCs/>
                <w:color w:val="auto"/>
                <w:sz w:val="24"/>
                <w:szCs w:val="24"/>
                <w:highlight w:val="none"/>
                <w:u w:val="none" w:color="auto"/>
              </w:rPr>
            </w:pPr>
          </w:p>
        </w:tc>
      </w:tr>
      <w:tr w14:paraId="09956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756EB4F9">
            <w:pPr>
              <w:pStyle w:val="64"/>
              <w:ind w:left="0" w:leftChars="0" w:firstLine="0" w:firstLineChars="0"/>
              <w:jc w:val="cente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2</w:t>
            </w:r>
          </w:p>
        </w:tc>
        <w:tc>
          <w:tcPr>
            <w:tcW w:w="2031" w:type="dxa"/>
            <w:noWrap w:val="0"/>
            <w:vAlign w:val="center"/>
          </w:tcPr>
          <w:p w14:paraId="71AA3BB7">
            <w:pPr>
              <w:pStyle w:val="64"/>
              <w:rPr>
                <w:rFonts w:hint="eastAsia" w:ascii="仿宋" w:hAnsi="仿宋" w:eastAsia="仿宋" w:cs="仿宋"/>
                <w:b/>
                <w:bCs/>
                <w:color w:val="auto"/>
                <w:sz w:val="24"/>
                <w:szCs w:val="24"/>
                <w:highlight w:val="none"/>
                <w:u w:val="none" w:color="auto"/>
              </w:rPr>
            </w:pPr>
          </w:p>
          <w:p w14:paraId="32E14FD0">
            <w:pPr>
              <w:pStyle w:val="64"/>
              <w:rPr>
                <w:rFonts w:hint="eastAsia" w:ascii="仿宋" w:hAnsi="仿宋" w:eastAsia="仿宋" w:cs="仿宋"/>
                <w:b/>
                <w:bCs/>
                <w:color w:val="auto"/>
                <w:sz w:val="24"/>
                <w:szCs w:val="24"/>
                <w:highlight w:val="none"/>
                <w:u w:val="none" w:color="auto"/>
              </w:rPr>
            </w:pPr>
          </w:p>
        </w:tc>
        <w:tc>
          <w:tcPr>
            <w:tcW w:w="3448" w:type="dxa"/>
            <w:noWrap w:val="0"/>
            <w:vAlign w:val="center"/>
          </w:tcPr>
          <w:p w14:paraId="71B7FEE4">
            <w:pPr>
              <w:pStyle w:val="64"/>
              <w:rPr>
                <w:rFonts w:hint="eastAsia" w:ascii="仿宋" w:hAnsi="仿宋" w:eastAsia="仿宋" w:cs="仿宋"/>
                <w:b/>
                <w:bCs/>
                <w:color w:val="auto"/>
                <w:sz w:val="24"/>
                <w:szCs w:val="24"/>
                <w:highlight w:val="none"/>
                <w:u w:val="none" w:color="auto"/>
              </w:rPr>
            </w:pPr>
          </w:p>
        </w:tc>
        <w:tc>
          <w:tcPr>
            <w:tcW w:w="2992" w:type="dxa"/>
            <w:noWrap w:val="0"/>
            <w:vAlign w:val="center"/>
          </w:tcPr>
          <w:p w14:paraId="25A3E042">
            <w:pPr>
              <w:pStyle w:val="64"/>
              <w:rPr>
                <w:rFonts w:hint="eastAsia" w:ascii="仿宋" w:hAnsi="仿宋" w:eastAsia="仿宋" w:cs="仿宋"/>
                <w:b/>
                <w:bCs/>
                <w:color w:val="auto"/>
                <w:sz w:val="24"/>
                <w:szCs w:val="24"/>
                <w:highlight w:val="none"/>
                <w:u w:val="none" w:color="auto"/>
              </w:rPr>
            </w:pPr>
          </w:p>
        </w:tc>
      </w:tr>
      <w:tr w14:paraId="240D9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4E37B03C">
            <w:pPr>
              <w:pStyle w:val="64"/>
              <w:ind w:left="0" w:leftChars="0" w:firstLine="0" w:firstLineChars="0"/>
              <w:jc w:val="cente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3</w:t>
            </w:r>
          </w:p>
        </w:tc>
        <w:tc>
          <w:tcPr>
            <w:tcW w:w="2031" w:type="dxa"/>
            <w:noWrap w:val="0"/>
            <w:vAlign w:val="center"/>
          </w:tcPr>
          <w:p w14:paraId="3C215A1C">
            <w:pPr>
              <w:pStyle w:val="64"/>
              <w:rPr>
                <w:rFonts w:hint="eastAsia" w:ascii="仿宋" w:hAnsi="仿宋" w:eastAsia="仿宋" w:cs="仿宋"/>
                <w:b/>
                <w:bCs/>
                <w:color w:val="auto"/>
                <w:sz w:val="24"/>
                <w:szCs w:val="24"/>
                <w:highlight w:val="none"/>
                <w:u w:val="none" w:color="auto"/>
              </w:rPr>
            </w:pPr>
          </w:p>
          <w:p w14:paraId="33F10991">
            <w:pPr>
              <w:pStyle w:val="64"/>
              <w:rPr>
                <w:rFonts w:hint="eastAsia" w:ascii="仿宋" w:hAnsi="仿宋" w:eastAsia="仿宋" w:cs="仿宋"/>
                <w:b/>
                <w:bCs/>
                <w:color w:val="auto"/>
                <w:sz w:val="24"/>
                <w:szCs w:val="24"/>
                <w:highlight w:val="none"/>
                <w:u w:val="none" w:color="auto"/>
              </w:rPr>
            </w:pPr>
          </w:p>
        </w:tc>
        <w:tc>
          <w:tcPr>
            <w:tcW w:w="3448" w:type="dxa"/>
            <w:noWrap w:val="0"/>
            <w:vAlign w:val="center"/>
          </w:tcPr>
          <w:p w14:paraId="42F42E8F">
            <w:pPr>
              <w:pStyle w:val="64"/>
              <w:rPr>
                <w:rFonts w:hint="eastAsia" w:ascii="仿宋" w:hAnsi="仿宋" w:eastAsia="仿宋" w:cs="仿宋"/>
                <w:b/>
                <w:bCs/>
                <w:color w:val="auto"/>
                <w:sz w:val="24"/>
                <w:szCs w:val="24"/>
                <w:highlight w:val="none"/>
                <w:u w:val="none" w:color="auto"/>
              </w:rPr>
            </w:pPr>
          </w:p>
        </w:tc>
        <w:tc>
          <w:tcPr>
            <w:tcW w:w="2992" w:type="dxa"/>
            <w:noWrap w:val="0"/>
            <w:vAlign w:val="center"/>
          </w:tcPr>
          <w:p w14:paraId="036446DA">
            <w:pPr>
              <w:pStyle w:val="64"/>
              <w:rPr>
                <w:rFonts w:hint="eastAsia" w:ascii="仿宋" w:hAnsi="仿宋" w:eastAsia="仿宋" w:cs="仿宋"/>
                <w:b/>
                <w:bCs/>
                <w:color w:val="auto"/>
                <w:sz w:val="24"/>
                <w:szCs w:val="24"/>
                <w:highlight w:val="none"/>
                <w:u w:val="none" w:color="auto"/>
              </w:rPr>
            </w:pPr>
          </w:p>
        </w:tc>
      </w:tr>
      <w:tr w14:paraId="71286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6" w:hRule="atLeast"/>
        </w:trPr>
        <w:tc>
          <w:tcPr>
            <w:tcW w:w="772" w:type="dxa"/>
            <w:noWrap w:val="0"/>
            <w:vAlign w:val="center"/>
          </w:tcPr>
          <w:p w14:paraId="37267BEE">
            <w:pPr>
              <w:pStyle w:val="64"/>
              <w:ind w:left="0" w:leftChars="0" w:firstLine="0" w:firstLineChars="0"/>
              <w:jc w:val="cente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其他问题</w:t>
            </w:r>
          </w:p>
        </w:tc>
        <w:tc>
          <w:tcPr>
            <w:tcW w:w="8471" w:type="dxa"/>
            <w:gridSpan w:val="3"/>
            <w:noWrap w:val="0"/>
            <w:vAlign w:val="center"/>
          </w:tcPr>
          <w:p w14:paraId="3837E15E">
            <w:pPr>
              <w:pStyle w:val="64"/>
              <w:jc w:val="center"/>
              <w:rPr>
                <w:rFonts w:hint="eastAsia" w:ascii="仿宋" w:hAnsi="仿宋" w:eastAsia="仿宋" w:cs="仿宋"/>
                <w:b/>
                <w:bCs/>
                <w:color w:val="auto"/>
                <w:sz w:val="24"/>
                <w:szCs w:val="24"/>
                <w:highlight w:val="none"/>
                <w:u w:val="none" w:color="auto"/>
              </w:rPr>
            </w:pPr>
          </w:p>
          <w:p w14:paraId="53FFEACC">
            <w:pPr>
              <w:pStyle w:val="64"/>
              <w:jc w:val="center"/>
              <w:rPr>
                <w:rFonts w:hint="eastAsia" w:ascii="仿宋" w:hAnsi="仿宋" w:eastAsia="仿宋" w:cs="仿宋"/>
                <w:b/>
                <w:bCs/>
                <w:color w:val="auto"/>
                <w:sz w:val="24"/>
                <w:szCs w:val="24"/>
                <w:highlight w:val="none"/>
                <w:u w:val="none" w:color="auto"/>
              </w:rPr>
            </w:pPr>
          </w:p>
          <w:p w14:paraId="5727B5B0">
            <w:pPr>
              <w:pStyle w:val="64"/>
              <w:jc w:val="center"/>
              <w:rPr>
                <w:rFonts w:hint="eastAsia" w:ascii="仿宋" w:hAnsi="仿宋" w:eastAsia="仿宋" w:cs="仿宋"/>
                <w:b/>
                <w:bCs/>
                <w:color w:val="auto"/>
                <w:sz w:val="24"/>
                <w:szCs w:val="24"/>
                <w:highlight w:val="none"/>
                <w:u w:val="none" w:color="auto"/>
              </w:rPr>
            </w:pPr>
          </w:p>
          <w:p w14:paraId="49859D6D">
            <w:pPr>
              <w:pStyle w:val="64"/>
              <w:jc w:val="center"/>
              <w:rPr>
                <w:rFonts w:hint="eastAsia" w:ascii="仿宋" w:hAnsi="仿宋" w:eastAsia="仿宋" w:cs="仿宋"/>
                <w:b/>
                <w:bCs/>
                <w:color w:val="auto"/>
                <w:sz w:val="24"/>
                <w:szCs w:val="24"/>
                <w:highlight w:val="none"/>
                <w:u w:val="none" w:color="auto"/>
              </w:rPr>
            </w:pPr>
          </w:p>
          <w:p w14:paraId="58B03639">
            <w:pPr>
              <w:pStyle w:val="64"/>
              <w:jc w:val="center"/>
              <w:rPr>
                <w:rFonts w:hint="eastAsia" w:ascii="仿宋" w:hAnsi="仿宋" w:eastAsia="仿宋" w:cs="仿宋"/>
                <w:b/>
                <w:bCs/>
                <w:color w:val="auto"/>
                <w:sz w:val="24"/>
                <w:szCs w:val="24"/>
                <w:highlight w:val="none"/>
                <w:u w:val="none" w:color="auto"/>
              </w:rPr>
            </w:pPr>
          </w:p>
          <w:p w14:paraId="47D094D2">
            <w:pPr>
              <w:pStyle w:val="64"/>
              <w:jc w:val="center"/>
              <w:rPr>
                <w:rFonts w:hint="eastAsia" w:ascii="仿宋" w:hAnsi="仿宋" w:eastAsia="仿宋" w:cs="仿宋"/>
                <w:b/>
                <w:bCs/>
                <w:color w:val="auto"/>
                <w:sz w:val="24"/>
                <w:szCs w:val="24"/>
                <w:highlight w:val="none"/>
                <w:u w:val="none" w:color="auto"/>
              </w:rPr>
            </w:pPr>
          </w:p>
        </w:tc>
      </w:tr>
    </w:tbl>
    <w:p w14:paraId="372CCA7B">
      <w:pPr>
        <w:pStyle w:val="64"/>
        <w:widowControl/>
        <w:adjustRightInd w:val="0"/>
        <w:snapToGrid w:val="0"/>
        <w:spacing w:line="520" w:lineRule="exact"/>
        <w:ind w:left="0" w:firstLine="482" w:firstLineChars="200"/>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说明：</w:t>
      </w:r>
      <w:r>
        <w:rPr>
          <w:rFonts w:hint="eastAsia" w:ascii="仿宋" w:hAnsi="仿宋" w:eastAsia="仿宋" w:cs="仿宋"/>
          <w:b/>
          <w:bCs/>
          <w:color w:val="auto"/>
          <w:sz w:val="24"/>
          <w:szCs w:val="24"/>
          <w:highlight w:val="none"/>
          <w:u w:val="none" w:color="auto"/>
        </w:rPr>
        <w:fldChar w:fldCharType="begin"/>
      </w:r>
      <w:r>
        <w:rPr>
          <w:rFonts w:hint="eastAsia" w:ascii="仿宋" w:hAnsi="仿宋" w:eastAsia="仿宋" w:cs="仿宋"/>
          <w:b/>
          <w:bCs/>
          <w:color w:val="auto"/>
          <w:sz w:val="24"/>
          <w:szCs w:val="24"/>
          <w:highlight w:val="none"/>
          <w:u w:val="none" w:color="auto"/>
        </w:rPr>
        <w:instrText xml:space="preserve"> HYPERLINK "mailto:本表填写并盖章后，请发至邮箱lyuzbb@126.com。" </w:instrText>
      </w:r>
      <w:r>
        <w:rPr>
          <w:rFonts w:hint="eastAsia" w:ascii="仿宋" w:hAnsi="仿宋" w:eastAsia="仿宋" w:cs="仿宋"/>
          <w:b/>
          <w:bCs/>
          <w:color w:val="auto"/>
          <w:sz w:val="24"/>
          <w:szCs w:val="24"/>
          <w:highlight w:val="none"/>
          <w:u w:val="none" w:color="auto"/>
        </w:rPr>
        <w:fldChar w:fldCharType="separate"/>
      </w:r>
      <w:r>
        <w:rPr>
          <w:rStyle w:val="39"/>
          <w:rFonts w:hint="eastAsia" w:ascii="仿宋" w:hAnsi="仿宋" w:eastAsia="仿宋" w:cs="仿宋"/>
          <w:b/>
          <w:bCs/>
          <w:color w:val="auto"/>
          <w:sz w:val="24"/>
          <w:szCs w:val="24"/>
          <w:highlight w:val="none"/>
          <w:u w:val="none" w:color="auto"/>
        </w:rPr>
        <w:t>本表填写并盖章后，请发至邮箱lyuzbb@126.com。</w:t>
      </w:r>
      <w:r>
        <w:rPr>
          <w:rFonts w:hint="eastAsia" w:ascii="仿宋" w:hAnsi="仿宋" w:eastAsia="仿宋" w:cs="仿宋"/>
          <w:b/>
          <w:bCs/>
          <w:color w:val="auto"/>
          <w:sz w:val="24"/>
          <w:szCs w:val="24"/>
          <w:highlight w:val="none"/>
          <w:u w:val="none" w:color="auto"/>
        </w:rPr>
        <w:fldChar w:fldCharType="end"/>
      </w:r>
      <w:r>
        <w:rPr>
          <w:rFonts w:hint="eastAsia" w:ascii="仿宋" w:hAnsi="仿宋" w:eastAsia="仿宋" w:cs="仿宋"/>
          <w:b/>
          <w:bCs/>
          <w:color w:val="auto"/>
          <w:sz w:val="24"/>
          <w:szCs w:val="24"/>
          <w:highlight w:val="none"/>
          <w:u w:val="none" w:color="auto"/>
        </w:rPr>
        <w:t xml:space="preserve"> 并致电临沂大学采购科蔺老师13954932898。</w:t>
      </w:r>
    </w:p>
    <w:p w14:paraId="323A498D">
      <w:pPr>
        <w:pStyle w:val="64"/>
        <w:widowControl/>
        <w:adjustRightInd w:val="0"/>
        <w:snapToGrid w:val="0"/>
        <w:spacing w:line="520" w:lineRule="exact"/>
        <w:ind w:left="0" w:firstLine="482" w:firstLineChars="200"/>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非常感谢您的反馈问题！</w:t>
      </w:r>
    </w:p>
    <w:p w14:paraId="10C21B38">
      <w:pPr>
        <w:pStyle w:val="64"/>
        <w:widowControl/>
        <w:adjustRightInd w:val="0"/>
        <w:snapToGrid w:val="0"/>
        <w:spacing w:line="520" w:lineRule="exact"/>
        <w:ind w:firstLine="3397" w:firstLineChars="1410"/>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lang w:val="en-US" w:eastAsia="zh-CN"/>
        </w:rPr>
        <w:t xml:space="preserve"> </w:t>
      </w:r>
      <w:r>
        <w:rPr>
          <w:rFonts w:hint="eastAsia" w:ascii="仿宋" w:hAnsi="仿宋" w:eastAsia="仿宋" w:cs="仿宋"/>
          <w:b/>
          <w:bCs/>
          <w:color w:val="auto"/>
          <w:sz w:val="24"/>
          <w:szCs w:val="24"/>
          <w:highlight w:val="none"/>
          <w:u w:val="none" w:color="auto"/>
        </w:rPr>
        <w:t>单位名称（盖章）：</w:t>
      </w:r>
    </w:p>
    <w:p w14:paraId="307185B0">
      <w:pPr>
        <w:pStyle w:val="64"/>
        <w:widowControl/>
        <w:adjustRightInd w:val="0"/>
        <w:snapToGrid w:val="0"/>
        <w:spacing w:line="520" w:lineRule="exact"/>
        <w:ind w:firstLine="3373" w:firstLineChars="1400"/>
        <w:rPr>
          <w:rFonts w:hint="eastAsia" w:ascii="仿宋" w:hAnsi="仿宋" w:eastAsia="仿宋" w:cs="仿宋"/>
          <w:b/>
          <w:bCs/>
          <w:color w:val="auto"/>
          <w:sz w:val="24"/>
          <w:szCs w:val="24"/>
          <w:highlight w:val="none"/>
          <w:u w:val="none" w:color="auto"/>
          <w:lang w:val="en-US" w:eastAsia="zh-CN"/>
        </w:rPr>
      </w:pPr>
      <w:r>
        <w:rPr>
          <w:rFonts w:hint="eastAsia" w:ascii="仿宋" w:hAnsi="仿宋" w:eastAsia="仿宋" w:cs="仿宋"/>
          <w:b/>
          <w:bCs/>
          <w:color w:val="auto"/>
          <w:sz w:val="24"/>
          <w:szCs w:val="24"/>
          <w:highlight w:val="none"/>
          <w:u w:val="none" w:color="auto"/>
          <w:lang w:val="en-US" w:eastAsia="zh-CN"/>
        </w:rPr>
        <w:t xml:space="preserve"> </w:t>
      </w:r>
      <w:r>
        <w:rPr>
          <w:rFonts w:hint="eastAsia" w:ascii="仿宋" w:hAnsi="仿宋" w:eastAsia="仿宋" w:cs="仿宋"/>
          <w:b/>
          <w:bCs/>
          <w:color w:val="auto"/>
          <w:sz w:val="24"/>
          <w:szCs w:val="24"/>
          <w:highlight w:val="none"/>
          <w:u w:val="none" w:color="auto"/>
        </w:rPr>
        <w:t>联系人：        电话：</w:t>
      </w:r>
      <w:r>
        <w:rPr>
          <w:rFonts w:hint="eastAsia" w:ascii="仿宋" w:hAnsi="仿宋" w:eastAsia="仿宋" w:cs="仿宋"/>
          <w:b/>
          <w:bCs/>
          <w:color w:val="auto"/>
          <w:sz w:val="24"/>
          <w:szCs w:val="24"/>
          <w:highlight w:val="none"/>
          <w:u w:val="none" w:color="auto"/>
          <w:lang w:val="en-US" w:eastAsia="zh-CN"/>
        </w:rPr>
        <w:t xml:space="preserve">         </w:t>
      </w:r>
    </w:p>
    <w:p w14:paraId="48F4EE4E">
      <w:pPr>
        <w:pStyle w:val="83"/>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 xml:space="preserve">                                   </w:t>
      </w:r>
    </w:p>
    <w:p w14:paraId="75C0FD46">
      <w:pPr>
        <w:pStyle w:val="83"/>
        <w:ind w:firstLine="4096" w:firstLineChars="1700"/>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t>年   月   日</w:t>
      </w:r>
    </w:p>
    <w:p w14:paraId="6AA4F2A4">
      <w:pPr>
        <w:rPr>
          <w:rFonts w:hint="eastAsia" w:ascii="仿宋" w:hAnsi="仿宋" w:eastAsia="仿宋" w:cs="仿宋"/>
          <w:b/>
          <w:bCs/>
          <w:color w:val="auto"/>
          <w:sz w:val="24"/>
          <w:szCs w:val="24"/>
          <w:highlight w:val="none"/>
          <w:u w:val="none" w:color="auto"/>
        </w:rPr>
      </w:pPr>
      <w:r>
        <w:rPr>
          <w:rFonts w:hint="eastAsia" w:ascii="仿宋" w:hAnsi="仿宋" w:eastAsia="仿宋" w:cs="仿宋"/>
          <w:b/>
          <w:bCs/>
          <w:color w:val="auto"/>
          <w:sz w:val="24"/>
          <w:szCs w:val="24"/>
          <w:highlight w:val="none"/>
          <w:u w:val="none" w:color="auto"/>
        </w:rPr>
        <w:br w:type="page"/>
      </w:r>
    </w:p>
    <w:p w14:paraId="0A77DEC4">
      <w:pPr>
        <w:pStyle w:val="64"/>
        <w:ind w:left="0" w:leftChars="0" w:firstLine="0" w:firstLineChars="0"/>
        <w:jc w:val="center"/>
        <w:rPr>
          <w:rFonts w:hint="eastAsia" w:ascii="仿宋" w:hAnsi="仿宋" w:eastAsia="仿宋" w:cs="仿宋"/>
          <w:b/>
          <w:bCs/>
          <w:sz w:val="24"/>
          <w:szCs w:val="24"/>
          <w:highlight w:val="none"/>
          <w:u w:val="none" w:color="auto"/>
          <w:lang w:val="en-US" w:eastAsia="zh-CN"/>
        </w:rPr>
      </w:pPr>
      <w:r>
        <w:rPr>
          <w:rFonts w:hint="eastAsia" w:ascii="仿宋" w:hAnsi="仿宋" w:eastAsia="仿宋" w:cs="仿宋"/>
          <w:b/>
          <w:bCs/>
          <w:sz w:val="24"/>
          <w:szCs w:val="24"/>
          <w:highlight w:val="none"/>
          <w:u w:val="none" w:color="auto"/>
          <w:lang w:val="en-US" w:eastAsia="zh-CN"/>
        </w:rPr>
        <w:t>专家评分索引表</w:t>
      </w:r>
    </w:p>
    <w:p w14:paraId="57AC62C2">
      <w:pPr>
        <w:pStyle w:val="64"/>
        <w:ind w:left="0" w:leftChars="0" w:firstLine="0" w:firstLineChars="0"/>
        <w:jc w:val="left"/>
        <w:rPr>
          <w:rFonts w:hint="eastAsia" w:ascii="仿宋" w:hAnsi="仿宋" w:eastAsia="仿宋" w:cs="仿宋"/>
          <w:sz w:val="24"/>
          <w:szCs w:val="24"/>
          <w:highlight w:val="none"/>
          <w:u w:val="none" w:color="auto"/>
          <w:lang w:val="en-US" w:eastAsia="zh-CN"/>
        </w:rPr>
      </w:pPr>
      <w:r>
        <w:rPr>
          <w:rFonts w:hint="eastAsia" w:ascii="仿宋" w:hAnsi="仿宋" w:eastAsia="仿宋" w:cs="仿宋"/>
          <w:sz w:val="24"/>
          <w:szCs w:val="24"/>
          <w:highlight w:val="none"/>
          <w:u w:val="none" w:color="auto"/>
          <w:lang w:val="en-US" w:eastAsia="zh-CN"/>
        </w:rPr>
        <w:t>致供应商：</w:t>
      </w:r>
    </w:p>
    <w:p w14:paraId="10116E2D">
      <w:pPr>
        <w:pStyle w:val="64"/>
        <w:ind w:left="0" w:leftChars="0" w:firstLine="480" w:firstLineChars="200"/>
        <w:jc w:val="left"/>
        <w:rPr>
          <w:rFonts w:hint="eastAsia" w:ascii="仿宋" w:hAnsi="仿宋" w:eastAsia="仿宋" w:cs="仿宋"/>
          <w:sz w:val="24"/>
          <w:szCs w:val="24"/>
          <w:highlight w:val="none"/>
          <w:u w:val="none" w:color="auto"/>
          <w:lang w:val="en-US" w:eastAsia="zh-CN"/>
        </w:rPr>
      </w:pPr>
      <w:r>
        <w:rPr>
          <w:rFonts w:hint="eastAsia" w:ascii="仿宋" w:hAnsi="仿宋" w:eastAsia="仿宋" w:cs="仿宋"/>
          <w:sz w:val="24"/>
          <w:szCs w:val="24"/>
          <w:highlight w:val="none"/>
          <w:u w:val="none" w:color="auto"/>
          <w:lang w:val="en-US" w:eastAsia="zh-CN"/>
        </w:rPr>
        <w:t>为了使评委专家能够在有限的时间内，对您的产品或项目情况进行充分地了解及熟悉，提升综合全面评审水平，做到更加客观、公正、科学地进行评价评分。请高度重视，务必清晰准确地填写该表栏目</w:t>
      </w:r>
      <w:r>
        <w:rPr>
          <w:rFonts w:hint="eastAsia" w:ascii="仿宋" w:hAnsi="仿宋" w:eastAsia="仿宋" w:cs="仿宋"/>
          <w:b/>
          <w:bCs/>
          <w:sz w:val="24"/>
          <w:szCs w:val="24"/>
          <w:highlight w:val="none"/>
          <w:u w:val="none" w:color="auto"/>
          <w:lang w:val="en-US" w:eastAsia="zh-CN"/>
        </w:rPr>
        <w:t>（报价或价格项不必填写）</w:t>
      </w:r>
      <w:r>
        <w:rPr>
          <w:rFonts w:hint="eastAsia" w:ascii="仿宋" w:hAnsi="仿宋" w:eastAsia="仿宋" w:cs="仿宋"/>
          <w:sz w:val="24"/>
          <w:szCs w:val="24"/>
          <w:highlight w:val="none"/>
          <w:u w:val="none" w:color="auto"/>
          <w:lang w:val="en-US" w:eastAsia="zh-CN"/>
        </w:rPr>
        <w:t>。</w:t>
      </w:r>
    </w:p>
    <w:tbl>
      <w:tblPr>
        <w:tblStyle w:val="34"/>
        <w:tblpPr w:leftFromText="180" w:rightFromText="180" w:vertAnchor="text" w:horzAnchor="page" w:tblpX="1401" w:tblpY="603"/>
        <w:tblOverlap w:val="never"/>
        <w:tblW w:w="525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
        <w:gridCol w:w="943"/>
        <w:gridCol w:w="525"/>
        <w:gridCol w:w="6278"/>
        <w:gridCol w:w="1093"/>
      </w:tblGrid>
      <w:tr w14:paraId="765EE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244" w:type="pct"/>
            <w:vAlign w:val="center"/>
          </w:tcPr>
          <w:p w14:paraId="3BE35FE3">
            <w:pPr>
              <w:spacing w:line="380" w:lineRule="exact"/>
              <w:ind w:left="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序号</w:t>
            </w:r>
          </w:p>
        </w:tc>
        <w:tc>
          <w:tcPr>
            <w:tcW w:w="507" w:type="pct"/>
            <w:vAlign w:val="center"/>
          </w:tcPr>
          <w:p w14:paraId="23C64C4C">
            <w:pPr>
              <w:spacing w:line="380" w:lineRule="exact"/>
              <w:ind w:left="0"/>
              <w:rPr>
                <w:rFonts w:hint="eastAsia" w:ascii="仿宋" w:hAnsi="仿宋" w:eastAsia="仿宋" w:cs="仿宋"/>
                <w:sz w:val="24"/>
                <w:szCs w:val="24"/>
                <w:highlight w:val="none"/>
              </w:rPr>
            </w:pPr>
            <w:r>
              <w:rPr>
                <w:rFonts w:hint="eastAsia" w:ascii="仿宋" w:hAnsi="仿宋" w:eastAsia="仿宋" w:cs="仿宋"/>
                <w:sz w:val="24"/>
                <w:szCs w:val="24"/>
                <w:highlight w:val="none"/>
                <w:u w:val="none" w:color="auto"/>
                <w:vertAlign w:val="baseline"/>
                <w:lang w:val="en-US" w:eastAsia="zh-CN"/>
              </w:rPr>
              <w:t>评审类别或指标</w:t>
            </w:r>
          </w:p>
        </w:tc>
        <w:tc>
          <w:tcPr>
            <w:tcW w:w="282" w:type="pct"/>
            <w:vAlign w:val="center"/>
          </w:tcPr>
          <w:p w14:paraId="1AA8E0C6">
            <w:pPr>
              <w:spacing w:line="380" w:lineRule="exact"/>
              <w:jc w:val="both"/>
              <w:rPr>
                <w:rFonts w:hint="eastAsia" w:ascii="仿宋" w:hAnsi="仿宋" w:eastAsia="仿宋" w:cs="仿宋"/>
                <w:sz w:val="24"/>
                <w:szCs w:val="24"/>
                <w:highlight w:val="none"/>
              </w:rPr>
            </w:pPr>
            <w:r>
              <w:rPr>
                <w:rFonts w:hint="eastAsia" w:ascii="仿宋" w:hAnsi="仿宋" w:eastAsia="仿宋" w:cs="仿宋"/>
                <w:sz w:val="24"/>
                <w:szCs w:val="24"/>
                <w:highlight w:val="none"/>
                <w:u w:val="none" w:color="auto"/>
                <w:vertAlign w:val="baseline"/>
                <w:lang w:val="en-US" w:eastAsia="zh-CN"/>
              </w:rPr>
              <w:t>分值</w:t>
            </w:r>
          </w:p>
        </w:tc>
        <w:tc>
          <w:tcPr>
            <w:tcW w:w="3377" w:type="pct"/>
            <w:vAlign w:val="center"/>
          </w:tcPr>
          <w:p w14:paraId="46B17380">
            <w:pPr>
              <w:spacing w:line="380" w:lineRule="exact"/>
              <w:ind w:firstLine="480"/>
              <w:jc w:val="center"/>
              <w:rPr>
                <w:rFonts w:hint="eastAsia" w:ascii="仿宋" w:hAnsi="仿宋" w:eastAsia="仿宋" w:cs="仿宋"/>
                <w:sz w:val="24"/>
                <w:szCs w:val="24"/>
                <w:highlight w:val="none"/>
              </w:rPr>
            </w:pPr>
            <w:r>
              <w:rPr>
                <w:rFonts w:hint="eastAsia" w:ascii="仿宋" w:hAnsi="仿宋" w:eastAsia="仿宋" w:cs="仿宋"/>
                <w:sz w:val="24"/>
                <w:szCs w:val="24"/>
                <w:highlight w:val="none"/>
                <w:u w:val="none" w:color="auto"/>
                <w:vertAlign w:val="baseline"/>
                <w:lang w:val="en-US" w:eastAsia="zh-CN"/>
              </w:rPr>
              <w:t>评分内容及标准</w:t>
            </w:r>
          </w:p>
        </w:tc>
        <w:tc>
          <w:tcPr>
            <w:tcW w:w="588" w:type="pct"/>
            <w:vAlign w:val="center"/>
          </w:tcPr>
          <w:p w14:paraId="2B4391D3">
            <w:pPr>
              <w:spacing w:line="380" w:lineRule="exact"/>
              <w:jc w:val="both"/>
              <w:rPr>
                <w:rFonts w:hint="eastAsia" w:ascii="仿宋" w:hAnsi="仿宋" w:eastAsia="仿宋" w:cs="仿宋"/>
                <w:sz w:val="24"/>
                <w:szCs w:val="24"/>
                <w:highlight w:val="none"/>
              </w:rPr>
            </w:pPr>
            <w:r>
              <w:rPr>
                <w:rFonts w:hint="eastAsia" w:ascii="仿宋" w:hAnsi="仿宋" w:eastAsia="仿宋" w:cs="仿宋"/>
                <w:sz w:val="24"/>
                <w:szCs w:val="24"/>
                <w:highlight w:val="none"/>
                <w:u w:val="none" w:color="auto"/>
                <w:lang w:val="en-US" w:eastAsia="zh-CN"/>
              </w:rPr>
              <w:t>响应文件对应页码</w:t>
            </w:r>
          </w:p>
        </w:tc>
      </w:tr>
      <w:tr w14:paraId="709A5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 w:type="pct"/>
            <w:vAlign w:val="center"/>
          </w:tcPr>
          <w:p w14:paraId="6A0C9143">
            <w:pPr>
              <w:spacing w:line="380" w:lineRule="exac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p>
        </w:tc>
        <w:tc>
          <w:tcPr>
            <w:tcW w:w="507" w:type="pct"/>
            <w:vAlign w:val="center"/>
          </w:tcPr>
          <w:p w14:paraId="2F48CFE3">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价格</w:t>
            </w:r>
          </w:p>
          <w:p w14:paraId="73CBE88C">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部分</w:t>
            </w:r>
          </w:p>
        </w:tc>
        <w:tc>
          <w:tcPr>
            <w:tcW w:w="282" w:type="pct"/>
            <w:vAlign w:val="center"/>
          </w:tcPr>
          <w:p w14:paraId="760398A2">
            <w:pPr>
              <w:spacing w:line="360" w:lineRule="exac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30分</w:t>
            </w:r>
          </w:p>
        </w:tc>
        <w:tc>
          <w:tcPr>
            <w:tcW w:w="3377" w:type="pct"/>
            <w:vAlign w:val="center"/>
          </w:tcPr>
          <w:p w14:paraId="32F5A7F9">
            <w:pPr>
              <w:spacing w:line="3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满足磋商文件要求且最终报价最低为磋商基准价，其价格分为满分（30分）。其他供应商的价格分统一按照下列公式计算：最终报价得分＝（磋商基准价／最终报价</w:t>
            </w:r>
            <w:r>
              <w:rPr>
                <w:rFonts w:ascii="仿宋" w:hAnsi="仿宋" w:eastAsia="仿宋" w:cs="仿宋"/>
                <w:sz w:val="24"/>
                <w:szCs w:val="24"/>
                <w:highlight w:val="none"/>
              </w:rPr>
              <w:t>)</w:t>
            </w:r>
            <w:r>
              <w:rPr>
                <w:rFonts w:hint="eastAsia" w:ascii="仿宋" w:hAnsi="仿宋" w:eastAsia="仿宋" w:cs="仿宋"/>
                <w:sz w:val="24"/>
                <w:szCs w:val="24"/>
                <w:highlight w:val="none"/>
              </w:rPr>
              <w:t>×30</w:t>
            </w:r>
            <w:r>
              <w:rPr>
                <w:rFonts w:ascii="仿宋" w:hAnsi="仿宋" w:eastAsia="仿宋" w:cs="仿宋"/>
                <w:sz w:val="24"/>
                <w:szCs w:val="24"/>
                <w:highlight w:val="none"/>
              </w:rPr>
              <w:t>%</w:t>
            </w:r>
            <w:r>
              <w:rPr>
                <w:rFonts w:hint="eastAsia" w:ascii="仿宋" w:hAnsi="仿宋" w:eastAsia="仿宋" w:cs="仿宋"/>
                <w:sz w:val="24"/>
                <w:szCs w:val="24"/>
                <w:highlight w:val="none"/>
              </w:rPr>
              <w:t>×</w:t>
            </w:r>
            <w:r>
              <w:rPr>
                <w:rFonts w:ascii="仿宋" w:hAnsi="仿宋" w:eastAsia="仿宋" w:cs="仿宋"/>
                <w:sz w:val="24"/>
                <w:szCs w:val="24"/>
                <w:highlight w:val="none"/>
              </w:rPr>
              <w:t>100</w:t>
            </w:r>
            <w:r>
              <w:rPr>
                <w:rFonts w:hint="eastAsia" w:ascii="仿宋" w:hAnsi="仿宋" w:eastAsia="仿宋" w:cs="仿宋"/>
                <w:sz w:val="24"/>
                <w:szCs w:val="24"/>
                <w:highlight w:val="none"/>
              </w:rPr>
              <w:t>。</w:t>
            </w:r>
          </w:p>
        </w:tc>
        <w:tc>
          <w:tcPr>
            <w:tcW w:w="588" w:type="pct"/>
            <w:vAlign w:val="center"/>
          </w:tcPr>
          <w:p w14:paraId="7F1CBD6E">
            <w:pPr>
              <w:spacing w:line="360" w:lineRule="exact"/>
              <w:rPr>
                <w:rFonts w:hint="eastAsia" w:ascii="仿宋" w:hAnsi="仿宋" w:eastAsia="仿宋" w:cs="仿宋"/>
                <w:sz w:val="24"/>
                <w:szCs w:val="24"/>
                <w:highlight w:val="none"/>
              </w:rPr>
            </w:pPr>
          </w:p>
        </w:tc>
      </w:tr>
      <w:tr w14:paraId="194F8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44" w:type="pct"/>
            <w:vAlign w:val="center"/>
          </w:tcPr>
          <w:p w14:paraId="0EF695F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w:t>
            </w:r>
          </w:p>
        </w:tc>
        <w:tc>
          <w:tcPr>
            <w:tcW w:w="507" w:type="pct"/>
            <w:vAlign w:val="center"/>
          </w:tcPr>
          <w:p w14:paraId="0B60A5D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产品技术响应</w:t>
            </w:r>
          </w:p>
        </w:tc>
        <w:tc>
          <w:tcPr>
            <w:tcW w:w="282" w:type="pct"/>
            <w:vAlign w:val="center"/>
          </w:tcPr>
          <w:p w14:paraId="10597024">
            <w:pP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25分</w:t>
            </w:r>
          </w:p>
        </w:tc>
        <w:tc>
          <w:tcPr>
            <w:tcW w:w="3377" w:type="pct"/>
            <w:vAlign w:val="center"/>
          </w:tcPr>
          <w:p w14:paraId="5F73458F">
            <w:pPr>
              <w:rPr>
                <w:rFonts w:hint="eastAsia" w:ascii="仿宋" w:hAnsi="仿宋" w:eastAsia="仿宋" w:cs="仿宋"/>
                <w:sz w:val="24"/>
                <w:szCs w:val="24"/>
                <w:highlight w:val="none"/>
              </w:rPr>
            </w:pPr>
            <w:r>
              <w:rPr>
                <w:rFonts w:hint="eastAsia" w:ascii="仿宋" w:hAnsi="仿宋" w:eastAsia="仿宋" w:cs="仿宋"/>
                <w:sz w:val="24"/>
                <w:szCs w:val="24"/>
                <w:highlight w:val="none"/>
              </w:rPr>
              <w:t>根据所报产品技术指标、功能、性能及配置对采购要求的实际响应情况进行评分，完全满足</w:t>
            </w:r>
            <w:r>
              <w:rPr>
                <w:rFonts w:hint="eastAsia" w:ascii="仿宋" w:hAnsi="仿宋" w:eastAsia="仿宋" w:cs="仿宋"/>
                <w:sz w:val="24"/>
                <w:szCs w:val="24"/>
                <w:highlight w:val="none"/>
                <w:lang w:eastAsia="zh-CN"/>
              </w:rPr>
              <w:t>采购</w:t>
            </w:r>
            <w:r>
              <w:rPr>
                <w:rFonts w:hint="eastAsia" w:ascii="仿宋" w:hAnsi="仿宋" w:eastAsia="仿宋" w:cs="仿宋"/>
                <w:sz w:val="24"/>
                <w:szCs w:val="24"/>
                <w:highlight w:val="none"/>
              </w:rPr>
              <w:t>要求得基本分</w:t>
            </w:r>
            <w:r>
              <w:rPr>
                <w:rFonts w:hint="eastAsia" w:ascii="仿宋" w:hAnsi="仿宋" w:eastAsia="仿宋" w:cs="仿宋"/>
                <w:sz w:val="24"/>
                <w:szCs w:val="24"/>
                <w:highlight w:val="none"/>
                <w:lang w:val="en-US" w:eastAsia="zh-CN"/>
              </w:rPr>
              <w:t>25</w:t>
            </w:r>
            <w:r>
              <w:rPr>
                <w:rFonts w:hint="eastAsia" w:ascii="仿宋" w:hAnsi="仿宋" w:eastAsia="仿宋" w:cs="仿宋"/>
                <w:sz w:val="24"/>
                <w:szCs w:val="24"/>
                <w:highlight w:val="none"/>
              </w:rPr>
              <w:t>分；</w:t>
            </w:r>
            <w:r>
              <w:rPr>
                <w:rFonts w:hint="eastAsia" w:ascii="仿宋" w:hAnsi="仿宋" w:eastAsia="仿宋" w:cs="仿宋"/>
                <w:sz w:val="24"/>
                <w:szCs w:val="24"/>
                <w:highlight w:val="none"/>
                <w:lang w:eastAsia="zh-CN"/>
              </w:rPr>
              <w:t>所投</w:t>
            </w:r>
            <w:r>
              <w:rPr>
                <w:rFonts w:hint="eastAsia" w:ascii="仿宋" w:hAnsi="仿宋" w:eastAsia="仿宋" w:cs="仿宋"/>
                <w:sz w:val="24"/>
                <w:szCs w:val="24"/>
                <w:highlight w:val="none"/>
              </w:rPr>
              <w:t>产品技术指标中每存在一条负偏离扣</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分，扣完为止。（同一条中有多项指标出现偏离只计算一次。）</w:t>
            </w:r>
          </w:p>
        </w:tc>
        <w:tc>
          <w:tcPr>
            <w:tcW w:w="588" w:type="pct"/>
            <w:vAlign w:val="center"/>
          </w:tcPr>
          <w:p w14:paraId="28ECD7D5">
            <w:pPr>
              <w:rPr>
                <w:rFonts w:hint="eastAsia" w:ascii="仿宋" w:hAnsi="仿宋" w:eastAsia="仿宋" w:cs="仿宋"/>
                <w:sz w:val="24"/>
                <w:szCs w:val="24"/>
                <w:highlight w:val="none"/>
              </w:rPr>
            </w:pPr>
          </w:p>
        </w:tc>
      </w:tr>
      <w:tr w14:paraId="789BA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244" w:type="pct"/>
            <w:vAlign w:val="center"/>
          </w:tcPr>
          <w:p w14:paraId="00F35AB4">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w:t>
            </w:r>
          </w:p>
        </w:tc>
        <w:tc>
          <w:tcPr>
            <w:tcW w:w="507" w:type="pct"/>
            <w:vAlign w:val="center"/>
          </w:tcPr>
          <w:p w14:paraId="0826C5B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产品整体设计</w:t>
            </w:r>
          </w:p>
        </w:tc>
        <w:tc>
          <w:tcPr>
            <w:tcW w:w="282" w:type="pct"/>
            <w:vAlign w:val="center"/>
          </w:tcPr>
          <w:p w14:paraId="78F6CA84">
            <w:pPr>
              <w:spacing w:line="360" w:lineRule="exac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6分</w:t>
            </w:r>
          </w:p>
        </w:tc>
        <w:tc>
          <w:tcPr>
            <w:tcW w:w="3377" w:type="pct"/>
            <w:vAlign w:val="center"/>
          </w:tcPr>
          <w:p w14:paraId="364EE25F">
            <w:pPr>
              <w:spacing w:line="3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根据所报产品的技术选用、整体设计、兼容性和升级扩展能力进行评分，最高得</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分，每存在一处表述不清晰、不完善或瑕疵扣</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分，扣完为止。</w:t>
            </w:r>
          </w:p>
        </w:tc>
        <w:tc>
          <w:tcPr>
            <w:tcW w:w="588" w:type="pct"/>
            <w:vAlign w:val="center"/>
          </w:tcPr>
          <w:p w14:paraId="4E4B0EF7">
            <w:pPr>
              <w:spacing w:line="360" w:lineRule="exact"/>
              <w:rPr>
                <w:rFonts w:hint="eastAsia" w:ascii="仿宋" w:hAnsi="仿宋" w:eastAsia="仿宋" w:cs="仿宋"/>
                <w:sz w:val="24"/>
                <w:szCs w:val="24"/>
                <w:highlight w:val="none"/>
              </w:rPr>
            </w:pPr>
          </w:p>
        </w:tc>
      </w:tr>
      <w:tr w14:paraId="5D344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44" w:type="pct"/>
            <w:vAlign w:val="center"/>
          </w:tcPr>
          <w:p w14:paraId="1AD2A440">
            <w:pPr>
              <w:spacing w:line="380" w:lineRule="exac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w:t>
            </w:r>
          </w:p>
        </w:tc>
        <w:tc>
          <w:tcPr>
            <w:tcW w:w="507" w:type="pct"/>
            <w:vAlign w:val="center"/>
          </w:tcPr>
          <w:p w14:paraId="343EDEBF">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产品</w:t>
            </w:r>
          </w:p>
          <w:p w14:paraId="3C087812">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性能</w:t>
            </w:r>
          </w:p>
        </w:tc>
        <w:tc>
          <w:tcPr>
            <w:tcW w:w="282" w:type="pct"/>
            <w:vAlign w:val="center"/>
          </w:tcPr>
          <w:p w14:paraId="132F4F53">
            <w:pPr>
              <w:spacing w:line="360" w:lineRule="exac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14分</w:t>
            </w:r>
          </w:p>
        </w:tc>
        <w:tc>
          <w:tcPr>
            <w:tcW w:w="3377" w:type="pct"/>
            <w:vAlign w:val="center"/>
          </w:tcPr>
          <w:p w14:paraId="4080783D">
            <w:pPr>
              <w:spacing w:line="3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根据所报产品整体技术性能是否符合采购需求、后期使用成本高低、产品使用是否稳定、可靠，是否易于升级和维护进行评分，最高得</w:t>
            </w:r>
            <w:r>
              <w:rPr>
                <w:rFonts w:hint="eastAsia" w:ascii="仿宋" w:hAnsi="仿宋" w:eastAsia="仿宋" w:cs="仿宋"/>
                <w:sz w:val="24"/>
                <w:szCs w:val="24"/>
                <w:highlight w:val="none"/>
                <w:lang w:val="en-US" w:eastAsia="zh-CN"/>
              </w:rPr>
              <w:t>14</w:t>
            </w:r>
            <w:r>
              <w:rPr>
                <w:rFonts w:hint="eastAsia" w:ascii="仿宋" w:hAnsi="仿宋" w:eastAsia="仿宋" w:cs="仿宋"/>
                <w:sz w:val="24"/>
                <w:szCs w:val="24"/>
                <w:highlight w:val="none"/>
              </w:rPr>
              <w:t>分，每存在一处表述不清晰、不完善或无相关内容的扣</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分，扣完为止。</w:t>
            </w:r>
          </w:p>
        </w:tc>
        <w:tc>
          <w:tcPr>
            <w:tcW w:w="588" w:type="pct"/>
            <w:vAlign w:val="center"/>
          </w:tcPr>
          <w:p w14:paraId="78D6CB74">
            <w:pPr>
              <w:spacing w:line="360" w:lineRule="exact"/>
              <w:rPr>
                <w:rFonts w:hint="eastAsia" w:ascii="仿宋" w:hAnsi="仿宋" w:eastAsia="仿宋" w:cs="仿宋"/>
                <w:sz w:val="24"/>
                <w:szCs w:val="24"/>
                <w:highlight w:val="none"/>
              </w:rPr>
            </w:pPr>
          </w:p>
        </w:tc>
      </w:tr>
      <w:tr w14:paraId="406EB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trPr>
        <w:tc>
          <w:tcPr>
            <w:tcW w:w="244" w:type="pct"/>
            <w:vAlign w:val="center"/>
          </w:tcPr>
          <w:p w14:paraId="076DD9D5">
            <w:pPr>
              <w:spacing w:line="380" w:lineRule="exac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w:t>
            </w:r>
          </w:p>
        </w:tc>
        <w:tc>
          <w:tcPr>
            <w:tcW w:w="507" w:type="pct"/>
            <w:vAlign w:val="center"/>
          </w:tcPr>
          <w:p w14:paraId="07F0AE58">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实施</w:t>
            </w:r>
          </w:p>
          <w:p w14:paraId="3495D103">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方案</w:t>
            </w:r>
          </w:p>
        </w:tc>
        <w:tc>
          <w:tcPr>
            <w:tcW w:w="282" w:type="pct"/>
            <w:vAlign w:val="center"/>
          </w:tcPr>
          <w:p w14:paraId="43D60C3D">
            <w:pPr>
              <w:spacing w:line="360" w:lineRule="exac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8分</w:t>
            </w:r>
          </w:p>
        </w:tc>
        <w:tc>
          <w:tcPr>
            <w:tcW w:w="3377" w:type="pct"/>
            <w:vAlign w:val="center"/>
          </w:tcPr>
          <w:p w14:paraId="1F4C8B33">
            <w:pPr>
              <w:spacing w:line="3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对提供的项目实施方案进行评分，包括（1）供货组织方案、产品部署方案等（2）技术力量、质量保障机制等（3）实施进度（4）应急方案，本项最多得</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分，每存在一处表述不清晰、不完善或瑕疵扣</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分，扣完为止。</w:t>
            </w:r>
          </w:p>
        </w:tc>
        <w:tc>
          <w:tcPr>
            <w:tcW w:w="588" w:type="pct"/>
            <w:vAlign w:val="center"/>
          </w:tcPr>
          <w:p w14:paraId="0CB467EA">
            <w:pPr>
              <w:spacing w:line="360" w:lineRule="exact"/>
              <w:rPr>
                <w:rFonts w:hint="eastAsia" w:ascii="仿宋" w:hAnsi="仿宋" w:eastAsia="仿宋" w:cs="仿宋"/>
                <w:sz w:val="24"/>
                <w:szCs w:val="24"/>
                <w:highlight w:val="none"/>
              </w:rPr>
            </w:pPr>
          </w:p>
        </w:tc>
      </w:tr>
      <w:tr w14:paraId="058BA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244" w:type="pct"/>
            <w:vAlign w:val="center"/>
          </w:tcPr>
          <w:p w14:paraId="25FCE12C">
            <w:pPr>
              <w:spacing w:line="380" w:lineRule="exac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w:t>
            </w:r>
          </w:p>
        </w:tc>
        <w:tc>
          <w:tcPr>
            <w:tcW w:w="507" w:type="pct"/>
            <w:vAlign w:val="center"/>
          </w:tcPr>
          <w:p w14:paraId="5D7C7FEC">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服务</w:t>
            </w:r>
          </w:p>
          <w:p w14:paraId="06F3F912">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支持</w:t>
            </w:r>
          </w:p>
        </w:tc>
        <w:tc>
          <w:tcPr>
            <w:tcW w:w="282" w:type="pct"/>
            <w:vAlign w:val="center"/>
          </w:tcPr>
          <w:p w14:paraId="0322F228">
            <w:pPr>
              <w:spacing w:line="360" w:lineRule="exac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10分</w:t>
            </w:r>
          </w:p>
        </w:tc>
        <w:tc>
          <w:tcPr>
            <w:tcW w:w="3377" w:type="pct"/>
            <w:vAlign w:val="center"/>
          </w:tcPr>
          <w:p w14:paraId="677143FC">
            <w:pPr>
              <w:spacing w:line="3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对</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提供的服务保障体系、服务内容、服务响应时间</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培训方案进行评分，最高得</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分，每存在一处表述不清晰、不完善或瑕疵扣</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分，扣完为止</w:t>
            </w:r>
            <w:r>
              <w:rPr>
                <w:rFonts w:hint="eastAsia" w:ascii="仿宋" w:hAnsi="仿宋" w:eastAsia="仿宋" w:cs="仿宋"/>
                <w:sz w:val="24"/>
                <w:szCs w:val="24"/>
                <w:highlight w:val="none"/>
                <w:lang w:eastAsia="zh-CN"/>
              </w:rPr>
              <w:t>。</w:t>
            </w:r>
          </w:p>
        </w:tc>
        <w:tc>
          <w:tcPr>
            <w:tcW w:w="588" w:type="pct"/>
            <w:vAlign w:val="center"/>
          </w:tcPr>
          <w:p w14:paraId="435091B8">
            <w:pPr>
              <w:spacing w:line="360" w:lineRule="exact"/>
              <w:rPr>
                <w:rFonts w:hint="eastAsia" w:ascii="仿宋" w:hAnsi="仿宋" w:eastAsia="仿宋" w:cs="仿宋"/>
                <w:sz w:val="24"/>
                <w:szCs w:val="24"/>
                <w:highlight w:val="none"/>
              </w:rPr>
            </w:pPr>
          </w:p>
        </w:tc>
      </w:tr>
      <w:tr w14:paraId="187BF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8" w:hRule="atLeast"/>
        </w:trPr>
        <w:tc>
          <w:tcPr>
            <w:tcW w:w="244" w:type="pct"/>
            <w:vAlign w:val="center"/>
          </w:tcPr>
          <w:p w14:paraId="3FA47653">
            <w:pPr>
              <w:spacing w:line="380" w:lineRule="exac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w:t>
            </w:r>
          </w:p>
        </w:tc>
        <w:tc>
          <w:tcPr>
            <w:tcW w:w="507" w:type="pct"/>
            <w:vAlign w:val="center"/>
          </w:tcPr>
          <w:p w14:paraId="7ABB3D53">
            <w:pPr>
              <w:spacing w:line="3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业绩</w:t>
            </w:r>
          </w:p>
        </w:tc>
        <w:tc>
          <w:tcPr>
            <w:tcW w:w="282" w:type="pct"/>
            <w:vAlign w:val="center"/>
          </w:tcPr>
          <w:p w14:paraId="7C5A7E72">
            <w:pPr>
              <w:spacing w:line="360" w:lineRule="exact"/>
              <w:rPr>
                <w:rFonts w:hint="eastAsia" w:ascii="Times New Roman" w:hAnsi="Times New Roman" w:eastAsia="宋体"/>
                <w:b/>
                <w:highlight w:val="none"/>
                <w:lang w:val="en-US" w:eastAsia="zh-CN"/>
              </w:rPr>
            </w:pPr>
            <w:r>
              <w:rPr>
                <w:rFonts w:hint="eastAsia" w:ascii="仿宋" w:hAnsi="仿宋" w:eastAsia="仿宋" w:cs="仿宋"/>
                <w:b w:val="0"/>
                <w:sz w:val="24"/>
                <w:highlight w:val="none"/>
                <w:lang w:val="en-US" w:eastAsia="zh-CN"/>
              </w:rPr>
              <w:t>5</w:t>
            </w:r>
            <w:r>
              <w:rPr>
                <w:rFonts w:hint="eastAsia" w:ascii="仿宋" w:hAnsi="仿宋" w:eastAsia="仿宋" w:cs="仿宋"/>
                <w:sz w:val="24"/>
                <w:szCs w:val="24"/>
                <w:highlight w:val="none"/>
                <w:lang w:val="en-US" w:eastAsia="zh-CN"/>
              </w:rPr>
              <w:t>分</w:t>
            </w:r>
          </w:p>
        </w:tc>
        <w:tc>
          <w:tcPr>
            <w:tcW w:w="3377" w:type="pct"/>
            <w:vAlign w:val="center"/>
          </w:tcPr>
          <w:p w14:paraId="338FB8A0">
            <w:pPr>
              <w:spacing w:line="3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自202</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07</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01</w:t>
            </w:r>
            <w:r>
              <w:rPr>
                <w:rFonts w:hint="eastAsia" w:ascii="仿宋" w:hAnsi="仿宋" w:eastAsia="仿宋" w:cs="仿宋"/>
                <w:sz w:val="24"/>
                <w:szCs w:val="24"/>
                <w:highlight w:val="none"/>
              </w:rPr>
              <w:t>日签订的（以合同签订时间为准）类似项目的合同案例，每提供一个得1分，最多得</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分。</w:t>
            </w:r>
            <w:r>
              <w:rPr>
                <w:rFonts w:hint="eastAsia" w:ascii="仿宋" w:hAnsi="仿宋" w:eastAsia="仿宋" w:cs="仿宋"/>
                <w:color w:val="auto"/>
                <w:kern w:val="0"/>
                <w:sz w:val="24"/>
                <w:szCs w:val="24"/>
                <w:highlight w:val="none"/>
                <w:lang w:eastAsia="zh-CN"/>
              </w:rPr>
              <w:t>（须提供成交通知书和完整的合同复印件装订于响应文件中并加盖公章，不提供不得分。）</w:t>
            </w:r>
          </w:p>
          <w:p w14:paraId="4CB6F6E1">
            <w:pPr>
              <w:spacing w:line="360" w:lineRule="exact"/>
              <w:rPr>
                <w:rFonts w:hint="eastAsia" w:ascii="仿宋" w:hAnsi="仿宋" w:eastAsia="仿宋" w:cs="仿宋"/>
                <w:sz w:val="24"/>
                <w:szCs w:val="24"/>
                <w:highlight w:val="none"/>
              </w:rPr>
            </w:pPr>
            <w:r>
              <w:rPr>
                <w:rFonts w:ascii="Times New Roman" w:hAnsi="Times New Roman"/>
                <w:b/>
                <w:highlight w:val="none"/>
              </w:rPr>
              <w:t>注：供应商需在响应文件中提</w:t>
            </w:r>
            <w:r>
              <w:rPr>
                <w:rFonts w:ascii="Times New Roman" w:hAnsi="Times New Roman"/>
                <w:b/>
                <w:strike w:val="0"/>
                <w:dstrike w:val="0"/>
                <w:highlight w:val="none"/>
              </w:rPr>
              <w:t>供</w:t>
            </w:r>
            <w:r>
              <w:rPr>
                <w:rFonts w:ascii="Times New Roman" w:hAnsi="Times New Roman"/>
                <w:b/>
                <w:bCs/>
                <w:strike w:val="0"/>
                <w:dstrike w:val="0"/>
                <w:highlight w:val="none"/>
              </w:rPr>
              <w:t>成交通知书和</w:t>
            </w:r>
            <w:r>
              <w:rPr>
                <w:rFonts w:ascii="Times New Roman" w:hAnsi="Times New Roman"/>
                <w:b/>
                <w:strike w:val="0"/>
                <w:dstrike w:val="0"/>
                <w:highlight w:val="none"/>
              </w:rPr>
              <w:t>完整</w:t>
            </w:r>
            <w:r>
              <w:rPr>
                <w:rFonts w:ascii="Times New Roman" w:hAnsi="Times New Roman"/>
                <w:b/>
                <w:highlight w:val="none"/>
              </w:rPr>
              <w:t>合同复印件并加盖供应商公章，同时在报价时递交成交通知书和合同原件核验，未按上述要求提供的业绩均不予认可。</w:t>
            </w:r>
          </w:p>
        </w:tc>
        <w:tc>
          <w:tcPr>
            <w:tcW w:w="588" w:type="pct"/>
            <w:vAlign w:val="center"/>
          </w:tcPr>
          <w:p w14:paraId="1C36F576">
            <w:pPr>
              <w:spacing w:line="360" w:lineRule="exact"/>
              <w:rPr>
                <w:rFonts w:ascii="Times New Roman" w:hAnsi="Times New Roman"/>
                <w:b/>
                <w:highlight w:val="none"/>
              </w:rPr>
            </w:pPr>
          </w:p>
        </w:tc>
      </w:tr>
      <w:tr w14:paraId="777DF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244" w:type="pct"/>
            <w:vAlign w:val="center"/>
          </w:tcPr>
          <w:p w14:paraId="57CA80BA">
            <w:pPr>
              <w:keepNext w:val="0"/>
              <w:keepLines w:val="0"/>
              <w:widowControl/>
              <w:suppressLineNumbers w:val="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w:t>
            </w:r>
          </w:p>
        </w:tc>
        <w:tc>
          <w:tcPr>
            <w:tcW w:w="507" w:type="pct"/>
            <w:vAlign w:val="center"/>
          </w:tcPr>
          <w:p w14:paraId="4EE4F410">
            <w:pPr>
              <w:keepNext w:val="0"/>
              <w:keepLines w:val="0"/>
              <w:widowControl/>
              <w:suppressLineNumbers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质保</w:t>
            </w:r>
          </w:p>
          <w:p w14:paraId="3112113D">
            <w:pPr>
              <w:keepNext w:val="0"/>
              <w:keepLines w:val="0"/>
              <w:widowControl/>
              <w:suppressLineNumbers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期限 </w:t>
            </w:r>
          </w:p>
          <w:p w14:paraId="2AA732E5">
            <w:pPr>
              <w:keepNext w:val="0"/>
              <w:keepLines w:val="0"/>
              <w:widowControl/>
              <w:suppressLineNumbers w:val="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c>
          <w:tcPr>
            <w:tcW w:w="282" w:type="pct"/>
            <w:vAlign w:val="center"/>
          </w:tcPr>
          <w:p w14:paraId="17BFD1DB">
            <w:pP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w:t>
            </w:r>
          </w:p>
        </w:tc>
        <w:tc>
          <w:tcPr>
            <w:tcW w:w="3377" w:type="pct"/>
            <w:vAlign w:val="center"/>
          </w:tcPr>
          <w:p w14:paraId="543005F5">
            <w:pP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所投设备</w:t>
            </w:r>
            <w:r>
              <w:rPr>
                <w:rFonts w:hint="eastAsia" w:ascii="仿宋" w:hAnsi="仿宋" w:eastAsia="仿宋" w:cs="仿宋"/>
                <w:sz w:val="24"/>
                <w:szCs w:val="24"/>
                <w:highlight w:val="none"/>
              </w:rPr>
              <w:t>在</w:t>
            </w:r>
            <w:r>
              <w:rPr>
                <w:rFonts w:hint="eastAsia" w:ascii="仿宋" w:hAnsi="仿宋" w:eastAsia="仿宋" w:cs="仿宋"/>
                <w:sz w:val="24"/>
                <w:szCs w:val="24"/>
                <w:highlight w:val="none"/>
                <w:lang w:eastAsia="zh-CN"/>
              </w:rPr>
              <w:t>磋商</w:t>
            </w:r>
            <w:r>
              <w:rPr>
                <w:rFonts w:hint="eastAsia" w:ascii="仿宋" w:hAnsi="仿宋" w:eastAsia="仿宋" w:cs="仿宋"/>
                <w:sz w:val="24"/>
                <w:szCs w:val="24"/>
                <w:highlight w:val="none"/>
              </w:rPr>
              <w:t>文件要求的质保期基础上，</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 xml:space="preserve">承诺原厂整体质保期每延长1年，得1分，本项最多得2分（质保期延长不足1年或部分产品延长的，不得分）。 </w:t>
            </w:r>
          </w:p>
        </w:tc>
        <w:tc>
          <w:tcPr>
            <w:tcW w:w="588" w:type="pct"/>
            <w:vAlign w:val="center"/>
          </w:tcPr>
          <w:p w14:paraId="7E1F0C87">
            <w:pPr>
              <w:rPr>
                <w:rFonts w:hint="eastAsia" w:ascii="仿宋" w:hAnsi="仿宋" w:eastAsia="仿宋" w:cs="仿宋"/>
                <w:sz w:val="24"/>
                <w:szCs w:val="24"/>
                <w:highlight w:val="none"/>
                <w:lang w:eastAsia="zh-CN"/>
              </w:rPr>
            </w:pPr>
          </w:p>
        </w:tc>
      </w:tr>
    </w:tbl>
    <w:p w14:paraId="7E106D3C">
      <w:pPr>
        <w:pStyle w:val="64"/>
        <w:ind w:left="0" w:leftChars="0" w:firstLine="0" w:firstLineChars="0"/>
        <w:jc w:val="left"/>
        <w:rPr>
          <w:rFonts w:hint="eastAsia" w:ascii="仿宋" w:hAnsi="仿宋" w:eastAsia="仿宋" w:cs="仿宋"/>
          <w:sz w:val="24"/>
          <w:szCs w:val="24"/>
          <w:highlight w:val="none"/>
          <w:u w:val="none" w:color="auto"/>
          <w:lang w:val="en-US" w:eastAsia="zh-CN"/>
        </w:rPr>
      </w:pPr>
      <w:r>
        <w:rPr>
          <w:rFonts w:hint="eastAsia" w:ascii="仿宋" w:hAnsi="仿宋" w:eastAsia="仿宋" w:cs="仿宋"/>
          <w:sz w:val="24"/>
          <w:szCs w:val="24"/>
          <w:highlight w:val="none"/>
          <w:u w:val="none" w:color="auto"/>
          <w:lang w:val="en-US" w:eastAsia="zh-CN"/>
        </w:rPr>
        <w:t>说明：该表的位置应封装在投标文件（响应文件）目录之前。</w:t>
      </w:r>
    </w:p>
    <w:p w14:paraId="2B15AAAD">
      <w:pPr>
        <w:rPr>
          <w:rFonts w:hint="eastAsia" w:ascii="仿宋" w:hAnsi="仿宋" w:eastAsia="仿宋" w:cs="仿宋"/>
          <w:b/>
          <w:color w:val="auto"/>
          <w:sz w:val="52"/>
          <w:highlight w:val="none"/>
        </w:rPr>
      </w:pPr>
      <w:r>
        <w:rPr>
          <w:rFonts w:hint="eastAsia" w:ascii="仿宋" w:hAnsi="仿宋" w:eastAsia="仿宋" w:cs="仿宋"/>
          <w:sz w:val="24"/>
          <w:szCs w:val="24"/>
          <w:highlight w:val="none"/>
          <w:u w:val="none" w:color="auto"/>
          <w:lang w:val="en-US" w:eastAsia="zh-CN"/>
        </w:rPr>
        <w:br w:type="page"/>
      </w:r>
    </w:p>
    <w:p w14:paraId="2BDEDB1E">
      <w:pPr>
        <w:pageBreakBefore w:val="0"/>
        <w:widowControl w:val="0"/>
        <w:numPr>
          <w:ilvl w:val="0"/>
          <w:numId w:val="0"/>
        </w:numPr>
        <w:kinsoku/>
        <w:wordWrap/>
        <w:overflowPunct/>
        <w:topLinePunct w:val="0"/>
        <w:bidi w:val="0"/>
        <w:spacing w:line="360" w:lineRule="auto"/>
        <w:textAlignment w:val="auto"/>
        <w:rPr>
          <w:rFonts w:hint="eastAsia" w:ascii="仿宋" w:hAnsi="仿宋" w:eastAsia="仿宋" w:cs="仿宋"/>
          <w:b/>
          <w:color w:val="auto"/>
          <w:kern w:val="0"/>
          <w:sz w:val="24"/>
          <w:szCs w:val="24"/>
          <w:highlight w:val="none"/>
          <w:u w:val="none"/>
          <w:lang w:val="en-US" w:eastAsia="zh-CN" w:bidi="ar-SA"/>
        </w:rPr>
      </w:pPr>
      <w:r>
        <w:rPr>
          <w:rFonts w:hint="eastAsia" w:ascii="仿宋" w:hAnsi="仿宋" w:eastAsia="仿宋" w:cs="仿宋"/>
          <w:b/>
          <w:color w:val="auto"/>
          <w:kern w:val="0"/>
          <w:sz w:val="24"/>
          <w:szCs w:val="24"/>
          <w:highlight w:val="none"/>
          <w:u w:val="none"/>
          <w:lang w:val="en-US" w:eastAsia="zh-CN" w:bidi="ar-SA"/>
        </w:rPr>
        <w:t xml:space="preserve"> </w:t>
      </w:r>
    </w:p>
    <w:p w14:paraId="576B9F34">
      <w:pPr>
        <w:pageBreakBefore w:val="0"/>
        <w:widowControl w:val="0"/>
        <w:numPr>
          <w:ilvl w:val="0"/>
          <w:numId w:val="0"/>
        </w:numPr>
        <w:kinsoku/>
        <w:wordWrap/>
        <w:overflowPunct/>
        <w:topLinePunct w:val="0"/>
        <w:bidi w:val="0"/>
        <w:spacing w:line="360" w:lineRule="auto"/>
        <w:textAlignment w:val="auto"/>
        <w:rPr>
          <w:rFonts w:hint="eastAsia" w:ascii="仿宋" w:hAnsi="仿宋" w:eastAsia="仿宋" w:cs="仿宋"/>
          <w:b/>
          <w:color w:val="auto"/>
          <w:kern w:val="0"/>
          <w:sz w:val="24"/>
          <w:szCs w:val="24"/>
          <w:highlight w:val="none"/>
          <w:u w:val="none"/>
          <w:lang w:val="en-US" w:eastAsia="zh-CN" w:bidi="ar-SA"/>
        </w:rPr>
      </w:pPr>
    </w:p>
    <w:p w14:paraId="604DF400">
      <w:pPr>
        <w:pageBreakBefore w:val="0"/>
        <w:widowControl w:val="0"/>
        <w:numPr>
          <w:ilvl w:val="0"/>
          <w:numId w:val="0"/>
        </w:numPr>
        <w:kinsoku/>
        <w:wordWrap/>
        <w:overflowPunct/>
        <w:topLinePunct w:val="0"/>
        <w:bidi w:val="0"/>
        <w:spacing w:line="360" w:lineRule="auto"/>
        <w:textAlignment w:val="auto"/>
        <w:rPr>
          <w:rFonts w:hint="eastAsia" w:ascii="仿宋" w:hAnsi="仿宋" w:eastAsia="仿宋" w:cs="仿宋"/>
          <w:b/>
          <w:color w:val="auto"/>
          <w:kern w:val="0"/>
          <w:sz w:val="24"/>
          <w:szCs w:val="24"/>
          <w:highlight w:val="none"/>
          <w:u w:val="none"/>
          <w:lang w:val="en-US" w:eastAsia="zh-CN" w:bidi="ar-SA"/>
        </w:rPr>
      </w:pPr>
    </w:p>
    <w:p w14:paraId="2343FB6B">
      <w:pPr>
        <w:pageBreakBefore w:val="0"/>
        <w:widowControl w:val="0"/>
        <w:numPr>
          <w:ilvl w:val="0"/>
          <w:numId w:val="0"/>
        </w:numPr>
        <w:kinsoku/>
        <w:wordWrap/>
        <w:overflowPunct/>
        <w:topLinePunct w:val="0"/>
        <w:bidi w:val="0"/>
        <w:spacing w:line="360" w:lineRule="auto"/>
        <w:textAlignment w:val="auto"/>
        <w:rPr>
          <w:rFonts w:hint="eastAsia" w:ascii="仿宋" w:hAnsi="仿宋" w:eastAsia="仿宋" w:cs="仿宋"/>
          <w:b/>
          <w:color w:val="auto"/>
          <w:kern w:val="0"/>
          <w:sz w:val="24"/>
          <w:szCs w:val="24"/>
          <w:highlight w:val="none"/>
          <w:u w:val="none"/>
          <w:lang w:val="en-US" w:eastAsia="zh-CN" w:bidi="ar-SA"/>
        </w:rPr>
      </w:pPr>
      <w:r>
        <w:rPr>
          <w:rFonts w:hint="eastAsia" w:ascii="仿宋" w:hAnsi="仿宋" w:eastAsia="仿宋" w:cs="仿宋"/>
          <w:b/>
          <w:color w:val="auto"/>
          <w:kern w:val="0"/>
          <w:sz w:val="24"/>
          <w:szCs w:val="24"/>
          <w:highlight w:val="none"/>
          <w:u w:val="none"/>
          <w:lang w:val="en-US" w:eastAsia="zh-CN" w:bidi="ar-SA"/>
        </w:rPr>
        <w:t xml:space="preserve">致供应商：            </w:t>
      </w:r>
    </w:p>
    <w:p w14:paraId="78EEB105">
      <w:pPr>
        <w:pageBreakBefore w:val="0"/>
        <w:widowControl w:val="0"/>
        <w:numPr>
          <w:ilvl w:val="0"/>
          <w:numId w:val="0"/>
        </w:numPr>
        <w:kinsoku/>
        <w:wordWrap/>
        <w:overflowPunct/>
        <w:topLinePunct w:val="0"/>
        <w:bidi w:val="0"/>
        <w:spacing w:line="480" w:lineRule="auto"/>
        <w:jc w:val="center"/>
        <w:textAlignment w:val="auto"/>
        <w:rPr>
          <w:rFonts w:hint="eastAsia" w:ascii="仿宋" w:hAnsi="仿宋" w:eastAsia="仿宋" w:cs="仿宋"/>
          <w:b/>
          <w:color w:val="auto"/>
          <w:kern w:val="0"/>
          <w:sz w:val="24"/>
          <w:szCs w:val="24"/>
          <w:highlight w:val="none"/>
          <w:u w:val="none"/>
          <w:lang w:val="en-US" w:eastAsia="zh-CN" w:bidi="ar-SA"/>
        </w:rPr>
      </w:pPr>
      <w:r>
        <w:rPr>
          <w:rFonts w:hint="eastAsia" w:ascii="仿宋" w:hAnsi="仿宋" w:eastAsia="仿宋" w:cs="仿宋"/>
          <w:b/>
          <w:color w:val="auto"/>
          <w:kern w:val="0"/>
          <w:sz w:val="24"/>
          <w:szCs w:val="24"/>
          <w:highlight w:val="none"/>
          <w:u w:val="none"/>
          <w:lang w:val="en-US" w:eastAsia="zh-CN" w:bidi="ar-SA"/>
        </w:rPr>
        <w:t>响应文件双面打印倡议书</w:t>
      </w:r>
    </w:p>
    <w:p w14:paraId="01778AD0">
      <w:pPr>
        <w:pStyle w:val="86"/>
        <w:spacing w:line="480" w:lineRule="auto"/>
        <w:rPr>
          <w:rFonts w:hint="eastAsia" w:ascii="仿宋" w:hAnsi="仿宋" w:eastAsia="仿宋" w:cs="仿宋"/>
          <w:sz w:val="24"/>
          <w:szCs w:val="24"/>
          <w:highlight w:val="none"/>
          <w:lang w:val="en-US" w:eastAsia="zh-CN"/>
        </w:rPr>
      </w:pPr>
    </w:p>
    <w:p w14:paraId="3AAE45D9">
      <w:pPr>
        <w:pStyle w:val="4"/>
        <w:keepNext/>
        <w:keepLines/>
        <w:pageBreakBefore w:val="0"/>
        <w:widowControl w:val="0"/>
        <w:kinsoku/>
        <w:wordWrap/>
        <w:overflowPunct/>
        <w:topLinePunct w:val="0"/>
        <w:autoSpaceDE w:val="0"/>
        <w:autoSpaceDN w:val="0"/>
        <w:bidi w:val="0"/>
        <w:adjustRightInd w:val="0"/>
        <w:snapToGrid w:val="0"/>
        <w:spacing w:before="0" w:after="0" w:line="480" w:lineRule="auto"/>
        <w:textAlignment w:val="auto"/>
        <w:rPr>
          <w:rFonts w:hint="eastAsia" w:ascii="仿宋" w:hAnsi="仿宋" w:eastAsia="仿宋" w:cs="仿宋"/>
          <w:b w:val="0"/>
          <w:color w:val="auto"/>
          <w:kern w:val="2"/>
          <w:sz w:val="24"/>
          <w:szCs w:val="24"/>
          <w:highlight w:val="none"/>
          <w:u w:val="none"/>
          <w:lang w:val="en-US" w:eastAsia="zh-CN" w:bidi="ar-SA"/>
        </w:rPr>
      </w:pP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b w:val="0"/>
          <w:color w:val="auto"/>
          <w:kern w:val="2"/>
          <w:sz w:val="24"/>
          <w:szCs w:val="24"/>
          <w:highlight w:val="none"/>
          <w:u w:val="none"/>
          <w:lang w:val="en-US" w:eastAsia="zh-CN" w:bidi="ar-SA"/>
        </w:rPr>
        <w:t xml:space="preserve"> 响应文件的厚重，不是评定是否中标的因素，更不便于评审专家翻阅及评审。</w:t>
      </w:r>
    </w:p>
    <w:p w14:paraId="2ACCB7F9">
      <w:pPr>
        <w:pStyle w:val="4"/>
        <w:keepNext/>
        <w:keepLines/>
        <w:pageBreakBefore w:val="0"/>
        <w:widowControl w:val="0"/>
        <w:kinsoku/>
        <w:wordWrap/>
        <w:overflowPunct/>
        <w:topLinePunct w:val="0"/>
        <w:autoSpaceDE w:val="0"/>
        <w:autoSpaceDN w:val="0"/>
        <w:bidi w:val="0"/>
        <w:adjustRightInd w:val="0"/>
        <w:snapToGrid w:val="0"/>
        <w:spacing w:before="0" w:after="0" w:line="480" w:lineRule="auto"/>
        <w:ind w:firstLine="480" w:firstLineChars="200"/>
        <w:textAlignment w:val="auto"/>
        <w:rPr>
          <w:rFonts w:hint="eastAsia" w:ascii="仿宋" w:hAnsi="仿宋" w:eastAsia="仿宋" w:cs="仿宋"/>
          <w:b w:val="0"/>
          <w:color w:val="auto"/>
          <w:kern w:val="2"/>
          <w:sz w:val="24"/>
          <w:szCs w:val="24"/>
          <w:highlight w:val="none"/>
          <w:u w:val="none"/>
          <w:lang w:val="en-US" w:eastAsia="zh-CN" w:bidi="ar-SA"/>
        </w:rPr>
      </w:pPr>
      <w:r>
        <w:rPr>
          <w:rFonts w:hint="eastAsia" w:ascii="仿宋" w:hAnsi="仿宋" w:eastAsia="仿宋" w:cs="仿宋"/>
          <w:b w:val="0"/>
          <w:color w:val="auto"/>
          <w:kern w:val="2"/>
          <w:sz w:val="24"/>
          <w:szCs w:val="24"/>
          <w:highlight w:val="none"/>
          <w:u w:val="none"/>
          <w:lang w:val="en-US" w:eastAsia="zh-CN" w:bidi="ar-SA"/>
        </w:rPr>
        <w:t>当前，我国以习近平生态文明思想为指引，大力推动生态文明建设，坚持走生态优先、绿色低碳的发展道路。为在招投标环节贯彻新发展理念，树立节约资源、保护环境意识，增强节能环保的责任感，在编制响应文件时，临沂大学倡议如下:</w:t>
      </w:r>
    </w:p>
    <w:p w14:paraId="56DD40AD">
      <w:pPr>
        <w:pStyle w:val="4"/>
        <w:keepNext/>
        <w:keepLines/>
        <w:pageBreakBefore w:val="0"/>
        <w:widowControl w:val="0"/>
        <w:kinsoku/>
        <w:wordWrap/>
        <w:overflowPunct/>
        <w:topLinePunct w:val="0"/>
        <w:autoSpaceDE w:val="0"/>
        <w:autoSpaceDN w:val="0"/>
        <w:bidi w:val="0"/>
        <w:adjustRightInd w:val="0"/>
        <w:snapToGrid w:val="0"/>
        <w:spacing w:before="0" w:after="0" w:line="480" w:lineRule="auto"/>
        <w:ind w:firstLine="482" w:firstLineChars="200"/>
        <w:textAlignment w:val="auto"/>
        <w:rPr>
          <w:rFonts w:hint="eastAsia" w:ascii="仿宋" w:hAnsi="仿宋" w:eastAsia="仿宋" w:cs="仿宋"/>
          <w:b/>
          <w:bCs/>
          <w:color w:val="auto"/>
          <w:sz w:val="24"/>
          <w:szCs w:val="24"/>
          <w:highlight w:val="none"/>
          <w:u w:val="single"/>
          <w:lang w:val="en-US" w:eastAsia="zh-CN"/>
        </w:rPr>
      </w:pPr>
      <w:r>
        <w:rPr>
          <w:rFonts w:hint="eastAsia" w:ascii="仿宋" w:hAnsi="仿宋" w:eastAsia="仿宋" w:cs="仿宋"/>
          <w:b/>
          <w:bCs/>
          <w:color w:val="auto"/>
          <w:kern w:val="2"/>
          <w:sz w:val="24"/>
          <w:szCs w:val="24"/>
          <w:highlight w:val="none"/>
          <w:u w:val="single"/>
          <w:lang w:val="en-US" w:eastAsia="zh-CN" w:bidi="ar-SA"/>
        </w:rPr>
        <w:t>“除必要的商务文书或要求的证书复印件外，响应文件的正本和副本均使用A4纸双面打印”，感谢支持！</w:t>
      </w:r>
    </w:p>
    <w:p w14:paraId="4EAEFE34">
      <w:pPr>
        <w:pStyle w:val="26"/>
        <w:rPr>
          <w:highlight w:val="none"/>
        </w:rPr>
      </w:pPr>
    </w:p>
    <w:p w14:paraId="0DAB0120">
      <w:pPr>
        <w:rPr>
          <w:rFonts w:ascii="宋体" w:hAnsi="宋体" w:cs="宋体"/>
          <w:sz w:val="24"/>
          <w:highlight w:val="none"/>
        </w:rPr>
      </w:pPr>
    </w:p>
    <w:p w14:paraId="5CB20111">
      <w:pPr>
        <w:rPr>
          <w:rFonts w:hint="eastAsia"/>
          <w:highlight w:val="none"/>
        </w:rPr>
      </w:pPr>
      <w:r>
        <w:rPr>
          <w:rFonts w:hint="eastAsia" w:ascii="黑体" w:hAnsi="黑体" w:eastAsia="黑体" w:cs="黑体"/>
          <w:bCs/>
          <w:color w:val="auto"/>
          <w:sz w:val="32"/>
          <w:szCs w:val="32"/>
          <w:highlight w:val="none"/>
        </w:rPr>
        <w:br w:type="page"/>
      </w:r>
    </w:p>
    <w:p w14:paraId="065D2402">
      <w:pPr>
        <w:spacing w:line="240" w:lineRule="atLeast"/>
        <w:ind w:left="1080" w:leftChars="257" w:hanging="540"/>
        <w:jc w:val="center"/>
        <w:rPr>
          <w:rFonts w:hint="eastAsia" w:ascii="仿宋" w:hAnsi="仿宋" w:eastAsia="仿宋" w:cs="仿宋"/>
          <w:b/>
          <w:color w:val="auto"/>
          <w:sz w:val="24"/>
          <w:szCs w:val="21"/>
          <w:highlight w:val="none"/>
        </w:rPr>
      </w:pPr>
      <w:r>
        <w:rPr>
          <w:rFonts w:hint="eastAsia" w:ascii="仿宋" w:hAnsi="仿宋" w:eastAsia="仿宋" w:cs="仿宋"/>
          <w:b/>
          <w:color w:val="auto"/>
          <w:sz w:val="24"/>
          <w:szCs w:val="21"/>
          <w:highlight w:val="none"/>
        </w:rPr>
        <w:t>目  录</w:t>
      </w:r>
    </w:p>
    <w:p w14:paraId="482EFA4E">
      <w:pPr>
        <w:pStyle w:val="24"/>
        <w:tabs>
          <w:tab w:val="right" w:leader="dot" w:pos="8620"/>
        </w:tabs>
        <w:rPr>
          <w:rFonts w:hint="eastAsia" w:ascii="仿宋" w:hAnsi="仿宋" w:eastAsia="仿宋" w:cs="仿宋"/>
          <w:color w:val="auto"/>
          <w:sz w:val="24"/>
          <w:szCs w:val="24"/>
          <w:highlight w:val="none"/>
        </w:rPr>
      </w:pPr>
      <w:bookmarkStart w:id="0" w:name="_Toc216582804"/>
      <w:bookmarkStart w:id="1" w:name="_Toc22782"/>
      <w:bookmarkStart w:id="2" w:name="_Toc17230"/>
      <w:bookmarkStart w:id="3" w:name="_Toc515647756"/>
      <w:r>
        <w:rPr>
          <w:rFonts w:hint="eastAsia" w:ascii="仿宋" w:hAnsi="仿宋" w:eastAsia="仿宋" w:cs="仿宋"/>
          <w:b w:val="0"/>
          <w:bCs w:val="0"/>
          <w:caps w:val="0"/>
          <w:color w:val="auto"/>
          <w:kern w:val="0"/>
          <w:sz w:val="24"/>
          <w:szCs w:val="24"/>
          <w:highlight w:val="none"/>
        </w:rPr>
        <w:fldChar w:fldCharType="begin"/>
      </w:r>
      <w:r>
        <w:rPr>
          <w:rFonts w:hint="eastAsia" w:ascii="仿宋" w:hAnsi="仿宋" w:eastAsia="仿宋" w:cs="仿宋"/>
          <w:b w:val="0"/>
          <w:bCs w:val="0"/>
          <w:caps w:val="0"/>
          <w:color w:val="auto"/>
          <w:kern w:val="0"/>
          <w:sz w:val="24"/>
          <w:szCs w:val="24"/>
          <w:highlight w:val="none"/>
        </w:rPr>
        <w:instrText xml:space="preserve"> TOC \o "1-3" \h \z \u </w:instrText>
      </w:r>
      <w:r>
        <w:rPr>
          <w:rFonts w:hint="eastAsia" w:ascii="仿宋" w:hAnsi="仿宋" w:eastAsia="仿宋" w:cs="仿宋"/>
          <w:b w:val="0"/>
          <w:bCs w:val="0"/>
          <w:caps w:val="0"/>
          <w:color w:val="auto"/>
          <w:kern w:val="0"/>
          <w:sz w:val="24"/>
          <w:szCs w:val="24"/>
          <w:highlight w:val="none"/>
        </w:rPr>
        <w:fldChar w:fldCharType="separate"/>
      </w:r>
      <w:r>
        <w:rPr>
          <w:color w:val="auto"/>
          <w:highlight w:val="none"/>
        </w:rPr>
        <w:fldChar w:fldCharType="begin"/>
      </w:r>
      <w:r>
        <w:rPr>
          <w:color w:val="auto"/>
          <w:highlight w:val="none"/>
        </w:rPr>
        <w:instrText xml:space="preserve"> HYPERLINK \l "_Toc21619" </w:instrText>
      </w:r>
      <w:r>
        <w:rPr>
          <w:color w:val="auto"/>
          <w:highlight w:val="none"/>
        </w:rPr>
        <w:fldChar w:fldCharType="separate"/>
      </w:r>
      <w:r>
        <w:rPr>
          <w:rFonts w:hint="eastAsia" w:ascii="仿宋" w:hAnsi="仿宋" w:eastAsia="仿宋" w:cs="仿宋"/>
          <w:color w:val="auto"/>
          <w:sz w:val="24"/>
          <w:szCs w:val="24"/>
          <w:highlight w:val="none"/>
        </w:rPr>
        <w:t>第1章 供应商须知</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_Toc21619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2E08AADD">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"_Toc32677" </w:instrText>
      </w:r>
      <w:r>
        <w:rPr>
          <w:color w:val="auto"/>
          <w:highlight w:val="none"/>
        </w:rPr>
        <w:fldChar w:fldCharType="separate"/>
      </w:r>
      <w:r>
        <w:rPr>
          <w:rFonts w:hint="eastAsia" w:ascii="仿宋" w:hAnsi="仿宋" w:eastAsia="仿宋" w:cs="仿宋"/>
          <w:b/>
          <w:bCs/>
          <w:caps/>
          <w:smallCaps w:val="0"/>
          <w:color w:val="auto"/>
          <w:sz w:val="24"/>
          <w:szCs w:val="24"/>
          <w:highlight w:val="none"/>
        </w:rPr>
        <w:t>一 总 则</w:t>
      </w:r>
      <w:r>
        <w:rPr>
          <w:rFonts w:hint="eastAsia" w:ascii="仿宋" w:hAnsi="仿宋" w:eastAsia="仿宋" w:cs="仿宋"/>
          <w:b/>
          <w:bCs/>
          <w:caps/>
          <w:smallCaps w:val="0"/>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_Toc32677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26F6B28F">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"_Toc5709" </w:instrText>
      </w:r>
      <w:r>
        <w:rPr>
          <w:color w:val="auto"/>
          <w:highlight w:val="none"/>
        </w:rPr>
        <w:fldChar w:fldCharType="separate"/>
      </w:r>
      <w:r>
        <w:rPr>
          <w:rFonts w:hint="eastAsia" w:ascii="仿宋" w:hAnsi="仿宋" w:eastAsia="仿宋" w:cs="仿宋"/>
          <w:bCs/>
          <w:color w:val="auto"/>
          <w:sz w:val="24"/>
          <w:szCs w:val="24"/>
          <w:highlight w:val="none"/>
        </w:rPr>
        <w:t>1.采购人、采购代理机构及供应商</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_Toc5709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2B911FA2">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"_Toc32523" </w:instrText>
      </w:r>
      <w:r>
        <w:rPr>
          <w:color w:val="auto"/>
          <w:highlight w:val="none"/>
        </w:rPr>
        <w:fldChar w:fldCharType="separate"/>
      </w:r>
      <w:r>
        <w:rPr>
          <w:rFonts w:hint="eastAsia" w:ascii="仿宋" w:hAnsi="仿宋" w:eastAsia="仿宋" w:cs="仿宋"/>
          <w:bCs/>
          <w:color w:val="auto"/>
          <w:sz w:val="24"/>
          <w:szCs w:val="24"/>
          <w:highlight w:val="none"/>
        </w:rPr>
        <w:t>2.资金来源</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_Toc32523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30F3939">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"_Toc7780" </w:instrText>
      </w:r>
      <w:r>
        <w:rPr>
          <w:color w:val="auto"/>
          <w:highlight w:val="none"/>
        </w:rPr>
        <w:fldChar w:fldCharType="separate"/>
      </w:r>
      <w:r>
        <w:rPr>
          <w:rFonts w:hint="eastAsia" w:ascii="仿宋" w:hAnsi="仿宋" w:eastAsia="仿宋" w:cs="仿宋"/>
          <w:bCs/>
          <w:color w:val="auto"/>
          <w:sz w:val="24"/>
          <w:szCs w:val="24"/>
          <w:highlight w:val="none"/>
        </w:rPr>
        <w:t>3.响应费用</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_Toc7780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1538287A">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"_Toc21154" </w:instrText>
      </w:r>
      <w:r>
        <w:rPr>
          <w:color w:val="auto"/>
          <w:highlight w:val="none"/>
        </w:rPr>
        <w:fldChar w:fldCharType="separate"/>
      </w:r>
      <w:r>
        <w:rPr>
          <w:rFonts w:hint="eastAsia" w:ascii="仿宋" w:hAnsi="仿宋" w:eastAsia="仿宋" w:cs="仿宋"/>
          <w:bCs/>
          <w:color w:val="auto"/>
          <w:sz w:val="24"/>
          <w:szCs w:val="24"/>
          <w:highlight w:val="none"/>
        </w:rPr>
        <w:t>4.适用法律</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_Toc21154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89EE0B6">
      <w:pPr>
        <w:pStyle w:val="24"/>
        <w:tabs>
          <w:tab w:val="right" w:leader="dot" w:pos="8620"/>
        </w:tabs>
        <w:ind w:firstLine="201" w:firstLineChars="100"/>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"_Toc7973" </w:instrText>
      </w:r>
      <w:r>
        <w:rPr>
          <w:color w:val="auto"/>
          <w:highlight w:val="none"/>
        </w:rPr>
        <w:fldChar w:fldCharType="separate"/>
      </w:r>
      <w:r>
        <w:rPr>
          <w:rFonts w:hint="eastAsia" w:ascii="仿宋" w:hAnsi="仿宋" w:eastAsia="仿宋" w:cs="仿宋"/>
          <w:color w:val="auto"/>
          <w:sz w:val="24"/>
          <w:szCs w:val="24"/>
          <w:highlight w:val="none"/>
        </w:rPr>
        <w:t>二 竞争性磋商文件</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_Toc7973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86B1860">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"_Toc11271" </w:instrText>
      </w:r>
      <w:r>
        <w:rPr>
          <w:color w:val="auto"/>
          <w:highlight w:val="none"/>
        </w:rPr>
        <w:fldChar w:fldCharType="separate"/>
      </w:r>
      <w:r>
        <w:rPr>
          <w:rFonts w:hint="eastAsia" w:ascii="仿宋" w:hAnsi="仿宋" w:eastAsia="仿宋" w:cs="仿宋"/>
          <w:bCs/>
          <w:color w:val="auto"/>
          <w:sz w:val="24"/>
          <w:szCs w:val="24"/>
          <w:highlight w:val="none"/>
        </w:rPr>
        <w:t>5.竞争性磋商文件构成</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_Toc11271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25AE48CA">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"_Toc6674" </w:instrText>
      </w:r>
      <w:r>
        <w:rPr>
          <w:color w:val="auto"/>
          <w:highlight w:val="none"/>
        </w:rPr>
        <w:fldChar w:fldCharType="separate"/>
      </w:r>
      <w:r>
        <w:rPr>
          <w:rFonts w:hint="eastAsia" w:ascii="仿宋" w:hAnsi="仿宋" w:eastAsia="仿宋" w:cs="仿宋"/>
          <w:bCs/>
          <w:color w:val="auto"/>
          <w:sz w:val="24"/>
          <w:szCs w:val="24"/>
          <w:highlight w:val="none"/>
        </w:rPr>
        <w:t>6.竞争性磋商文件的澄清与修改</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_Toc6674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1EC16333">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"_Toc3596" </w:instrText>
      </w:r>
      <w:r>
        <w:rPr>
          <w:color w:val="auto"/>
          <w:highlight w:val="none"/>
        </w:rPr>
        <w:fldChar w:fldCharType="separate"/>
      </w:r>
      <w:r>
        <w:rPr>
          <w:rFonts w:hint="eastAsia" w:ascii="仿宋" w:hAnsi="仿宋" w:eastAsia="仿宋" w:cs="仿宋"/>
          <w:bCs/>
          <w:color w:val="auto"/>
          <w:sz w:val="24"/>
          <w:szCs w:val="24"/>
          <w:highlight w:val="none"/>
        </w:rPr>
        <w:t>7.提交响应文件截止时间的顺延</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_Toc3596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5D5CBE26">
      <w:pPr>
        <w:pStyle w:val="24"/>
        <w:tabs>
          <w:tab w:val="right" w:leader="dot" w:pos="8620"/>
        </w:tabs>
        <w:ind w:firstLine="201" w:firstLineChars="100"/>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"_Toc17209" </w:instrText>
      </w:r>
      <w:r>
        <w:rPr>
          <w:color w:val="auto"/>
          <w:highlight w:val="none"/>
        </w:rPr>
        <w:fldChar w:fldCharType="separate"/>
      </w:r>
      <w:r>
        <w:rPr>
          <w:rFonts w:hint="eastAsia" w:ascii="仿宋" w:hAnsi="仿宋" w:eastAsia="仿宋" w:cs="仿宋"/>
          <w:color w:val="auto"/>
          <w:sz w:val="24"/>
          <w:szCs w:val="24"/>
          <w:highlight w:val="none"/>
        </w:rPr>
        <w:t>三 响应文件的编制</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_Toc17209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60F7753D">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"_Toc19984" </w:instrText>
      </w:r>
      <w:r>
        <w:rPr>
          <w:color w:val="auto"/>
          <w:highlight w:val="none"/>
        </w:rPr>
        <w:fldChar w:fldCharType="separate"/>
      </w:r>
      <w:r>
        <w:rPr>
          <w:rFonts w:hint="eastAsia" w:ascii="仿宋" w:hAnsi="仿宋" w:eastAsia="仿宋" w:cs="仿宋"/>
          <w:bCs/>
          <w:color w:val="auto"/>
          <w:sz w:val="24"/>
          <w:szCs w:val="24"/>
          <w:highlight w:val="none"/>
        </w:rPr>
        <w:t>8. 编制要求</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_Toc19984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51027BEB">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"_Toc21860" </w:instrText>
      </w:r>
      <w:r>
        <w:rPr>
          <w:color w:val="auto"/>
          <w:highlight w:val="none"/>
        </w:rPr>
        <w:fldChar w:fldCharType="separate"/>
      </w:r>
      <w:r>
        <w:rPr>
          <w:rFonts w:hint="eastAsia" w:ascii="仿宋" w:hAnsi="仿宋" w:eastAsia="仿宋" w:cs="仿宋"/>
          <w:bCs/>
          <w:color w:val="auto"/>
          <w:sz w:val="24"/>
          <w:szCs w:val="24"/>
          <w:highlight w:val="none"/>
        </w:rPr>
        <w:t>9.响应范围及响应文件中标准和计量单位的使用</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_Toc21860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8</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9A9648A">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"_Toc4878" </w:instrText>
      </w:r>
      <w:r>
        <w:rPr>
          <w:color w:val="auto"/>
          <w:highlight w:val="none"/>
        </w:rPr>
        <w:fldChar w:fldCharType="separate"/>
      </w:r>
      <w:r>
        <w:rPr>
          <w:rFonts w:hint="eastAsia" w:ascii="仿宋" w:hAnsi="仿宋" w:eastAsia="仿宋" w:cs="仿宋"/>
          <w:bCs/>
          <w:color w:val="auto"/>
          <w:sz w:val="24"/>
          <w:szCs w:val="24"/>
          <w:highlight w:val="none"/>
        </w:rPr>
        <w:t>10.响应文件构成</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_Toc4878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8</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BDFBD7D">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"_Toc15761" </w:instrText>
      </w:r>
      <w:r>
        <w:rPr>
          <w:color w:val="auto"/>
          <w:highlight w:val="none"/>
        </w:rPr>
        <w:fldChar w:fldCharType="separate"/>
      </w:r>
      <w:r>
        <w:rPr>
          <w:rFonts w:hint="eastAsia" w:ascii="仿宋" w:hAnsi="仿宋" w:eastAsia="仿宋" w:cs="仿宋"/>
          <w:bCs/>
          <w:color w:val="auto"/>
          <w:sz w:val="24"/>
          <w:szCs w:val="24"/>
          <w:highlight w:val="none"/>
        </w:rPr>
        <w:t>11.报价</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_Toc15761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73D4E809">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"_Toc14388" </w:instrText>
      </w:r>
      <w:r>
        <w:rPr>
          <w:color w:val="auto"/>
          <w:highlight w:val="none"/>
        </w:rPr>
        <w:fldChar w:fldCharType="separate"/>
      </w:r>
      <w:r>
        <w:rPr>
          <w:rFonts w:hint="eastAsia" w:ascii="仿宋" w:hAnsi="仿宋" w:eastAsia="仿宋" w:cs="仿宋"/>
          <w:bCs/>
          <w:color w:val="auto"/>
          <w:sz w:val="24"/>
          <w:szCs w:val="24"/>
          <w:highlight w:val="none"/>
        </w:rPr>
        <w:t>12.磋商保证金</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_Toc14388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32B54D9C">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"_Toc11191" </w:instrText>
      </w:r>
      <w:r>
        <w:rPr>
          <w:color w:val="auto"/>
          <w:highlight w:val="none"/>
        </w:rPr>
        <w:fldChar w:fldCharType="separate"/>
      </w:r>
      <w:r>
        <w:rPr>
          <w:rFonts w:hint="eastAsia" w:ascii="仿宋" w:hAnsi="仿宋" w:eastAsia="仿宋" w:cs="仿宋"/>
          <w:bCs/>
          <w:color w:val="auto"/>
          <w:sz w:val="24"/>
          <w:szCs w:val="24"/>
          <w:highlight w:val="none"/>
        </w:rPr>
        <w:t>13.响应有效期</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_Toc11191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12</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2E2F5C7">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"_Toc28953" </w:instrText>
      </w:r>
      <w:r>
        <w:rPr>
          <w:color w:val="auto"/>
          <w:highlight w:val="none"/>
        </w:rPr>
        <w:fldChar w:fldCharType="separate"/>
      </w:r>
      <w:r>
        <w:rPr>
          <w:rFonts w:hint="eastAsia" w:ascii="仿宋" w:hAnsi="仿宋" w:eastAsia="仿宋" w:cs="仿宋"/>
          <w:bCs/>
          <w:color w:val="auto"/>
          <w:sz w:val="24"/>
          <w:szCs w:val="24"/>
          <w:highlight w:val="none"/>
        </w:rPr>
        <w:t>14.响应文件的签署及规定</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_Toc28953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12</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6CF1EF0">
      <w:pPr>
        <w:pStyle w:val="24"/>
        <w:tabs>
          <w:tab w:val="right" w:leader="dot" w:pos="8620"/>
        </w:tabs>
        <w:ind w:firstLine="201" w:firstLineChars="100"/>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"_Toc8869" </w:instrText>
      </w:r>
      <w:r>
        <w:rPr>
          <w:color w:val="auto"/>
          <w:highlight w:val="none"/>
        </w:rPr>
        <w:fldChar w:fldCharType="separate"/>
      </w:r>
      <w:r>
        <w:rPr>
          <w:rFonts w:hint="eastAsia" w:ascii="仿宋" w:hAnsi="仿宋" w:eastAsia="仿宋" w:cs="仿宋"/>
          <w:color w:val="auto"/>
          <w:sz w:val="24"/>
          <w:szCs w:val="24"/>
          <w:highlight w:val="none"/>
        </w:rPr>
        <w:t>四 响应文件的递交</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_Toc8869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12</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523710A4">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"_Toc9369" </w:instrText>
      </w:r>
      <w:r>
        <w:rPr>
          <w:color w:val="auto"/>
          <w:highlight w:val="none"/>
        </w:rPr>
        <w:fldChar w:fldCharType="separate"/>
      </w:r>
      <w:r>
        <w:rPr>
          <w:rFonts w:hint="eastAsia" w:ascii="仿宋" w:hAnsi="仿宋" w:eastAsia="仿宋" w:cs="仿宋"/>
          <w:bCs/>
          <w:color w:val="auto"/>
          <w:sz w:val="24"/>
          <w:szCs w:val="24"/>
          <w:highlight w:val="none"/>
        </w:rPr>
        <w:t>15.响应文件的密封和标记</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_Toc9369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12</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6C20CADE">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"_Toc18408" </w:instrText>
      </w:r>
      <w:r>
        <w:rPr>
          <w:color w:val="auto"/>
          <w:highlight w:val="none"/>
        </w:rPr>
        <w:fldChar w:fldCharType="separate"/>
      </w:r>
      <w:r>
        <w:rPr>
          <w:rFonts w:hint="eastAsia" w:ascii="仿宋" w:hAnsi="仿宋" w:eastAsia="仿宋" w:cs="仿宋"/>
          <w:bCs/>
          <w:color w:val="auto"/>
          <w:sz w:val="24"/>
          <w:szCs w:val="24"/>
          <w:highlight w:val="none"/>
        </w:rPr>
        <w:t>16.响应文件截止</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_Toc18408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13</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2F3273EF">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"_Toc23461" </w:instrText>
      </w:r>
      <w:r>
        <w:rPr>
          <w:color w:val="auto"/>
          <w:highlight w:val="none"/>
        </w:rPr>
        <w:fldChar w:fldCharType="separate"/>
      </w:r>
      <w:r>
        <w:rPr>
          <w:rFonts w:hint="eastAsia" w:ascii="仿宋" w:hAnsi="仿宋" w:eastAsia="仿宋" w:cs="仿宋"/>
          <w:bCs/>
          <w:color w:val="auto"/>
          <w:sz w:val="24"/>
          <w:szCs w:val="24"/>
          <w:highlight w:val="none"/>
        </w:rPr>
        <w:t>17.响应文件的接收、修改与撤回</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_Toc23461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13</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150BC61D">
      <w:pPr>
        <w:pStyle w:val="24"/>
        <w:tabs>
          <w:tab w:val="right" w:leader="dot" w:pos="8620"/>
        </w:tabs>
        <w:ind w:firstLine="201" w:firstLineChars="100"/>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"_Toc31712" </w:instrText>
      </w:r>
      <w:r>
        <w:rPr>
          <w:color w:val="auto"/>
          <w:highlight w:val="none"/>
        </w:rPr>
        <w:fldChar w:fldCharType="separate"/>
      </w:r>
      <w:r>
        <w:rPr>
          <w:rFonts w:hint="eastAsia" w:ascii="仿宋" w:hAnsi="仿宋" w:eastAsia="仿宋" w:cs="仿宋"/>
          <w:color w:val="auto"/>
          <w:sz w:val="24"/>
          <w:szCs w:val="24"/>
          <w:highlight w:val="none"/>
        </w:rPr>
        <w:t>五 提交响应文件截止及磋商</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_Toc31712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13</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E16F583">
      <w:pPr>
        <w:pStyle w:val="27"/>
        <w:tabs>
          <w:tab w:val="right" w:leader="dot" w:pos="8620"/>
        </w:tabs>
        <w:rPr>
          <w:rFonts w:hint="eastAsia" w:ascii="仿宋" w:hAnsi="仿宋" w:eastAsia="仿宋" w:cs="仿宋"/>
          <w:color w:val="auto"/>
          <w:sz w:val="24"/>
          <w:szCs w:val="24"/>
          <w:highlight w:val="none"/>
        </w:rPr>
      </w:pPr>
      <w:r>
        <w:rPr>
          <w:rFonts w:hint="eastAsia" w:ascii="仿宋" w:hAnsi="仿宋" w:eastAsia="仿宋" w:cs="仿宋"/>
          <w:color w:val="auto"/>
          <w:highlight w:val="none"/>
        </w:rPr>
        <w:t>18.</w:t>
      </w:r>
      <w:r>
        <w:rPr>
          <w:color w:val="auto"/>
          <w:highlight w:val="none"/>
        </w:rPr>
        <w:fldChar w:fldCharType="begin"/>
      </w:r>
      <w:r>
        <w:rPr>
          <w:color w:val="auto"/>
          <w:highlight w:val="none"/>
        </w:rPr>
        <w:instrText xml:space="preserve"> HYPERLINK \l "_Toc19339" </w:instrText>
      </w:r>
      <w:r>
        <w:rPr>
          <w:color w:val="auto"/>
          <w:highlight w:val="none"/>
        </w:rPr>
        <w:fldChar w:fldCharType="separate"/>
      </w:r>
      <w:r>
        <w:rPr>
          <w:rFonts w:hint="eastAsia" w:ascii="仿宋" w:hAnsi="仿宋" w:eastAsia="仿宋" w:cs="仿宋"/>
          <w:bCs/>
          <w:color w:val="auto"/>
          <w:sz w:val="24"/>
          <w:szCs w:val="24"/>
          <w:highlight w:val="none"/>
        </w:rPr>
        <w:t>提交响应文件截止</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_Toc19339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13</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62606FC8">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"_Toc17252" </w:instrText>
      </w:r>
      <w:r>
        <w:rPr>
          <w:color w:val="auto"/>
          <w:highlight w:val="none"/>
        </w:rPr>
        <w:fldChar w:fldCharType="separate"/>
      </w:r>
      <w:r>
        <w:rPr>
          <w:rFonts w:hint="eastAsia" w:ascii="仿宋" w:hAnsi="仿宋" w:eastAsia="仿宋" w:cs="仿宋"/>
          <w:bCs/>
          <w:color w:val="auto"/>
          <w:sz w:val="24"/>
          <w:szCs w:val="24"/>
          <w:highlight w:val="none"/>
        </w:rPr>
        <w:t>19.磋商小组</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_Toc17252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13</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45B7125">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"_Toc32640" </w:instrText>
      </w:r>
      <w:r>
        <w:rPr>
          <w:color w:val="auto"/>
          <w:highlight w:val="none"/>
        </w:rPr>
        <w:fldChar w:fldCharType="separate"/>
      </w:r>
      <w:r>
        <w:rPr>
          <w:rFonts w:hint="eastAsia" w:ascii="仿宋" w:hAnsi="仿宋" w:eastAsia="仿宋" w:cs="仿宋"/>
          <w:bCs/>
          <w:color w:val="auto"/>
          <w:sz w:val="24"/>
          <w:szCs w:val="24"/>
          <w:highlight w:val="none"/>
        </w:rPr>
        <w:t>20.资格审查</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_Toc32640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14</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7FD52CFB">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"_Toc6055" </w:instrText>
      </w:r>
      <w:r>
        <w:rPr>
          <w:color w:val="auto"/>
          <w:highlight w:val="none"/>
        </w:rPr>
        <w:fldChar w:fldCharType="separate"/>
      </w:r>
      <w:r>
        <w:rPr>
          <w:rFonts w:hint="eastAsia" w:ascii="仿宋" w:hAnsi="仿宋" w:eastAsia="仿宋" w:cs="仿宋"/>
          <w:bCs/>
          <w:color w:val="auto"/>
          <w:sz w:val="24"/>
          <w:szCs w:val="24"/>
          <w:highlight w:val="none"/>
        </w:rPr>
        <w:t>21.响应文件符合性审查与澄清</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_Toc6055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15</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6DE85C55">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"_Toc880" </w:instrText>
      </w:r>
      <w:r>
        <w:rPr>
          <w:color w:val="auto"/>
          <w:highlight w:val="none"/>
        </w:rPr>
        <w:fldChar w:fldCharType="separate"/>
      </w:r>
      <w:r>
        <w:rPr>
          <w:rFonts w:hint="eastAsia" w:ascii="仿宋" w:hAnsi="仿宋" w:eastAsia="仿宋" w:cs="仿宋"/>
          <w:bCs/>
          <w:color w:val="auto"/>
          <w:sz w:val="24"/>
          <w:szCs w:val="24"/>
          <w:highlight w:val="none"/>
        </w:rPr>
        <w:t>22.无效响应</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_Toc880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15</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71B062F6">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"_Toc5702" </w:instrText>
      </w:r>
      <w:r>
        <w:rPr>
          <w:color w:val="auto"/>
          <w:highlight w:val="none"/>
        </w:rPr>
        <w:fldChar w:fldCharType="separate"/>
      </w:r>
      <w:r>
        <w:rPr>
          <w:rFonts w:hint="eastAsia" w:ascii="仿宋" w:hAnsi="仿宋" w:eastAsia="仿宋" w:cs="仿宋"/>
          <w:bCs/>
          <w:color w:val="auto"/>
          <w:sz w:val="24"/>
          <w:szCs w:val="24"/>
          <w:highlight w:val="none"/>
        </w:rPr>
        <w:t>23.磋商</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_Toc5702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16</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3DBEB815">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"_Toc16997" </w:instrText>
      </w:r>
      <w:r>
        <w:rPr>
          <w:color w:val="auto"/>
          <w:highlight w:val="none"/>
        </w:rPr>
        <w:fldChar w:fldCharType="separate"/>
      </w:r>
      <w:r>
        <w:rPr>
          <w:rFonts w:hint="eastAsia" w:ascii="仿宋" w:hAnsi="仿宋" w:eastAsia="仿宋" w:cs="仿宋"/>
          <w:bCs/>
          <w:color w:val="auto"/>
          <w:sz w:val="24"/>
          <w:szCs w:val="24"/>
          <w:highlight w:val="none"/>
        </w:rPr>
        <w:t>24.比较和评价</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_Toc16997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17</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1F2EF13">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"_Toc6808" </w:instrText>
      </w:r>
      <w:r>
        <w:rPr>
          <w:color w:val="auto"/>
          <w:highlight w:val="none"/>
        </w:rPr>
        <w:fldChar w:fldCharType="separate"/>
      </w:r>
      <w:r>
        <w:rPr>
          <w:rFonts w:hint="eastAsia" w:ascii="仿宋" w:hAnsi="仿宋" w:eastAsia="仿宋" w:cs="仿宋"/>
          <w:bCs/>
          <w:color w:val="auto"/>
          <w:sz w:val="24"/>
          <w:szCs w:val="24"/>
          <w:highlight w:val="none"/>
        </w:rPr>
        <w:t>25. 采购项目终止</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_Toc6808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17</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2C2F6B09">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"_Toc7422" </w:instrText>
      </w:r>
      <w:r>
        <w:rPr>
          <w:color w:val="auto"/>
          <w:highlight w:val="none"/>
        </w:rPr>
        <w:fldChar w:fldCharType="separate"/>
      </w:r>
      <w:r>
        <w:rPr>
          <w:rFonts w:hint="eastAsia" w:ascii="仿宋" w:hAnsi="仿宋" w:eastAsia="仿宋" w:cs="仿宋"/>
          <w:bCs/>
          <w:color w:val="auto"/>
          <w:sz w:val="24"/>
          <w:szCs w:val="24"/>
          <w:highlight w:val="none"/>
        </w:rPr>
        <w:t>26.保密要求</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_Toc7422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18</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24C08334">
      <w:pPr>
        <w:pStyle w:val="24"/>
        <w:tabs>
          <w:tab w:val="right" w:leader="dot" w:pos="8620"/>
        </w:tabs>
        <w:ind w:firstLine="201" w:firstLineChars="100"/>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"_Toc21183" </w:instrText>
      </w:r>
      <w:r>
        <w:rPr>
          <w:color w:val="auto"/>
          <w:highlight w:val="none"/>
        </w:rPr>
        <w:fldChar w:fldCharType="separate"/>
      </w:r>
      <w:r>
        <w:rPr>
          <w:rFonts w:hint="eastAsia" w:ascii="仿宋" w:hAnsi="仿宋" w:eastAsia="仿宋" w:cs="仿宋"/>
          <w:color w:val="auto"/>
          <w:sz w:val="24"/>
          <w:szCs w:val="24"/>
          <w:highlight w:val="none"/>
        </w:rPr>
        <w:t>六 确定成交</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_Toc21183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18</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156CE9ED">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"_Toc8400" </w:instrText>
      </w:r>
      <w:r>
        <w:rPr>
          <w:color w:val="auto"/>
          <w:highlight w:val="none"/>
        </w:rPr>
        <w:fldChar w:fldCharType="separate"/>
      </w:r>
      <w:r>
        <w:rPr>
          <w:rFonts w:hint="eastAsia" w:ascii="仿宋" w:hAnsi="仿宋" w:eastAsia="仿宋" w:cs="仿宋"/>
          <w:bCs/>
          <w:color w:val="auto"/>
          <w:sz w:val="24"/>
          <w:szCs w:val="24"/>
          <w:highlight w:val="none"/>
        </w:rPr>
        <w:t>27. 成交候选供应商的确定原则及标准</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_Toc8400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18</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7A1489B">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"_Toc13839" </w:instrText>
      </w:r>
      <w:r>
        <w:rPr>
          <w:color w:val="auto"/>
          <w:highlight w:val="none"/>
        </w:rPr>
        <w:fldChar w:fldCharType="separate"/>
      </w:r>
      <w:r>
        <w:rPr>
          <w:rFonts w:hint="eastAsia" w:ascii="仿宋" w:hAnsi="仿宋" w:eastAsia="仿宋" w:cs="仿宋"/>
          <w:bCs/>
          <w:color w:val="auto"/>
          <w:sz w:val="24"/>
          <w:szCs w:val="24"/>
          <w:highlight w:val="none"/>
        </w:rPr>
        <w:t>28.确定成交候选供应商和成交供应商</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_Toc13839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18</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2F0475B7">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"_Toc20395" </w:instrText>
      </w:r>
      <w:r>
        <w:rPr>
          <w:color w:val="auto"/>
          <w:highlight w:val="none"/>
        </w:rPr>
        <w:fldChar w:fldCharType="separate"/>
      </w:r>
      <w:r>
        <w:rPr>
          <w:rFonts w:hint="eastAsia" w:ascii="仿宋" w:hAnsi="仿宋" w:eastAsia="仿宋" w:cs="仿宋"/>
          <w:bCs/>
          <w:color w:val="auto"/>
          <w:sz w:val="24"/>
          <w:szCs w:val="24"/>
          <w:highlight w:val="none"/>
        </w:rPr>
        <w:t>29.采购任务取消</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_Toc20395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18</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08BE2DF">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"_Toc12219" </w:instrText>
      </w:r>
      <w:r>
        <w:rPr>
          <w:color w:val="auto"/>
          <w:highlight w:val="none"/>
        </w:rPr>
        <w:fldChar w:fldCharType="separate"/>
      </w:r>
      <w:r>
        <w:rPr>
          <w:rFonts w:hint="eastAsia" w:ascii="仿宋" w:hAnsi="仿宋" w:eastAsia="仿宋" w:cs="仿宋"/>
          <w:bCs/>
          <w:color w:val="auto"/>
          <w:sz w:val="24"/>
          <w:szCs w:val="24"/>
          <w:highlight w:val="none"/>
        </w:rPr>
        <w:t>30.发出成交通知书</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_Toc12219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18</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1E7B0346">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"_Toc7697" </w:instrText>
      </w:r>
      <w:r>
        <w:rPr>
          <w:color w:val="auto"/>
          <w:highlight w:val="none"/>
        </w:rPr>
        <w:fldChar w:fldCharType="separate"/>
      </w:r>
      <w:r>
        <w:rPr>
          <w:rFonts w:hint="eastAsia" w:ascii="仿宋" w:hAnsi="仿宋" w:eastAsia="仿宋" w:cs="仿宋"/>
          <w:bCs/>
          <w:color w:val="auto"/>
          <w:sz w:val="24"/>
          <w:szCs w:val="24"/>
          <w:highlight w:val="none"/>
        </w:rPr>
        <w:t>31.签订合同</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_Toc7697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18</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5EB7D1C">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"_Toc10223" </w:instrText>
      </w:r>
      <w:r>
        <w:rPr>
          <w:color w:val="auto"/>
          <w:highlight w:val="none"/>
        </w:rPr>
        <w:fldChar w:fldCharType="separate"/>
      </w:r>
      <w:r>
        <w:rPr>
          <w:rFonts w:hint="eastAsia" w:ascii="仿宋" w:hAnsi="仿宋" w:eastAsia="仿宋" w:cs="仿宋"/>
          <w:bCs/>
          <w:color w:val="auto"/>
          <w:sz w:val="24"/>
          <w:szCs w:val="24"/>
          <w:highlight w:val="none"/>
        </w:rPr>
        <w:t>32.履约保证金</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_Toc10223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19</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17AAD466">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"_Toc19045" </w:instrText>
      </w:r>
      <w:r>
        <w:rPr>
          <w:color w:val="auto"/>
          <w:highlight w:val="none"/>
        </w:rPr>
        <w:fldChar w:fldCharType="separate"/>
      </w:r>
      <w:r>
        <w:rPr>
          <w:rFonts w:hint="eastAsia" w:ascii="仿宋" w:hAnsi="仿宋" w:eastAsia="仿宋" w:cs="仿宋"/>
          <w:bCs/>
          <w:color w:val="auto"/>
          <w:sz w:val="24"/>
          <w:szCs w:val="24"/>
          <w:highlight w:val="none"/>
        </w:rPr>
        <w:t>33.政府采购信用担保</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_Toc19045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19</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3433C3E">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"_Toc9921" </w:instrText>
      </w:r>
      <w:r>
        <w:rPr>
          <w:color w:val="auto"/>
          <w:highlight w:val="none"/>
        </w:rPr>
        <w:fldChar w:fldCharType="separate"/>
      </w:r>
      <w:r>
        <w:rPr>
          <w:rFonts w:hint="eastAsia" w:ascii="仿宋" w:hAnsi="仿宋" w:eastAsia="仿宋" w:cs="仿宋"/>
          <w:bCs/>
          <w:color w:val="auto"/>
          <w:sz w:val="24"/>
          <w:szCs w:val="24"/>
          <w:highlight w:val="none"/>
        </w:rPr>
        <w:t>34.预付款</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_Toc9921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19</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5024A8DA">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"_Toc31391" </w:instrText>
      </w:r>
      <w:r>
        <w:rPr>
          <w:color w:val="auto"/>
          <w:highlight w:val="none"/>
        </w:rPr>
        <w:fldChar w:fldCharType="separate"/>
      </w:r>
      <w:r>
        <w:rPr>
          <w:rFonts w:hint="eastAsia" w:ascii="仿宋" w:hAnsi="仿宋" w:eastAsia="仿宋" w:cs="仿宋"/>
          <w:bCs/>
          <w:color w:val="auto"/>
          <w:sz w:val="24"/>
          <w:szCs w:val="24"/>
          <w:highlight w:val="none"/>
        </w:rPr>
        <w:t>35.廉洁自律规定</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_Toc31391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19</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AB1E916">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"_Toc26527" </w:instrText>
      </w:r>
      <w:r>
        <w:rPr>
          <w:color w:val="auto"/>
          <w:highlight w:val="none"/>
        </w:rPr>
        <w:fldChar w:fldCharType="separate"/>
      </w:r>
      <w:r>
        <w:rPr>
          <w:rFonts w:hint="eastAsia" w:ascii="仿宋" w:hAnsi="仿宋" w:eastAsia="仿宋" w:cs="仿宋"/>
          <w:bCs/>
          <w:color w:val="auto"/>
          <w:sz w:val="24"/>
          <w:szCs w:val="24"/>
          <w:highlight w:val="none"/>
        </w:rPr>
        <w:t>36.人员回避</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_Toc26527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19</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35E60D66">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"_Toc15492" </w:instrText>
      </w:r>
      <w:r>
        <w:rPr>
          <w:color w:val="auto"/>
          <w:highlight w:val="none"/>
        </w:rPr>
        <w:fldChar w:fldCharType="separate"/>
      </w:r>
      <w:r>
        <w:rPr>
          <w:rFonts w:hint="eastAsia" w:ascii="仿宋" w:hAnsi="仿宋" w:eastAsia="仿宋" w:cs="仿宋"/>
          <w:bCs/>
          <w:color w:val="auto"/>
          <w:sz w:val="24"/>
          <w:szCs w:val="24"/>
          <w:highlight w:val="none"/>
        </w:rPr>
        <w:t>37.质疑与接收</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_Toc15492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20</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7C95342">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"_Toc10523" </w:instrText>
      </w:r>
      <w:r>
        <w:rPr>
          <w:color w:val="auto"/>
          <w:highlight w:val="none"/>
        </w:rPr>
        <w:fldChar w:fldCharType="separate"/>
      </w:r>
      <w:r>
        <w:rPr>
          <w:rFonts w:hint="eastAsia" w:ascii="仿宋" w:hAnsi="仿宋" w:eastAsia="仿宋" w:cs="仿宋"/>
          <w:bCs/>
          <w:color w:val="auto"/>
          <w:sz w:val="24"/>
          <w:szCs w:val="24"/>
          <w:highlight w:val="none"/>
        </w:rPr>
        <w:t>38.项目其他相关费用</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_Toc10523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20</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8553DCD">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"_Toc9392" </w:instrText>
      </w:r>
      <w:r>
        <w:rPr>
          <w:color w:val="auto"/>
          <w:highlight w:val="none"/>
        </w:rPr>
        <w:fldChar w:fldCharType="separate"/>
      </w:r>
      <w:r>
        <w:rPr>
          <w:rFonts w:hint="eastAsia" w:ascii="仿宋" w:hAnsi="仿宋" w:eastAsia="仿宋" w:cs="仿宋"/>
          <w:bCs/>
          <w:color w:val="auto"/>
          <w:sz w:val="24"/>
          <w:szCs w:val="24"/>
          <w:highlight w:val="none"/>
        </w:rPr>
        <w:t>39.磋商文件解释权</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_Toc9392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20</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95637A3">
      <w:pPr>
        <w:pStyle w:val="27"/>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"_Toc9298" </w:instrText>
      </w:r>
      <w:r>
        <w:rPr>
          <w:color w:val="auto"/>
          <w:highlight w:val="none"/>
        </w:rPr>
        <w:fldChar w:fldCharType="separate"/>
      </w:r>
      <w:r>
        <w:rPr>
          <w:rFonts w:hint="eastAsia" w:ascii="仿宋" w:hAnsi="仿宋" w:eastAsia="仿宋" w:cs="仿宋"/>
          <w:bCs/>
          <w:color w:val="auto"/>
          <w:sz w:val="24"/>
          <w:szCs w:val="24"/>
          <w:highlight w:val="none"/>
        </w:rPr>
        <w:t>40.特别说明</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_Toc9298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20</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31213FE4">
      <w:pPr>
        <w:pStyle w:val="24"/>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"_Toc27389" </w:instrText>
      </w:r>
      <w:r>
        <w:rPr>
          <w:color w:val="auto"/>
          <w:highlight w:val="none"/>
        </w:rPr>
        <w:fldChar w:fldCharType="separate"/>
      </w:r>
      <w:r>
        <w:rPr>
          <w:rFonts w:hint="eastAsia" w:ascii="仿宋" w:hAnsi="仿宋" w:eastAsia="仿宋" w:cs="仿宋"/>
          <w:color w:val="auto"/>
          <w:sz w:val="24"/>
          <w:szCs w:val="24"/>
          <w:highlight w:val="none"/>
        </w:rPr>
        <w:t>第2章 竞争性磋商公告</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_Toc27389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24</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6AE9D977">
      <w:pPr>
        <w:pStyle w:val="24"/>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"_Toc12344" </w:instrText>
      </w:r>
      <w:r>
        <w:rPr>
          <w:color w:val="auto"/>
          <w:highlight w:val="none"/>
        </w:rPr>
        <w:fldChar w:fldCharType="separate"/>
      </w:r>
      <w:r>
        <w:rPr>
          <w:rFonts w:hint="eastAsia" w:ascii="仿宋" w:hAnsi="仿宋" w:eastAsia="仿宋" w:cs="仿宋"/>
          <w:color w:val="auto"/>
          <w:sz w:val="24"/>
          <w:szCs w:val="24"/>
          <w:highlight w:val="none"/>
        </w:rPr>
        <w:t>第3章 供应商须知资料表</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_Toc12344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26</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FDDB70E">
      <w:pPr>
        <w:pStyle w:val="24"/>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"_Toc5894" </w:instrText>
      </w:r>
      <w:r>
        <w:rPr>
          <w:color w:val="auto"/>
          <w:highlight w:val="none"/>
        </w:rPr>
        <w:fldChar w:fldCharType="separate"/>
      </w:r>
      <w:r>
        <w:rPr>
          <w:rFonts w:hint="eastAsia" w:ascii="仿宋" w:hAnsi="仿宋" w:eastAsia="仿宋" w:cs="仿宋"/>
          <w:color w:val="auto"/>
          <w:sz w:val="24"/>
          <w:szCs w:val="24"/>
          <w:highlight w:val="none"/>
        </w:rPr>
        <w:t>第4章 货物需求一览表及技术规格</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_Toc5894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30</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51EC6CE">
      <w:pPr>
        <w:pStyle w:val="24"/>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"_Toc9688" </w:instrText>
      </w:r>
      <w:r>
        <w:rPr>
          <w:color w:val="auto"/>
          <w:highlight w:val="none"/>
        </w:rPr>
        <w:fldChar w:fldCharType="separate"/>
      </w:r>
      <w:r>
        <w:rPr>
          <w:rFonts w:hint="eastAsia" w:ascii="仿宋" w:hAnsi="仿宋" w:eastAsia="仿宋" w:cs="仿宋"/>
          <w:color w:val="auto"/>
          <w:sz w:val="24"/>
          <w:szCs w:val="24"/>
          <w:highlight w:val="none"/>
        </w:rPr>
        <w:t>第5章 评审方法和标准</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_Toc9688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42</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80BF0D6">
      <w:pPr>
        <w:pStyle w:val="24"/>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"_Toc11598" </w:instrText>
      </w:r>
      <w:r>
        <w:rPr>
          <w:color w:val="auto"/>
          <w:highlight w:val="none"/>
        </w:rPr>
        <w:fldChar w:fldCharType="separate"/>
      </w:r>
      <w:r>
        <w:rPr>
          <w:rFonts w:hint="eastAsia" w:ascii="仿宋" w:hAnsi="仿宋" w:eastAsia="仿宋" w:cs="仿宋"/>
          <w:color w:val="auto"/>
          <w:sz w:val="24"/>
          <w:szCs w:val="24"/>
          <w:highlight w:val="none"/>
        </w:rPr>
        <w:t>第6章 响应文件格式</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_Toc11598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48</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6993A11">
      <w:pPr>
        <w:pStyle w:val="27"/>
        <w:tabs>
          <w:tab w:val="right" w:leader="dot" w:pos="8620"/>
        </w:tabs>
        <w:rPr>
          <w:rFonts w:hint="eastAsia" w:ascii="仿宋" w:hAnsi="仿宋" w:eastAsia="仿宋" w:cs="仿宋"/>
          <w:bCs/>
          <w:caps/>
          <w:color w:val="auto"/>
          <w:kern w:val="0"/>
          <w:sz w:val="24"/>
          <w:szCs w:val="24"/>
          <w:highlight w:val="none"/>
        </w:rPr>
      </w:pPr>
      <w:r>
        <w:rPr>
          <w:color w:val="auto"/>
          <w:highlight w:val="none"/>
        </w:rPr>
        <w:fldChar w:fldCharType="begin"/>
      </w:r>
      <w:r>
        <w:rPr>
          <w:color w:val="auto"/>
          <w:highlight w:val="none"/>
        </w:rPr>
        <w:instrText xml:space="preserve"> HYPERLINK \l "_Toc6668" </w:instrText>
      </w:r>
      <w:r>
        <w:rPr>
          <w:color w:val="auto"/>
          <w:highlight w:val="none"/>
        </w:rPr>
        <w:fldChar w:fldCharType="separate"/>
      </w:r>
      <w:r>
        <w:rPr>
          <w:rFonts w:hint="eastAsia" w:ascii="仿宋" w:hAnsi="仿宋" w:eastAsia="仿宋" w:cs="仿宋"/>
          <w:bCs/>
          <w:caps/>
          <w:color w:val="auto"/>
          <w:kern w:val="0"/>
          <w:sz w:val="24"/>
          <w:szCs w:val="24"/>
          <w:highlight w:val="none"/>
        </w:rPr>
        <w:t>一、封面格式</w:t>
      </w:r>
      <w:r>
        <w:rPr>
          <w:rFonts w:hint="eastAsia" w:ascii="仿宋" w:hAnsi="仿宋" w:eastAsia="仿宋" w:cs="仿宋"/>
          <w:bCs/>
          <w:caps/>
          <w:color w:val="auto"/>
          <w:kern w:val="0"/>
          <w:sz w:val="24"/>
          <w:szCs w:val="24"/>
          <w:highlight w:val="none"/>
        </w:rPr>
        <w:tab/>
      </w:r>
      <w:r>
        <w:rPr>
          <w:rFonts w:hint="eastAsia" w:ascii="仿宋" w:hAnsi="仿宋" w:eastAsia="仿宋" w:cs="仿宋"/>
          <w:bCs/>
          <w:caps/>
          <w:color w:val="auto"/>
          <w:kern w:val="0"/>
          <w:sz w:val="24"/>
          <w:szCs w:val="24"/>
          <w:highlight w:val="none"/>
        </w:rPr>
        <w:fldChar w:fldCharType="begin"/>
      </w:r>
      <w:r>
        <w:rPr>
          <w:rFonts w:hint="eastAsia" w:ascii="仿宋" w:hAnsi="仿宋" w:eastAsia="仿宋" w:cs="仿宋"/>
          <w:bCs/>
          <w:caps/>
          <w:color w:val="auto"/>
          <w:kern w:val="0"/>
          <w:sz w:val="24"/>
          <w:szCs w:val="24"/>
          <w:highlight w:val="none"/>
        </w:rPr>
        <w:instrText xml:space="preserve"> PAGEREF _Toc6668 \h </w:instrText>
      </w:r>
      <w:r>
        <w:rPr>
          <w:rFonts w:hint="eastAsia" w:ascii="仿宋" w:hAnsi="仿宋" w:eastAsia="仿宋" w:cs="仿宋"/>
          <w:bCs/>
          <w:caps/>
          <w:color w:val="auto"/>
          <w:kern w:val="0"/>
          <w:sz w:val="24"/>
          <w:szCs w:val="24"/>
          <w:highlight w:val="none"/>
        </w:rPr>
        <w:fldChar w:fldCharType="separate"/>
      </w:r>
      <w:r>
        <w:rPr>
          <w:rFonts w:hint="eastAsia" w:ascii="仿宋" w:hAnsi="仿宋" w:eastAsia="仿宋" w:cs="仿宋"/>
          <w:bCs/>
          <w:caps/>
          <w:color w:val="auto"/>
          <w:kern w:val="0"/>
          <w:sz w:val="24"/>
          <w:szCs w:val="24"/>
          <w:highlight w:val="none"/>
        </w:rPr>
        <w:t>48</w:t>
      </w:r>
      <w:r>
        <w:rPr>
          <w:rFonts w:hint="eastAsia" w:ascii="仿宋" w:hAnsi="仿宋" w:eastAsia="仿宋" w:cs="仿宋"/>
          <w:bCs/>
          <w:caps/>
          <w:color w:val="auto"/>
          <w:kern w:val="0"/>
          <w:sz w:val="24"/>
          <w:szCs w:val="24"/>
          <w:highlight w:val="none"/>
        </w:rPr>
        <w:fldChar w:fldCharType="end"/>
      </w:r>
      <w:r>
        <w:rPr>
          <w:rFonts w:hint="eastAsia" w:ascii="仿宋" w:hAnsi="仿宋" w:eastAsia="仿宋" w:cs="仿宋"/>
          <w:bCs/>
          <w:caps/>
          <w:color w:val="auto"/>
          <w:kern w:val="0"/>
          <w:sz w:val="24"/>
          <w:szCs w:val="24"/>
          <w:highlight w:val="none"/>
        </w:rPr>
        <w:fldChar w:fldCharType="end"/>
      </w:r>
    </w:p>
    <w:p w14:paraId="3D18BEA2">
      <w:pPr>
        <w:pStyle w:val="27"/>
        <w:tabs>
          <w:tab w:val="right" w:leader="dot" w:pos="8620"/>
        </w:tabs>
        <w:rPr>
          <w:rFonts w:hint="eastAsia" w:ascii="仿宋" w:hAnsi="仿宋" w:eastAsia="仿宋" w:cs="仿宋"/>
          <w:bCs/>
          <w:caps/>
          <w:color w:val="auto"/>
          <w:kern w:val="0"/>
          <w:sz w:val="24"/>
          <w:szCs w:val="24"/>
          <w:highlight w:val="none"/>
        </w:rPr>
      </w:pPr>
      <w:r>
        <w:rPr>
          <w:color w:val="auto"/>
          <w:highlight w:val="none"/>
        </w:rPr>
        <w:fldChar w:fldCharType="begin"/>
      </w:r>
      <w:r>
        <w:rPr>
          <w:color w:val="auto"/>
          <w:highlight w:val="none"/>
        </w:rPr>
        <w:instrText xml:space="preserve"> HYPERLINK \l "_Toc30434" </w:instrText>
      </w:r>
      <w:r>
        <w:rPr>
          <w:color w:val="auto"/>
          <w:highlight w:val="none"/>
        </w:rPr>
        <w:fldChar w:fldCharType="separate"/>
      </w:r>
      <w:r>
        <w:rPr>
          <w:rFonts w:hint="eastAsia" w:ascii="仿宋" w:hAnsi="仿宋" w:eastAsia="仿宋" w:cs="仿宋"/>
          <w:bCs/>
          <w:caps/>
          <w:color w:val="auto"/>
          <w:kern w:val="0"/>
          <w:sz w:val="24"/>
          <w:szCs w:val="24"/>
          <w:highlight w:val="none"/>
        </w:rPr>
        <w:t>二、报价一览表</w:t>
      </w:r>
      <w:r>
        <w:rPr>
          <w:rFonts w:hint="eastAsia" w:ascii="仿宋" w:hAnsi="仿宋" w:eastAsia="仿宋" w:cs="仿宋"/>
          <w:bCs/>
          <w:caps/>
          <w:color w:val="auto"/>
          <w:kern w:val="0"/>
          <w:sz w:val="24"/>
          <w:szCs w:val="24"/>
          <w:highlight w:val="none"/>
        </w:rPr>
        <w:tab/>
      </w:r>
      <w:r>
        <w:rPr>
          <w:rFonts w:hint="eastAsia" w:ascii="仿宋" w:hAnsi="仿宋" w:eastAsia="仿宋" w:cs="仿宋"/>
          <w:bCs/>
          <w:caps/>
          <w:color w:val="auto"/>
          <w:kern w:val="0"/>
          <w:sz w:val="24"/>
          <w:szCs w:val="24"/>
          <w:highlight w:val="none"/>
        </w:rPr>
        <w:fldChar w:fldCharType="begin"/>
      </w:r>
      <w:r>
        <w:rPr>
          <w:rFonts w:hint="eastAsia" w:ascii="仿宋" w:hAnsi="仿宋" w:eastAsia="仿宋" w:cs="仿宋"/>
          <w:bCs/>
          <w:caps/>
          <w:color w:val="auto"/>
          <w:kern w:val="0"/>
          <w:sz w:val="24"/>
          <w:szCs w:val="24"/>
          <w:highlight w:val="none"/>
        </w:rPr>
        <w:instrText xml:space="preserve"> PAGEREF _Toc30434 \h </w:instrText>
      </w:r>
      <w:r>
        <w:rPr>
          <w:rFonts w:hint="eastAsia" w:ascii="仿宋" w:hAnsi="仿宋" w:eastAsia="仿宋" w:cs="仿宋"/>
          <w:bCs/>
          <w:caps/>
          <w:color w:val="auto"/>
          <w:kern w:val="0"/>
          <w:sz w:val="24"/>
          <w:szCs w:val="24"/>
          <w:highlight w:val="none"/>
        </w:rPr>
        <w:fldChar w:fldCharType="separate"/>
      </w:r>
      <w:r>
        <w:rPr>
          <w:rFonts w:hint="eastAsia" w:ascii="仿宋" w:hAnsi="仿宋" w:eastAsia="仿宋" w:cs="仿宋"/>
          <w:bCs/>
          <w:caps/>
          <w:color w:val="auto"/>
          <w:kern w:val="0"/>
          <w:sz w:val="24"/>
          <w:szCs w:val="24"/>
          <w:highlight w:val="none"/>
        </w:rPr>
        <w:t>49</w:t>
      </w:r>
      <w:r>
        <w:rPr>
          <w:rFonts w:hint="eastAsia" w:ascii="仿宋" w:hAnsi="仿宋" w:eastAsia="仿宋" w:cs="仿宋"/>
          <w:bCs/>
          <w:caps/>
          <w:color w:val="auto"/>
          <w:kern w:val="0"/>
          <w:sz w:val="24"/>
          <w:szCs w:val="24"/>
          <w:highlight w:val="none"/>
        </w:rPr>
        <w:fldChar w:fldCharType="end"/>
      </w:r>
      <w:r>
        <w:rPr>
          <w:rFonts w:hint="eastAsia" w:ascii="仿宋" w:hAnsi="仿宋" w:eastAsia="仿宋" w:cs="仿宋"/>
          <w:bCs/>
          <w:caps/>
          <w:color w:val="auto"/>
          <w:kern w:val="0"/>
          <w:sz w:val="24"/>
          <w:szCs w:val="24"/>
          <w:highlight w:val="none"/>
        </w:rPr>
        <w:fldChar w:fldCharType="end"/>
      </w:r>
    </w:p>
    <w:p w14:paraId="05B811BD">
      <w:pPr>
        <w:pStyle w:val="27"/>
        <w:tabs>
          <w:tab w:val="right" w:leader="dot" w:pos="8620"/>
        </w:tabs>
        <w:rPr>
          <w:rFonts w:hint="eastAsia" w:ascii="仿宋" w:hAnsi="仿宋" w:eastAsia="仿宋" w:cs="仿宋"/>
          <w:bCs/>
          <w:caps/>
          <w:color w:val="auto"/>
          <w:kern w:val="0"/>
          <w:sz w:val="24"/>
          <w:szCs w:val="24"/>
          <w:highlight w:val="none"/>
        </w:rPr>
      </w:pPr>
      <w:r>
        <w:rPr>
          <w:color w:val="auto"/>
          <w:highlight w:val="none"/>
        </w:rPr>
        <w:fldChar w:fldCharType="begin"/>
      </w:r>
      <w:r>
        <w:rPr>
          <w:color w:val="auto"/>
          <w:highlight w:val="none"/>
        </w:rPr>
        <w:instrText xml:space="preserve"> HYPERLINK \l "_Toc12772" </w:instrText>
      </w:r>
      <w:r>
        <w:rPr>
          <w:color w:val="auto"/>
          <w:highlight w:val="none"/>
        </w:rPr>
        <w:fldChar w:fldCharType="separate"/>
      </w:r>
      <w:r>
        <w:rPr>
          <w:rFonts w:hint="eastAsia" w:ascii="仿宋" w:hAnsi="仿宋" w:eastAsia="仿宋" w:cs="仿宋"/>
          <w:bCs/>
          <w:caps/>
          <w:color w:val="auto"/>
          <w:kern w:val="0"/>
          <w:sz w:val="24"/>
          <w:szCs w:val="24"/>
          <w:highlight w:val="none"/>
        </w:rPr>
        <w:t>三、资格证明文件</w:t>
      </w:r>
      <w:r>
        <w:rPr>
          <w:rFonts w:hint="eastAsia" w:ascii="仿宋" w:hAnsi="仿宋" w:eastAsia="仿宋" w:cs="仿宋"/>
          <w:bCs/>
          <w:caps/>
          <w:color w:val="auto"/>
          <w:kern w:val="0"/>
          <w:sz w:val="24"/>
          <w:szCs w:val="24"/>
          <w:highlight w:val="none"/>
        </w:rPr>
        <w:tab/>
      </w:r>
      <w:r>
        <w:rPr>
          <w:rFonts w:hint="eastAsia" w:ascii="仿宋" w:hAnsi="仿宋" w:eastAsia="仿宋" w:cs="仿宋"/>
          <w:bCs/>
          <w:caps/>
          <w:color w:val="auto"/>
          <w:kern w:val="0"/>
          <w:sz w:val="24"/>
          <w:szCs w:val="24"/>
          <w:highlight w:val="none"/>
        </w:rPr>
        <w:fldChar w:fldCharType="begin"/>
      </w:r>
      <w:r>
        <w:rPr>
          <w:rFonts w:hint="eastAsia" w:ascii="仿宋" w:hAnsi="仿宋" w:eastAsia="仿宋" w:cs="仿宋"/>
          <w:bCs/>
          <w:caps/>
          <w:color w:val="auto"/>
          <w:kern w:val="0"/>
          <w:sz w:val="24"/>
          <w:szCs w:val="24"/>
          <w:highlight w:val="none"/>
        </w:rPr>
        <w:instrText xml:space="preserve"> PAGEREF _Toc12772 \h </w:instrText>
      </w:r>
      <w:r>
        <w:rPr>
          <w:rFonts w:hint="eastAsia" w:ascii="仿宋" w:hAnsi="仿宋" w:eastAsia="仿宋" w:cs="仿宋"/>
          <w:bCs/>
          <w:caps/>
          <w:color w:val="auto"/>
          <w:kern w:val="0"/>
          <w:sz w:val="24"/>
          <w:szCs w:val="24"/>
          <w:highlight w:val="none"/>
        </w:rPr>
        <w:fldChar w:fldCharType="separate"/>
      </w:r>
      <w:r>
        <w:rPr>
          <w:rFonts w:hint="eastAsia" w:ascii="仿宋" w:hAnsi="仿宋" w:eastAsia="仿宋" w:cs="仿宋"/>
          <w:bCs/>
          <w:caps/>
          <w:color w:val="auto"/>
          <w:kern w:val="0"/>
          <w:sz w:val="24"/>
          <w:szCs w:val="24"/>
          <w:highlight w:val="none"/>
        </w:rPr>
        <w:t>50</w:t>
      </w:r>
      <w:r>
        <w:rPr>
          <w:rFonts w:hint="eastAsia" w:ascii="仿宋" w:hAnsi="仿宋" w:eastAsia="仿宋" w:cs="仿宋"/>
          <w:bCs/>
          <w:caps/>
          <w:color w:val="auto"/>
          <w:kern w:val="0"/>
          <w:sz w:val="24"/>
          <w:szCs w:val="24"/>
          <w:highlight w:val="none"/>
        </w:rPr>
        <w:fldChar w:fldCharType="end"/>
      </w:r>
      <w:r>
        <w:rPr>
          <w:rFonts w:hint="eastAsia" w:ascii="仿宋" w:hAnsi="仿宋" w:eastAsia="仿宋" w:cs="仿宋"/>
          <w:bCs/>
          <w:caps/>
          <w:color w:val="auto"/>
          <w:kern w:val="0"/>
          <w:sz w:val="24"/>
          <w:szCs w:val="24"/>
          <w:highlight w:val="none"/>
        </w:rPr>
        <w:fldChar w:fldCharType="end"/>
      </w:r>
    </w:p>
    <w:p w14:paraId="2CD310F1">
      <w:pPr>
        <w:pStyle w:val="27"/>
        <w:tabs>
          <w:tab w:val="right" w:leader="dot" w:pos="8620"/>
        </w:tabs>
        <w:rPr>
          <w:rFonts w:hint="eastAsia" w:ascii="仿宋" w:hAnsi="仿宋" w:eastAsia="仿宋" w:cs="仿宋"/>
          <w:bCs/>
          <w:caps/>
          <w:color w:val="auto"/>
          <w:kern w:val="0"/>
          <w:sz w:val="24"/>
          <w:szCs w:val="24"/>
          <w:highlight w:val="none"/>
        </w:rPr>
      </w:pPr>
      <w:r>
        <w:rPr>
          <w:color w:val="auto"/>
          <w:highlight w:val="none"/>
        </w:rPr>
        <w:fldChar w:fldCharType="begin"/>
      </w:r>
      <w:r>
        <w:rPr>
          <w:color w:val="auto"/>
          <w:highlight w:val="none"/>
        </w:rPr>
        <w:instrText xml:space="preserve"> HYPERLINK \l "_Toc7235" </w:instrText>
      </w:r>
      <w:r>
        <w:rPr>
          <w:color w:val="auto"/>
          <w:highlight w:val="none"/>
        </w:rPr>
        <w:fldChar w:fldCharType="separate"/>
      </w:r>
      <w:r>
        <w:rPr>
          <w:rFonts w:hint="eastAsia" w:ascii="仿宋" w:hAnsi="仿宋" w:eastAsia="仿宋" w:cs="仿宋"/>
          <w:bCs/>
          <w:caps/>
          <w:color w:val="auto"/>
          <w:kern w:val="0"/>
          <w:sz w:val="24"/>
          <w:szCs w:val="24"/>
          <w:highlight w:val="none"/>
        </w:rPr>
        <w:t>四、商务及技术文件</w:t>
      </w:r>
      <w:r>
        <w:rPr>
          <w:rFonts w:hint="eastAsia" w:ascii="仿宋" w:hAnsi="仿宋" w:eastAsia="仿宋" w:cs="仿宋"/>
          <w:bCs/>
          <w:caps/>
          <w:color w:val="auto"/>
          <w:kern w:val="0"/>
          <w:sz w:val="24"/>
          <w:szCs w:val="24"/>
          <w:highlight w:val="none"/>
        </w:rPr>
        <w:tab/>
      </w:r>
      <w:r>
        <w:rPr>
          <w:rFonts w:hint="eastAsia" w:ascii="仿宋" w:hAnsi="仿宋" w:eastAsia="仿宋" w:cs="仿宋"/>
          <w:bCs/>
          <w:caps/>
          <w:color w:val="auto"/>
          <w:kern w:val="0"/>
          <w:sz w:val="24"/>
          <w:szCs w:val="24"/>
          <w:highlight w:val="none"/>
        </w:rPr>
        <w:fldChar w:fldCharType="begin"/>
      </w:r>
      <w:r>
        <w:rPr>
          <w:rFonts w:hint="eastAsia" w:ascii="仿宋" w:hAnsi="仿宋" w:eastAsia="仿宋" w:cs="仿宋"/>
          <w:bCs/>
          <w:caps/>
          <w:color w:val="auto"/>
          <w:kern w:val="0"/>
          <w:sz w:val="24"/>
          <w:szCs w:val="24"/>
          <w:highlight w:val="none"/>
        </w:rPr>
        <w:instrText xml:space="preserve"> PAGEREF _Toc7235 \h </w:instrText>
      </w:r>
      <w:r>
        <w:rPr>
          <w:rFonts w:hint="eastAsia" w:ascii="仿宋" w:hAnsi="仿宋" w:eastAsia="仿宋" w:cs="仿宋"/>
          <w:bCs/>
          <w:caps/>
          <w:color w:val="auto"/>
          <w:kern w:val="0"/>
          <w:sz w:val="24"/>
          <w:szCs w:val="24"/>
          <w:highlight w:val="none"/>
        </w:rPr>
        <w:fldChar w:fldCharType="separate"/>
      </w:r>
      <w:r>
        <w:rPr>
          <w:rFonts w:hint="eastAsia" w:ascii="仿宋" w:hAnsi="仿宋" w:eastAsia="仿宋" w:cs="仿宋"/>
          <w:bCs/>
          <w:caps/>
          <w:color w:val="auto"/>
          <w:kern w:val="0"/>
          <w:sz w:val="24"/>
          <w:szCs w:val="24"/>
          <w:highlight w:val="none"/>
        </w:rPr>
        <w:t>58</w:t>
      </w:r>
      <w:r>
        <w:rPr>
          <w:rFonts w:hint="eastAsia" w:ascii="仿宋" w:hAnsi="仿宋" w:eastAsia="仿宋" w:cs="仿宋"/>
          <w:bCs/>
          <w:caps/>
          <w:color w:val="auto"/>
          <w:kern w:val="0"/>
          <w:sz w:val="24"/>
          <w:szCs w:val="24"/>
          <w:highlight w:val="none"/>
        </w:rPr>
        <w:fldChar w:fldCharType="end"/>
      </w:r>
      <w:r>
        <w:rPr>
          <w:rFonts w:hint="eastAsia" w:ascii="仿宋" w:hAnsi="仿宋" w:eastAsia="仿宋" w:cs="仿宋"/>
          <w:bCs/>
          <w:caps/>
          <w:color w:val="auto"/>
          <w:kern w:val="0"/>
          <w:sz w:val="24"/>
          <w:szCs w:val="24"/>
          <w:highlight w:val="none"/>
        </w:rPr>
        <w:fldChar w:fldCharType="end"/>
      </w:r>
    </w:p>
    <w:p w14:paraId="4BFAFFF8">
      <w:pPr>
        <w:pStyle w:val="24"/>
        <w:tabs>
          <w:tab w:val="right" w:leader="dot" w:pos="8620"/>
        </w:tabs>
        <w:rPr>
          <w:rFonts w:hint="eastAsia" w:ascii="仿宋" w:hAnsi="仿宋" w:eastAsia="仿宋" w:cs="仿宋"/>
          <w:color w:val="auto"/>
          <w:sz w:val="24"/>
          <w:szCs w:val="24"/>
          <w:highlight w:val="none"/>
        </w:rPr>
      </w:pPr>
      <w:r>
        <w:rPr>
          <w:color w:val="auto"/>
          <w:highlight w:val="none"/>
        </w:rPr>
        <w:fldChar w:fldCharType="begin"/>
      </w:r>
      <w:r>
        <w:rPr>
          <w:color w:val="auto"/>
          <w:highlight w:val="none"/>
        </w:rPr>
        <w:instrText xml:space="preserve"> HYPERLINK \l "_Toc6945" </w:instrText>
      </w:r>
      <w:r>
        <w:rPr>
          <w:color w:val="auto"/>
          <w:highlight w:val="none"/>
        </w:rPr>
        <w:fldChar w:fldCharType="separate"/>
      </w:r>
      <w:r>
        <w:rPr>
          <w:rFonts w:hint="eastAsia" w:ascii="仿宋" w:hAnsi="仿宋" w:eastAsia="仿宋" w:cs="仿宋"/>
          <w:color w:val="auto"/>
          <w:sz w:val="24"/>
          <w:szCs w:val="24"/>
          <w:highlight w:val="none"/>
        </w:rPr>
        <w:t>第7章 政府采购合同格式</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PAGEREF _Toc6945 \h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68</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1BB3F0CB">
      <w:pPr>
        <w:rPr>
          <w:rFonts w:hint="eastAsia" w:ascii="仿宋" w:hAnsi="仿宋" w:eastAsia="仿宋" w:cs="仿宋"/>
          <w:color w:val="auto"/>
          <w:kern w:val="0"/>
          <w:sz w:val="28"/>
          <w:szCs w:val="28"/>
          <w:highlight w:val="none"/>
        </w:rPr>
      </w:pPr>
      <w:r>
        <w:rPr>
          <w:rFonts w:hint="eastAsia" w:ascii="仿宋" w:hAnsi="仿宋" w:eastAsia="仿宋" w:cs="仿宋"/>
          <w:bCs/>
          <w:caps/>
          <w:color w:val="auto"/>
          <w:kern w:val="0"/>
          <w:sz w:val="24"/>
          <w:highlight w:val="none"/>
        </w:rPr>
        <w:fldChar w:fldCharType="end"/>
      </w:r>
    </w:p>
    <w:p w14:paraId="33B4DBCA">
      <w:pPr>
        <w:pStyle w:val="5"/>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22140C07">
      <w:pPr>
        <w:pStyle w:val="2"/>
        <w:tabs>
          <w:tab w:val="left" w:pos="0"/>
        </w:tabs>
        <w:spacing w:before="0" w:after="0" w:line="240" w:lineRule="atLeast"/>
        <w:rPr>
          <w:rFonts w:hint="eastAsia" w:ascii="仿宋" w:hAnsi="仿宋" w:eastAsia="仿宋" w:cs="仿宋"/>
          <w:color w:val="auto"/>
          <w:highlight w:val="none"/>
        </w:rPr>
      </w:pPr>
      <w:bookmarkStart w:id="4" w:name="_Toc21619"/>
      <w:r>
        <w:rPr>
          <w:rFonts w:hint="eastAsia" w:ascii="仿宋" w:hAnsi="仿宋" w:eastAsia="仿宋" w:cs="仿宋"/>
          <w:color w:val="auto"/>
          <w:highlight w:val="none"/>
        </w:rPr>
        <w:t>第1章 供应商须知</w:t>
      </w:r>
      <w:bookmarkEnd w:id="0"/>
      <w:bookmarkEnd w:id="1"/>
      <w:bookmarkEnd w:id="2"/>
      <w:bookmarkEnd w:id="3"/>
      <w:bookmarkEnd w:id="4"/>
    </w:p>
    <w:p w14:paraId="0D44E2FE">
      <w:pPr>
        <w:rPr>
          <w:rFonts w:hint="eastAsia" w:ascii="仿宋" w:hAnsi="仿宋" w:eastAsia="仿宋" w:cs="仿宋"/>
          <w:color w:val="auto"/>
          <w:highlight w:val="none"/>
        </w:rPr>
      </w:pPr>
    </w:p>
    <w:p w14:paraId="29428D5D">
      <w:pPr>
        <w:pStyle w:val="3"/>
        <w:spacing w:before="0" w:line="240" w:lineRule="atLeast"/>
        <w:ind w:left="565" w:leftChars="12" w:hanging="540"/>
        <w:rPr>
          <w:rFonts w:hint="eastAsia" w:ascii="仿宋" w:hAnsi="仿宋" w:eastAsia="仿宋" w:cs="仿宋"/>
          <w:color w:val="auto"/>
          <w:sz w:val="28"/>
          <w:highlight w:val="none"/>
        </w:rPr>
      </w:pPr>
      <w:bookmarkStart w:id="5" w:name="_Toc216582805"/>
      <w:bookmarkStart w:id="6" w:name="_Toc520356143"/>
      <w:bookmarkStart w:id="7" w:name="_Toc515647757"/>
      <w:bookmarkStart w:id="8" w:name="_Toc21215"/>
      <w:bookmarkStart w:id="9" w:name="_Toc21015"/>
      <w:bookmarkStart w:id="10" w:name="_Toc32677"/>
      <w:r>
        <w:rPr>
          <w:rFonts w:hint="eastAsia" w:ascii="仿宋" w:hAnsi="仿宋" w:eastAsia="仿宋" w:cs="仿宋"/>
          <w:color w:val="auto"/>
          <w:sz w:val="28"/>
          <w:highlight w:val="none"/>
        </w:rPr>
        <w:t xml:space="preserve">一   </w:t>
      </w:r>
      <w:bookmarkEnd w:id="5"/>
      <w:bookmarkEnd w:id="6"/>
      <w:bookmarkEnd w:id="7"/>
      <w:r>
        <w:rPr>
          <w:rFonts w:hint="eastAsia" w:ascii="仿宋" w:hAnsi="仿宋" w:eastAsia="仿宋" w:cs="仿宋"/>
          <w:color w:val="auto"/>
          <w:sz w:val="28"/>
          <w:highlight w:val="none"/>
        </w:rPr>
        <w:t>总 则</w:t>
      </w:r>
      <w:bookmarkEnd w:id="8"/>
      <w:bookmarkEnd w:id="9"/>
      <w:bookmarkEnd w:id="10"/>
    </w:p>
    <w:p w14:paraId="144943AE">
      <w:pPr>
        <w:pStyle w:val="5"/>
        <w:rPr>
          <w:rFonts w:hint="eastAsia" w:ascii="仿宋" w:hAnsi="仿宋" w:eastAsia="仿宋" w:cs="仿宋"/>
          <w:color w:val="auto"/>
          <w:highlight w:val="none"/>
        </w:rPr>
      </w:pPr>
    </w:p>
    <w:p w14:paraId="7BD93DE3">
      <w:pPr>
        <w:spacing w:line="360" w:lineRule="auto"/>
        <w:outlineLvl w:val="1"/>
        <w:rPr>
          <w:rFonts w:hint="eastAsia" w:ascii="仿宋" w:hAnsi="仿宋" w:eastAsia="仿宋" w:cs="仿宋"/>
          <w:b/>
          <w:bCs/>
          <w:color w:val="auto"/>
          <w:sz w:val="22"/>
          <w:szCs w:val="28"/>
          <w:highlight w:val="none"/>
        </w:rPr>
      </w:pPr>
      <w:bookmarkStart w:id="11" w:name="_Toc520356144"/>
      <w:bookmarkStart w:id="12" w:name="_Toc5709"/>
      <w:bookmarkStart w:id="13" w:name="_Toc32623"/>
      <w:bookmarkStart w:id="14" w:name="_Toc32189"/>
      <w:bookmarkStart w:id="15" w:name="_Toc515647758"/>
      <w:r>
        <w:rPr>
          <w:rFonts w:hint="eastAsia" w:ascii="仿宋" w:hAnsi="仿宋" w:eastAsia="仿宋" w:cs="仿宋"/>
          <w:b/>
          <w:bCs/>
          <w:color w:val="auto"/>
          <w:sz w:val="22"/>
          <w:szCs w:val="28"/>
          <w:highlight w:val="none"/>
        </w:rPr>
        <w:t>1.采购人、采购代理机构及</w:t>
      </w:r>
      <w:bookmarkEnd w:id="11"/>
      <w:r>
        <w:rPr>
          <w:rFonts w:hint="eastAsia" w:ascii="仿宋" w:hAnsi="仿宋" w:eastAsia="仿宋" w:cs="仿宋"/>
          <w:b/>
          <w:bCs/>
          <w:color w:val="auto"/>
          <w:sz w:val="22"/>
          <w:szCs w:val="28"/>
          <w:highlight w:val="none"/>
        </w:rPr>
        <w:t>供应商</w:t>
      </w:r>
      <w:bookmarkEnd w:id="12"/>
      <w:bookmarkEnd w:id="13"/>
      <w:bookmarkEnd w:id="14"/>
      <w:bookmarkEnd w:id="15"/>
    </w:p>
    <w:p w14:paraId="3EB851FF">
      <w:pPr>
        <w:numPr>
          <w:ilvl w:val="1"/>
          <w:numId w:val="1"/>
        </w:numPr>
        <w:tabs>
          <w:tab w:val="left" w:pos="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采购人：是指依法开展政府采购活动的国家机关、事业单位、团体组织。</w:t>
      </w:r>
    </w:p>
    <w:p w14:paraId="40072E25">
      <w:pPr>
        <w:tabs>
          <w:tab w:val="left" w:pos="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本项目的采购人见供应商须知资料表。</w:t>
      </w:r>
    </w:p>
    <w:p w14:paraId="49963C13">
      <w:pPr>
        <w:numPr>
          <w:ilvl w:val="1"/>
          <w:numId w:val="1"/>
        </w:numPr>
        <w:tabs>
          <w:tab w:val="left" w:pos="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采购代理机构：是指集中采购机构或从事采购代理业务的社会中介机构，本项目的采购代理机构见供应商须知资料表。</w:t>
      </w:r>
    </w:p>
    <w:p w14:paraId="21B96C75">
      <w:pPr>
        <w:numPr>
          <w:ilvl w:val="1"/>
          <w:numId w:val="1"/>
        </w:numPr>
        <w:spacing w:line="360" w:lineRule="auto"/>
        <w:rPr>
          <w:rFonts w:hint="eastAsia" w:ascii="仿宋" w:hAnsi="仿宋" w:eastAsia="仿宋" w:cs="仿宋"/>
          <w:color w:val="auto"/>
          <w:sz w:val="24"/>
          <w:highlight w:val="none"/>
        </w:rPr>
      </w:pPr>
      <w:bookmarkStart w:id="16" w:name="_Toc12139"/>
      <w:bookmarkStart w:id="17" w:name="_Toc515647759"/>
      <w:bookmarkStart w:id="18" w:name="_Toc5286"/>
      <w:r>
        <w:rPr>
          <w:rFonts w:hint="eastAsia" w:ascii="仿宋" w:hAnsi="仿宋" w:eastAsia="仿宋" w:cs="仿宋"/>
          <w:color w:val="auto"/>
          <w:sz w:val="24"/>
          <w:highlight w:val="none"/>
        </w:rPr>
        <w:t>供应商：是指响应磋商、参加报价竞争的法人、其他组织或者自然人。潜在供应商：以竞争性磋商文件规定的方式获取本项目竞争性磋商文件的法人、其他组织或者自然人。</w:t>
      </w:r>
    </w:p>
    <w:p w14:paraId="50B5917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本项目的供应商须满足以下条件：</w:t>
      </w:r>
    </w:p>
    <w:p w14:paraId="6810C92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1.3.1在中华人民共和国境内注册，能够独立承担民事责任，有生产或供应能力的本国供应商。</w:t>
      </w:r>
    </w:p>
    <w:p w14:paraId="33A443F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1.3.2 具备《中华人民共和国政府采购法》第二十二条关于供应商条件的规定，遵守本项目采购人本级和上级财政部门政府采购的有关规定。</w:t>
      </w:r>
    </w:p>
    <w:p w14:paraId="63D9AA8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1.3.3 以竞争性磋商文件规定的方式获得了本项目的竞争性磋商文件</w:t>
      </w:r>
    </w:p>
    <w:p w14:paraId="2486483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1.3.4 符合供应商须知资料表中规定的其他资格要求。</w:t>
      </w:r>
    </w:p>
    <w:p w14:paraId="618B7FE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1.3.5 若供应商须知资料表中写明专门面向中小企业采购的，如供应商为非中小企业，其响应文件将被认定为响应文件无效。</w:t>
      </w:r>
    </w:p>
    <w:p w14:paraId="22A050C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1.3.6 进口产品,是指通过中国海关报关验放进入中国境内且产自关境外的产品。若供应商须知资料表中写明允许采购进口产品，供应商应保证所报产品可履行合法报通关手续进入中国关境内。</w:t>
      </w:r>
    </w:p>
    <w:p w14:paraId="44D07CA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若供应商须知资料表中未写明允许采购进口产品，如供应商所报产品为进口产品，其响应文件将被认定为无效。</w:t>
      </w:r>
    </w:p>
    <w:p w14:paraId="6E6ADDE7">
      <w:pPr>
        <w:spacing w:line="360" w:lineRule="auto"/>
        <w:ind w:left="899" w:leftChars="228" w:hanging="420" w:hanging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1.4 如供应商须知资料表中允许联合体进行响应，对联合体规定如下：</w:t>
      </w:r>
    </w:p>
    <w:p w14:paraId="25C68C81">
      <w:pPr>
        <w:spacing w:line="360" w:lineRule="auto"/>
        <w:ind w:left="899" w:leftChars="228" w:hanging="420" w:hanging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1.4.1 两个以上供应商可以组成一个联合体，以一个供应商的身份响应。</w:t>
      </w:r>
    </w:p>
    <w:p w14:paraId="2D2E8E26">
      <w:pPr>
        <w:spacing w:line="360" w:lineRule="auto"/>
        <w:ind w:left="899" w:leftChars="228" w:hanging="420" w:hanging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1.4.2 联合体各方均应符合1.3.2规定。</w:t>
      </w:r>
    </w:p>
    <w:p w14:paraId="735C62B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1.4.3 采购人根据采购项目对供应商的特殊要求，联合体中至少应当有一方符合相关规定。</w:t>
      </w:r>
    </w:p>
    <w:p w14:paraId="28D7D70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1.4.4 联合体各方应签订共同响应协议，明确约定联合体各方承担的工作和相应的责任，并将共同响应协议连同响应文件一并提交，否则其响应文件将被认定为无效。</w:t>
      </w:r>
    </w:p>
    <w:p w14:paraId="1AB5D05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1.4.5 大中型企业、其他自然人、法人或者其他组织与小型、微型企业组成联合体共同参加响应，共同响应协议中应写明小型、微型企业的协议合同金额占到共同响应协议响应总金额的比例。</w:t>
      </w:r>
    </w:p>
    <w:p w14:paraId="4271EDA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1.4.6 以联合体形式参加政府采购活动的，联合体各方不得再单独参加或者与其他供应商另外组成联合体参加本项目，否则其响应文件将被认定为无效。</w:t>
      </w:r>
    </w:p>
    <w:p w14:paraId="4163BF33">
      <w:pPr>
        <w:spacing w:line="360" w:lineRule="auto"/>
        <w:ind w:left="899" w:leftChars="228" w:hanging="420" w:hanging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1.4.7 对联合体响应的其他资格要求见</w:t>
      </w:r>
      <w:r>
        <w:rPr>
          <w:rFonts w:hint="eastAsia" w:ascii="仿宋" w:hAnsi="仿宋" w:eastAsia="仿宋" w:cs="仿宋"/>
          <w:color w:val="auto"/>
          <w:sz w:val="24"/>
          <w:highlight w:val="none"/>
          <w:u w:val="single"/>
        </w:rPr>
        <w:t>供应商须知资料表</w:t>
      </w:r>
      <w:r>
        <w:rPr>
          <w:rFonts w:hint="eastAsia" w:ascii="仿宋" w:hAnsi="仿宋" w:eastAsia="仿宋" w:cs="仿宋"/>
          <w:color w:val="auto"/>
          <w:sz w:val="24"/>
          <w:highlight w:val="none"/>
        </w:rPr>
        <w:t>。</w:t>
      </w:r>
    </w:p>
    <w:p w14:paraId="21CFC09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1.5 货物，是指供应商按磋商文件的要求，向采购人提供全新的、未使用过的各种形态和种类的物品，包括原材料、燃料、设备、产品等。</w:t>
      </w:r>
    </w:p>
    <w:p w14:paraId="60BB576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1.6 综合评分法，是指响应文件满足磋商文件全部实质性要求且按评审因素的量化指标评审得分最高的供应商为成交候选供应商的评审方法。</w:t>
      </w:r>
    </w:p>
    <w:p w14:paraId="167018B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1.7单位负责人为同一人或者存在直接控股、管理关系的不同供应商，不得参加同一合同项下的政府采购活动，否则其相关响应文件均将被认定为响应文件无效。</w:t>
      </w:r>
    </w:p>
    <w:p w14:paraId="097579C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1.8各供应商须对本项目指定一个项目负责人，对本项目所有事宜全程负责。未经采购人同意中途不得更换项目负责人。</w:t>
      </w:r>
    </w:p>
    <w:p w14:paraId="2DE07042">
      <w:pPr>
        <w:spacing w:line="360" w:lineRule="auto"/>
        <w:ind w:firstLine="480" w:firstLineChars="200"/>
        <w:rPr>
          <w:rFonts w:hint="eastAsia" w:ascii="仿宋" w:hAnsi="仿宋" w:eastAsia="仿宋" w:cs="仿宋"/>
          <w:color w:val="auto"/>
          <w:sz w:val="24"/>
          <w:highlight w:val="none"/>
          <w:lang w:val="en-US" w:eastAsia="zh-CN"/>
        </w:rPr>
      </w:pPr>
      <w:bookmarkStart w:id="19" w:name="_Toc32523"/>
      <w:r>
        <w:rPr>
          <w:rFonts w:hint="eastAsia" w:ascii="仿宋" w:hAnsi="仿宋" w:eastAsia="仿宋" w:cs="仿宋"/>
          <w:color w:val="auto"/>
          <w:sz w:val="24"/>
          <w:highlight w:val="none"/>
          <w:lang w:val="en-US" w:eastAsia="zh-CN"/>
        </w:rPr>
        <w:t>1.9 关于委托代理人及项目实施负责人的说明：</w:t>
      </w:r>
    </w:p>
    <w:p w14:paraId="708D01B6">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为杜绝借用资质、围标串标现象，构建良好的营商环境，委托代理人须为投标单位正式员工，并出具该员工投标前6个月内任意3个月的社保证明。若为新公司成立不足3个月，可提供成立以来的社保即可。</w:t>
      </w:r>
    </w:p>
    <w:p w14:paraId="2191AA25">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若该项目有项目实施负责人或经理，也要求为单位正式员工，并出具该员工投标前6个月内任意3个月的社保证明。</w:t>
      </w:r>
    </w:p>
    <w:p w14:paraId="54508D3D">
      <w:pPr>
        <w:spacing w:line="360" w:lineRule="auto"/>
        <w:outlineLvl w:val="1"/>
        <w:rPr>
          <w:rFonts w:hint="eastAsia" w:ascii="仿宋" w:hAnsi="仿宋" w:eastAsia="仿宋" w:cs="仿宋"/>
          <w:b/>
          <w:bCs/>
          <w:color w:val="auto"/>
          <w:sz w:val="22"/>
          <w:szCs w:val="28"/>
          <w:highlight w:val="none"/>
        </w:rPr>
      </w:pPr>
    </w:p>
    <w:p w14:paraId="7CB249D1">
      <w:pPr>
        <w:spacing w:line="360" w:lineRule="auto"/>
        <w:outlineLvl w:val="1"/>
        <w:rPr>
          <w:rFonts w:hint="eastAsia" w:ascii="仿宋" w:hAnsi="仿宋" w:eastAsia="仿宋" w:cs="仿宋"/>
          <w:b/>
          <w:bCs/>
          <w:color w:val="auto"/>
          <w:sz w:val="22"/>
          <w:szCs w:val="28"/>
          <w:highlight w:val="none"/>
        </w:rPr>
      </w:pPr>
      <w:r>
        <w:rPr>
          <w:rFonts w:hint="eastAsia" w:ascii="仿宋" w:hAnsi="仿宋" w:eastAsia="仿宋" w:cs="仿宋"/>
          <w:b/>
          <w:bCs/>
          <w:color w:val="auto"/>
          <w:sz w:val="22"/>
          <w:szCs w:val="28"/>
          <w:highlight w:val="none"/>
        </w:rPr>
        <w:t>2.资金来源</w:t>
      </w:r>
      <w:bookmarkEnd w:id="16"/>
      <w:bookmarkEnd w:id="17"/>
      <w:bookmarkEnd w:id="18"/>
      <w:bookmarkEnd w:id="19"/>
    </w:p>
    <w:p w14:paraId="490F55B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2.1本项目的采购人已获得足以支付本次磋商后所签订的合同项下的资金（包括财政性资金和本项目采购中无法与财政性资金分割的非财政性资金，预采购项目除外）。</w:t>
      </w:r>
    </w:p>
    <w:p w14:paraId="11514CB2">
      <w:pPr>
        <w:spacing w:line="360" w:lineRule="auto"/>
        <w:ind w:left="899" w:leftChars="228" w:hanging="420" w:hanging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2.2 项目预算金额和分项或分包最高限价见供应商须知资料表。</w:t>
      </w:r>
    </w:p>
    <w:p w14:paraId="6196A1F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 供应商报价超过竞争性磋商文件规定的预算金额或者分项、分包最高限价的，其响应文件将被认定为无效。</w:t>
      </w:r>
    </w:p>
    <w:p w14:paraId="6FE4E78C">
      <w:pPr>
        <w:spacing w:line="360" w:lineRule="auto"/>
        <w:outlineLvl w:val="1"/>
        <w:rPr>
          <w:rFonts w:hint="eastAsia" w:ascii="仿宋" w:hAnsi="仿宋" w:eastAsia="仿宋" w:cs="仿宋"/>
          <w:b/>
          <w:bCs/>
          <w:color w:val="auto"/>
          <w:sz w:val="22"/>
          <w:szCs w:val="28"/>
          <w:highlight w:val="none"/>
        </w:rPr>
      </w:pPr>
      <w:bookmarkStart w:id="20" w:name="_Toc520356145"/>
      <w:bookmarkStart w:id="21" w:name="_Toc20526"/>
      <w:bookmarkStart w:id="22" w:name="_Toc515647760"/>
      <w:bookmarkStart w:id="23" w:name="_Toc7780"/>
      <w:bookmarkStart w:id="24" w:name="_Toc15936"/>
      <w:r>
        <w:rPr>
          <w:rFonts w:hint="eastAsia" w:ascii="仿宋" w:hAnsi="仿宋" w:eastAsia="仿宋" w:cs="仿宋"/>
          <w:b/>
          <w:bCs/>
          <w:color w:val="auto"/>
          <w:sz w:val="22"/>
          <w:szCs w:val="28"/>
          <w:highlight w:val="none"/>
        </w:rPr>
        <w:t>3.响应费用</w:t>
      </w:r>
      <w:bookmarkEnd w:id="20"/>
      <w:bookmarkEnd w:id="21"/>
      <w:bookmarkEnd w:id="22"/>
      <w:bookmarkEnd w:id="23"/>
      <w:bookmarkEnd w:id="24"/>
    </w:p>
    <w:p w14:paraId="468EF90D">
      <w:pPr>
        <w:spacing w:line="360" w:lineRule="auto"/>
        <w:ind w:left="899" w:leftChars="228" w:hanging="420" w:hanging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不论响应的结果如何，供应商应承担所有与准备和参加响应有关的费用。</w:t>
      </w:r>
    </w:p>
    <w:p w14:paraId="7DC2E674">
      <w:pPr>
        <w:spacing w:line="360" w:lineRule="auto"/>
        <w:outlineLvl w:val="1"/>
        <w:rPr>
          <w:rFonts w:hint="eastAsia" w:ascii="仿宋" w:hAnsi="仿宋" w:eastAsia="仿宋" w:cs="仿宋"/>
          <w:b/>
          <w:bCs/>
          <w:color w:val="auto"/>
          <w:sz w:val="22"/>
          <w:szCs w:val="28"/>
          <w:highlight w:val="none"/>
        </w:rPr>
      </w:pPr>
      <w:bookmarkStart w:id="25" w:name="_Toc6116"/>
      <w:bookmarkStart w:id="26" w:name="_Toc21154"/>
      <w:bookmarkStart w:id="27" w:name="_Toc4463"/>
      <w:bookmarkStart w:id="28" w:name="_Toc515647761"/>
      <w:r>
        <w:rPr>
          <w:rFonts w:hint="eastAsia" w:ascii="仿宋" w:hAnsi="仿宋" w:eastAsia="仿宋" w:cs="仿宋"/>
          <w:b/>
          <w:bCs/>
          <w:color w:val="auto"/>
          <w:sz w:val="22"/>
          <w:szCs w:val="28"/>
          <w:highlight w:val="none"/>
        </w:rPr>
        <w:t>4.适用法律</w:t>
      </w:r>
      <w:bookmarkEnd w:id="25"/>
      <w:bookmarkEnd w:id="26"/>
      <w:bookmarkEnd w:id="27"/>
      <w:bookmarkEnd w:id="28"/>
    </w:p>
    <w:p w14:paraId="1147937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本项目采购人、采购代理机构、供应商、磋商小组的相关行为均受《中华人民共和国政府采购法》、《中华人民共和国政府采购法实施条例》及本项目本级和上级财政部门政府采购有关规定的约束和保护。</w:t>
      </w:r>
    </w:p>
    <w:p w14:paraId="6099CF97">
      <w:pPr>
        <w:spacing w:line="240" w:lineRule="atLeast"/>
        <w:rPr>
          <w:rFonts w:hint="eastAsia" w:ascii="仿宋" w:hAnsi="仿宋" w:eastAsia="仿宋" w:cs="仿宋"/>
          <w:color w:val="auto"/>
          <w:sz w:val="24"/>
          <w:highlight w:val="none"/>
        </w:rPr>
      </w:pPr>
    </w:p>
    <w:p w14:paraId="2B985614">
      <w:pPr>
        <w:pStyle w:val="2"/>
        <w:spacing w:before="0" w:line="240" w:lineRule="atLeast"/>
        <w:ind w:left="565" w:leftChars="12" w:hanging="540"/>
        <w:rPr>
          <w:rFonts w:hint="eastAsia" w:ascii="仿宋" w:hAnsi="仿宋" w:eastAsia="仿宋" w:cs="仿宋"/>
          <w:color w:val="auto"/>
          <w:sz w:val="28"/>
          <w:highlight w:val="none"/>
        </w:rPr>
      </w:pPr>
      <w:bookmarkStart w:id="29" w:name="_Toc21566"/>
      <w:bookmarkStart w:id="30" w:name="_Toc4365"/>
      <w:bookmarkStart w:id="31" w:name="_Toc515647762"/>
      <w:bookmarkStart w:id="32" w:name="_Toc520356146"/>
      <w:bookmarkStart w:id="33" w:name="_Toc216582806"/>
      <w:bookmarkStart w:id="34" w:name="_Toc7973"/>
      <w:r>
        <w:rPr>
          <w:rFonts w:hint="eastAsia" w:ascii="仿宋" w:hAnsi="仿宋" w:eastAsia="仿宋" w:cs="仿宋"/>
          <w:color w:val="auto"/>
          <w:sz w:val="28"/>
          <w:highlight w:val="none"/>
        </w:rPr>
        <w:t>二   竞争性磋商文件</w:t>
      </w:r>
      <w:bookmarkEnd w:id="29"/>
      <w:bookmarkEnd w:id="30"/>
      <w:bookmarkEnd w:id="31"/>
      <w:bookmarkEnd w:id="32"/>
      <w:bookmarkEnd w:id="33"/>
      <w:bookmarkEnd w:id="34"/>
    </w:p>
    <w:p w14:paraId="11D2E781">
      <w:pPr>
        <w:pStyle w:val="5"/>
        <w:rPr>
          <w:rFonts w:hint="eastAsia" w:ascii="仿宋" w:hAnsi="仿宋" w:eastAsia="仿宋" w:cs="仿宋"/>
          <w:color w:val="auto"/>
          <w:highlight w:val="none"/>
        </w:rPr>
      </w:pPr>
    </w:p>
    <w:p w14:paraId="041C0890">
      <w:pPr>
        <w:spacing w:line="360" w:lineRule="auto"/>
        <w:outlineLvl w:val="1"/>
        <w:rPr>
          <w:rFonts w:hint="eastAsia" w:ascii="仿宋" w:hAnsi="仿宋" w:eastAsia="仿宋" w:cs="仿宋"/>
          <w:b/>
          <w:bCs/>
          <w:color w:val="auto"/>
          <w:sz w:val="22"/>
          <w:szCs w:val="28"/>
          <w:highlight w:val="none"/>
        </w:rPr>
      </w:pPr>
      <w:bookmarkStart w:id="35" w:name="_Toc25743"/>
      <w:bookmarkStart w:id="36" w:name="_Toc515647763"/>
      <w:bookmarkStart w:id="37" w:name="_Toc14084"/>
      <w:bookmarkStart w:id="38" w:name="_Toc520356147"/>
      <w:bookmarkStart w:id="39" w:name="_Toc11271"/>
      <w:r>
        <w:rPr>
          <w:rFonts w:hint="eastAsia" w:ascii="仿宋" w:hAnsi="仿宋" w:eastAsia="仿宋" w:cs="仿宋"/>
          <w:b/>
          <w:bCs/>
          <w:color w:val="auto"/>
          <w:sz w:val="22"/>
          <w:szCs w:val="28"/>
          <w:highlight w:val="none"/>
        </w:rPr>
        <w:t>5.竞争性磋商文件构成</w:t>
      </w:r>
      <w:bookmarkEnd w:id="35"/>
      <w:bookmarkEnd w:id="36"/>
      <w:bookmarkEnd w:id="37"/>
      <w:bookmarkEnd w:id="38"/>
      <w:bookmarkEnd w:id="39"/>
    </w:p>
    <w:p w14:paraId="10D51B2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5.1竞争性磋商文件共分为7章，内容如下：</w:t>
      </w:r>
    </w:p>
    <w:p w14:paraId="64B8D442">
      <w:pPr>
        <w:numPr>
          <w:ilvl w:val="0"/>
          <w:numId w:val="2"/>
        </w:num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供应商须知</w:t>
      </w:r>
    </w:p>
    <w:p w14:paraId="27990779">
      <w:pPr>
        <w:numPr>
          <w:ilvl w:val="0"/>
          <w:numId w:val="2"/>
        </w:num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竞争性磋商公告</w:t>
      </w:r>
    </w:p>
    <w:p w14:paraId="197D2A20">
      <w:pPr>
        <w:numPr>
          <w:ilvl w:val="0"/>
          <w:numId w:val="2"/>
        </w:num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供应商须知资料表</w:t>
      </w:r>
    </w:p>
    <w:p w14:paraId="1FB145E5">
      <w:pPr>
        <w:numPr>
          <w:ilvl w:val="0"/>
          <w:numId w:val="2"/>
        </w:num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货物需求一览表及技术规格</w:t>
      </w:r>
    </w:p>
    <w:p w14:paraId="78A6F5D7">
      <w:pPr>
        <w:numPr>
          <w:ilvl w:val="0"/>
          <w:numId w:val="2"/>
        </w:num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评审方法和标准</w:t>
      </w:r>
      <w:r>
        <w:rPr>
          <w:rFonts w:hint="eastAsia" w:ascii="仿宋" w:hAnsi="仿宋" w:eastAsia="仿宋" w:cs="仿宋"/>
          <w:color w:val="auto"/>
          <w:sz w:val="24"/>
          <w:highlight w:val="none"/>
        </w:rPr>
        <w:tab/>
      </w:r>
    </w:p>
    <w:p w14:paraId="4986642A">
      <w:pPr>
        <w:numPr>
          <w:ilvl w:val="0"/>
          <w:numId w:val="2"/>
        </w:num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响应文件格式</w:t>
      </w:r>
    </w:p>
    <w:p w14:paraId="5E02C24C">
      <w:pPr>
        <w:numPr>
          <w:ilvl w:val="0"/>
          <w:numId w:val="2"/>
        </w:num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政府采购合同格式</w:t>
      </w:r>
    </w:p>
    <w:p w14:paraId="6F729A2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5.2 竞争性磋商文件中有不一致的，有澄清的部分以最终的澄清更正内容为准；未澄清的，以供应商须知资料表为准；供应商须知资料表不涉及的内容，以编排在后的描述为准。</w:t>
      </w:r>
    </w:p>
    <w:p w14:paraId="15F97475">
      <w:pPr>
        <w:spacing w:line="360" w:lineRule="auto"/>
        <w:ind w:firstLine="480" w:firstLineChars="200"/>
        <w:rPr>
          <w:rFonts w:hint="eastAsia" w:ascii="仿宋" w:hAnsi="仿宋" w:eastAsia="仿宋" w:cs="仿宋"/>
          <w:b/>
          <w:color w:val="auto"/>
          <w:sz w:val="24"/>
          <w:highlight w:val="none"/>
        </w:rPr>
      </w:pPr>
      <w:r>
        <w:rPr>
          <w:rFonts w:hint="eastAsia" w:ascii="仿宋" w:hAnsi="仿宋" w:eastAsia="仿宋" w:cs="仿宋"/>
          <w:color w:val="auto"/>
          <w:sz w:val="24"/>
          <w:highlight w:val="none"/>
        </w:rPr>
        <w:t>5.3 供应商应认真阅读竞争性磋商文件所有的事项、格式、条款和技术规范等。如供应商没有按照竞争性磋商文件要求提交全部资料，或者响应文件没有对竞争性磋商文件在各方面都做出实质性响应，可能导致其响应文件将被认定为无效，该风险由供应商承担。</w:t>
      </w:r>
      <w:bookmarkStart w:id="40" w:name="_Toc520356148"/>
      <w:bookmarkStart w:id="41" w:name="_Toc515904805"/>
      <w:bookmarkStart w:id="42" w:name="_Toc9232"/>
      <w:bookmarkStart w:id="43" w:name="_Toc26044"/>
    </w:p>
    <w:p w14:paraId="0A1C087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5.4 响应文件以中文编印，且以中文为准。</w:t>
      </w:r>
    </w:p>
    <w:p w14:paraId="58D1527C">
      <w:pPr>
        <w:spacing w:line="360" w:lineRule="auto"/>
        <w:ind w:firstLine="480" w:firstLineChars="200"/>
        <w:rPr>
          <w:rFonts w:hint="eastAsia" w:ascii="仿宋" w:hAnsi="仿宋" w:eastAsia="仿宋" w:cs="仿宋"/>
          <w:color w:val="auto"/>
          <w:sz w:val="24"/>
          <w:highlight w:val="none"/>
          <w:lang w:val="en-GB"/>
        </w:rPr>
      </w:pPr>
      <w:r>
        <w:rPr>
          <w:rFonts w:hint="eastAsia" w:ascii="仿宋" w:hAnsi="仿宋" w:eastAsia="仿宋" w:cs="仿宋"/>
          <w:color w:val="auto"/>
          <w:sz w:val="24"/>
          <w:highlight w:val="none"/>
        </w:rPr>
        <w:t>5.5 除非有特殊要求，磋商文件不单独提供响应货物使用地的自然环境、气候条件、公用设施等情况，供应商被视为熟悉上述与履行合同有关的一切情况。</w:t>
      </w:r>
    </w:p>
    <w:p w14:paraId="59E882C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5.6 现场考察或者答疑会及相关事项见供应商须知资料表。</w:t>
      </w:r>
    </w:p>
    <w:p w14:paraId="34532E3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5.6.1 磋商文件第3章“供应商须知资料表”规定组织踏勘现场的，采购人按规定的时间、地点组织供应商踏勘项目现场，踏勘现场所发生的费用由供应商承担。</w:t>
      </w:r>
    </w:p>
    <w:p w14:paraId="57B36AB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5.6.2 采购人向供应商提供的有关现场的资料和数据，是采购人现有的能使供应商利用的资料，采购人对供应商由此而做出的推论、理解和结论概不负责。</w:t>
      </w:r>
    </w:p>
    <w:p w14:paraId="7188E63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5.6.3 供应商经过采购人的允许，可进入项目现场踏勘，对供货（或施工）现场及其范围环境进行考察，以获取有关编制响应文件和签署实施合同所需的各项资料，但供应商及其人员不得因此使采购人及其人员承担有关的责任和蒙受损失。供应商并应对由此次踏勘现场而造成的死亡、人身伤害、财产损失、损害以及任何其他损失、损害和引起的费用和开支承担责任。</w:t>
      </w:r>
    </w:p>
    <w:p w14:paraId="5AA3659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5.7 不论采购结果如何，供应商的响应文件（含电子版）均不退还。</w:t>
      </w:r>
    </w:p>
    <w:p w14:paraId="03E6049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5.8 除磋商文件中另有规定外，磋商文件所使用的时间单位“天”、“日”均指日历天，且所有时刻均为北京时间。</w:t>
      </w:r>
    </w:p>
    <w:p w14:paraId="7969DDE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5.9 参与采购活动的各方应对响应文件的商业和技术等秘密保密，违者应对由此造成的后果承担法律责任。</w:t>
      </w:r>
    </w:p>
    <w:p w14:paraId="2351B658">
      <w:pPr>
        <w:spacing w:line="360" w:lineRule="auto"/>
        <w:ind w:firstLine="480" w:firstLineChars="200"/>
        <w:rPr>
          <w:rFonts w:hint="eastAsia" w:ascii="仿宋" w:hAnsi="仿宋" w:eastAsia="仿宋" w:cs="仿宋"/>
          <w:color w:val="auto"/>
          <w:sz w:val="24"/>
          <w:highlight w:val="none"/>
          <w:lang w:val="en-GB"/>
        </w:rPr>
      </w:pPr>
      <w:r>
        <w:rPr>
          <w:rFonts w:hint="eastAsia" w:ascii="仿宋" w:hAnsi="仿宋" w:eastAsia="仿宋" w:cs="仿宋"/>
          <w:color w:val="auto"/>
          <w:sz w:val="24"/>
          <w:highlight w:val="none"/>
        </w:rPr>
        <w:t>5.10 供应商应自行承担其准备和参加采购活动发生的所有费用。不论结果如何，采购人及采购代理机构在任何情况下无义务也无责任承担这些费用。</w:t>
      </w:r>
    </w:p>
    <w:p w14:paraId="7447C32E">
      <w:pPr>
        <w:spacing w:line="360" w:lineRule="auto"/>
        <w:outlineLvl w:val="1"/>
        <w:rPr>
          <w:rFonts w:hint="eastAsia" w:ascii="仿宋" w:hAnsi="仿宋" w:eastAsia="仿宋" w:cs="仿宋"/>
          <w:b/>
          <w:bCs/>
          <w:color w:val="auto"/>
          <w:sz w:val="22"/>
          <w:szCs w:val="28"/>
          <w:highlight w:val="none"/>
        </w:rPr>
      </w:pPr>
      <w:bookmarkStart w:id="44" w:name="_Toc6674"/>
      <w:r>
        <w:rPr>
          <w:rFonts w:hint="eastAsia" w:ascii="仿宋" w:hAnsi="仿宋" w:eastAsia="仿宋" w:cs="仿宋"/>
          <w:b/>
          <w:bCs/>
          <w:color w:val="auto"/>
          <w:sz w:val="22"/>
          <w:szCs w:val="28"/>
          <w:highlight w:val="none"/>
        </w:rPr>
        <w:t>6.竞争性磋商文件的澄清</w:t>
      </w:r>
      <w:bookmarkEnd w:id="40"/>
      <w:bookmarkEnd w:id="41"/>
      <w:r>
        <w:rPr>
          <w:rFonts w:hint="eastAsia" w:ascii="仿宋" w:hAnsi="仿宋" w:eastAsia="仿宋" w:cs="仿宋"/>
          <w:b/>
          <w:bCs/>
          <w:color w:val="auto"/>
          <w:sz w:val="22"/>
          <w:szCs w:val="28"/>
          <w:highlight w:val="none"/>
        </w:rPr>
        <w:t>与修改</w:t>
      </w:r>
      <w:bookmarkEnd w:id="42"/>
      <w:bookmarkEnd w:id="43"/>
      <w:bookmarkEnd w:id="44"/>
    </w:p>
    <w:p w14:paraId="5D91C3A5">
      <w:pPr>
        <w:spacing w:line="360" w:lineRule="auto"/>
        <w:ind w:firstLine="480" w:firstLineChars="200"/>
        <w:rPr>
          <w:rFonts w:hint="eastAsia" w:ascii="仿宋" w:hAnsi="仿宋" w:eastAsia="仿宋" w:cs="仿宋"/>
          <w:color w:val="auto"/>
          <w:sz w:val="24"/>
          <w:highlight w:val="none"/>
        </w:rPr>
      </w:pPr>
      <w:bookmarkStart w:id="45" w:name="_Toc520356149"/>
      <w:bookmarkStart w:id="46" w:name="_Toc515904806"/>
      <w:bookmarkStart w:id="47" w:name="_Ref467378678"/>
      <w:bookmarkStart w:id="48" w:name="_Toc25635"/>
      <w:bookmarkStart w:id="49" w:name="_Toc14569"/>
      <w:r>
        <w:rPr>
          <w:rFonts w:hint="eastAsia" w:ascii="仿宋" w:hAnsi="仿宋" w:eastAsia="仿宋" w:cs="仿宋"/>
          <w:color w:val="auto"/>
          <w:sz w:val="24"/>
          <w:highlight w:val="none"/>
        </w:rPr>
        <w:t>6.1采购人可主动地或在解答供应商提出的澄清问题时对竞争性磋商文件澄清或修改。采购代理机构将以发布澄清（更正）公告的方式，澄清或修改竞争性磋商文件，澄清或修改内容作为竞争性磋商文件的组成部分。</w:t>
      </w:r>
    </w:p>
    <w:p w14:paraId="303F9869">
      <w:pPr>
        <w:pStyle w:val="5"/>
        <w:spacing w:line="360" w:lineRule="auto"/>
        <w:ind w:left="-1" w:firstLine="0"/>
        <w:rPr>
          <w:rFonts w:hint="eastAsia" w:ascii="仿宋" w:hAnsi="仿宋" w:eastAsia="仿宋" w:cs="仿宋"/>
          <w:color w:val="auto"/>
          <w:szCs w:val="24"/>
          <w:highlight w:val="none"/>
        </w:rPr>
      </w:pPr>
      <w:r>
        <w:rPr>
          <w:rFonts w:hint="eastAsia" w:ascii="仿宋" w:hAnsi="仿宋" w:eastAsia="仿宋" w:cs="仿宋"/>
          <w:color w:val="auto"/>
          <w:szCs w:val="24"/>
          <w:highlight w:val="none"/>
        </w:rPr>
        <w:t>6.2</w:t>
      </w:r>
      <w:r>
        <w:rPr>
          <w:rFonts w:hint="eastAsia" w:ascii="仿宋" w:hAnsi="仿宋" w:eastAsia="仿宋" w:cs="仿宋"/>
          <w:color w:val="auto"/>
          <w:szCs w:val="24"/>
          <w:highlight w:val="none"/>
        </w:rPr>
        <w:tab/>
      </w:r>
      <w:r>
        <w:rPr>
          <w:rFonts w:hint="eastAsia" w:ascii="仿宋_GB2312" w:hAnsi="仿宋_GB2312" w:eastAsia="仿宋_GB2312" w:cs="仿宋_GB2312"/>
          <w:color w:val="auto"/>
          <w:kern w:val="2"/>
          <w:highlight w:val="none"/>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r>
        <w:rPr>
          <w:rFonts w:hint="eastAsia" w:ascii="仿宋" w:hAnsi="仿宋" w:eastAsia="仿宋" w:cs="仿宋"/>
          <w:color w:val="auto"/>
          <w:szCs w:val="24"/>
          <w:highlight w:val="none"/>
        </w:rPr>
        <w:t>。</w:t>
      </w:r>
    </w:p>
    <w:p w14:paraId="433F05F9">
      <w:pPr>
        <w:pStyle w:val="5"/>
        <w:spacing w:line="360" w:lineRule="auto"/>
        <w:ind w:left="-1" w:firstLine="0"/>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因潜在供应商原因或通讯线路故障导致逾期送达或无法送达，采购代理机构不因此承担任何责任，有关的磋商采购活动可以继续有效进行。</w:t>
      </w:r>
    </w:p>
    <w:p w14:paraId="018DC2C3">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sz w:val="24"/>
          <w:highlight w:val="none"/>
        </w:rPr>
        <w:t>6.3供应商认为磋商文件存在歧视性条款或不合理要求等需要澄清的，应在规定时间内一次性全部提出。如在规定时间内，供应商对磋商文件中的各项条款未提出异议，即视为同意和接受磋商文件。</w:t>
      </w:r>
    </w:p>
    <w:p w14:paraId="6E1EE55A">
      <w:pPr>
        <w:spacing w:line="360" w:lineRule="auto"/>
        <w:outlineLvl w:val="1"/>
        <w:rPr>
          <w:rFonts w:hint="eastAsia" w:ascii="仿宋" w:hAnsi="仿宋" w:eastAsia="仿宋" w:cs="仿宋"/>
          <w:b/>
          <w:bCs/>
          <w:color w:val="auto"/>
          <w:sz w:val="22"/>
          <w:szCs w:val="28"/>
          <w:highlight w:val="none"/>
        </w:rPr>
      </w:pPr>
      <w:bookmarkStart w:id="50" w:name="_Toc3596"/>
      <w:r>
        <w:rPr>
          <w:rFonts w:hint="eastAsia" w:ascii="仿宋" w:hAnsi="仿宋" w:eastAsia="仿宋" w:cs="仿宋"/>
          <w:b/>
          <w:bCs/>
          <w:color w:val="auto"/>
          <w:sz w:val="22"/>
          <w:szCs w:val="28"/>
          <w:highlight w:val="none"/>
        </w:rPr>
        <w:t>7</w:t>
      </w:r>
      <w:bookmarkEnd w:id="45"/>
      <w:bookmarkEnd w:id="46"/>
      <w:bookmarkEnd w:id="47"/>
      <w:r>
        <w:rPr>
          <w:rFonts w:hint="eastAsia" w:ascii="仿宋" w:hAnsi="仿宋" w:eastAsia="仿宋" w:cs="仿宋"/>
          <w:b/>
          <w:bCs/>
          <w:color w:val="auto"/>
          <w:sz w:val="22"/>
          <w:szCs w:val="28"/>
          <w:highlight w:val="none"/>
        </w:rPr>
        <w:t>.提交响应文件截止时间的顺延</w:t>
      </w:r>
      <w:bookmarkEnd w:id="48"/>
      <w:bookmarkEnd w:id="49"/>
      <w:bookmarkEnd w:id="50"/>
    </w:p>
    <w:p w14:paraId="22C005C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为使供应商准备响应时有足够的时间对竞争性磋商文件的澄清或者修改部分进行研究，采购人将依法决定是否顺延提交响应文件截止时间。</w:t>
      </w:r>
    </w:p>
    <w:p w14:paraId="318F3D71">
      <w:pPr>
        <w:pStyle w:val="2"/>
        <w:tabs>
          <w:tab w:val="left" w:pos="900"/>
        </w:tabs>
        <w:spacing w:before="0" w:line="360" w:lineRule="auto"/>
        <w:ind w:left="565" w:leftChars="12" w:hanging="540"/>
        <w:rPr>
          <w:rFonts w:hint="eastAsia" w:ascii="仿宋" w:hAnsi="仿宋" w:eastAsia="仿宋" w:cs="仿宋"/>
          <w:color w:val="auto"/>
          <w:highlight w:val="none"/>
        </w:rPr>
      </w:pPr>
      <w:bookmarkStart w:id="51" w:name="_Toc516367020"/>
      <w:bookmarkStart w:id="52" w:name="_Toc216582807"/>
      <w:bookmarkStart w:id="53" w:name="_Toc17209"/>
      <w:bookmarkStart w:id="54" w:name="_Toc30808"/>
      <w:bookmarkStart w:id="55" w:name="_Toc515647766"/>
      <w:bookmarkStart w:id="56" w:name="_Toc520356150"/>
      <w:bookmarkStart w:id="57" w:name="_Toc7636"/>
      <w:r>
        <w:rPr>
          <w:rFonts w:hint="eastAsia" w:ascii="仿宋" w:hAnsi="仿宋" w:eastAsia="仿宋" w:cs="仿宋"/>
          <w:color w:val="auto"/>
          <w:sz w:val="28"/>
          <w:highlight w:val="none"/>
        </w:rPr>
        <w:t>三   响应文件</w:t>
      </w:r>
      <w:bookmarkEnd w:id="51"/>
      <w:r>
        <w:rPr>
          <w:rFonts w:hint="eastAsia" w:ascii="仿宋" w:hAnsi="仿宋" w:eastAsia="仿宋" w:cs="仿宋"/>
          <w:color w:val="auto"/>
          <w:sz w:val="28"/>
          <w:highlight w:val="none"/>
        </w:rPr>
        <w:t>的编制</w:t>
      </w:r>
      <w:bookmarkEnd w:id="52"/>
      <w:bookmarkEnd w:id="53"/>
      <w:bookmarkEnd w:id="54"/>
      <w:bookmarkEnd w:id="55"/>
      <w:bookmarkEnd w:id="56"/>
      <w:bookmarkEnd w:id="57"/>
      <w:bookmarkStart w:id="58" w:name="_Toc51176589"/>
    </w:p>
    <w:p w14:paraId="42203383">
      <w:pPr>
        <w:spacing w:line="360" w:lineRule="auto"/>
        <w:outlineLvl w:val="1"/>
        <w:rPr>
          <w:rFonts w:hint="eastAsia" w:ascii="仿宋" w:hAnsi="仿宋" w:eastAsia="仿宋" w:cs="仿宋"/>
          <w:b/>
          <w:bCs/>
          <w:color w:val="auto"/>
          <w:sz w:val="22"/>
          <w:szCs w:val="28"/>
          <w:highlight w:val="none"/>
        </w:rPr>
      </w:pPr>
      <w:bookmarkStart w:id="59" w:name="_Toc19984"/>
      <w:r>
        <w:rPr>
          <w:rFonts w:hint="eastAsia" w:ascii="仿宋" w:hAnsi="仿宋" w:eastAsia="仿宋" w:cs="仿宋"/>
          <w:b/>
          <w:bCs/>
          <w:color w:val="auto"/>
          <w:sz w:val="22"/>
          <w:szCs w:val="28"/>
          <w:highlight w:val="none"/>
        </w:rPr>
        <w:t>8. 编制要求</w:t>
      </w:r>
      <w:bookmarkEnd w:id="58"/>
      <w:bookmarkEnd w:id="59"/>
    </w:p>
    <w:p w14:paraId="0AB1478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8.1供应商应仔细阅读磋商文件的所有内容，按照磋商文件的要求及格式编制响应文件，并保证其真实性。若供应商没有按照磋商文件要求提交全部实质性要求资料或对实质性要求未作响应是供应商的风险，其响应文件将会被拒绝。</w:t>
      </w:r>
    </w:p>
    <w:p w14:paraId="6DA51C4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8.2 供应商对多个分包进行响应文件的，应以分包为单位编制响应文件，每一包响应文件均需满足磋商文件的签署、盖章要求。</w:t>
      </w:r>
    </w:p>
    <w:p w14:paraId="72BCCA0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8.3 封面设置</w:t>
      </w:r>
    </w:p>
    <w:p w14:paraId="4535730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响应文件材料封面设置包括：“响应文件”、项目名称、项目编号、所投包号、供应商名称。</w:t>
      </w:r>
    </w:p>
    <w:p w14:paraId="63A378D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8.4 供应商应按磋商文件的要求及格式编写其响应文件；不得缺少或留空任何磋商文件要求填写的表格或资料。</w:t>
      </w:r>
    </w:p>
    <w:p w14:paraId="3F7C8C0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8.5 供应商应编制响应文件目录、内容，标注连续页码。</w:t>
      </w:r>
    </w:p>
    <w:p w14:paraId="2F42E3EA">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sz w:val="24"/>
          <w:highlight w:val="none"/>
        </w:rPr>
        <w:t>8.6 关于兼投是否兼中要求详见：供应商须知资料表。</w:t>
      </w:r>
    </w:p>
    <w:p w14:paraId="5EA88AB2">
      <w:pPr>
        <w:spacing w:line="360" w:lineRule="auto"/>
        <w:outlineLvl w:val="1"/>
        <w:rPr>
          <w:rFonts w:hint="eastAsia" w:ascii="仿宋" w:hAnsi="仿宋" w:eastAsia="仿宋" w:cs="仿宋"/>
          <w:b/>
          <w:bCs/>
          <w:color w:val="auto"/>
          <w:sz w:val="22"/>
          <w:szCs w:val="28"/>
          <w:highlight w:val="none"/>
        </w:rPr>
      </w:pPr>
      <w:bookmarkStart w:id="60" w:name="_Toc21860"/>
      <w:bookmarkStart w:id="61" w:name="_Toc516367021"/>
      <w:bookmarkStart w:id="62" w:name="_Toc3553"/>
      <w:bookmarkStart w:id="63" w:name="_Toc520356151"/>
      <w:bookmarkStart w:id="64" w:name="_Toc515647767"/>
      <w:bookmarkStart w:id="65" w:name="_Toc7786"/>
      <w:r>
        <w:rPr>
          <w:rFonts w:hint="eastAsia" w:ascii="仿宋" w:hAnsi="仿宋" w:eastAsia="仿宋" w:cs="仿宋"/>
          <w:b/>
          <w:bCs/>
          <w:color w:val="auto"/>
          <w:sz w:val="22"/>
          <w:szCs w:val="28"/>
          <w:highlight w:val="none"/>
        </w:rPr>
        <w:t>9.响应范围及响应文件中标准和计量单位的使用</w:t>
      </w:r>
      <w:bookmarkEnd w:id="60"/>
      <w:bookmarkEnd w:id="61"/>
      <w:bookmarkEnd w:id="62"/>
      <w:bookmarkEnd w:id="63"/>
      <w:bookmarkEnd w:id="64"/>
      <w:bookmarkEnd w:id="65"/>
    </w:p>
    <w:p w14:paraId="146CCBAD">
      <w:pPr>
        <w:spacing w:line="360" w:lineRule="auto"/>
        <w:ind w:firstLine="480" w:firstLineChars="200"/>
        <w:rPr>
          <w:rFonts w:hint="eastAsia" w:ascii="仿宋" w:hAnsi="仿宋" w:eastAsia="仿宋" w:cs="仿宋"/>
          <w:color w:val="auto"/>
          <w:sz w:val="24"/>
          <w:highlight w:val="none"/>
        </w:rPr>
      </w:pPr>
      <w:bookmarkStart w:id="66" w:name="_Ref467306195"/>
      <w:bookmarkStart w:id="67" w:name="_Ref467306676"/>
      <w:bookmarkStart w:id="68" w:name="_Toc516367022"/>
      <w:bookmarkStart w:id="69" w:name="_Toc10364"/>
      <w:bookmarkStart w:id="70" w:name="_Toc520356152"/>
      <w:bookmarkStart w:id="71" w:name="_Toc515647768"/>
      <w:bookmarkStart w:id="72" w:name="_Toc28307"/>
      <w:r>
        <w:rPr>
          <w:rFonts w:hint="eastAsia" w:ascii="仿宋" w:hAnsi="仿宋" w:eastAsia="仿宋" w:cs="仿宋"/>
          <w:color w:val="auto"/>
          <w:sz w:val="24"/>
          <w:highlight w:val="none"/>
        </w:rPr>
        <w:t>9.1供应商可对竞争性磋商文件其中一个或几个分包进行响应。除非在供应商须知资料表中另有规定。</w:t>
      </w:r>
    </w:p>
    <w:p w14:paraId="27D29DA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9.2 供应商应当对竞争性磋商文件中“货物需求一览表及技术规格”所列的所有内容进行响应，如仅响应某一包中的部分内容，其响应文件将被认定为无效。</w:t>
      </w:r>
    </w:p>
    <w:p w14:paraId="3A2CA78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9.3 无论竞争性磋商文件第4章货物需求一览表及技术规格中是否要求，供应商所报货物均应符合国家强制性标准。</w:t>
      </w:r>
    </w:p>
    <w:p w14:paraId="609E4C3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9.4 除竞争性磋商文件中有特殊要求外，响应文件中所使用的计量单位，应采用中华人民共和国法定计量单位。</w:t>
      </w:r>
    </w:p>
    <w:p w14:paraId="773C5563">
      <w:pPr>
        <w:spacing w:line="360" w:lineRule="auto"/>
        <w:outlineLvl w:val="1"/>
        <w:rPr>
          <w:rFonts w:hint="eastAsia" w:ascii="仿宋" w:hAnsi="仿宋" w:eastAsia="仿宋" w:cs="仿宋"/>
          <w:b/>
          <w:bCs/>
          <w:color w:val="auto"/>
          <w:sz w:val="22"/>
          <w:szCs w:val="28"/>
          <w:highlight w:val="none"/>
        </w:rPr>
      </w:pPr>
      <w:bookmarkStart w:id="73" w:name="_Toc4878"/>
      <w:r>
        <w:rPr>
          <w:rFonts w:hint="eastAsia" w:ascii="仿宋" w:hAnsi="仿宋" w:eastAsia="仿宋" w:cs="仿宋"/>
          <w:b/>
          <w:bCs/>
          <w:color w:val="auto"/>
          <w:sz w:val="22"/>
          <w:szCs w:val="28"/>
          <w:highlight w:val="none"/>
        </w:rPr>
        <w:t>10.响应文件</w:t>
      </w:r>
      <w:bookmarkEnd w:id="66"/>
      <w:bookmarkEnd w:id="67"/>
      <w:bookmarkEnd w:id="68"/>
      <w:r>
        <w:rPr>
          <w:rFonts w:hint="eastAsia" w:ascii="仿宋" w:hAnsi="仿宋" w:eastAsia="仿宋" w:cs="仿宋"/>
          <w:b/>
          <w:bCs/>
          <w:color w:val="auto"/>
          <w:sz w:val="22"/>
          <w:szCs w:val="28"/>
          <w:highlight w:val="none"/>
        </w:rPr>
        <w:t>构成</w:t>
      </w:r>
      <w:bookmarkEnd w:id="69"/>
      <w:bookmarkEnd w:id="70"/>
      <w:bookmarkEnd w:id="71"/>
      <w:bookmarkEnd w:id="72"/>
      <w:bookmarkEnd w:id="73"/>
    </w:p>
    <w:p w14:paraId="1A8A819F">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bookmarkStart w:id="74" w:name="_Ref467052588"/>
      <w:r>
        <w:rPr>
          <w:rFonts w:hint="eastAsia" w:ascii="仿宋" w:hAnsi="仿宋" w:eastAsia="仿宋" w:cs="仿宋"/>
          <w:color w:val="auto"/>
          <w:sz w:val="24"/>
          <w:highlight w:val="none"/>
        </w:rPr>
        <w:t>10.1 供应商应完整地按竞争性磋商文件提供的响应文件格式及要求编写响应文件。竞争性磋商文件中资格审查和符合性审查涉及的事项不满足竞争性磋商文件要求的，其响应文件将被认定为无效。</w:t>
      </w:r>
    </w:p>
    <w:p w14:paraId="5FFBDDB6">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10.2 上述文件应按照竞争性磋商文件规定的要求进行签署和盖公章。</w:t>
      </w:r>
    </w:p>
    <w:p w14:paraId="4F7B8B28">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10.3 供应商应提交证明文件，证明其提供内容符合竞争性磋商文件规定。该证明文件是响应文件的一部分。</w:t>
      </w:r>
    </w:p>
    <w:p w14:paraId="448D4550">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10.4上款所述的证明文件，可以是文字资料、图纸和数据等。</w:t>
      </w:r>
    </w:p>
    <w:p w14:paraId="189AE761">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 供应商提交的响应文件应包含以下各个部分，具体组成内容见第6章响应文件格式。</w:t>
      </w:r>
    </w:p>
    <w:p w14:paraId="4E654369">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10.5.1商务部分</w:t>
      </w:r>
    </w:p>
    <w:p w14:paraId="1810D8B5">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10.5.2资信部分</w:t>
      </w:r>
    </w:p>
    <w:p w14:paraId="4D621E51">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10.5.2.1供应商须对提交的资格证明真实性、有效性、完整性负责，并保证无不诚信记录。</w:t>
      </w:r>
    </w:p>
    <w:p w14:paraId="77FE5B3E">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10.5.2.2资格证明的字迹、印章必须完整、清晰，否则其响应文件将会被拒绝。</w:t>
      </w:r>
    </w:p>
    <w:p w14:paraId="455D0923">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10.5.2.3如若响应文件资信部分出现瑕疵，而供应商未能在规定时间内提供原件核验的，其响应文件将被拒绝。</w:t>
      </w:r>
    </w:p>
    <w:p w14:paraId="190D550F">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10.5.3技术部分</w:t>
      </w:r>
    </w:p>
    <w:p w14:paraId="027334E5">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10.5.3.1证明货物的合格性和符合磋商文件规定的技术资料</w:t>
      </w:r>
    </w:p>
    <w:p w14:paraId="356F468A">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10.5.3.2货物主要技术指标和性能的详细说明，并保证所供货物必须是全新的、未使用过的。</w:t>
      </w:r>
    </w:p>
    <w:p w14:paraId="2485BF4E">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10.5.3.3供应商应提交证明其拟提供货物的合格性符合磋商文件规定的有效技术（印刷体）支持资料，并作为响应文件的一部分。技术支持资料以制造商公开发布的印刷资料或检测机构出具的检测报告为准。若制造商公开发布的印刷资料与检测机构出具的检测报告不一致，以检测机构出具的检测报告为准。</w:t>
      </w:r>
    </w:p>
    <w:p w14:paraId="391282D5">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10.5.3.4如制造商公开发布的印刷资料或检测机构出具的检测报告不能完全证明其所投货物满足磋商文件要求的，或无法提供印刷资料或检测机构出具的检测报告的，供应商可提供以下资料：</w:t>
      </w:r>
    </w:p>
    <w:p w14:paraId="4EF5AB3B">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（1）制造商官方网站下载的技术证明材料，并注明网址备查；</w:t>
      </w:r>
    </w:p>
    <w:p w14:paraId="4B4E9FA1">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（2）所投货物的详细技术描述并由制造商或省级及以上固定代理商盖章确认，注明确认方联系方式备查；</w:t>
      </w:r>
    </w:p>
    <w:p w14:paraId="199C877B">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10.5.3.5保证货物在质保期内正常、连续使用所必需的备品备件和专用工具清单及其货源地与价格；</w:t>
      </w:r>
    </w:p>
    <w:p w14:paraId="0A3B348E">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10.5.3.6供应商在详细阐述货物的主要技术指标和性能说明时，应注意磋商文件第4章技术要求及说明中指出的工艺、材料和货物标准以及参照的品牌或文字叙述仅起说明作用，并无任何限制性，供应商可选用替代标准、品牌或文字叙述，但这些替代要实质上满足技术规格及参数要求。</w:t>
      </w:r>
    </w:p>
    <w:p w14:paraId="1C10E66E">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10.5.3.7如果供应商未提供详细的技术资料证明其所投货物是否响应磋商文件，而采取复制磋商文件技术规格相关部分的，其响应文件将被拒绝。</w:t>
      </w:r>
    </w:p>
    <w:p w14:paraId="43DA2741">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10.5.3.8供应商必须对所提供货物（如机械、电子、仪器仪表、软件、商标等）知识产权方面的一切产权关系负全部责任，由此而引起的法律纠纷及费用，供应商须全部承担。</w:t>
      </w:r>
    </w:p>
    <w:p w14:paraId="11D36622">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10.5.4关于“技术响应表”的特别说明</w:t>
      </w:r>
    </w:p>
    <w:p w14:paraId="1D8E1645">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10.5.4.1 为合理节约政府采购评审成本，提倡诚实信用的磋商行为，特别要求供应商应本着诚信精神，在本次响应文件的“技术响应表”中，均以审慎的态度明确、清楚地披露各项响应情况。供应商须对照磋商文件技术规格、参数与要求，逐条说明所投货物与服务是否做出了实质性响应，</w:t>
      </w:r>
    </w:p>
    <w:p w14:paraId="27AA720A">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10.5.4.2 响应程度分为“无偏离”、“正偏离”、“负偏离”。</w:t>
      </w:r>
    </w:p>
    <w:p w14:paraId="3F5AA468">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10.5.4.2.1 “正偏离”是指所投产品或方案的技术及功能相比磋商文件的要求技术更先进、档次更高、更适合采购人使用。标注“正偏离”的，供应商必须注明认为“正偏离”的理由。</w:t>
      </w:r>
    </w:p>
    <w:p w14:paraId="36D1CA51">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10.5.4.2.2 “负偏离”是指所投产品或方案的技术及功能相比磋商文件的要求存在瑕疵和不足。</w:t>
      </w:r>
    </w:p>
    <w:p w14:paraId="1116159F">
      <w:pPr>
        <w:tabs>
          <w:tab w:val="left" w:pos="900"/>
          <w:tab w:val="left" w:pos="5580"/>
        </w:tabs>
        <w:spacing w:line="360" w:lineRule="auto"/>
        <w:ind w:firstLine="480" w:firstLineChars="200"/>
        <w:jc w:val="left"/>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t xml:space="preserve">10.5.4.2.3 </w:t>
      </w:r>
      <w:r>
        <w:rPr>
          <w:rFonts w:hint="eastAsia" w:ascii="仿宋" w:hAnsi="仿宋" w:eastAsia="仿宋" w:cs="仿宋"/>
          <w:b/>
          <w:bCs/>
          <w:color w:val="auto"/>
          <w:sz w:val="24"/>
          <w:highlight w:val="none"/>
        </w:rPr>
        <w:t>本次磋商不允许供应商完全复制粘贴磋商文件的技术要求作为其响应文件的响应情况。</w:t>
      </w:r>
    </w:p>
    <w:p w14:paraId="1B3B3430">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10.5.5关于质保期的特别说明</w:t>
      </w:r>
    </w:p>
    <w:p w14:paraId="05B3460F">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10.5.5.1 本次磋商项目质保期见供应商须知资料表或第4章技术要求及说明。</w:t>
      </w:r>
    </w:p>
    <w:bookmarkEnd w:id="74"/>
    <w:p w14:paraId="285AD40A">
      <w:pPr>
        <w:tabs>
          <w:tab w:val="left" w:pos="900"/>
          <w:tab w:val="left" w:pos="5580"/>
        </w:tabs>
        <w:spacing w:line="360" w:lineRule="auto"/>
        <w:ind w:firstLine="480" w:firstLineChars="200"/>
        <w:jc w:val="left"/>
        <w:rPr>
          <w:rFonts w:hint="eastAsia" w:ascii="仿宋" w:hAnsi="仿宋" w:eastAsia="仿宋" w:cs="仿宋"/>
          <w:color w:val="auto"/>
          <w:sz w:val="24"/>
          <w:highlight w:val="none"/>
        </w:rPr>
      </w:pPr>
      <w:bookmarkStart w:id="75" w:name="_Toc4601"/>
      <w:bookmarkStart w:id="76" w:name="_Toc10379"/>
      <w:bookmarkStart w:id="77" w:name="_Toc520356153"/>
      <w:bookmarkStart w:id="78" w:name="_Toc515647769"/>
      <w:bookmarkStart w:id="79" w:name="_Toc516367023"/>
      <w:r>
        <w:rPr>
          <w:rFonts w:hint="eastAsia" w:ascii="仿宋" w:hAnsi="仿宋" w:eastAsia="仿宋" w:cs="仿宋"/>
          <w:color w:val="auto"/>
          <w:sz w:val="24"/>
          <w:highlight w:val="none"/>
        </w:rPr>
        <w:t>10.6 证明响应标的的合格性和符合竞争性磋商文件规定的技术文件</w:t>
      </w:r>
      <w:bookmarkEnd w:id="75"/>
      <w:bookmarkEnd w:id="76"/>
      <w:bookmarkEnd w:id="77"/>
      <w:bookmarkEnd w:id="78"/>
      <w:bookmarkEnd w:id="79"/>
    </w:p>
    <w:p w14:paraId="588B76A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10.6.1</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供应商应提交证明文件，证明其响应内容符合竞争性磋商文件规定。该证明文件是响应文件的一部分。</w:t>
      </w:r>
    </w:p>
    <w:p w14:paraId="7EC9B4B2">
      <w:pPr>
        <w:spacing w:line="360" w:lineRule="auto"/>
        <w:ind w:firstLine="480" w:firstLineChars="200"/>
        <w:rPr>
          <w:rFonts w:hint="eastAsia" w:ascii="仿宋" w:hAnsi="仿宋" w:eastAsia="仿宋" w:cs="仿宋"/>
          <w:color w:val="auto"/>
          <w:sz w:val="24"/>
          <w:highlight w:val="none"/>
        </w:rPr>
      </w:pPr>
      <w:bookmarkStart w:id="80" w:name="_Ref467306244"/>
      <w:r>
        <w:rPr>
          <w:rFonts w:hint="eastAsia" w:ascii="仿宋" w:hAnsi="仿宋" w:eastAsia="仿宋" w:cs="仿宋"/>
          <w:color w:val="auto"/>
          <w:sz w:val="24"/>
          <w:highlight w:val="none"/>
        </w:rPr>
        <w:t>10.6.2</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上款所述的证明文件，可以是文字资料、图纸和数据，</w:t>
      </w:r>
      <w:bookmarkEnd w:id="80"/>
      <w:r>
        <w:rPr>
          <w:rFonts w:hint="eastAsia" w:ascii="仿宋" w:hAnsi="仿宋" w:eastAsia="仿宋" w:cs="仿宋"/>
          <w:color w:val="auto"/>
          <w:sz w:val="24"/>
          <w:highlight w:val="none"/>
        </w:rPr>
        <w:t>它包括：</w:t>
      </w:r>
    </w:p>
    <w:p w14:paraId="36989BA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10.6.2.1货物主要技术规格和性能的详细说明；</w:t>
      </w:r>
    </w:p>
    <w:p w14:paraId="2F39790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10.6.2.2货物从采购人开始使用至竞争性磋商文件规定的保质期内正常、连续地使用所必需的备件和专用工具清单，包括备件和专用工具的货源及现行价格；</w:t>
      </w:r>
    </w:p>
    <w:p w14:paraId="791C1C6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10.6.2.3对照竞争性磋商文件技术规格，逐条说明所提供货物及伴随的服务已对竞争性磋商文件的技术规格做出了实质性的响应，或申明与技术规格条文的偏差和例外。</w:t>
      </w:r>
    </w:p>
    <w:p w14:paraId="0AFD076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10.6.3 本条所指证明文件不包括对竞争性磋商文件相关部分的文字、图标的复制。</w:t>
      </w:r>
    </w:p>
    <w:p w14:paraId="7109B74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10.6.4</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货物安装、验收标准；</w:t>
      </w:r>
    </w:p>
    <w:p w14:paraId="7E0E67BB">
      <w:pPr>
        <w:spacing w:line="360" w:lineRule="auto"/>
        <w:ind w:firstLine="480" w:firstLineChars="200"/>
        <w:rPr>
          <w:rFonts w:hint="eastAsia" w:ascii="仿宋" w:hAnsi="仿宋" w:eastAsia="仿宋" w:cs="仿宋"/>
          <w:b/>
          <w:color w:val="auto"/>
          <w:kern w:val="0"/>
          <w:szCs w:val="21"/>
          <w:highlight w:val="none"/>
        </w:rPr>
      </w:pPr>
      <w:r>
        <w:rPr>
          <w:rFonts w:hint="eastAsia" w:ascii="仿宋" w:hAnsi="仿宋" w:eastAsia="仿宋" w:cs="仿宋"/>
          <w:color w:val="auto"/>
          <w:sz w:val="24"/>
          <w:highlight w:val="none"/>
        </w:rPr>
        <w:t>10.6.5售后服务网点明细表（包括联系人、详细地址、电话、传真）；</w:t>
      </w:r>
    </w:p>
    <w:p w14:paraId="270D5BD4">
      <w:pPr>
        <w:spacing w:line="360" w:lineRule="auto"/>
        <w:outlineLvl w:val="1"/>
        <w:rPr>
          <w:rFonts w:hint="eastAsia" w:ascii="仿宋" w:hAnsi="仿宋" w:eastAsia="仿宋" w:cs="仿宋"/>
          <w:b/>
          <w:bCs/>
          <w:color w:val="auto"/>
          <w:sz w:val="22"/>
          <w:szCs w:val="28"/>
          <w:highlight w:val="none"/>
        </w:rPr>
      </w:pPr>
      <w:bookmarkStart w:id="81" w:name="_Toc515647770"/>
      <w:bookmarkStart w:id="82" w:name="_Toc2248"/>
      <w:bookmarkStart w:id="83" w:name="_Toc23231"/>
      <w:bookmarkStart w:id="84" w:name="_Toc520356155"/>
      <w:bookmarkStart w:id="85" w:name="_Toc15761"/>
      <w:r>
        <w:rPr>
          <w:rFonts w:hint="eastAsia" w:ascii="仿宋" w:hAnsi="仿宋" w:eastAsia="仿宋" w:cs="仿宋"/>
          <w:b/>
          <w:bCs/>
          <w:color w:val="auto"/>
          <w:sz w:val="22"/>
          <w:szCs w:val="28"/>
          <w:highlight w:val="none"/>
        </w:rPr>
        <w:t>11.</w:t>
      </w:r>
      <w:bookmarkEnd w:id="81"/>
      <w:bookmarkEnd w:id="82"/>
      <w:bookmarkEnd w:id="83"/>
      <w:bookmarkEnd w:id="84"/>
      <w:r>
        <w:rPr>
          <w:rFonts w:hint="eastAsia" w:ascii="仿宋" w:hAnsi="仿宋" w:eastAsia="仿宋" w:cs="仿宋"/>
          <w:b/>
          <w:bCs/>
          <w:color w:val="auto"/>
          <w:sz w:val="22"/>
          <w:szCs w:val="28"/>
          <w:highlight w:val="none"/>
        </w:rPr>
        <w:t>报价</w:t>
      </w:r>
      <w:bookmarkEnd w:id="85"/>
    </w:p>
    <w:p w14:paraId="5D4B7F4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11.1供应商的报价应当包括满足本次磋商全部采购需求所应提供的货物，以及伴随的服务和工程。</w:t>
      </w:r>
      <w:r>
        <w:rPr>
          <w:rFonts w:hint="eastAsia" w:ascii="仿宋" w:hAnsi="仿宋" w:eastAsia="仿宋" w:cs="仿宋"/>
          <w:bCs/>
          <w:color w:val="auto"/>
          <w:sz w:val="24"/>
          <w:highlight w:val="none"/>
        </w:rPr>
        <w:t>报价要求详见供应商须知资料表。</w:t>
      </w:r>
      <w:r>
        <w:rPr>
          <w:rFonts w:hint="eastAsia" w:ascii="仿宋" w:hAnsi="仿宋" w:eastAsia="仿宋" w:cs="仿宋"/>
          <w:color w:val="auto"/>
          <w:sz w:val="24"/>
          <w:highlight w:val="none"/>
        </w:rPr>
        <w:t>供应商的报价应遵守《中华人民共和国价格法》。</w:t>
      </w:r>
    </w:p>
    <w:p w14:paraId="16AF3F0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11.2供应商应在分项报价表上标明响应货物及相关服务的单价（如适用）和总价。</w:t>
      </w:r>
    </w:p>
    <w:p w14:paraId="22E7866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11.3分项报价表上的价格应包括：响应货物（包括备品备件、专用工具等）的价格（包括已在中国国内的进口货物完税后的仓库交货价、展室交货价或货架交货价），响应货物运输（含保险）、安装（如有）、调试、检验、技术服务、培训和竞争性磋商文件要求提供的所有伴随服务、工程等费用。</w:t>
      </w:r>
    </w:p>
    <w:p w14:paraId="76DD610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11.4供应商所报的各分项单价在合同履行过程中是固定不变的，不得以任何理由予以变更。任何包含价格调整要求的响应文件，其响应文件将被认定为无效。</w:t>
      </w:r>
    </w:p>
    <w:p w14:paraId="464716B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11.5采购人不接受具有附加条件的报价或多个方案的报价。</w:t>
      </w:r>
    </w:p>
    <w:p w14:paraId="1620CD4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11.6 若技术要求及说明中未体现“允许采购进口产品”字样，供应商不允许采用进口产品报价。</w:t>
      </w:r>
    </w:p>
    <w:p w14:paraId="40ED3E4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11.7通过资格性审查和符合性审查的供应商有再次报价的机会，但每一次报价均应以书面形式确认。价格的评审以最终报价为准。</w:t>
      </w:r>
    </w:p>
    <w:p w14:paraId="08589C1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11.8 电子版响应文件</w:t>
      </w:r>
    </w:p>
    <w:p w14:paraId="04A1F49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11.8.1 电子版包含全部响应文件内容的可编辑格式以及完整的签字盖章后的响应文件正本PDF扫描件（含响应文件封面）。电子响应文件命名：见供应商须知资料表。</w:t>
      </w:r>
    </w:p>
    <w:p w14:paraId="0D9061B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11.8.2电子版介质为“U盘”。</w:t>
      </w:r>
    </w:p>
    <w:p w14:paraId="03F260E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11.8.3电子版响应文件作为响应文件的一部分，无论成交结果如何，均不退回。</w:t>
      </w:r>
    </w:p>
    <w:p w14:paraId="6833ECB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11.8.4电子版响应文件单独密封，与响应文件同时递交。</w:t>
      </w:r>
    </w:p>
    <w:p w14:paraId="2B801C2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11.9 供应商须知资料表规定供应商应提交样品的，样品构成磋商文件的组成部分。</w:t>
      </w:r>
    </w:p>
    <w:p w14:paraId="3DF764E6">
      <w:pPr>
        <w:spacing w:line="360" w:lineRule="auto"/>
        <w:outlineLvl w:val="1"/>
        <w:rPr>
          <w:rFonts w:hint="eastAsia" w:ascii="仿宋" w:hAnsi="仿宋" w:eastAsia="仿宋" w:cs="仿宋"/>
          <w:b/>
          <w:bCs/>
          <w:color w:val="auto"/>
          <w:sz w:val="22"/>
          <w:szCs w:val="28"/>
          <w:highlight w:val="none"/>
        </w:rPr>
      </w:pPr>
      <w:bookmarkStart w:id="86" w:name="_Toc14388"/>
      <w:bookmarkStart w:id="87" w:name="_Toc520356156"/>
      <w:bookmarkStart w:id="88" w:name="_Ref467306513"/>
      <w:bookmarkStart w:id="89" w:name="_Toc515647771"/>
      <w:bookmarkStart w:id="90" w:name="_Toc17788"/>
      <w:bookmarkStart w:id="91" w:name="_Toc11514"/>
      <w:r>
        <w:rPr>
          <w:rFonts w:hint="eastAsia" w:ascii="仿宋" w:hAnsi="仿宋" w:eastAsia="仿宋" w:cs="仿宋"/>
          <w:b/>
          <w:bCs/>
          <w:color w:val="auto"/>
          <w:sz w:val="22"/>
          <w:szCs w:val="28"/>
          <w:highlight w:val="none"/>
        </w:rPr>
        <w:t>12.磋商保证金</w:t>
      </w:r>
      <w:bookmarkEnd w:id="86"/>
      <w:bookmarkEnd w:id="87"/>
      <w:bookmarkEnd w:id="88"/>
      <w:bookmarkEnd w:id="89"/>
      <w:bookmarkEnd w:id="90"/>
      <w:bookmarkEnd w:id="91"/>
    </w:p>
    <w:p w14:paraId="127C1774">
      <w:pPr>
        <w:spacing w:line="360" w:lineRule="auto"/>
        <w:ind w:firstLine="480" w:firstLineChars="200"/>
        <w:rPr>
          <w:rFonts w:hint="eastAsia" w:ascii="仿宋" w:hAnsi="仿宋" w:eastAsia="仿宋" w:cs="仿宋"/>
          <w:color w:val="auto"/>
          <w:sz w:val="24"/>
          <w:highlight w:val="none"/>
        </w:rPr>
      </w:pPr>
      <w:bookmarkStart w:id="92" w:name="_Ref467306302"/>
      <w:bookmarkStart w:id="93" w:name="_Toc23590"/>
      <w:bookmarkStart w:id="94" w:name="_Toc32569"/>
      <w:bookmarkStart w:id="95" w:name="_Toc515647772"/>
      <w:bookmarkStart w:id="96" w:name="_Toc520356157"/>
      <w:r>
        <w:rPr>
          <w:rFonts w:hint="eastAsia" w:ascii="仿宋" w:hAnsi="仿宋" w:eastAsia="仿宋" w:cs="仿宋"/>
          <w:color w:val="auto"/>
          <w:sz w:val="24"/>
          <w:highlight w:val="none"/>
        </w:rPr>
        <w:t>12.1</w:t>
      </w:r>
      <w:bookmarkEnd w:id="92"/>
      <w:bookmarkStart w:id="97" w:name="_Hlk99716824"/>
      <w:r>
        <w:rPr>
          <w:rFonts w:hint="eastAsia" w:ascii="仿宋" w:hAnsi="仿宋" w:eastAsia="仿宋" w:cs="仿宋"/>
          <w:b/>
          <w:color w:val="auto"/>
          <w:sz w:val="24"/>
          <w:highlight w:val="none"/>
        </w:rPr>
        <w:t>根据鲁财采【2021】20号的规定，本项目不向诚信记录良好的供应商收取磋商保证金。</w:t>
      </w:r>
      <w:bookmarkEnd w:id="97"/>
    </w:p>
    <w:p w14:paraId="56342D3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12.2</w:t>
      </w:r>
      <w:r>
        <w:rPr>
          <w:rStyle w:val="41"/>
          <w:rFonts w:ascii="仿宋" w:hAnsi="仿宋" w:eastAsia="仿宋" w:cs="仿宋"/>
          <w:color w:val="auto"/>
          <w:sz w:val="24"/>
          <w:szCs w:val="24"/>
          <w:highlight w:val="none"/>
        </w:rPr>
        <w:t>供应商在磋商过程及成交后如有违反法律法规的情形，采购代理机构将如实上报</w:t>
      </w:r>
      <w:r>
        <w:rPr>
          <w:rStyle w:val="41"/>
          <w:rFonts w:ascii="仿宋" w:hAnsi="仿宋" w:eastAsia="仿宋" w:cs="仿宋"/>
          <w:color w:val="auto"/>
          <w:sz w:val="24"/>
          <w:highlight w:val="none"/>
        </w:rPr>
        <w:t>政府采购</w:t>
      </w:r>
      <w:r>
        <w:rPr>
          <w:rStyle w:val="41"/>
          <w:rFonts w:ascii="仿宋" w:hAnsi="仿宋" w:eastAsia="仿宋" w:cs="仿宋"/>
          <w:color w:val="auto"/>
          <w:sz w:val="24"/>
          <w:szCs w:val="24"/>
          <w:highlight w:val="none"/>
        </w:rPr>
        <w:t>监管部门。</w:t>
      </w:r>
    </w:p>
    <w:p w14:paraId="04531224">
      <w:pPr>
        <w:spacing w:line="360" w:lineRule="auto"/>
        <w:outlineLvl w:val="1"/>
        <w:rPr>
          <w:rFonts w:hint="eastAsia" w:ascii="仿宋" w:hAnsi="仿宋" w:eastAsia="仿宋" w:cs="仿宋"/>
          <w:b/>
          <w:bCs/>
          <w:color w:val="auto"/>
          <w:sz w:val="22"/>
          <w:szCs w:val="28"/>
          <w:highlight w:val="none"/>
        </w:rPr>
      </w:pPr>
      <w:bookmarkStart w:id="98" w:name="_Toc11191"/>
      <w:r>
        <w:rPr>
          <w:rFonts w:hint="eastAsia" w:ascii="仿宋" w:hAnsi="仿宋" w:eastAsia="仿宋" w:cs="仿宋"/>
          <w:b/>
          <w:bCs/>
          <w:color w:val="auto"/>
          <w:sz w:val="22"/>
          <w:szCs w:val="28"/>
          <w:highlight w:val="none"/>
        </w:rPr>
        <w:t>13.响应有效期</w:t>
      </w:r>
      <w:bookmarkEnd w:id="93"/>
      <w:bookmarkEnd w:id="94"/>
      <w:bookmarkEnd w:id="95"/>
      <w:bookmarkEnd w:id="96"/>
      <w:bookmarkEnd w:id="98"/>
    </w:p>
    <w:p w14:paraId="60D69EE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13.1响应应在供应商须知资料表中规定时间内保持有效。响应有效期不满足要求的响应，其响应文件将被认定为无效。</w:t>
      </w:r>
    </w:p>
    <w:p w14:paraId="1C9CA415">
      <w:pPr>
        <w:spacing w:line="360" w:lineRule="auto"/>
        <w:ind w:firstLine="480" w:firstLineChars="200"/>
        <w:rPr>
          <w:rFonts w:hint="eastAsia" w:ascii="仿宋" w:hAnsi="仿宋" w:eastAsia="仿宋" w:cs="仿宋"/>
          <w:color w:val="auto"/>
          <w:sz w:val="24"/>
          <w:highlight w:val="none"/>
        </w:rPr>
      </w:pPr>
      <w:bookmarkStart w:id="99" w:name="_Toc17074"/>
      <w:bookmarkStart w:id="100" w:name="_Toc493"/>
      <w:bookmarkStart w:id="101" w:name="_Toc520356158"/>
      <w:bookmarkStart w:id="102" w:name="_Toc515647773"/>
      <w:r>
        <w:rPr>
          <w:rFonts w:hint="eastAsia" w:ascii="仿宋" w:hAnsi="仿宋" w:eastAsia="仿宋" w:cs="仿宋"/>
          <w:color w:val="auto"/>
          <w:sz w:val="24"/>
          <w:highlight w:val="none"/>
        </w:rPr>
        <w:t>13.2因特殊原因，采购人或采购代理机构可以在原响应有效期截止之前，要求供应商延长响应文件的有效期。接受该要求的供应商将不会被要求和允许修正其响应，且本须知中有关磋商保证金的要求须在延长的有效期内继续有效。供应商可以拒绝延长响应有效期的要求，且不承担任何责任。上述要求和答复都应以书面形式提交。</w:t>
      </w:r>
    </w:p>
    <w:bookmarkEnd w:id="99"/>
    <w:bookmarkEnd w:id="100"/>
    <w:bookmarkEnd w:id="101"/>
    <w:bookmarkEnd w:id="102"/>
    <w:p w14:paraId="27E5BD55">
      <w:pPr>
        <w:spacing w:line="360" w:lineRule="auto"/>
        <w:outlineLvl w:val="1"/>
        <w:rPr>
          <w:rFonts w:hint="eastAsia" w:ascii="仿宋" w:hAnsi="仿宋" w:eastAsia="仿宋" w:cs="仿宋"/>
          <w:b/>
          <w:bCs/>
          <w:color w:val="auto"/>
          <w:sz w:val="22"/>
          <w:szCs w:val="28"/>
          <w:highlight w:val="none"/>
        </w:rPr>
      </w:pPr>
      <w:bookmarkStart w:id="103" w:name="_Toc518923077"/>
      <w:bookmarkStart w:id="104" w:name="_Toc19087083"/>
      <w:bookmarkStart w:id="105" w:name="_Toc28953"/>
      <w:r>
        <w:rPr>
          <w:rFonts w:hint="eastAsia" w:ascii="仿宋" w:hAnsi="仿宋" w:eastAsia="仿宋" w:cs="仿宋"/>
          <w:b/>
          <w:bCs/>
          <w:color w:val="auto"/>
          <w:sz w:val="22"/>
          <w:szCs w:val="28"/>
          <w:highlight w:val="none"/>
        </w:rPr>
        <w:t>14.响应文件的</w:t>
      </w:r>
      <w:bookmarkEnd w:id="103"/>
      <w:bookmarkEnd w:id="104"/>
      <w:r>
        <w:rPr>
          <w:rFonts w:hint="eastAsia" w:ascii="仿宋" w:hAnsi="仿宋" w:eastAsia="仿宋" w:cs="仿宋"/>
          <w:b/>
          <w:bCs/>
          <w:color w:val="auto"/>
          <w:sz w:val="22"/>
          <w:szCs w:val="28"/>
          <w:highlight w:val="none"/>
        </w:rPr>
        <w:t>签署及规定</w:t>
      </w:r>
      <w:bookmarkEnd w:id="105"/>
    </w:p>
    <w:p w14:paraId="4293C3C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14.1按商务、资信、技术及报价四部分装订成一册响应文件，正本一份，副本份数见供应商须知资料表。正本和副本的封面上应清楚地标记“正本”或“副本”的字样，</w:t>
      </w:r>
      <w:r>
        <w:rPr>
          <w:rFonts w:hint="eastAsia" w:ascii="仿宋" w:hAnsi="仿宋" w:eastAsia="仿宋" w:cs="仿宋"/>
          <w:color w:val="auto"/>
          <w:spacing w:val="6"/>
          <w:sz w:val="24"/>
          <w:highlight w:val="none"/>
        </w:rPr>
        <w:t>响应文件书</w:t>
      </w:r>
      <w:r>
        <w:rPr>
          <w:rFonts w:hint="eastAsia" w:ascii="仿宋" w:hAnsi="仿宋" w:eastAsia="仿宋" w:cs="仿宋"/>
          <w:color w:val="auto"/>
          <w:sz w:val="24"/>
          <w:highlight w:val="none"/>
        </w:rPr>
        <w:t>脊位置应列明：项目编号+包号+供应商名称+正/副本。当副本和正本不一致时，以正本为准。</w:t>
      </w:r>
    </w:p>
    <w:p w14:paraId="796E9B3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14.2响应文件应用不褪色的材料书写或打印，并在规定处由供应商的法定代表人或其授权代表签字或盖单位章。授权代表签字的，响应文件应附法定代表人签署的授权委托书。所有要求签字的地方都应用不褪色的墨水或签字笔由本人亲笔手写签字（包括姓和名），不得用盖章（如签名章、签字章等）代替，也不得由他人代签。响应文件应尽量避免涂改、行间插字或删除。如果出现上述情况，改动之处应加盖单位章或由供应商的法定代表人或其授权代表签字确认。</w:t>
      </w:r>
    </w:p>
    <w:p w14:paraId="5C9A48D8">
      <w:pPr>
        <w:spacing w:line="360" w:lineRule="auto"/>
        <w:ind w:firstLine="480" w:firstLineChars="200"/>
        <w:rPr>
          <w:rFonts w:hint="eastAsia" w:ascii="仿宋" w:hAnsi="仿宋" w:eastAsia="仿宋" w:cs="仿宋"/>
          <w:color w:val="auto"/>
          <w:sz w:val="24"/>
          <w:highlight w:val="none"/>
          <w:lang w:val="en-GB"/>
        </w:rPr>
      </w:pPr>
      <w:r>
        <w:rPr>
          <w:rFonts w:hint="eastAsia" w:ascii="仿宋" w:hAnsi="仿宋" w:eastAsia="仿宋" w:cs="仿宋"/>
          <w:color w:val="auto"/>
          <w:sz w:val="24"/>
          <w:highlight w:val="none"/>
        </w:rPr>
        <w:t>14.3供应商在响应文件及相关文件的签订、履行、通知等事项书面文件中的单位盖章、印章、公章等处均仅指与当事人名称全称相一致的标准公章，不得使用其他形式（如带有“专用章”、“合同章”、“财务章”、“业务章”等字样）的印章；否则，磋商小组有权据此对其响应作无效报价处理。</w:t>
      </w:r>
    </w:p>
    <w:p w14:paraId="21E8C905">
      <w:pPr>
        <w:pStyle w:val="2"/>
        <w:spacing w:before="0" w:line="240" w:lineRule="atLeast"/>
        <w:ind w:left="565" w:leftChars="12" w:hanging="540"/>
        <w:rPr>
          <w:rFonts w:hint="eastAsia" w:ascii="仿宋" w:hAnsi="仿宋" w:eastAsia="仿宋" w:cs="仿宋"/>
          <w:color w:val="auto"/>
          <w:highlight w:val="none"/>
        </w:rPr>
      </w:pPr>
      <w:bookmarkStart w:id="106" w:name="_Toc520356159"/>
      <w:bookmarkStart w:id="107" w:name="_Toc11179"/>
      <w:bookmarkStart w:id="108" w:name="_Toc16865"/>
      <w:bookmarkStart w:id="109" w:name="_Toc515647774"/>
      <w:bookmarkStart w:id="110" w:name="_Toc216582808"/>
      <w:bookmarkStart w:id="111" w:name="_Toc8869"/>
      <w:r>
        <w:rPr>
          <w:rFonts w:hint="eastAsia" w:ascii="仿宋" w:hAnsi="仿宋" w:eastAsia="仿宋" w:cs="仿宋"/>
          <w:color w:val="auto"/>
          <w:sz w:val="28"/>
          <w:szCs w:val="28"/>
          <w:highlight w:val="none"/>
        </w:rPr>
        <w:t>四   响应文件的递交</w:t>
      </w:r>
      <w:bookmarkEnd w:id="106"/>
      <w:bookmarkEnd w:id="107"/>
      <w:bookmarkEnd w:id="108"/>
      <w:bookmarkEnd w:id="109"/>
      <w:bookmarkEnd w:id="110"/>
      <w:bookmarkEnd w:id="111"/>
      <w:bookmarkStart w:id="112" w:name="_Toc520356160"/>
      <w:bookmarkStart w:id="113" w:name="_Toc515647775"/>
      <w:bookmarkStart w:id="114" w:name="_Toc21645"/>
      <w:bookmarkStart w:id="115" w:name="_Toc32337"/>
    </w:p>
    <w:p w14:paraId="49A154FE">
      <w:pPr>
        <w:spacing w:line="360" w:lineRule="auto"/>
        <w:outlineLvl w:val="1"/>
        <w:rPr>
          <w:rFonts w:hint="eastAsia" w:ascii="仿宋" w:hAnsi="仿宋" w:eastAsia="仿宋" w:cs="仿宋"/>
          <w:b/>
          <w:bCs/>
          <w:color w:val="auto"/>
          <w:sz w:val="22"/>
          <w:szCs w:val="28"/>
          <w:highlight w:val="none"/>
        </w:rPr>
      </w:pPr>
      <w:bookmarkStart w:id="116" w:name="_Toc9369"/>
      <w:r>
        <w:rPr>
          <w:rFonts w:hint="eastAsia" w:ascii="仿宋" w:hAnsi="仿宋" w:eastAsia="仿宋" w:cs="仿宋"/>
          <w:b/>
          <w:bCs/>
          <w:color w:val="auto"/>
          <w:sz w:val="22"/>
          <w:szCs w:val="28"/>
          <w:highlight w:val="none"/>
        </w:rPr>
        <w:t>15.响应文件的密封和标记</w:t>
      </w:r>
      <w:bookmarkEnd w:id="112"/>
      <w:bookmarkEnd w:id="113"/>
      <w:bookmarkEnd w:id="114"/>
      <w:bookmarkEnd w:id="115"/>
      <w:bookmarkEnd w:id="116"/>
    </w:p>
    <w:p w14:paraId="47D22961">
      <w:pPr>
        <w:spacing w:line="360" w:lineRule="auto"/>
        <w:ind w:firstLine="480" w:firstLineChars="200"/>
        <w:rPr>
          <w:rFonts w:hint="eastAsia" w:ascii="仿宋" w:hAnsi="仿宋" w:eastAsia="仿宋" w:cs="仿宋"/>
          <w:color w:val="auto"/>
          <w:sz w:val="24"/>
          <w:highlight w:val="none"/>
        </w:rPr>
      </w:pPr>
      <w:bookmarkStart w:id="117" w:name="_Toc515647776"/>
      <w:bookmarkStart w:id="118" w:name="_Toc9840"/>
      <w:bookmarkStart w:id="119" w:name="_Toc46238229"/>
      <w:bookmarkStart w:id="120" w:name="_Toc12751"/>
      <w:bookmarkStart w:id="121" w:name="_Toc520356161"/>
      <w:r>
        <w:rPr>
          <w:rFonts w:hint="eastAsia" w:ascii="仿宋" w:hAnsi="仿宋" w:eastAsia="仿宋" w:cs="仿宋"/>
          <w:color w:val="auto"/>
          <w:sz w:val="24"/>
          <w:highlight w:val="none"/>
        </w:rPr>
        <w:t xml:space="preserve">15.1供应商应将响应文件以正本、副本、报价一览表（一式三份）、电子版为单位分别密封，并在密封件上标明密封件内容、项目编号、项目名称、供应商名称、所投包号等。 </w:t>
      </w:r>
    </w:p>
    <w:p w14:paraId="60E2E59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15.2供应商将每部分响应文件装入信袋内加以密封后，并在封签处加盖公章或授权代表签字，如无公章或授权代表签字，响应文件将会被拒收。</w:t>
      </w:r>
    </w:p>
    <w:p w14:paraId="5163932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15.3因供应商对其响应文件密封不当或签署不当而造成响应文件被拒收，由供应商自行负责。</w:t>
      </w:r>
    </w:p>
    <w:p w14:paraId="50C6885E">
      <w:pPr>
        <w:spacing w:line="360" w:lineRule="auto"/>
        <w:outlineLvl w:val="1"/>
        <w:rPr>
          <w:rFonts w:hint="eastAsia" w:ascii="仿宋" w:hAnsi="仿宋" w:eastAsia="仿宋" w:cs="仿宋"/>
          <w:b/>
          <w:bCs/>
          <w:color w:val="auto"/>
          <w:sz w:val="22"/>
          <w:szCs w:val="28"/>
          <w:highlight w:val="none"/>
        </w:rPr>
      </w:pPr>
      <w:bookmarkStart w:id="122" w:name="_Toc18408"/>
      <w:r>
        <w:rPr>
          <w:rFonts w:hint="eastAsia" w:ascii="仿宋" w:hAnsi="仿宋" w:eastAsia="仿宋" w:cs="仿宋"/>
          <w:b/>
          <w:bCs/>
          <w:color w:val="auto"/>
          <w:sz w:val="22"/>
          <w:szCs w:val="28"/>
          <w:highlight w:val="none"/>
        </w:rPr>
        <w:t>16.响应文件截止</w:t>
      </w:r>
      <w:bookmarkEnd w:id="117"/>
      <w:bookmarkEnd w:id="118"/>
      <w:bookmarkEnd w:id="119"/>
      <w:bookmarkEnd w:id="120"/>
      <w:bookmarkEnd w:id="121"/>
      <w:bookmarkEnd w:id="122"/>
    </w:p>
    <w:p w14:paraId="1A75065B">
      <w:pPr>
        <w:spacing w:line="360" w:lineRule="auto"/>
        <w:ind w:firstLine="480" w:firstLineChars="200"/>
        <w:rPr>
          <w:rFonts w:hint="eastAsia" w:ascii="仿宋" w:hAnsi="仿宋" w:eastAsia="仿宋" w:cs="仿宋"/>
          <w:color w:val="auto"/>
          <w:sz w:val="24"/>
          <w:highlight w:val="none"/>
        </w:rPr>
      </w:pPr>
      <w:bookmarkStart w:id="123" w:name="_Toc518923081"/>
      <w:bookmarkStart w:id="124" w:name="_Toc520356162"/>
      <w:bookmarkStart w:id="125" w:name="_Toc46235089"/>
      <w:r>
        <w:rPr>
          <w:rFonts w:hint="eastAsia" w:ascii="仿宋" w:hAnsi="仿宋" w:eastAsia="仿宋" w:cs="仿宋"/>
          <w:color w:val="auto"/>
          <w:sz w:val="24"/>
          <w:highlight w:val="none"/>
        </w:rPr>
        <w:t>16.1供应商递交响应文件的时间和地点：见</w:t>
      </w:r>
      <w:r>
        <w:rPr>
          <w:rFonts w:hint="eastAsia" w:ascii="仿宋" w:hAnsi="仿宋" w:eastAsia="仿宋" w:cs="仿宋"/>
          <w:color w:val="auto"/>
          <w:sz w:val="24"/>
          <w:highlight w:val="none"/>
          <w:u w:val="single"/>
        </w:rPr>
        <w:t>供应商须知资料表</w:t>
      </w:r>
      <w:r>
        <w:rPr>
          <w:rFonts w:hint="eastAsia" w:ascii="仿宋" w:hAnsi="仿宋" w:eastAsia="仿宋" w:cs="仿宋"/>
          <w:color w:val="auto"/>
          <w:sz w:val="24"/>
          <w:highlight w:val="none"/>
        </w:rPr>
        <w:t>。</w:t>
      </w:r>
    </w:p>
    <w:p w14:paraId="41E54DC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16.2采购人和采购代理机构将拒绝接收在提交响应文件截止时间后递交的响应文件。</w:t>
      </w:r>
    </w:p>
    <w:p w14:paraId="55DBB2E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16.3供应商所递交的响应文件不予退还。</w:t>
      </w:r>
    </w:p>
    <w:p w14:paraId="4C22A50F">
      <w:pPr>
        <w:spacing w:line="360" w:lineRule="auto"/>
        <w:outlineLvl w:val="1"/>
        <w:rPr>
          <w:rFonts w:hint="eastAsia" w:ascii="仿宋" w:hAnsi="仿宋" w:eastAsia="仿宋" w:cs="仿宋"/>
          <w:b/>
          <w:bCs/>
          <w:color w:val="auto"/>
          <w:sz w:val="22"/>
          <w:szCs w:val="28"/>
          <w:highlight w:val="none"/>
        </w:rPr>
      </w:pPr>
      <w:bookmarkStart w:id="126" w:name="_Toc23461"/>
      <w:r>
        <w:rPr>
          <w:rFonts w:hint="eastAsia" w:ascii="仿宋" w:hAnsi="仿宋" w:eastAsia="仿宋" w:cs="仿宋"/>
          <w:b/>
          <w:bCs/>
          <w:color w:val="auto"/>
          <w:sz w:val="22"/>
          <w:szCs w:val="28"/>
          <w:highlight w:val="none"/>
        </w:rPr>
        <w:t>17.响应文件的接收、修改与撤回</w:t>
      </w:r>
      <w:bookmarkEnd w:id="123"/>
      <w:bookmarkEnd w:id="124"/>
      <w:bookmarkEnd w:id="125"/>
      <w:bookmarkEnd w:id="126"/>
    </w:p>
    <w:p w14:paraId="3D7BBBE0">
      <w:pPr>
        <w:pStyle w:val="8"/>
        <w:spacing w:line="360" w:lineRule="auto"/>
        <w:ind w:firstLine="480" w:firstLineChars="200"/>
        <w:rPr>
          <w:rFonts w:hint="eastAsia" w:ascii="仿宋" w:hAnsi="仿宋" w:eastAsia="仿宋" w:cs="仿宋"/>
          <w:snapToGrid w:val="0"/>
          <w:color w:val="auto"/>
          <w:highlight w:val="none"/>
        </w:rPr>
      </w:pPr>
      <w:r>
        <w:rPr>
          <w:rFonts w:hint="eastAsia" w:ascii="仿宋" w:hAnsi="仿宋" w:eastAsia="仿宋" w:cs="仿宋"/>
          <w:snapToGrid w:val="0"/>
          <w:color w:val="auto"/>
          <w:highlight w:val="none"/>
        </w:rPr>
        <w:t>17.1供应商在磋商文件要求提交响应文件的截止时间前，可以修改或者撤回已提交的响应文件，并书面形式通知代理机构。</w:t>
      </w:r>
    </w:p>
    <w:p w14:paraId="2A603B5C">
      <w:pPr>
        <w:pStyle w:val="8"/>
        <w:spacing w:line="360" w:lineRule="auto"/>
        <w:ind w:firstLine="480" w:firstLineChars="200"/>
        <w:rPr>
          <w:rFonts w:hint="eastAsia" w:ascii="仿宋" w:hAnsi="仿宋" w:eastAsia="仿宋" w:cs="仿宋"/>
          <w:snapToGrid w:val="0"/>
          <w:color w:val="auto"/>
          <w:highlight w:val="none"/>
        </w:rPr>
      </w:pPr>
      <w:r>
        <w:rPr>
          <w:rFonts w:hint="eastAsia" w:ascii="仿宋" w:hAnsi="仿宋" w:eastAsia="仿宋" w:cs="仿宋"/>
          <w:snapToGrid w:val="0"/>
          <w:color w:val="auto"/>
          <w:highlight w:val="none"/>
        </w:rPr>
        <w:t>17.2任何修改内容必须由供应商的法定代表人或其委托代理人签字，不得涂抹。经法定代表人或其委托代理人正式签署的修改文件组成响应文件的一部分，份数和密封要求同响应文件一致。</w:t>
      </w:r>
    </w:p>
    <w:p w14:paraId="1883A44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snapToGrid w:val="0"/>
          <w:color w:val="auto"/>
          <w:sz w:val="24"/>
          <w:highlight w:val="none"/>
        </w:rPr>
        <w:t>17.3磋商有效期内不得撤回，否则其磋商保证金不予退还（若有）</w:t>
      </w:r>
      <w:r>
        <w:rPr>
          <w:rFonts w:hint="eastAsia" w:ascii="仿宋" w:hAnsi="仿宋" w:eastAsia="仿宋" w:cs="仿宋"/>
          <w:snapToGrid w:val="0"/>
          <w:color w:val="auto"/>
          <w:highlight w:val="none"/>
        </w:rPr>
        <w:t>。</w:t>
      </w:r>
    </w:p>
    <w:p w14:paraId="275DD2DE">
      <w:pPr>
        <w:pStyle w:val="2"/>
        <w:spacing w:before="0" w:line="360" w:lineRule="auto"/>
        <w:ind w:left="565" w:leftChars="12" w:hanging="540"/>
        <w:rPr>
          <w:rFonts w:hint="eastAsia" w:ascii="仿宋" w:hAnsi="仿宋" w:eastAsia="仿宋" w:cs="仿宋"/>
          <w:color w:val="auto"/>
          <w:sz w:val="24"/>
          <w:highlight w:val="none"/>
        </w:rPr>
      </w:pPr>
      <w:bookmarkStart w:id="127" w:name="_Toc31712"/>
      <w:bookmarkStart w:id="128" w:name="_Toc216582809"/>
      <w:bookmarkStart w:id="129" w:name="_Toc515647778"/>
      <w:bookmarkStart w:id="130" w:name="_Toc12436"/>
      <w:bookmarkStart w:id="131" w:name="_Toc520356163"/>
      <w:bookmarkStart w:id="132" w:name="_Toc28398"/>
      <w:r>
        <w:rPr>
          <w:rFonts w:hint="eastAsia" w:ascii="仿宋" w:hAnsi="仿宋" w:eastAsia="仿宋" w:cs="仿宋"/>
          <w:color w:val="auto"/>
          <w:sz w:val="28"/>
          <w:szCs w:val="28"/>
          <w:highlight w:val="none"/>
        </w:rPr>
        <w:t>五   提交响应文件截止及磋商</w:t>
      </w:r>
      <w:bookmarkEnd w:id="127"/>
      <w:bookmarkEnd w:id="128"/>
      <w:bookmarkEnd w:id="129"/>
      <w:bookmarkEnd w:id="130"/>
      <w:bookmarkEnd w:id="131"/>
      <w:bookmarkEnd w:id="132"/>
    </w:p>
    <w:p w14:paraId="46E98782">
      <w:pPr>
        <w:spacing w:line="360" w:lineRule="auto"/>
        <w:outlineLvl w:val="1"/>
        <w:rPr>
          <w:rFonts w:hint="eastAsia" w:ascii="仿宋" w:hAnsi="仿宋" w:eastAsia="仿宋" w:cs="仿宋"/>
          <w:b/>
          <w:bCs/>
          <w:color w:val="auto"/>
          <w:sz w:val="22"/>
          <w:szCs w:val="28"/>
          <w:highlight w:val="none"/>
        </w:rPr>
      </w:pPr>
      <w:bookmarkStart w:id="133" w:name="_Toc19339"/>
      <w:r>
        <w:rPr>
          <w:rFonts w:hint="eastAsia" w:ascii="仿宋" w:hAnsi="仿宋" w:eastAsia="仿宋" w:cs="仿宋"/>
          <w:b/>
          <w:bCs/>
          <w:color w:val="auto"/>
          <w:sz w:val="22"/>
          <w:szCs w:val="28"/>
          <w:highlight w:val="none"/>
        </w:rPr>
        <w:t>18.提交响应文件截止</w:t>
      </w:r>
      <w:bookmarkEnd w:id="133"/>
    </w:p>
    <w:p w14:paraId="5B6A5573">
      <w:pPr>
        <w:spacing w:line="360" w:lineRule="auto"/>
        <w:ind w:firstLine="480" w:firstLineChars="200"/>
        <w:rPr>
          <w:rFonts w:hint="eastAsia" w:ascii="仿宋" w:hAnsi="仿宋" w:eastAsia="仿宋" w:cs="仿宋"/>
          <w:color w:val="auto"/>
          <w:sz w:val="24"/>
          <w:highlight w:val="none"/>
        </w:rPr>
      </w:pPr>
      <w:bookmarkStart w:id="134" w:name="_Toc411637993"/>
      <w:bookmarkStart w:id="135" w:name="_Toc17252"/>
      <w:bookmarkStart w:id="136" w:name="_Toc520356165"/>
      <w:bookmarkStart w:id="137" w:name="_Toc19296"/>
      <w:bookmarkStart w:id="138" w:name="_Toc515647780"/>
      <w:bookmarkStart w:id="139" w:name="_Toc21372"/>
      <w:r>
        <w:rPr>
          <w:rFonts w:hint="eastAsia" w:ascii="仿宋" w:hAnsi="仿宋" w:eastAsia="仿宋" w:cs="仿宋"/>
          <w:color w:val="auto"/>
          <w:sz w:val="24"/>
          <w:highlight w:val="none"/>
        </w:rPr>
        <w:t>18</w:t>
      </w:r>
      <w:r>
        <w:rPr>
          <w:rFonts w:hint="eastAsia" w:ascii="仿宋" w:hAnsi="仿宋" w:eastAsia="仿宋" w:cs="仿宋"/>
          <w:snapToGrid w:val="0"/>
          <w:color w:val="auto"/>
          <w:sz w:val="24"/>
          <w:highlight w:val="none"/>
        </w:rPr>
        <w:t>.1</w:t>
      </w:r>
      <w:r>
        <w:rPr>
          <w:rFonts w:hint="eastAsia" w:ascii="仿宋" w:hAnsi="仿宋" w:eastAsia="仿宋" w:cs="仿宋"/>
          <w:color w:val="auto"/>
          <w:sz w:val="24"/>
          <w:highlight w:val="none"/>
        </w:rPr>
        <w:t>采购人或采购代理机构按照供应商须知资料表规定的时间和地点召开会议。届时请供应商派代表参加，参加会议的代表应签名报到以证明其出席，否则，责任自负。如在响应文件递交截止时间递交响应文件的供应商少于三家，采购代理机构有采取重新采购的权力，且不承担任何费用和责任。</w:t>
      </w:r>
    </w:p>
    <w:p w14:paraId="6A3FE00B">
      <w:pPr>
        <w:pStyle w:val="8"/>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18.2磋商截止时间后，不允许对响应文件做实质性修改，同时采购人和采购代理机构对所接收响应文件概不退回。</w:t>
      </w:r>
    </w:p>
    <w:p w14:paraId="02E8DC18">
      <w:pPr>
        <w:spacing w:line="360" w:lineRule="auto"/>
        <w:outlineLvl w:val="1"/>
        <w:rPr>
          <w:rFonts w:hint="eastAsia" w:ascii="仿宋" w:hAnsi="仿宋" w:eastAsia="仿宋" w:cs="仿宋"/>
          <w:b/>
          <w:bCs/>
          <w:color w:val="auto"/>
          <w:sz w:val="22"/>
          <w:szCs w:val="28"/>
          <w:highlight w:val="none"/>
        </w:rPr>
      </w:pPr>
      <w:r>
        <w:rPr>
          <w:rFonts w:hint="eastAsia" w:ascii="仿宋" w:hAnsi="仿宋" w:eastAsia="仿宋" w:cs="仿宋"/>
          <w:b/>
          <w:bCs/>
          <w:color w:val="auto"/>
          <w:sz w:val="22"/>
          <w:szCs w:val="28"/>
          <w:highlight w:val="none"/>
        </w:rPr>
        <w:t>19.磋商小组</w:t>
      </w:r>
      <w:bookmarkEnd w:id="134"/>
      <w:bookmarkEnd w:id="135"/>
    </w:p>
    <w:p w14:paraId="3EF97A1A">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19.1采购代理机构将按照《中华人民共和国政府采购法》及有关规定组建磋商小组。磋商小组由采购人代表及有关经济、技术等方面的专家</w:t>
      </w:r>
      <w:r>
        <w:rPr>
          <w:rFonts w:hint="eastAsia" w:ascii="仿宋" w:hAnsi="仿宋" w:eastAsia="仿宋" w:cs="仿宋"/>
          <w:color w:val="auto"/>
          <w:sz w:val="24"/>
          <w:highlight w:val="none"/>
          <w:u w:val="single"/>
        </w:rPr>
        <w:t>3</w:t>
      </w:r>
      <w:r>
        <w:rPr>
          <w:rFonts w:hint="eastAsia" w:ascii="仿宋" w:hAnsi="仿宋" w:eastAsia="仿宋" w:cs="仿宋"/>
          <w:color w:val="auto"/>
          <w:sz w:val="24"/>
          <w:highlight w:val="none"/>
        </w:rPr>
        <w:t>人(3人以上单数)组成。</w:t>
      </w:r>
    </w:p>
    <w:p w14:paraId="0A515FDB">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19.2 磋商小组具有依据磋商文件进行独立评审的权力，且不受外界任何因素的干扰。磋商小组成员需对评审结果独立写出评审意见，并承担责任。评委成员若拒绝在评审报告上签字且不陈述其不同意理由的，视为同意和接受。</w:t>
      </w:r>
    </w:p>
    <w:p w14:paraId="747BFCD2">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19.3 磋商小组的职责：</w:t>
      </w:r>
    </w:p>
    <w:p w14:paraId="174CCE01">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（1）审查响应文件是否符合磋商文件要求；</w:t>
      </w:r>
    </w:p>
    <w:p w14:paraId="336B98AD">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（2）要求供应商对响应文件有关事项作出解释或者澄清；</w:t>
      </w:r>
    </w:p>
    <w:p w14:paraId="47B91A15">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（3）按照磋商文件规定的评分标准进行评比和打分；</w:t>
      </w:r>
    </w:p>
    <w:p w14:paraId="0DE2AC12">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（4）推荐成交候选供应商名单，或者受采购人委托按照事先确定的办法直接确定成交供应商；</w:t>
      </w:r>
    </w:p>
    <w:p w14:paraId="5D0FA04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（5）向采购单位或者有关部门报告非法干预评审工作的行为。</w:t>
      </w:r>
    </w:p>
    <w:p w14:paraId="319D2700">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19.3磋商小组的义务：</w:t>
      </w:r>
    </w:p>
    <w:p w14:paraId="05BFDE20">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（1）遵纪守法，客观、公正、廉洁地履行职责；</w:t>
      </w:r>
    </w:p>
    <w:p w14:paraId="0BA8B120">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（2）按照磋商文件规定的评审办法和评审标准进行评审，对评审意见承担个人责任； </w:t>
      </w:r>
    </w:p>
    <w:p w14:paraId="1FC81719">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（3）对评审过程和结果，以及供应商的商业秘密保密；</w:t>
      </w:r>
    </w:p>
    <w:p w14:paraId="10F85D93">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（4）参与评审报告的起草；</w:t>
      </w:r>
    </w:p>
    <w:p w14:paraId="3735F1E0">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（5）配合财政部门的投诉处理工作；</w:t>
      </w:r>
    </w:p>
    <w:p w14:paraId="370E2458">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（6）配合采购单位答复与会供应商提出的质疑。</w:t>
      </w:r>
    </w:p>
    <w:p w14:paraId="1CC0D9FA">
      <w:pPr>
        <w:spacing w:line="360" w:lineRule="auto"/>
        <w:outlineLvl w:val="1"/>
        <w:rPr>
          <w:rFonts w:hint="eastAsia" w:ascii="仿宋" w:hAnsi="仿宋" w:eastAsia="仿宋" w:cs="仿宋"/>
          <w:b/>
          <w:bCs/>
          <w:color w:val="auto"/>
          <w:sz w:val="22"/>
          <w:szCs w:val="28"/>
          <w:highlight w:val="none"/>
        </w:rPr>
      </w:pPr>
      <w:bookmarkStart w:id="140" w:name="_Toc32640"/>
      <w:r>
        <w:rPr>
          <w:rFonts w:hint="eastAsia" w:ascii="仿宋" w:hAnsi="仿宋" w:eastAsia="仿宋" w:cs="仿宋"/>
          <w:b/>
          <w:bCs/>
          <w:color w:val="auto"/>
          <w:sz w:val="22"/>
          <w:szCs w:val="28"/>
          <w:highlight w:val="none"/>
        </w:rPr>
        <w:t>20.</w:t>
      </w:r>
      <w:bookmarkEnd w:id="136"/>
      <w:r>
        <w:rPr>
          <w:rFonts w:hint="eastAsia" w:ascii="仿宋" w:hAnsi="仿宋" w:eastAsia="仿宋" w:cs="仿宋"/>
          <w:b/>
          <w:bCs/>
          <w:color w:val="auto"/>
          <w:sz w:val="22"/>
          <w:szCs w:val="28"/>
          <w:highlight w:val="none"/>
        </w:rPr>
        <w:t>资格审查</w:t>
      </w:r>
      <w:bookmarkEnd w:id="137"/>
      <w:bookmarkEnd w:id="138"/>
      <w:bookmarkEnd w:id="139"/>
      <w:bookmarkEnd w:id="140"/>
    </w:p>
    <w:p w14:paraId="5F4865D1">
      <w:pPr>
        <w:spacing w:line="360" w:lineRule="auto"/>
        <w:ind w:firstLine="480" w:firstLineChars="200"/>
        <w:rPr>
          <w:rFonts w:hint="eastAsia" w:ascii="仿宋" w:hAnsi="仿宋" w:eastAsia="仿宋" w:cs="仿宋"/>
          <w:color w:val="auto"/>
          <w:sz w:val="24"/>
          <w:highlight w:val="none"/>
        </w:rPr>
      </w:pPr>
      <w:bookmarkStart w:id="141" w:name="_Toc520356166"/>
      <w:bookmarkStart w:id="142" w:name="_Toc515647781"/>
      <w:bookmarkStart w:id="143" w:name="_Toc19949"/>
      <w:bookmarkStart w:id="144" w:name="_Toc28479"/>
      <w:r>
        <w:rPr>
          <w:rFonts w:hint="eastAsia" w:ascii="仿宋" w:hAnsi="仿宋" w:eastAsia="仿宋" w:cs="仿宋"/>
          <w:color w:val="auto"/>
          <w:sz w:val="24"/>
          <w:highlight w:val="none"/>
        </w:rPr>
        <w:t>20.1磋商小组依据法律法规和竞争性磋商文件中规定的内容，对供应商的资格进行审查。未通过资格审查的供应商不进入磋商；通过资格审查的供应商不足3家的，不得磋商。</w:t>
      </w:r>
    </w:p>
    <w:p w14:paraId="6474E74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20.2采购人</w:t>
      </w:r>
      <w:r>
        <w:rPr>
          <w:rFonts w:hint="eastAsia" w:ascii="仿宋" w:hAnsi="仿宋" w:eastAsia="仿宋" w:cs="仿宋"/>
          <w:color w:val="auto"/>
          <w:sz w:val="24"/>
          <w:szCs w:val="32"/>
          <w:highlight w:val="none"/>
        </w:rPr>
        <w:t>或采购代理机构</w:t>
      </w:r>
      <w:r>
        <w:rPr>
          <w:rFonts w:hint="eastAsia" w:ascii="仿宋" w:hAnsi="仿宋" w:eastAsia="仿宋" w:cs="仿宋"/>
          <w:color w:val="auto"/>
          <w:sz w:val="24"/>
          <w:highlight w:val="none"/>
        </w:rPr>
        <w:t>将按</w:t>
      </w:r>
      <w:r>
        <w:rPr>
          <w:rFonts w:hint="eastAsia" w:ascii="仿宋" w:hAnsi="仿宋" w:eastAsia="仿宋" w:cs="仿宋"/>
          <w:color w:val="auto"/>
          <w:sz w:val="24"/>
          <w:highlight w:val="none"/>
          <w:u w:val="single"/>
        </w:rPr>
        <w:t>供应商须知资料表</w:t>
      </w:r>
      <w:r>
        <w:rPr>
          <w:rFonts w:hint="eastAsia" w:ascii="仿宋" w:hAnsi="仿宋" w:eastAsia="仿宋" w:cs="仿宋"/>
          <w:color w:val="auto"/>
          <w:sz w:val="24"/>
          <w:highlight w:val="none"/>
        </w:rPr>
        <w:t>查询供应商的信用记录。</w:t>
      </w:r>
    </w:p>
    <w:p w14:paraId="555ABC09">
      <w:pPr>
        <w:spacing w:line="360" w:lineRule="auto"/>
        <w:ind w:left="-1"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20.2.1 供应商在中国政府采购网（www.ccgp.gov.cn）被列入政府采购严重违法失信行为记录名单，及在“信用中国”网站（www.creditchina.gov.cn）被列入失信被执行人、重大税收违法失信主体，以及存在《中华人民共和国政府采购法实施条例》第十九条规定的行政处罚记录。</w:t>
      </w:r>
    </w:p>
    <w:p w14:paraId="5C4C4B07">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以联合体形式进行响应的，联合体任何成员存在以上不良信用记录的，联合体其响应文件将被认定为无效。</w:t>
      </w:r>
    </w:p>
    <w:p w14:paraId="34C4FF2C">
      <w:pPr>
        <w:pStyle w:val="5"/>
        <w:spacing w:line="360" w:lineRule="auto"/>
        <w:jc w:val="both"/>
        <w:rPr>
          <w:rFonts w:hint="eastAsia" w:ascii="仿宋" w:hAnsi="仿宋" w:eastAsia="仿宋" w:cs="仿宋"/>
          <w:color w:val="auto"/>
          <w:highlight w:val="none"/>
        </w:rPr>
      </w:pPr>
      <w:r>
        <w:rPr>
          <w:rFonts w:hint="eastAsia" w:ascii="仿宋" w:hAnsi="仿宋" w:eastAsia="仿宋" w:cs="仿宋"/>
          <w:color w:val="auto"/>
          <w:highlight w:val="none"/>
        </w:rPr>
        <w:t>20.2.2采购人或采购代理机构将信用记录查询网页打印、签字并存档备查。供应商信用记录以采购人或采购代理机构查询结果为准。供应商自行提供的与网站信息不一致的其他证明材料亦不作为资格审查的依据。</w:t>
      </w:r>
    </w:p>
    <w:p w14:paraId="1E16F4B3">
      <w:pPr>
        <w:pStyle w:val="5"/>
        <w:spacing w:line="360" w:lineRule="auto"/>
        <w:jc w:val="both"/>
        <w:rPr>
          <w:rFonts w:hint="eastAsia" w:ascii="仿宋" w:hAnsi="仿宋" w:eastAsia="仿宋" w:cs="仿宋"/>
          <w:color w:val="auto"/>
          <w:highlight w:val="none"/>
        </w:rPr>
      </w:pPr>
      <w:r>
        <w:rPr>
          <w:rFonts w:hint="eastAsia" w:ascii="仿宋" w:hAnsi="仿宋" w:eastAsia="仿宋" w:cs="仿宋"/>
          <w:color w:val="auto"/>
          <w:highlight w:val="none"/>
        </w:rPr>
        <w:t>在本竞争性磋商文件规定的查询时间之后，网站信息发生的任何变更均不再作为磋商依据。</w:t>
      </w:r>
    </w:p>
    <w:p w14:paraId="66EDC931">
      <w:pPr>
        <w:spacing w:line="360" w:lineRule="auto"/>
        <w:outlineLvl w:val="1"/>
        <w:rPr>
          <w:rFonts w:hint="eastAsia" w:ascii="仿宋" w:hAnsi="仿宋" w:eastAsia="仿宋" w:cs="仿宋"/>
          <w:b/>
          <w:bCs/>
          <w:color w:val="auto"/>
          <w:sz w:val="22"/>
          <w:szCs w:val="28"/>
          <w:highlight w:val="none"/>
        </w:rPr>
      </w:pPr>
      <w:bookmarkStart w:id="145" w:name="_Toc6055"/>
      <w:r>
        <w:rPr>
          <w:rFonts w:hint="eastAsia" w:ascii="仿宋" w:hAnsi="仿宋" w:eastAsia="仿宋" w:cs="仿宋"/>
          <w:b/>
          <w:bCs/>
          <w:color w:val="auto"/>
          <w:sz w:val="22"/>
          <w:szCs w:val="28"/>
          <w:highlight w:val="none"/>
        </w:rPr>
        <w:t>21.响应文件</w:t>
      </w:r>
      <w:bookmarkEnd w:id="141"/>
      <w:r>
        <w:rPr>
          <w:rFonts w:hint="eastAsia" w:ascii="仿宋" w:hAnsi="仿宋" w:eastAsia="仿宋" w:cs="仿宋"/>
          <w:b/>
          <w:bCs/>
          <w:color w:val="auto"/>
          <w:sz w:val="22"/>
          <w:szCs w:val="28"/>
          <w:highlight w:val="none"/>
        </w:rPr>
        <w:t>符合性审查与澄清</w:t>
      </w:r>
      <w:bookmarkEnd w:id="142"/>
      <w:bookmarkEnd w:id="143"/>
      <w:bookmarkEnd w:id="144"/>
      <w:bookmarkEnd w:id="145"/>
    </w:p>
    <w:p w14:paraId="67A25B8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21.1符合性审查是指依据竞争性磋商文件的规定，从响应文件的有效性、完整性和响应程度对竞争性磋商文件的响应程度进行审查，以确定是否对竞争性磋商文件的实质性要求做出响应。</w:t>
      </w:r>
      <w:bookmarkStart w:id="146" w:name="_Hlt522424701"/>
      <w:bookmarkEnd w:id="146"/>
      <w:bookmarkStart w:id="147" w:name="_Toc520356167"/>
    </w:p>
    <w:p w14:paraId="43D739B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21.2经磋商小组集体审核通过，对于不符合条件的供应商要说明其不符合要求的原因，由其法定代表人或授权代表签字确认，供应商代表拒不签字的，并不影响磋商小组所作出的结论。</w:t>
      </w:r>
    </w:p>
    <w:p w14:paraId="3B3F6A6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21.3响应文件的澄清</w:t>
      </w:r>
    </w:p>
    <w:p w14:paraId="18F6931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21.3.1在磋商期间，磋商小组将以书面方式要求供应商对其响应文件中含义不明确、对同类问题表述不一致或者有明显文字和计算错误的内容，以及磋商小组认为供应商的报价明显低于其他通过符合性检查供应商的报价，有可能影响履约的情况作必要的澄清、说明或补正。供应商的澄清、说明或补正应在磋商小组规定的时间内以书面方式进行，并不得超出响应文件范围或者改变响应文件的实质性内容。</w:t>
      </w:r>
    </w:p>
    <w:p w14:paraId="175B8BB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21.3.2供应商的澄清、说明或补正将作为响应文件的一部分。</w:t>
      </w:r>
    </w:p>
    <w:p w14:paraId="446D266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21.3.3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14:paraId="26AA945F">
      <w:pPr>
        <w:spacing w:line="360" w:lineRule="auto"/>
        <w:ind w:left="-1"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21.4 供应商所报产品如被列入财政部与国家主管部门颁发的节能产品品目清单或环境标志产品品目清单，应提供符合要求的产品认证证书，在磋商时予以优先采购，具体优先采购办法见第5章评审方法和标准。</w:t>
      </w:r>
    </w:p>
    <w:p w14:paraId="3A983E39">
      <w:pPr>
        <w:spacing w:line="360" w:lineRule="auto"/>
        <w:ind w:left="-1" w:firstLine="482" w:firstLineChars="200"/>
        <w:jc w:val="lef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如采购人所采购产品为政府强制采购的节能产品，供应商应提供符合要求的产品认证证明材料，否则其响应文件将被认定为响应文件无效。</w:t>
      </w:r>
    </w:p>
    <w:p w14:paraId="6564CD9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21.5已提交响应文件的供应商，在提交最后报价之前，可以根据磋商情况退出磋商。</w:t>
      </w:r>
    </w:p>
    <w:p w14:paraId="7644682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21.6磋商小组可以接受响应文件中不构成实质性偏离的不正规或不一致。</w:t>
      </w:r>
    </w:p>
    <w:p w14:paraId="6B43A4D3">
      <w:pPr>
        <w:spacing w:line="360" w:lineRule="auto"/>
        <w:outlineLvl w:val="1"/>
        <w:rPr>
          <w:rFonts w:hint="eastAsia" w:ascii="仿宋" w:hAnsi="仿宋" w:eastAsia="仿宋" w:cs="仿宋"/>
          <w:b/>
          <w:bCs/>
          <w:color w:val="auto"/>
          <w:sz w:val="22"/>
          <w:szCs w:val="28"/>
          <w:highlight w:val="none"/>
        </w:rPr>
      </w:pPr>
      <w:bookmarkStart w:id="148" w:name="_Toc515647783"/>
      <w:bookmarkStart w:id="149" w:name="_Toc6092"/>
      <w:bookmarkStart w:id="150" w:name="_Toc4950"/>
      <w:bookmarkStart w:id="151" w:name="_Toc880"/>
      <w:r>
        <w:rPr>
          <w:rFonts w:hint="eastAsia" w:ascii="仿宋" w:hAnsi="仿宋" w:eastAsia="仿宋" w:cs="仿宋"/>
          <w:b/>
          <w:bCs/>
          <w:color w:val="auto"/>
          <w:sz w:val="22"/>
          <w:szCs w:val="28"/>
          <w:highlight w:val="none"/>
        </w:rPr>
        <w:t>22.</w:t>
      </w:r>
      <w:bookmarkEnd w:id="148"/>
      <w:r>
        <w:rPr>
          <w:rFonts w:hint="eastAsia" w:ascii="仿宋" w:hAnsi="仿宋" w:eastAsia="仿宋" w:cs="仿宋"/>
          <w:b/>
          <w:bCs/>
          <w:color w:val="auto"/>
          <w:sz w:val="22"/>
          <w:szCs w:val="28"/>
          <w:highlight w:val="none"/>
        </w:rPr>
        <w:t>无效</w:t>
      </w:r>
      <w:bookmarkEnd w:id="149"/>
      <w:bookmarkEnd w:id="150"/>
      <w:r>
        <w:rPr>
          <w:rFonts w:hint="eastAsia" w:ascii="仿宋" w:hAnsi="仿宋" w:eastAsia="仿宋" w:cs="仿宋"/>
          <w:b/>
          <w:bCs/>
          <w:color w:val="auto"/>
          <w:sz w:val="22"/>
          <w:szCs w:val="28"/>
          <w:highlight w:val="none"/>
        </w:rPr>
        <w:t>响应</w:t>
      </w:r>
      <w:bookmarkEnd w:id="151"/>
    </w:p>
    <w:p w14:paraId="284E251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22.1在比较与评价之前，根据本须知的规定，磋商小组要审查每份响应文件是否实质上响应了竞争性磋商文件的要求，未实质性响应磋商文件的响应文件按无效响应处理。</w:t>
      </w:r>
    </w:p>
    <w:p w14:paraId="33F98EF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22.2如发现下列情况之一的，其响应将被认定为</w:t>
      </w:r>
      <w:r>
        <w:rPr>
          <w:rFonts w:hint="eastAsia" w:ascii="仿宋" w:hAnsi="仿宋" w:eastAsia="仿宋" w:cs="仿宋"/>
          <w:bCs/>
          <w:color w:val="auto"/>
          <w:sz w:val="24"/>
          <w:highlight w:val="none"/>
        </w:rPr>
        <w:t>无效响应</w:t>
      </w:r>
      <w:r>
        <w:rPr>
          <w:rFonts w:hint="eastAsia" w:ascii="仿宋" w:hAnsi="仿宋" w:eastAsia="仿宋" w:cs="仿宋"/>
          <w:color w:val="auto"/>
          <w:sz w:val="24"/>
          <w:highlight w:val="none"/>
        </w:rPr>
        <w:t>：</w:t>
      </w:r>
    </w:p>
    <w:p w14:paraId="7409EA1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（1）未按照竞争性磋商文件规定要求签署、盖章的；</w:t>
      </w:r>
    </w:p>
    <w:p w14:paraId="2F0FD4C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（2）未满足竞争性磋商文件商务和技术条款的实质性要求的；</w:t>
      </w:r>
    </w:p>
    <w:p w14:paraId="605FAB1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（3）违反竞争性磋商文件规定提供进口产品的；</w:t>
      </w:r>
    </w:p>
    <w:p w14:paraId="2FEDD0C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（4）未按竞争性磋商文件规定提供政府强制采购节能产品的认证证明材料的；</w:t>
      </w:r>
    </w:p>
    <w:p w14:paraId="275AC42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（5）报价超过项目预算或最高限价的；</w:t>
      </w:r>
    </w:p>
    <w:p w14:paraId="2FFA7BF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（6）响应有效期不足的；</w:t>
      </w:r>
    </w:p>
    <w:p w14:paraId="42383A4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（7）联合体响应文件未附联合体响应协议书的；</w:t>
      </w:r>
    </w:p>
    <w:p w14:paraId="556C772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（8）不符合竞争性磋商文件中有关分包规定的；</w:t>
      </w:r>
    </w:p>
    <w:p w14:paraId="100A471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（9）属于串通响应，或者依法被视为串通响应；</w:t>
      </w:r>
    </w:p>
    <w:p w14:paraId="748AFEE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（10）响应文件含有采购人不能接受的附加条件的；</w:t>
      </w:r>
    </w:p>
    <w:p w14:paraId="0A62953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（11）属于竞争性磋商文件规定的其他无效响应情形的；</w:t>
      </w:r>
    </w:p>
    <w:p w14:paraId="302618C3">
      <w:pPr>
        <w:tabs>
          <w:tab w:val="left" w:pos="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（12）不符合法规和竞争性磋商文件中规定的其他实质性要求的。</w:t>
      </w:r>
    </w:p>
    <w:p w14:paraId="0CB0C059">
      <w:pPr>
        <w:spacing w:line="360" w:lineRule="auto"/>
        <w:outlineLvl w:val="1"/>
        <w:rPr>
          <w:rFonts w:hint="eastAsia" w:ascii="仿宋" w:hAnsi="仿宋" w:eastAsia="仿宋" w:cs="仿宋"/>
          <w:b/>
          <w:bCs/>
          <w:color w:val="auto"/>
          <w:sz w:val="22"/>
          <w:szCs w:val="28"/>
          <w:highlight w:val="none"/>
        </w:rPr>
      </w:pPr>
      <w:bookmarkStart w:id="152" w:name="_Toc5702"/>
      <w:r>
        <w:rPr>
          <w:rFonts w:hint="eastAsia" w:ascii="仿宋" w:hAnsi="仿宋" w:eastAsia="仿宋" w:cs="仿宋"/>
          <w:b/>
          <w:bCs/>
          <w:color w:val="auto"/>
          <w:sz w:val="22"/>
          <w:szCs w:val="28"/>
          <w:highlight w:val="none"/>
        </w:rPr>
        <w:t>23.磋商</w:t>
      </w:r>
      <w:bookmarkEnd w:id="152"/>
    </w:p>
    <w:p w14:paraId="589C56B3">
      <w:pPr>
        <w:spacing w:line="360" w:lineRule="auto"/>
        <w:ind w:left="-48" w:leftChars="-23"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23.1 磋商小组所有成员集中与供应商分别单独进行磋商。</w:t>
      </w:r>
    </w:p>
    <w:p w14:paraId="1D8BBF7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23.2 在磋商过程中，磋商小组可以根据磋商文件和磋商情况实质性变动采购需求中的技术、服务要求以及合同条款，但不得变动磋商文件中的其他内容。实质性变动的内容，须经采购人代表确认。</w:t>
      </w:r>
    </w:p>
    <w:p w14:paraId="1FD0D27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23.3 对磋商文件作出的实质性变动是磋商文件的有效组成部分，磋商小组应当及时以书面形式同时通知所有参加磋商的供应商。</w:t>
      </w:r>
    </w:p>
    <w:p w14:paraId="0C6B372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23.4 供应商应当按照磋商文件的变动情况和磋商小组的要求重新提交响应文件，并由其法定代表人/负责人或委托代理人签字。供应商为自然人的，应当由本人签字并附身份证明。</w:t>
      </w:r>
    </w:p>
    <w:p w14:paraId="292B03A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23.5 本项目</w:t>
      </w:r>
      <w:r>
        <w:rPr>
          <w:rFonts w:hint="eastAsia" w:ascii="仿宋" w:hAnsi="仿宋" w:eastAsia="仿宋" w:cs="仿宋"/>
          <w:color w:val="auto"/>
          <w:sz w:val="24"/>
          <w:highlight w:val="none"/>
          <w:u w:val="single"/>
        </w:rPr>
        <w:t>非一次性</w:t>
      </w:r>
      <w:r>
        <w:rPr>
          <w:rFonts w:hint="eastAsia" w:ascii="仿宋" w:hAnsi="仿宋" w:eastAsia="仿宋" w:cs="仿宋"/>
          <w:color w:val="auto"/>
          <w:sz w:val="24"/>
          <w:highlight w:val="none"/>
        </w:rPr>
        <w:t>报价。磋商文件能够详细列明采购标的的技术、服务要求的，磋商结束后，磋商小组应当要求所有实质性响应的供应商在规定时间内提交另一轮报价，该报价为最后报价，提交最后报价的供应商不得少于3家；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另一轮报价，该报价为最后报价。</w:t>
      </w:r>
    </w:p>
    <w:p w14:paraId="32FAB62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23.6 最后报价是供应商响应文件的有效组成部分，供应商法定代表人/负责人或委托代理人对最后报价书面签字确认。节能、环保产品、中小微企业产品价格认定均按照最后报价后的浮动比例同比例进行调整。</w:t>
      </w:r>
    </w:p>
    <w:p w14:paraId="3F438C6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23.7 已提交响应文件的供应商，在提交最后报价之前，可以根据磋商情况退出磋商。该退出申请由供应商法定代表人/负责人或委托代理人书面签字确认。</w:t>
      </w:r>
    </w:p>
    <w:p w14:paraId="3787A4E1">
      <w:pPr>
        <w:spacing w:line="360" w:lineRule="auto"/>
        <w:outlineLvl w:val="1"/>
        <w:rPr>
          <w:rFonts w:hint="eastAsia" w:ascii="仿宋" w:hAnsi="仿宋" w:eastAsia="仿宋" w:cs="仿宋"/>
          <w:b/>
          <w:bCs/>
          <w:color w:val="auto"/>
          <w:sz w:val="22"/>
          <w:szCs w:val="28"/>
          <w:highlight w:val="none"/>
        </w:rPr>
      </w:pPr>
      <w:bookmarkStart w:id="153" w:name="_Toc515647784"/>
      <w:bookmarkStart w:id="154" w:name="_Toc13652"/>
      <w:bookmarkStart w:id="155" w:name="_Toc22941"/>
      <w:bookmarkStart w:id="156" w:name="_Toc16997"/>
      <w:r>
        <w:rPr>
          <w:rFonts w:hint="eastAsia" w:ascii="仿宋" w:hAnsi="仿宋" w:eastAsia="仿宋" w:cs="仿宋"/>
          <w:b/>
          <w:bCs/>
          <w:color w:val="auto"/>
          <w:sz w:val="22"/>
          <w:szCs w:val="28"/>
          <w:highlight w:val="none"/>
        </w:rPr>
        <w:t>24.</w:t>
      </w:r>
      <w:bookmarkEnd w:id="147"/>
      <w:bookmarkEnd w:id="153"/>
      <w:bookmarkEnd w:id="154"/>
      <w:bookmarkEnd w:id="155"/>
      <w:r>
        <w:rPr>
          <w:rFonts w:hint="eastAsia" w:ascii="仿宋" w:hAnsi="仿宋" w:eastAsia="仿宋" w:cs="仿宋"/>
          <w:b/>
          <w:bCs/>
          <w:color w:val="auto"/>
          <w:sz w:val="22"/>
          <w:szCs w:val="28"/>
          <w:highlight w:val="none"/>
        </w:rPr>
        <w:t>比较和评价</w:t>
      </w:r>
      <w:bookmarkEnd w:id="156"/>
    </w:p>
    <w:p w14:paraId="52F95BB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24.1经磋商确定最终采购需求和提交最后报价的供应商后，磋商小组将根据竞争性磋商文件确定的评审方法和标准，对其技术部分和商务部分做进一步的比较和评价。</w:t>
      </w:r>
    </w:p>
    <w:p w14:paraId="13D2327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24.2磋商严格按照竞争性磋商文件的要求和条件进行。详细评审标准见竞争性磋商文件第5章。</w:t>
      </w:r>
    </w:p>
    <w:p w14:paraId="0FC96392">
      <w:pPr>
        <w:spacing w:line="360" w:lineRule="auto"/>
        <w:ind w:left="-1"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综合评分法，是指响应文件满足竞争性磋商文件全部实质性要求，且按照评审因素的量化指标评审得分最高的供应商为成交候选供应商的评审方法。</w:t>
      </w:r>
    </w:p>
    <w:p w14:paraId="2B65AC1E">
      <w:pPr>
        <w:pStyle w:val="18"/>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24.3根据</w:t>
      </w:r>
      <w:r>
        <w:rPr>
          <w:rFonts w:hint="eastAsia" w:ascii="仿宋" w:hAnsi="仿宋" w:eastAsia="仿宋" w:cs="仿宋"/>
          <w:color w:val="auto"/>
          <w:sz w:val="24"/>
          <w:highlight w:val="none"/>
        </w:rPr>
        <w:t>《政府采购促进中小企业发展管理办法》财库〔2020〕46号</w:t>
      </w:r>
      <w:r>
        <w:rPr>
          <w:rFonts w:hint="eastAsia" w:ascii="仿宋" w:hAnsi="仿宋" w:eastAsia="仿宋" w:cs="仿宋"/>
          <w:color w:val="auto"/>
          <w:sz w:val="24"/>
          <w:szCs w:val="24"/>
          <w:highlight w:val="none"/>
        </w:rPr>
        <w:t>、《财政部 司法部关于政府采购支持监狱企业发展有关问题的通知》（财库〔2014〕68号）和《三部门联合发布关于促进残疾人就业政府采购政策的通知》（</w:t>
      </w:r>
      <w:bookmarkStart w:id="157" w:name="sendNo"/>
      <w:r>
        <w:rPr>
          <w:rFonts w:hint="eastAsia" w:ascii="仿宋" w:hAnsi="仿宋" w:eastAsia="仿宋" w:cs="仿宋"/>
          <w:bCs/>
          <w:color w:val="auto"/>
          <w:sz w:val="24"/>
          <w:szCs w:val="24"/>
          <w:highlight w:val="none"/>
        </w:rPr>
        <w:t>财库〔</w:t>
      </w:r>
      <w:bookmarkEnd w:id="157"/>
      <w:r>
        <w:rPr>
          <w:rFonts w:hint="eastAsia" w:ascii="仿宋" w:hAnsi="仿宋" w:eastAsia="仿宋" w:cs="仿宋"/>
          <w:bCs/>
          <w:color w:val="auto"/>
          <w:sz w:val="24"/>
          <w:szCs w:val="24"/>
          <w:highlight w:val="none"/>
        </w:rPr>
        <w:t>2017〕141号</w:t>
      </w:r>
      <w:r>
        <w:rPr>
          <w:rFonts w:hint="eastAsia" w:ascii="仿宋" w:hAnsi="仿宋" w:eastAsia="仿宋" w:cs="仿宋"/>
          <w:color w:val="auto"/>
          <w:sz w:val="24"/>
          <w:szCs w:val="24"/>
          <w:highlight w:val="none"/>
        </w:rPr>
        <w:t>）的规定，对满足价格扣除条件且在响应文件中提交了《中小企业声明函》或省级以上监狱管理局、戒毒管理局（含新疆生产建设兵团）出具的属于监狱企业的证明文件的供应商，其响应扣除办法及比例详见竞争性磋商文件</w:t>
      </w:r>
      <w:r>
        <w:rPr>
          <w:rFonts w:hint="eastAsia" w:ascii="仿宋" w:hAnsi="仿宋" w:eastAsia="仿宋" w:cs="仿宋"/>
          <w:color w:val="auto"/>
          <w:sz w:val="24"/>
          <w:highlight w:val="none"/>
        </w:rPr>
        <w:t>第5章</w:t>
      </w:r>
      <w:r>
        <w:rPr>
          <w:rFonts w:hint="eastAsia" w:ascii="仿宋" w:hAnsi="仿宋" w:eastAsia="仿宋" w:cs="仿宋"/>
          <w:color w:val="auto"/>
          <w:sz w:val="24"/>
          <w:szCs w:val="24"/>
          <w:highlight w:val="none"/>
        </w:rPr>
        <w:t>。</w:t>
      </w:r>
    </w:p>
    <w:p w14:paraId="374A1800">
      <w:pPr>
        <w:pStyle w:val="18"/>
        <w:spacing w:line="360" w:lineRule="auto"/>
        <w:ind w:firstLine="48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sz w:val="24"/>
          <w:szCs w:val="24"/>
          <w:highlight w:val="none"/>
        </w:rPr>
        <w:t>24.4 根据国家有关节能、环保政策，对满足加分条件且在响应文件中提交了国家确定的认证机构出具的、处于有效期之内的节能产品、环境标志产品认证证书的供应商。具体办法及比例详见竞争性磋商文件第5章。</w:t>
      </w:r>
    </w:p>
    <w:p w14:paraId="056E69E3">
      <w:pPr>
        <w:spacing w:line="360" w:lineRule="auto"/>
        <w:outlineLvl w:val="1"/>
        <w:rPr>
          <w:rFonts w:hint="eastAsia" w:ascii="仿宋" w:hAnsi="仿宋" w:eastAsia="仿宋" w:cs="仿宋"/>
          <w:b/>
          <w:bCs/>
          <w:color w:val="auto"/>
          <w:sz w:val="22"/>
          <w:szCs w:val="28"/>
          <w:highlight w:val="none"/>
        </w:rPr>
      </w:pPr>
      <w:bookmarkStart w:id="158" w:name="_Toc520356168"/>
      <w:bookmarkStart w:id="159" w:name="_Toc20227"/>
      <w:bookmarkStart w:id="160" w:name="_Toc9378"/>
      <w:bookmarkStart w:id="161" w:name="_Toc515647785"/>
      <w:bookmarkStart w:id="162" w:name="_Toc6808"/>
      <w:r>
        <w:rPr>
          <w:rFonts w:hint="eastAsia" w:ascii="仿宋" w:hAnsi="仿宋" w:eastAsia="仿宋" w:cs="仿宋"/>
          <w:b/>
          <w:bCs/>
          <w:color w:val="auto"/>
          <w:sz w:val="22"/>
          <w:szCs w:val="28"/>
          <w:highlight w:val="none"/>
        </w:rPr>
        <w:t>2</w:t>
      </w:r>
      <w:bookmarkEnd w:id="158"/>
      <w:r>
        <w:rPr>
          <w:rFonts w:hint="eastAsia" w:ascii="仿宋" w:hAnsi="仿宋" w:eastAsia="仿宋" w:cs="仿宋"/>
          <w:b/>
          <w:bCs/>
          <w:color w:val="auto"/>
          <w:sz w:val="22"/>
          <w:szCs w:val="28"/>
          <w:highlight w:val="none"/>
        </w:rPr>
        <w:t>5.</w:t>
      </w:r>
      <w:bookmarkEnd w:id="159"/>
      <w:bookmarkEnd w:id="160"/>
      <w:bookmarkEnd w:id="161"/>
      <w:r>
        <w:rPr>
          <w:rFonts w:hint="eastAsia" w:ascii="仿宋" w:hAnsi="仿宋" w:eastAsia="仿宋" w:cs="仿宋"/>
          <w:b/>
          <w:bCs/>
          <w:color w:val="auto"/>
          <w:sz w:val="22"/>
          <w:szCs w:val="28"/>
          <w:highlight w:val="none"/>
        </w:rPr>
        <w:t>采购项目终止</w:t>
      </w:r>
      <w:bookmarkEnd w:id="162"/>
    </w:p>
    <w:p w14:paraId="60AFEC4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出现下列情形之一的，采购人应当终止竞争性磋商采购活动，发布项目终止公告并说明原因，重新开展采购活动：</w:t>
      </w:r>
    </w:p>
    <w:p w14:paraId="2485359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（1）因情况变化，不再符合规定的竞争性磋商采购方式适用情形的；</w:t>
      </w:r>
    </w:p>
    <w:p w14:paraId="11D8610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（2）出现影响采购公正的违法、违规行为的；</w:t>
      </w:r>
    </w:p>
    <w:p w14:paraId="5FFB2D0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（3）除《政府采购竞争性磋商采购方式管理暂行办法》第三条第四项规定的情形外，在采购过程中符合要求的供应商或者报价未超过采购预算的供应商不足3家的。</w:t>
      </w:r>
    </w:p>
    <w:p w14:paraId="3E9A1398">
      <w:pPr>
        <w:spacing w:line="360" w:lineRule="auto"/>
        <w:outlineLvl w:val="1"/>
        <w:rPr>
          <w:rFonts w:hint="eastAsia" w:ascii="仿宋" w:hAnsi="仿宋" w:eastAsia="仿宋" w:cs="仿宋"/>
          <w:b/>
          <w:bCs/>
          <w:color w:val="auto"/>
          <w:sz w:val="22"/>
          <w:szCs w:val="28"/>
          <w:highlight w:val="none"/>
        </w:rPr>
      </w:pPr>
      <w:bookmarkStart w:id="163" w:name="_Toc24972"/>
      <w:bookmarkStart w:id="164" w:name="_Toc31289"/>
      <w:bookmarkStart w:id="165" w:name="_Toc515647786"/>
      <w:bookmarkStart w:id="166" w:name="_Toc7422"/>
      <w:r>
        <w:rPr>
          <w:rFonts w:hint="eastAsia" w:ascii="仿宋" w:hAnsi="仿宋" w:eastAsia="仿宋" w:cs="仿宋"/>
          <w:b/>
          <w:bCs/>
          <w:color w:val="auto"/>
          <w:sz w:val="22"/>
          <w:szCs w:val="28"/>
          <w:highlight w:val="none"/>
        </w:rPr>
        <w:t>26.保密</w:t>
      </w:r>
      <w:bookmarkEnd w:id="163"/>
      <w:bookmarkEnd w:id="164"/>
      <w:bookmarkEnd w:id="165"/>
      <w:r>
        <w:rPr>
          <w:rFonts w:hint="eastAsia" w:ascii="仿宋" w:hAnsi="仿宋" w:eastAsia="仿宋" w:cs="仿宋"/>
          <w:b/>
          <w:bCs/>
          <w:color w:val="auto"/>
          <w:sz w:val="22"/>
          <w:szCs w:val="28"/>
          <w:highlight w:val="none"/>
        </w:rPr>
        <w:t>要求</w:t>
      </w:r>
      <w:bookmarkEnd w:id="166"/>
      <w:bookmarkStart w:id="167" w:name="_Toc520356169"/>
    </w:p>
    <w:p w14:paraId="603EF385">
      <w:pPr>
        <w:spacing w:line="360" w:lineRule="auto"/>
        <w:ind w:left="899" w:leftChars="228" w:hanging="420" w:hanging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26.1磋商将在严格保密的情况下进行。</w:t>
      </w:r>
    </w:p>
    <w:p w14:paraId="0139E37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26.2政府采购评审专家应当遵守磋商工作纪律，不得记录、复制或者带走任何评审资料，不得泄露磋商文件、磋商情况和磋商中获悉的商业秘密。</w:t>
      </w:r>
    </w:p>
    <w:p w14:paraId="2F460013">
      <w:pPr>
        <w:pStyle w:val="2"/>
        <w:spacing w:before="0" w:line="360" w:lineRule="auto"/>
        <w:ind w:left="565" w:leftChars="12" w:hanging="540"/>
        <w:rPr>
          <w:rFonts w:hint="eastAsia" w:ascii="仿宋" w:hAnsi="仿宋" w:eastAsia="仿宋" w:cs="仿宋"/>
          <w:color w:val="auto"/>
          <w:highlight w:val="none"/>
        </w:rPr>
      </w:pPr>
      <w:bookmarkStart w:id="168" w:name="_Toc23904"/>
      <w:bookmarkStart w:id="169" w:name="_Toc12143"/>
      <w:bookmarkStart w:id="170" w:name="_Toc216582810"/>
      <w:bookmarkStart w:id="171" w:name="_Toc515647787"/>
      <w:bookmarkStart w:id="172" w:name="_Toc21183"/>
      <w:r>
        <w:rPr>
          <w:rFonts w:hint="eastAsia" w:ascii="仿宋" w:hAnsi="仿宋" w:eastAsia="仿宋" w:cs="仿宋"/>
          <w:color w:val="auto"/>
          <w:sz w:val="28"/>
          <w:szCs w:val="28"/>
          <w:highlight w:val="none"/>
        </w:rPr>
        <w:t xml:space="preserve">六   </w:t>
      </w:r>
      <w:bookmarkEnd w:id="167"/>
      <w:r>
        <w:rPr>
          <w:rFonts w:hint="eastAsia" w:ascii="仿宋" w:hAnsi="仿宋" w:eastAsia="仿宋" w:cs="仿宋"/>
          <w:color w:val="auto"/>
          <w:sz w:val="28"/>
          <w:szCs w:val="28"/>
          <w:highlight w:val="none"/>
        </w:rPr>
        <w:t>确定成交</w:t>
      </w:r>
      <w:bookmarkEnd w:id="168"/>
      <w:bookmarkEnd w:id="169"/>
      <w:bookmarkEnd w:id="170"/>
      <w:bookmarkEnd w:id="171"/>
      <w:bookmarkEnd w:id="172"/>
      <w:bookmarkStart w:id="173" w:name="_Toc23617"/>
      <w:bookmarkStart w:id="174" w:name="_Toc23762"/>
      <w:bookmarkStart w:id="175" w:name="_Toc515647788"/>
      <w:bookmarkStart w:id="176" w:name="_Toc520356170"/>
      <w:bookmarkStart w:id="177" w:name="_Ref467307010"/>
    </w:p>
    <w:p w14:paraId="2318E454">
      <w:pPr>
        <w:spacing w:line="360" w:lineRule="auto"/>
        <w:outlineLvl w:val="1"/>
        <w:rPr>
          <w:rFonts w:hint="eastAsia" w:ascii="仿宋" w:hAnsi="仿宋" w:eastAsia="仿宋" w:cs="仿宋"/>
          <w:b/>
          <w:bCs/>
          <w:color w:val="auto"/>
          <w:sz w:val="22"/>
          <w:szCs w:val="28"/>
          <w:highlight w:val="none"/>
        </w:rPr>
      </w:pPr>
      <w:bookmarkStart w:id="178" w:name="_Toc8400"/>
      <w:r>
        <w:rPr>
          <w:rFonts w:hint="eastAsia" w:ascii="仿宋" w:hAnsi="仿宋" w:eastAsia="仿宋" w:cs="仿宋"/>
          <w:b/>
          <w:bCs/>
          <w:color w:val="auto"/>
          <w:sz w:val="22"/>
          <w:szCs w:val="28"/>
          <w:highlight w:val="none"/>
        </w:rPr>
        <w:t>27.成交候选供应商的确定原则及标准</w:t>
      </w:r>
      <w:bookmarkEnd w:id="173"/>
      <w:bookmarkEnd w:id="174"/>
      <w:bookmarkEnd w:id="175"/>
      <w:bookmarkEnd w:id="176"/>
      <w:bookmarkEnd w:id="177"/>
      <w:bookmarkEnd w:id="178"/>
    </w:p>
    <w:p w14:paraId="66F10F35">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除29条规定外，对实质上响应磋商文件的供应商按下列方法进行排序，确定成交候选供应商。</w:t>
      </w:r>
    </w:p>
    <w:p w14:paraId="0F82CE03">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磋商小组对实质上响应竞争性磋商文件的供应商按照竞争性磋商文件第5章规定的评审方法进行排序，确定3名以上成交候选供应商，并编写评审报告。评审得分相同的，按照最后报价由低到高的顺序推荐。评审得分且最后报价相同的，按照技术指标优劣顺序推荐。</w:t>
      </w:r>
    </w:p>
    <w:p w14:paraId="6821A308">
      <w:pPr>
        <w:spacing w:line="360" w:lineRule="auto"/>
        <w:outlineLvl w:val="1"/>
        <w:rPr>
          <w:rFonts w:hint="eastAsia" w:ascii="仿宋" w:hAnsi="仿宋" w:eastAsia="仿宋" w:cs="仿宋"/>
          <w:b/>
          <w:bCs/>
          <w:color w:val="auto"/>
          <w:sz w:val="22"/>
          <w:szCs w:val="28"/>
          <w:highlight w:val="none"/>
        </w:rPr>
      </w:pPr>
      <w:bookmarkStart w:id="179" w:name="_Toc9653"/>
      <w:bookmarkStart w:id="180" w:name="_Toc13839"/>
      <w:bookmarkStart w:id="181" w:name="_Toc23951"/>
      <w:bookmarkStart w:id="182" w:name="_Toc515647789"/>
      <w:r>
        <w:rPr>
          <w:rFonts w:hint="eastAsia" w:ascii="仿宋" w:hAnsi="仿宋" w:eastAsia="仿宋" w:cs="仿宋"/>
          <w:b/>
          <w:bCs/>
          <w:color w:val="auto"/>
          <w:sz w:val="22"/>
          <w:szCs w:val="28"/>
          <w:highlight w:val="none"/>
        </w:rPr>
        <w:t>28.确定成交候选供应商和成交供应商</w:t>
      </w:r>
      <w:bookmarkEnd w:id="179"/>
      <w:bookmarkEnd w:id="180"/>
      <w:bookmarkEnd w:id="181"/>
      <w:bookmarkEnd w:id="182"/>
    </w:p>
    <w:p w14:paraId="7F0F5EB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磋商小组将根据评审标准，按供应商须知资料表中规定数量推荐成交候选人或根据采购人的委托直接确定成交供应商。</w:t>
      </w:r>
    </w:p>
    <w:p w14:paraId="279FEB24">
      <w:pPr>
        <w:spacing w:line="360" w:lineRule="auto"/>
        <w:outlineLvl w:val="1"/>
        <w:rPr>
          <w:rFonts w:hint="eastAsia" w:ascii="仿宋" w:hAnsi="仿宋" w:eastAsia="仿宋" w:cs="仿宋"/>
          <w:b/>
          <w:bCs/>
          <w:color w:val="auto"/>
          <w:sz w:val="22"/>
          <w:szCs w:val="28"/>
          <w:highlight w:val="none"/>
        </w:rPr>
      </w:pPr>
      <w:bookmarkStart w:id="183" w:name="_Toc20395"/>
      <w:bookmarkStart w:id="184" w:name="_Toc51176613"/>
      <w:r>
        <w:rPr>
          <w:rFonts w:hint="eastAsia" w:ascii="仿宋" w:hAnsi="仿宋" w:eastAsia="仿宋" w:cs="仿宋"/>
          <w:b/>
          <w:bCs/>
          <w:color w:val="auto"/>
          <w:sz w:val="22"/>
          <w:szCs w:val="28"/>
          <w:highlight w:val="none"/>
        </w:rPr>
        <w:t>29.采购任务取消</w:t>
      </w:r>
      <w:bookmarkEnd w:id="183"/>
      <w:bookmarkEnd w:id="184"/>
    </w:p>
    <w:p w14:paraId="02E61A04">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因重大变故采购任务取消时，采购人有权拒绝任何供应商成交，对受影响的供应商不承担任何责任。</w:t>
      </w:r>
    </w:p>
    <w:p w14:paraId="60348B71">
      <w:pPr>
        <w:spacing w:line="360" w:lineRule="auto"/>
        <w:outlineLvl w:val="1"/>
        <w:rPr>
          <w:rFonts w:hint="eastAsia" w:ascii="仿宋" w:hAnsi="仿宋" w:eastAsia="仿宋" w:cs="仿宋"/>
          <w:b/>
          <w:bCs/>
          <w:color w:val="auto"/>
          <w:sz w:val="22"/>
          <w:szCs w:val="28"/>
          <w:highlight w:val="none"/>
        </w:rPr>
      </w:pPr>
      <w:bookmarkStart w:id="185" w:name="_Toc520356174"/>
      <w:bookmarkStart w:id="186" w:name="_Toc518923095"/>
      <w:bookmarkStart w:id="187" w:name="_Toc19087101"/>
      <w:bookmarkStart w:id="188" w:name="_Toc12219"/>
      <w:r>
        <w:rPr>
          <w:rFonts w:hint="eastAsia" w:ascii="仿宋" w:hAnsi="仿宋" w:eastAsia="仿宋" w:cs="仿宋"/>
          <w:b/>
          <w:bCs/>
          <w:color w:val="auto"/>
          <w:sz w:val="22"/>
          <w:szCs w:val="28"/>
          <w:highlight w:val="none"/>
        </w:rPr>
        <w:t>30.发出成交</w:t>
      </w:r>
      <w:bookmarkEnd w:id="185"/>
      <w:r>
        <w:rPr>
          <w:rFonts w:hint="eastAsia" w:ascii="仿宋" w:hAnsi="仿宋" w:eastAsia="仿宋" w:cs="仿宋"/>
          <w:b/>
          <w:bCs/>
          <w:color w:val="auto"/>
          <w:sz w:val="22"/>
          <w:szCs w:val="28"/>
          <w:highlight w:val="none"/>
        </w:rPr>
        <w:t>通知书</w:t>
      </w:r>
      <w:bookmarkEnd w:id="186"/>
      <w:bookmarkEnd w:id="187"/>
      <w:bookmarkEnd w:id="188"/>
    </w:p>
    <w:p w14:paraId="663EDFCF">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在法律规定期限内，成交供应商确定后，采购人或者采购代理机构按照规定应同时公告供应商未中标的原因，发布成交公告，在公告成交结果的同时，向成交供应商发出成交通知书，成交通知书是合同的组成部分。</w:t>
      </w:r>
    </w:p>
    <w:p w14:paraId="071160BE">
      <w:pPr>
        <w:spacing w:line="360" w:lineRule="auto"/>
        <w:outlineLvl w:val="1"/>
        <w:rPr>
          <w:rFonts w:hint="eastAsia" w:ascii="仿宋" w:hAnsi="仿宋" w:eastAsia="仿宋" w:cs="仿宋"/>
          <w:b/>
          <w:bCs/>
          <w:color w:val="auto"/>
          <w:sz w:val="22"/>
          <w:szCs w:val="28"/>
          <w:highlight w:val="none"/>
        </w:rPr>
      </w:pPr>
      <w:bookmarkStart w:id="189" w:name="_Ref467306978"/>
      <w:bookmarkStart w:id="190" w:name="_Ref467306377"/>
      <w:bookmarkStart w:id="191" w:name="_Ref467307062"/>
      <w:bookmarkStart w:id="192" w:name="_Ref467307204"/>
      <w:bookmarkStart w:id="193" w:name="_Toc19087104"/>
      <w:bookmarkStart w:id="194" w:name="_Toc518923096"/>
      <w:bookmarkStart w:id="195" w:name="_Toc7697"/>
      <w:bookmarkStart w:id="196" w:name="_Toc520356175"/>
      <w:r>
        <w:rPr>
          <w:rFonts w:hint="eastAsia" w:ascii="仿宋" w:hAnsi="仿宋" w:eastAsia="仿宋" w:cs="仿宋"/>
          <w:b/>
          <w:bCs/>
          <w:color w:val="auto"/>
          <w:sz w:val="22"/>
          <w:szCs w:val="28"/>
          <w:highlight w:val="none"/>
        </w:rPr>
        <w:t>31.签订合同</w:t>
      </w:r>
      <w:bookmarkEnd w:id="189"/>
      <w:bookmarkEnd w:id="190"/>
      <w:bookmarkEnd w:id="191"/>
      <w:bookmarkEnd w:id="192"/>
      <w:bookmarkEnd w:id="193"/>
      <w:bookmarkEnd w:id="194"/>
      <w:bookmarkEnd w:id="195"/>
      <w:bookmarkEnd w:id="196"/>
    </w:p>
    <w:p w14:paraId="3758B06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31.1成交供应商应当自发出成交通知书之日起10日内，与采购人签订合同。</w:t>
      </w:r>
    </w:p>
    <w:p w14:paraId="36AEC5F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31.2</w:t>
      </w:r>
      <w:bookmarkStart w:id="197" w:name="_Toc520356176"/>
      <w:bookmarkStart w:id="198" w:name="_Ref467307090"/>
      <w:bookmarkStart w:id="199" w:name="_Ref467306425"/>
      <w:r>
        <w:rPr>
          <w:rFonts w:hint="eastAsia" w:ascii="仿宋" w:hAnsi="仿宋" w:eastAsia="仿宋" w:cs="仿宋"/>
          <w:color w:val="auto"/>
          <w:sz w:val="24"/>
          <w:highlight w:val="none"/>
        </w:rPr>
        <w:t>竞争性磋商文件、成交供应商的响应文件及其澄清文件等，均为签订合同的依据。</w:t>
      </w:r>
    </w:p>
    <w:p w14:paraId="25D0747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31.3 如成交供应商拒绝与采购人签订合同的，采购人可以按照评审报告推荐的成交候选供应商名单排序，确定下一成交候选供应商为成交供应商，也可以重新开展政府采购活动。</w:t>
      </w:r>
    </w:p>
    <w:p w14:paraId="0A1E2C6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31.4当出现法规规定的成交无效情形时，采购人依规可与排名下一位的成交候选供应商另行签订合同，或依法重新开展采购活动。</w:t>
      </w:r>
    </w:p>
    <w:p w14:paraId="6DC4943C">
      <w:pPr>
        <w:spacing w:line="360" w:lineRule="auto"/>
        <w:outlineLvl w:val="1"/>
        <w:rPr>
          <w:rFonts w:hint="eastAsia" w:ascii="仿宋" w:hAnsi="仿宋" w:eastAsia="仿宋" w:cs="仿宋"/>
          <w:b/>
          <w:bCs/>
          <w:color w:val="auto"/>
          <w:sz w:val="22"/>
          <w:szCs w:val="28"/>
          <w:highlight w:val="none"/>
        </w:rPr>
      </w:pPr>
      <w:bookmarkStart w:id="200" w:name="_Toc19087105"/>
      <w:bookmarkStart w:id="201" w:name="_Toc10223"/>
      <w:bookmarkStart w:id="202" w:name="_Toc518923097"/>
      <w:r>
        <w:rPr>
          <w:rFonts w:hint="eastAsia" w:ascii="仿宋" w:hAnsi="仿宋" w:eastAsia="仿宋" w:cs="仿宋"/>
          <w:b/>
          <w:bCs/>
          <w:color w:val="auto"/>
          <w:sz w:val="22"/>
          <w:szCs w:val="28"/>
          <w:highlight w:val="none"/>
        </w:rPr>
        <w:t>32.履约保证金</w:t>
      </w:r>
      <w:bookmarkEnd w:id="197"/>
      <w:bookmarkEnd w:id="198"/>
      <w:bookmarkEnd w:id="199"/>
      <w:bookmarkEnd w:id="200"/>
      <w:bookmarkEnd w:id="201"/>
      <w:bookmarkEnd w:id="202"/>
    </w:p>
    <w:p w14:paraId="4B0314D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32.1如果需要履约保证金，成交供应商应按照供应商须知资料表规定向采购人缴纳履约保证金（如采用保函形式，格式见本章附件1）</w:t>
      </w:r>
    </w:p>
    <w:p w14:paraId="15A05165">
      <w:pPr>
        <w:spacing w:line="360" w:lineRule="auto"/>
        <w:ind w:firstLine="640" w:firstLineChars="267"/>
        <w:rPr>
          <w:rFonts w:hint="eastAsia" w:ascii="仿宋" w:hAnsi="仿宋" w:eastAsia="仿宋" w:cs="仿宋"/>
          <w:color w:val="auto"/>
          <w:sz w:val="24"/>
          <w:highlight w:val="none"/>
        </w:rPr>
      </w:pPr>
      <w:bookmarkStart w:id="203" w:name="_Toc518923099"/>
      <w:bookmarkStart w:id="204" w:name="_Toc31411"/>
      <w:bookmarkStart w:id="205" w:name="_Toc19045"/>
      <w:bookmarkStart w:id="206" w:name="_Toc51176617"/>
      <w:r>
        <w:rPr>
          <w:rFonts w:hint="eastAsia" w:ascii="仿宋" w:hAnsi="仿宋" w:eastAsia="仿宋" w:cs="仿宋"/>
          <w:color w:val="auto"/>
          <w:sz w:val="24"/>
          <w:highlight w:val="none"/>
        </w:rPr>
        <w:t>32.2 政府采购利用担保试点范围内的项目，除32.1规定的情形外，成交供应商也可以按照财政部门的规定，向采购人提供合格的履约担保函（格式见本章附件2）。</w:t>
      </w:r>
    </w:p>
    <w:p w14:paraId="33BB7C5D">
      <w:pPr>
        <w:spacing w:line="360" w:lineRule="auto"/>
        <w:ind w:firstLine="640" w:firstLineChars="267"/>
        <w:rPr>
          <w:rFonts w:hint="eastAsia" w:ascii="仿宋" w:hAnsi="仿宋" w:eastAsia="仿宋" w:cs="仿宋"/>
          <w:color w:val="auto"/>
          <w:sz w:val="24"/>
          <w:highlight w:val="none"/>
        </w:rPr>
      </w:pPr>
      <w:r>
        <w:rPr>
          <w:rFonts w:hint="eastAsia" w:ascii="仿宋" w:hAnsi="仿宋" w:eastAsia="仿宋" w:cs="仿宋"/>
          <w:color w:val="auto"/>
          <w:sz w:val="24"/>
          <w:highlight w:val="none"/>
        </w:rPr>
        <w:t>32.3 如果成交供应商没有在签订合同后按照履约保证金的规定执行，将视为放弃成交资格，成交供应商的磋商保证金将不予退还（如有）。在此情况下，采购人可依规确定下一候选人为成交供应商，也可以重新开展采购活动。</w:t>
      </w:r>
    </w:p>
    <w:p w14:paraId="6AFF4516">
      <w:pPr>
        <w:spacing w:line="360" w:lineRule="auto"/>
        <w:outlineLvl w:val="1"/>
        <w:rPr>
          <w:rFonts w:hint="eastAsia" w:ascii="仿宋" w:hAnsi="仿宋" w:eastAsia="仿宋" w:cs="仿宋"/>
          <w:b/>
          <w:bCs/>
          <w:color w:val="auto"/>
          <w:sz w:val="22"/>
          <w:szCs w:val="28"/>
          <w:highlight w:val="none"/>
        </w:rPr>
      </w:pPr>
      <w:r>
        <w:rPr>
          <w:rFonts w:hint="eastAsia" w:ascii="仿宋" w:hAnsi="仿宋" w:eastAsia="仿宋" w:cs="仿宋"/>
          <w:b/>
          <w:bCs/>
          <w:color w:val="auto"/>
          <w:sz w:val="22"/>
          <w:szCs w:val="28"/>
          <w:highlight w:val="none"/>
        </w:rPr>
        <w:t>33.政府采购信用担保</w:t>
      </w:r>
      <w:bookmarkEnd w:id="203"/>
      <w:bookmarkEnd w:id="204"/>
      <w:bookmarkEnd w:id="205"/>
      <w:bookmarkEnd w:id="206"/>
    </w:p>
    <w:p w14:paraId="2FF93BF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33.1本项目是否属于信用担保试点范围见供应商须知资料表。</w:t>
      </w:r>
    </w:p>
    <w:p w14:paraId="2C7D9CA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33.2如属于政府采购信用担保试点范围内，中小型企业供应商可以自由按照财政部门的规定，采用磋商担保、履约担保和融资担保。</w:t>
      </w:r>
    </w:p>
    <w:p w14:paraId="575BDDF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33.2.1供应商递交的磋商担保函和履约担保函应符合本磋商文件的规定。</w:t>
      </w:r>
    </w:p>
    <w:p w14:paraId="7013030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33.2.2成交供应商可以采取融资担保的形式为政府采购项目履约进行融资。</w:t>
      </w:r>
    </w:p>
    <w:p w14:paraId="1B24B160">
      <w:pPr>
        <w:spacing w:line="360" w:lineRule="auto"/>
        <w:outlineLvl w:val="1"/>
        <w:rPr>
          <w:rFonts w:hint="eastAsia" w:ascii="仿宋" w:hAnsi="仿宋" w:eastAsia="仿宋" w:cs="仿宋"/>
          <w:b/>
          <w:bCs/>
          <w:color w:val="auto"/>
          <w:sz w:val="22"/>
          <w:szCs w:val="28"/>
          <w:highlight w:val="none"/>
        </w:rPr>
      </w:pPr>
      <w:bookmarkStart w:id="207" w:name="_Toc518923098"/>
      <w:bookmarkStart w:id="208" w:name="_Toc19016170"/>
      <w:bookmarkStart w:id="209" w:name="_Toc19087106"/>
      <w:bookmarkStart w:id="210" w:name="_Toc9921"/>
      <w:r>
        <w:rPr>
          <w:rFonts w:hint="eastAsia" w:ascii="仿宋" w:hAnsi="仿宋" w:eastAsia="仿宋" w:cs="仿宋"/>
          <w:b/>
          <w:bCs/>
          <w:color w:val="auto"/>
          <w:sz w:val="22"/>
          <w:szCs w:val="28"/>
          <w:highlight w:val="none"/>
        </w:rPr>
        <w:t>34.</w:t>
      </w:r>
      <w:bookmarkEnd w:id="207"/>
      <w:r>
        <w:rPr>
          <w:rFonts w:hint="eastAsia" w:ascii="仿宋" w:hAnsi="仿宋" w:eastAsia="仿宋" w:cs="仿宋"/>
          <w:b/>
          <w:bCs/>
          <w:color w:val="auto"/>
          <w:sz w:val="22"/>
          <w:szCs w:val="28"/>
          <w:highlight w:val="none"/>
        </w:rPr>
        <w:t>预付款</w:t>
      </w:r>
      <w:bookmarkEnd w:id="208"/>
      <w:bookmarkEnd w:id="209"/>
      <w:bookmarkEnd w:id="210"/>
      <w:bookmarkStart w:id="211" w:name="_Toc518923100"/>
    </w:p>
    <w:p w14:paraId="27F42F2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34.1预付款是指政府采购合同签订后、履行前，采购人向成交供应商预先支付部分合同款项，预付款比例按照供应商须知资料表规定执行。</w:t>
      </w:r>
    </w:p>
    <w:p w14:paraId="5F67683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34.2本项目采购人不需要支付预付款的情形，见供应商须知资料表。</w:t>
      </w:r>
    </w:p>
    <w:p w14:paraId="28B30A81">
      <w:pPr>
        <w:spacing w:line="360" w:lineRule="auto"/>
        <w:outlineLvl w:val="1"/>
        <w:rPr>
          <w:rFonts w:hint="eastAsia" w:ascii="仿宋" w:hAnsi="仿宋" w:eastAsia="仿宋" w:cs="仿宋"/>
          <w:b/>
          <w:bCs/>
          <w:color w:val="auto"/>
          <w:sz w:val="22"/>
          <w:szCs w:val="28"/>
          <w:highlight w:val="none"/>
        </w:rPr>
      </w:pPr>
      <w:bookmarkStart w:id="212" w:name="_Toc31391"/>
      <w:bookmarkStart w:id="213" w:name="_Toc19087107"/>
      <w:r>
        <w:rPr>
          <w:rFonts w:hint="eastAsia" w:ascii="仿宋" w:hAnsi="仿宋" w:eastAsia="仿宋" w:cs="仿宋"/>
          <w:b/>
          <w:bCs/>
          <w:color w:val="auto"/>
          <w:sz w:val="22"/>
          <w:szCs w:val="28"/>
          <w:highlight w:val="none"/>
        </w:rPr>
        <w:t>35.廉洁自律规定</w:t>
      </w:r>
      <w:bookmarkEnd w:id="211"/>
      <w:bookmarkEnd w:id="212"/>
      <w:bookmarkEnd w:id="213"/>
    </w:p>
    <w:p w14:paraId="643CE06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35.1采购代理机构工作人员不得与采购人、供应商恶意串通操纵政府采购活动。</w:t>
      </w:r>
    </w:p>
    <w:p w14:paraId="5A34286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35.2采购代理机构工作人员不得接受采购人或者供应商组织的宴请、旅游、娱乐，不得收受礼品、现金、有价证券等，不得向采购人或者供应商报销应当由个人承担的费用。</w:t>
      </w:r>
    </w:p>
    <w:p w14:paraId="74ADD14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35.3为强化采购代理机构内部监督机制，供应商可按供应商须知资料表中的监督电话和邮箱，反映采购代理机构的廉洁自律等问题。</w:t>
      </w:r>
    </w:p>
    <w:p w14:paraId="1B95A9C1">
      <w:pPr>
        <w:spacing w:line="360" w:lineRule="auto"/>
        <w:outlineLvl w:val="1"/>
        <w:rPr>
          <w:rFonts w:hint="eastAsia" w:ascii="仿宋" w:hAnsi="仿宋" w:eastAsia="仿宋" w:cs="仿宋"/>
          <w:b/>
          <w:bCs/>
          <w:color w:val="auto"/>
          <w:sz w:val="22"/>
          <w:szCs w:val="28"/>
          <w:highlight w:val="none"/>
        </w:rPr>
      </w:pPr>
      <w:bookmarkStart w:id="214" w:name="_Toc19087108"/>
      <w:bookmarkStart w:id="215" w:name="_Toc518923101"/>
      <w:bookmarkStart w:id="216" w:name="_Toc26527"/>
      <w:r>
        <w:rPr>
          <w:rFonts w:hint="eastAsia" w:ascii="仿宋" w:hAnsi="仿宋" w:eastAsia="仿宋" w:cs="仿宋"/>
          <w:b/>
          <w:bCs/>
          <w:color w:val="auto"/>
          <w:sz w:val="22"/>
          <w:szCs w:val="28"/>
          <w:highlight w:val="none"/>
        </w:rPr>
        <w:t>36.人员回避</w:t>
      </w:r>
      <w:bookmarkEnd w:id="214"/>
      <w:bookmarkEnd w:id="215"/>
      <w:bookmarkEnd w:id="216"/>
    </w:p>
    <w:p w14:paraId="73EB7BB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供应商认为采购人员、采购代理机构工作人员及其相关人员有法律法规所列与其他供应商有利害关系的，可以向采购人或采购代理机构书面提出回避申请，并说明理由。</w:t>
      </w:r>
    </w:p>
    <w:p w14:paraId="1ACAB1D0">
      <w:pPr>
        <w:spacing w:line="360" w:lineRule="auto"/>
        <w:outlineLvl w:val="1"/>
        <w:rPr>
          <w:rFonts w:hint="eastAsia" w:ascii="仿宋" w:hAnsi="仿宋" w:eastAsia="仿宋" w:cs="仿宋"/>
          <w:b/>
          <w:bCs/>
          <w:color w:val="auto"/>
          <w:sz w:val="22"/>
          <w:szCs w:val="28"/>
          <w:highlight w:val="none"/>
        </w:rPr>
      </w:pPr>
      <w:bookmarkStart w:id="217" w:name="_Toc518923102"/>
      <w:bookmarkStart w:id="218" w:name="_Toc19087109"/>
      <w:bookmarkStart w:id="219" w:name="_Toc15492"/>
      <w:r>
        <w:rPr>
          <w:rFonts w:hint="eastAsia" w:ascii="仿宋" w:hAnsi="仿宋" w:eastAsia="仿宋" w:cs="仿宋"/>
          <w:b/>
          <w:bCs/>
          <w:color w:val="auto"/>
          <w:sz w:val="22"/>
          <w:szCs w:val="28"/>
          <w:highlight w:val="none"/>
        </w:rPr>
        <w:t>37.质疑与接收</w:t>
      </w:r>
      <w:bookmarkEnd w:id="217"/>
      <w:bookmarkEnd w:id="218"/>
      <w:bookmarkEnd w:id="219"/>
    </w:p>
    <w:p w14:paraId="3741647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37.1供应商认为竞争性磋商文件、磋商过程和成交结果使自己的权益受到损害的，可以根据《中华人民共和国政府采购法》、《中华人民共和国政府采购法实施条例》和《政府采购质疑和投诉办法》的有关规定，依法向采购人或其委托的采购代理机构提出质疑。</w:t>
      </w:r>
    </w:p>
    <w:p w14:paraId="763F9B3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37.2质疑供应商应按照财政部制定的《政府采购质疑函范本》格式（可从财政部官方网站下载）和《政府采购质疑和投诉办法》的要求，在法定质疑期内以书面形式提出质疑，针对同一采购程序环节的质疑应一次性提出。</w:t>
      </w:r>
    </w:p>
    <w:p w14:paraId="0B937EE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超出法定质疑期的、重复提出的、分次提出的或内容、形式不符合《政府采购质疑和投诉办法》的，质疑供应商将依法承担不利后果。</w:t>
      </w:r>
    </w:p>
    <w:p w14:paraId="0F50F09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37.3采购人或采购代理机构质疑函接收部门、联系电话和通讯地址, 见供应商须知资料表。</w:t>
      </w:r>
    </w:p>
    <w:p w14:paraId="48D4B913">
      <w:pPr>
        <w:spacing w:line="360" w:lineRule="auto"/>
        <w:outlineLvl w:val="1"/>
        <w:rPr>
          <w:rFonts w:hint="eastAsia" w:ascii="仿宋" w:hAnsi="仿宋" w:eastAsia="仿宋" w:cs="仿宋"/>
          <w:b/>
          <w:bCs/>
          <w:color w:val="auto"/>
          <w:sz w:val="22"/>
          <w:szCs w:val="28"/>
          <w:highlight w:val="none"/>
        </w:rPr>
      </w:pPr>
      <w:bookmarkStart w:id="220" w:name="_Toc10523"/>
      <w:bookmarkStart w:id="221" w:name="_Toc51176622"/>
      <w:r>
        <w:rPr>
          <w:rFonts w:hint="eastAsia" w:ascii="仿宋" w:hAnsi="仿宋" w:eastAsia="仿宋" w:cs="仿宋"/>
          <w:b/>
          <w:bCs/>
          <w:color w:val="auto"/>
          <w:sz w:val="22"/>
          <w:szCs w:val="28"/>
          <w:highlight w:val="none"/>
        </w:rPr>
        <w:t>38.项目其他相关费用</w:t>
      </w:r>
      <w:bookmarkEnd w:id="220"/>
      <w:bookmarkEnd w:id="221"/>
    </w:p>
    <w:p w14:paraId="1B17EA7B">
      <w:pPr>
        <w:spacing w:line="360" w:lineRule="auto"/>
        <w:ind w:firstLine="480" w:firstLineChars="200"/>
        <w:rPr>
          <w:rFonts w:hint="eastAsia" w:ascii="仿宋" w:hAnsi="仿宋" w:eastAsia="仿宋" w:cs="仿宋"/>
          <w:color w:val="auto"/>
          <w:sz w:val="24"/>
          <w:highlight w:val="none"/>
        </w:rPr>
      </w:pPr>
      <w:bookmarkStart w:id="222" w:name="_Toc411637995"/>
      <w:r>
        <w:rPr>
          <w:rFonts w:hint="eastAsia" w:ascii="仿宋" w:hAnsi="仿宋" w:eastAsia="仿宋" w:cs="仿宋"/>
          <w:color w:val="auto"/>
          <w:sz w:val="24"/>
          <w:highlight w:val="none"/>
        </w:rPr>
        <w:t>38.1成交服务费</w:t>
      </w:r>
      <w:bookmarkEnd w:id="222"/>
    </w:p>
    <w:p w14:paraId="65B7624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成交服务费收取标准：见供应商须知资料表。</w:t>
      </w:r>
    </w:p>
    <w:p w14:paraId="7FC9F8A8">
      <w:pPr>
        <w:spacing w:line="360" w:lineRule="auto"/>
        <w:ind w:firstLine="480" w:firstLineChars="200"/>
        <w:rPr>
          <w:rFonts w:hint="eastAsia" w:ascii="仿宋" w:hAnsi="仿宋" w:eastAsia="仿宋" w:cs="仿宋"/>
          <w:color w:val="auto"/>
          <w:sz w:val="24"/>
          <w:highlight w:val="none"/>
        </w:rPr>
      </w:pPr>
      <w:bookmarkStart w:id="223" w:name="_Toc411637996"/>
      <w:r>
        <w:rPr>
          <w:rFonts w:hint="eastAsia" w:ascii="仿宋" w:hAnsi="仿宋" w:eastAsia="仿宋" w:cs="仿宋"/>
          <w:color w:val="auto"/>
          <w:sz w:val="24"/>
          <w:highlight w:val="none"/>
        </w:rPr>
        <w:t>38.2公证费</w:t>
      </w:r>
      <w:bookmarkEnd w:id="223"/>
      <w:r>
        <w:rPr>
          <w:rFonts w:hint="eastAsia" w:ascii="仿宋" w:hAnsi="仿宋" w:eastAsia="仿宋" w:cs="仿宋"/>
          <w:color w:val="auto"/>
          <w:sz w:val="24"/>
          <w:highlight w:val="none"/>
        </w:rPr>
        <w:t>/见证律师费</w:t>
      </w:r>
    </w:p>
    <w:p w14:paraId="677D86BC">
      <w:pPr>
        <w:spacing w:line="360" w:lineRule="auto"/>
        <w:ind w:firstLine="480" w:firstLineChars="200"/>
        <w:rPr>
          <w:rFonts w:hint="eastAsia" w:ascii="仿宋" w:hAnsi="仿宋" w:eastAsia="仿宋" w:cs="仿宋"/>
          <w:color w:val="auto"/>
          <w:sz w:val="24"/>
          <w:highlight w:val="none"/>
          <w:lang w:val="en-GB"/>
        </w:rPr>
      </w:pPr>
      <w:r>
        <w:rPr>
          <w:rFonts w:hint="eastAsia" w:ascii="仿宋" w:hAnsi="仿宋" w:eastAsia="仿宋" w:cs="仿宋"/>
          <w:color w:val="auto"/>
          <w:sz w:val="24"/>
          <w:highlight w:val="none"/>
          <w:lang w:val="en-GB"/>
        </w:rPr>
        <w:t>公证费/见证律师费的收费标准：</w:t>
      </w:r>
      <w:r>
        <w:rPr>
          <w:rFonts w:hint="eastAsia" w:ascii="仿宋" w:hAnsi="仿宋" w:eastAsia="仿宋" w:cs="仿宋"/>
          <w:color w:val="auto"/>
          <w:sz w:val="24"/>
          <w:highlight w:val="none"/>
        </w:rPr>
        <w:t>见供应商须知资料表</w:t>
      </w:r>
      <w:r>
        <w:rPr>
          <w:rFonts w:hint="eastAsia" w:ascii="仿宋" w:hAnsi="仿宋" w:eastAsia="仿宋" w:cs="仿宋"/>
          <w:color w:val="auto"/>
          <w:sz w:val="24"/>
          <w:highlight w:val="none"/>
          <w:lang w:val="en-GB"/>
        </w:rPr>
        <w:t>。</w:t>
      </w:r>
    </w:p>
    <w:p w14:paraId="6ACA62D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38.3政府采购专家评审费</w:t>
      </w:r>
    </w:p>
    <w:p w14:paraId="199D109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由采购人承担，按照山东省有关规定的标准执行。</w:t>
      </w:r>
    </w:p>
    <w:p w14:paraId="74AB47BF">
      <w:pPr>
        <w:spacing w:line="360" w:lineRule="auto"/>
        <w:outlineLvl w:val="1"/>
        <w:rPr>
          <w:rFonts w:hint="eastAsia" w:ascii="仿宋" w:hAnsi="仿宋" w:eastAsia="仿宋" w:cs="仿宋"/>
          <w:b/>
          <w:bCs/>
          <w:color w:val="auto"/>
          <w:sz w:val="22"/>
          <w:szCs w:val="28"/>
          <w:highlight w:val="none"/>
        </w:rPr>
      </w:pPr>
      <w:bookmarkStart w:id="224" w:name="_Toc51176623"/>
      <w:bookmarkStart w:id="225" w:name="_Toc9392"/>
      <w:r>
        <w:rPr>
          <w:rFonts w:hint="eastAsia" w:ascii="仿宋" w:hAnsi="仿宋" w:eastAsia="仿宋" w:cs="仿宋"/>
          <w:b/>
          <w:bCs/>
          <w:color w:val="auto"/>
          <w:sz w:val="22"/>
          <w:szCs w:val="28"/>
          <w:highlight w:val="none"/>
        </w:rPr>
        <w:t>39.磋商文件解释权</w:t>
      </w:r>
      <w:bookmarkEnd w:id="224"/>
      <w:bookmarkEnd w:id="225"/>
    </w:p>
    <w:p w14:paraId="2895CA9F">
      <w:pPr>
        <w:spacing w:line="360" w:lineRule="auto"/>
        <w:ind w:firstLine="480" w:firstLineChars="200"/>
        <w:rPr>
          <w:rFonts w:hint="eastAsia" w:ascii="仿宋" w:hAnsi="仿宋" w:eastAsia="仿宋" w:cs="仿宋"/>
          <w:color w:val="auto"/>
          <w:sz w:val="24"/>
          <w:highlight w:val="none"/>
          <w:lang w:val="en-GB"/>
        </w:rPr>
      </w:pPr>
      <w:r>
        <w:rPr>
          <w:rFonts w:hint="eastAsia" w:ascii="仿宋" w:hAnsi="仿宋" w:eastAsia="仿宋" w:cs="仿宋"/>
          <w:color w:val="auto"/>
          <w:sz w:val="24"/>
          <w:highlight w:val="none"/>
          <w:lang w:val="en-GB"/>
        </w:rPr>
        <w:t>见</w:t>
      </w:r>
      <w:r>
        <w:rPr>
          <w:rFonts w:hint="eastAsia" w:ascii="仿宋" w:hAnsi="仿宋" w:eastAsia="仿宋" w:cs="仿宋"/>
          <w:color w:val="auto"/>
          <w:sz w:val="24"/>
          <w:highlight w:val="none"/>
        </w:rPr>
        <w:t>供应商</w:t>
      </w:r>
      <w:r>
        <w:rPr>
          <w:rFonts w:hint="eastAsia" w:ascii="仿宋" w:hAnsi="仿宋" w:eastAsia="仿宋" w:cs="仿宋"/>
          <w:color w:val="auto"/>
          <w:sz w:val="24"/>
          <w:highlight w:val="none"/>
          <w:lang w:val="en-GB"/>
        </w:rPr>
        <w:t>须知资料表。</w:t>
      </w:r>
    </w:p>
    <w:p w14:paraId="03C0A7EB">
      <w:pPr>
        <w:spacing w:line="360" w:lineRule="auto"/>
        <w:outlineLvl w:val="1"/>
        <w:rPr>
          <w:rFonts w:hint="eastAsia" w:ascii="仿宋" w:hAnsi="仿宋" w:eastAsia="仿宋" w:cs="仿宋"/>
          <w:b/>
          <w:bCs/>
          <w:color w:val="auto"/>
          <w:sz w:val="22"/>
          <w:szCs w:val="28"/>
          <w:highlight w:val="none"/>
        </w:rPr>
      </w:pPr>
      <w:bookmarkStart w:id="226" w:name="_Toc9298"/>
      <w:r>
        <w:rPr>
          <w:rFonts w:hint="eastAsia" w:ascii="仿宋" w:hAnsi="仿宋" w:eastAsia="仿宋" w:cs="仿宋"/>
          <w:b/>
          <w:bCs/>
          <w:color w:val="auto"/>
          <w:sz w:val="22"/>
          <w:szCs w:val="28"/>
          <w:highlight w:val="none"/>
        </w:rPr>
        <w:t>40.特别说明</w:t>
      </w:r>
      <w:bookmarkEnd w:id="226"/>
    </w:p>
    <w:p w14:paraId="4E5DDE0E">
      <w:pPr>
        <w:pStyle w:val="51"/>
        <w:spacing w:line="360" w:lineRule="auto"/>
        <w:ind w:firstLine="480"/>
        <w:rPr>
          <w:rFonts w:hint="eastAsia" w:ascii="仿宋" w:hAnsi="仿宋" w:cs="仿宋"/>
          <w:color w:val="auto"/>
          <w:szCs w:val="24"/>
          <w:highlight w:val="none"/>
        </w:rPr>
      </w:pPr>
      <w:r>
        <w:rPr>
          <w:rFonts w:hint="eastAsia" w:ascii="仿宋" w:hAnsi="仿宋" w:cs="仿宋"/>
          <w:color w:val="auto"/>
          <w:szCs w:val="24"/>
          <w:highlight w:val="none"/>
        </w:rPr>
        <w:t>文件中标注“★”的，供应商必须提供，未提供或未按要求提供的，一律为无效报价且不允许在开标后补正。</w:t>
      </w:r>
    </w:p>
    <w:p w14:paraId="4B50B764">
      <w:pPr>
        <w:pStyle w:val="5"/>
        <w:rPr>
          <w:rFonts w:hint="eastAsia" w:ascii="仿宋" w:hAnsi="仿宋" w:eastAsia="仿宋" w:cs="仿宋"/>
          <w:color w:val="auto"/>
          <w:highlight w:val="none"/>
        </w:rPr>
      </w:pPr>
    </w:p>
    <w:p w14:paraId="1CE69D0D">
      <w:pPr>
        <w:rPr>
          <w:rFonts w:hint="eastAsia" w:ascii="仿宋" w:hAnsi="仿宋" w:eastAsia="仿宋" w:cs="仿宋"/>
          <w:color w:val="auto"/>
          <w:highlight w:val="none"/>
        </w:rPr>
      </w:pPr>
      <w:bookmarkStart w:id="227" w:name="_Toc23883"/>
      <w:bookmarkStart w:id="228" w:name="_Toc51176624"/>
      <w:bookmarkStart w:id="229" w:name="_Toc518923103"/>
      <w:r>
        <w:rPr>
          <w:rFonts w:hint="eastAsia" w:ascii="仿宋" w:hAnsi="仿宋" w:eastAsia="仿宋" w:cs="仿宋"/>
          <w:color w:val="auto"/>
          <w:highlight w:val="none"/>
        </w:rPr>
        <w:br w:type="page"/>
      </w:r>
    </w:p>
    <w:p w14:paraId="19B07C47">
      <w:pPr>
        <w:spacing w:line="360" w:lineRule="auto"/>
        <w:ind w:left="720" w:hanging="720"/>
        <w:rPr>
          <w:rFonts w:hint="eastAsia" w:ascii="仿宋" w:hAnsi="仿宋" w:eastAsia="仿宋" w:cs="仿宋"/>
          <w:b/>
          <w:bCs/>
          <w:color w:val="auto"/>
          <w:sz w:val="22"/>
          <w:szCs w:val="28"/>
          <w:highlight w:val="none"/>
        </w:rPr>
      </w:pPr>
      <w:r>
        <w:rPr>
          <w:rFonts w:hint="eastAsia" w:ascii="仿宋" w:hAnsi="仿宋" w:eastAsia="仿宋" w:cs="仿宋"/>
          <w:b/>
          <w:bCs/>
          <w:color w:val="auto"/>
          <w:sz w:val="22"/>
          <w:szCs w:val="28"/>
          <w:highlight w:val="none"/>
        </w:rPr>
        <w:t>附件1：履约保证金保函</w:t>
      </w:r>
      <w:bookmarkEnd w:id="227"/>
      <w:bookmarkEnd w:id="228"/>
      <w:bookmarkEnd w:id="229"/>
    </w:p>
    <w:p w14:paraId="4D048D06">
      <w:pPr>
        <w:pStyle w:val="18"/>
        <w:spacing w:line="360" w:lineRule="auto"/>
        <w:ind w:left="1080" w:leftChars="257" w:hanging="54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 xml:space="preserve">                         （中标后开具）</w:t>
      </w:r>
    </w:p>
    <w:p w14:paraId="7EDE55A0">
      <w:pPr>
        <w:pStyle w:val="18"/>
        <w:spacing w:line="360" w:lineRule="auto"/>
        <w:ind w:left="1080" w:leftChars="257" w:hanging="540"/>
        <w:rPr>
          <w:rFonts w:hint="eastAsia" w:ascii="仿宋" w:hAnsi="仿宋" w:eastAsia="仿宋" w:cs="仿宋"/>
          <w:b/>
          <w:color w:val="auto"/>
          <w:sz w:val="24"/>
          <w:highlight w:val="none"/>
        </w:rPr>
      </w:pPr>
    </w:p>
    <w:p w14:paraId="15274AAA">
      <w:pPr>
        <w:pStyle w:val="18"/>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致: (</w:t>
      </w:r>
      <w:r>
        <w:rPr>
          <w:rFonts w:hint="eastAsia" w:ascii="仿宋" w:hAnsi="仿宋" w:eastAsia="仿宋" w:cs="仿宋"/>
          <w:color w:val="auto"/>
          <w:sz w:val="24"/>
          <w:highlight w:val="none"/>
          <w:u w:val="single"/>
        </w:rPr>
        <w:t>买方名称</w:t>
      </w:r>
      <w:r>
        <w:rPr>
          <w:rFonts w:hint="eastAsia" w:ascii="仿宋" w:hAnsi="仿宋" w:eastAsia="仿宋" w:cs="仿宋"/>
          <w:color w:val="auto"/>
          <w:sz w:val="24"/>
          <w:highlight w:val="none"/>
        </w:rPr>
        <w:t>)</w:t>
      </w:r>
    </w:p>
    <w:p w14:paraId="148AD7D2">
      <w:pPr>
        <w:pStyle w:val="18"/>
        <w:spacing w:line="360" w:lineRule="auto"/>
        <w:ind w:left="1080" w:leftChars="257" w:hanging="54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号合同履约保函</w:t>
      </w:r>
    </w:p>
    <w:p w14:paraId="49124980">
      <w:pPr>
        <w:pStyle w:val="18"/>
        <w:spacing w:line="360" w:lineRule="auto"/>
        <w:ind w:left="1080" w:leftChars="257" w:hanging="540"/>
        <w:jc w:val="center"/>
        <w:rPr>
          <w:rFonts w:hint="eastAsia" w:ascii="仿宋" w:hAnsi="仿宋" w:eastAsia="仿宋" w:cs="仿宋"/>
          <w:color w:val="auto"/>
          <w:sz w:val="24"/>
          <w:highlight w:val="none"/>
        </w:rPr>
      </w:pPr>
    </w:p>
    <w:p w14:paraId="45459EE7">
      <w:pPr>
        <w:pStyle w:val="18"/>
        <w:spacing w:line="360" w:lineRule="auto"/>
        <w:ind w:firstLine="600" w:firstLineChars="250"/>
        <w:rPr>
          <w:rFonts w:hint="eastAsia" w:ascii="仿宋" w:hAnsi="仿宋" w:eastAsia="仿宋" w:cs="仿宋"/>
          <w:color w:val="auto"/>
          <w:sz w:val="24"/>
          <w:highlight w:val="none"/>
        </w:rPr>
      </w:pPr>
      <w:r>
        <w:rPr>
          <w:rFonts w:hint="eastAsia" w:ascii="仿宋" w:hAnsi="仿宋" w:eastAsia="仿宋" w:cs="仿宋"/>
          <w:color w:val="auto"/>
          <w:sz w:val="24"/>
          <w:highlight w:val="none"/>
        </w:rPr>
        <w:t>本保函作为贵方与(</w:t>
      </w:r>
      <w:r>
        <w:rPr>
          <w:rFonts w:hint="eastAsia" w:ascii="仿宋" w:hAnsi="仿宋" w:eastAsia="仿宋" w:cs="仿宋"/>
          <w:color w:val="auto"/>
          <w:sz w:val="24"/>
          <w:highlight w:val="none"/>
          <w:u w:val="single"/>
        </w:rPr>
        <w:t>卖方名称</w:t>
      </w:r>
      <w:r>
        <w:rPr>
          <w:rFonts w:hint="eastAsia" w:ascii="仿宋" w:hAnsi="仿宋" w:eastAsia="仿宋" w:cs="仿宋"/>
          <w:color w:val="auto"/>
          <w:sz w:val="24"/>
          <w:highlight w:val="none"/>
        </w:rPr>
        <w:t>)(以下简称卖方)于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日就</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项目(以下简称项目)项下提供(</w:t>
      </w:r>
      <w:r>
        <w:rPr>
          <w:rFonts w:hint="eastAsia" w:ascii="仿宋" w:hAnsi="仿宋" w:eastAsia="仿宋" w:cs="仿宋"/>
          <w:color w:val="auto"/>
          <w:sz w:val="24"/>
          <w:highlight w:val="none"/>
          <w:u w:val="single"/>
        </w:rPr>
        <w:t>货物名称</w:t>
      </w:r>
      <w:r>
        <w:rPr>
          <w:rFonts w:hint="eastAsia" w:ascii="仿宋" w:hAnsi="仿宋" w:eastAsia="仿宋" w:cs="仿宋"/>
          <w:color w:val="auto"/>
          <w:sz w:val="24"/>
          <w:highlight w:val="none"/>
        </w:rPr>
        <w:t>)(以下简称货物)签订的(</w:t>
      </w:r>
      <w:r>
        <w:rPr>
          <w:rFonts w:hint="eastAsia" w:ascii="仿宋" w:hAnsi="仿宋" w:eastAsia="仿宋" w:cs="仿宋"/>
          <w:color w:val="auto"/>
          <w:sz w:val="24"/>
          <w:highlight w:val="none"/>
          <w:u w:val="single"/>
        </w:rPr>
        <w:t>合同号</w:t>
      </w:r>
      <w:r>
        <w:rPr>
          <w:rFonts w:hint="eastAsia" w:ascii="仿宋" w:hAnsi="仿宋" w:eastAsia="仿宋" w:cs="仿宋"/>
          <w:color w:val="auto"/>
          <w:sz w:val="24"/>
          <w:highlight w:val="none"/>
        </w:rPr>
        <w:t>)号合同的履约保函。</w:t>
      </w:r>
    </w:p>
    <w:p w14:paraId="1351C606">
      <w:pPr>
        <w:pStyle w:val="18"/>
        <w:spacing w:line="360" w:lineRule="auto"/>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出具保函的银行名称</w:t>
      </w:r>
      <w:r>
        <w:rPr>
          <w:rFonts w:hint="eastAsia" w:ascii="仿宋" w:hAnsi="仿宋" w:eastAsia="仿宋" w:cs="仿宋"/>
          <w:color w:val="auto"/>
          <w:sz w:val="24"/>
          <w:highlight w:val="none"/>
        </w:rPr>
        <w:t>)(以下简称银行)无条件地、不可撤销地具结保证本行、其继承人和受让人无追索地向贵方以(</w:t>
      </w:r>
      <w:r>
        <w:rPr>
          <w:rFonts w:hint="eastAsia" w:ascii="仿宋" w:hAnsi="仿宋" w:eastAsia="仿宋" w:cs="仿宋"/>
          <w:color w:val="auto"/>
          <w:sz w:val="24"/>
          <w:highlight w:val="none"/>
          <w:u w:val="single"/>
        </w:rPr>
        <w:t>货币名称</w:t>
      </w:r>
      <w:r>
        <w:rPr>
          <w:rFonts w:hint="eastAsia" w:ascii="仿宋" w:hAnsi="仿宋" w:eastAsia="仿宋" w:cs="仿宋"/>
          <w:color w:val="auto"/>
          <w:sz w:val="24"/>
          <w:highlight w:val="none"/>
        </w:rPr>
        <w:t>)支付总额不超过(</w:t>
      </w:r>
      <w:r>
        <w:rPr>
          <w:rFonts w:hint="eastAsia" w:ascii="仿宋" w:hAnsi="仿宋" w:eastAsia="仿宋" w:cs="仿宋"/>
          <w:color w:val="auto"/>
          <w:sz w:val="24"/>
          <w:highlight w:val="none"/>
          <w:u w:val="single"/>
        </w:rPr>
        <w:t>货币数量</w:t>
      </w:r>
      <w:r>
        <w:rPr>
          <w:rFonts w:hint="eastAsia" w:ascii="仿宋" w:hAnsi="仿宋" w:eastAsia="仿宋" w:cs="仿宋"/>
          <w:color w:val="auto"/>
          <w:sz w:val="24"/>
          <w:highlight w:val="none"/>
        </w:rPr>
        <w:t>),即相当于合同价格的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%,并以此约定如下:</w:t>
      </w:r>
    </w:p>
    <w:p w14:paraId="45B78CCE">
      <w:pPr>
        <w:pStyle w:val="18"/>
        <w:spacing w:line="360" w:lineRule="auto"/>
        <w:ind w:left="540" w:leftChars="257"/>
        <w:rPr>
          <w:rFonts w:hint="eastAsia" w:ascii="仿宋" w:hAnsi="仿宋" w:eastAsia="仿宋" w:cs="仿宋"/>
          <w:color w:val="auto"/>
          <w:sz w:val="24"/>
          <w:highlight w:val="none"/>
        </w:rPr>
      </w:pPr>
      <w:r>
        <w:rPr>
          <w:rFonts w:hint="eastAsia" w:ascii="仿宋" w:hAnsi="仿宋" w:eastAsia="仿宋" w:cs="仿宋"/>
          <w:color w:val="auto"/>
          <w:sz w:val="24"/>
          <w:highlight w:val="none"/>
        </w:rPr>
        <w:t>1.只要贵方确定卖方未能忠实地履行所有合同文件的规定和双方此后一致 同意的修改、补充和变动,包括更改和/或修补贵方认为有缺陷的服务(以下简称违约),无论卖方有任何反对,本行将凭贵方关于卖方违约说明的书面通知,立即按贵方提出的累计总额不超过上述金额的款项和按贵方通知规定的方式付给贵方。</w:t>
      </w:r>
    </w:p>
    <w:p w14:paraId="309EEA8E">
      <w:pPr>
        <w:pStyle w:val="18"/>
        <w:spacing w:line="360" w:lineRule="auto"/>
        <w:ind w:left="540"/>
        <w:rPr>
          <w:rFonts w:hint="eastAsia" w:ascii="仿宋" w:hAnsi="仿宋" w:eastAsia="仿宋" w:cs="仿宋"/>
          <w:color w:val="auto"/>
          <w:sz w:val="24"/>
          <w:highlight w:val="none"/>
        </w:rPr>
      </w:pPr>
      <w:r>
        <w:rPr>
          <w:rFonts w:hint="eastAsia" w:ascii="仿宋" w:hAnsi="仿宋" w:eastAsia="仿宋" w:cs="仿宋"/>
          <w:color w:val="auto"/>
          <w:sz w:val="24"/>
          <w:highlight w:val="none"/>
        </w:rPr>
        <w:t>2.本保函项下的任何支付应为免税和净值。对于现有或将来的税收、关税、收费、费用扣减或预提税款，不论这些款项是何种性质和由谁征收，都不应从本保函项下的支付中扣除。</w:t>
      </w:r>
    </w:p>
    <w:p w14:paraId="0079B926">
      <w:pPr>
        <w:pStyle w:val="18"/>
        <w:spacing w:line="360" w:lineRule="auto"/>
        <w:ind w:left="540"/>
        <w:rPr>
          <w:rFonts w:hint="eastAsia" w:ascii="仿宋" w:hAnsi="仿宋" w:eastAsia="仿宋" w:cs="仿宋"/>
          <w:color w:val="auto"/>
          <w:sz w:val="24"/>
          <w:highlight w:val="none"/>
        </w:rPr>
      </w:pPr>
      <w:r>
        <w:rPr>
          <w:rFonts w:hint="eastAsia" w:ascii="仿宋" w:hAnsi="仿宋" w:eastAsia="仿宋" w:cs="仿宋"/>
          <w:color w:val="auto"/>
          <w:sz w:val="24"/>
          <w:highlight w:val="none"/>
        </w:rPr>
        <w:t>3.本保函的条款构成本行无条件的、不可撤销的直接责任。对即将履行的合同条款的任何变更、贵方在时间上的宽限、或由贵方采取的如果没有本款可能免除本行责任的任何其他行为，均不能解除或免除本行在本保函项下的责任。</w:t>
      </w:r>
    </w:p>
    <w:p w14:paraId="781925F1">
      <w:pPr>
        <w:pStyle w:val="18"/>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4.本保函在本合同规定的保证期期满前完全有效。</w:t>
      </w:r>
    </w:p>
    <w:p w14:paraId="3F8FF0FC">
      <w:pPr>
        <w:pStyle w:val="18"/>
        <w:spacing w:line="360" w:lineRule="auto"/>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谨启</w:t>
      </w:r>
    </w:p>
    <w:p w14:paraId="6F028900">
      <w:pPr>
        <w:pStyle w:val="18"/>
        <w:spacing w:line="360" w:lineRule="auto"/>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出具保函银行名称：</w:t>
      </w:r>
      <w:r>
        <w:rPr>
          <w:rFonts w:hint="eastAsia" w:ascii="仿宋" w:hAnsi="仿宋" w:eastAsia="仿宋" w:cs="仿宋"/>
          <w:color w:val="auto"/>
          <w:sz w:val="24"/>
          <w:highlight w:val="none"/>
          <w:u w:val="single"/>
        </w:rPr>
        <w:t xml:space="preserve">                             </w:t>
      </w:r>
    </w:p>
    <w:p w14:paraId="498CD7A3">
      <w:pPr>
        <w:pStyle w:val="18"/>
        <w:spacing w:line="360" w:lineRule="auto"/>
        <w:ind w:left="1080" w:leftChars="257" w:hanging="54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签字人姓名和职务：</w:t>
      </w:r>
      <w:r>
        <w:rPr>
          <w:rFonts w:hint="eastAsia" w:ascii="仿宋" w:hAnsi="仿宋" w:eastAsia="仿宋" w:cs="仿宋"/>
          <w:color w:val="auto"/>
          <w:sz w:val="24"/>
          <w:highlight w:val="none"/>
          <w:u w:val="single"/>
        </w:rPr>
        <w:t xml:space="preserve">                             </w:t>
      </w:r>
    </w:p>
    <w:p w14:paraId="036DE8AB">
      <w:pPr>
        <w:pStyle w:val="18"/>
        <w:spacing w:line="360" w:lineRule="auto"/>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签字人签名：</w:t>
      </w:r>
      <w:r>
        <w:rPr>
          <w:rFonts w:hint="eastAsia" w:ascii="仿宋" w:hAnsi="仿宋" w:eastAsia="仿宋" w:cs="仿宋"/>
          <w:color w:val="auto"/>
          <w:sz w:val="24"/>
          <w:highlight w:val="none"/>
          <w:u w:val="single"/>
        </w:rPr>
        <w:t xml:space="preserve">                                   </w:t>
      </w:r>
    </w:p>
    <w:p w14:paraId="45407EEB">
      <w:pPr>
        <w:pStyle w:val="18"/>
        <w:spacing w:line="360" w:lineRule="auto"/>
        <w:ind w:firstLine="240" w:firstLineChars="100"/>
        <w:jc w:val="left"/>
        <w:rPr>
          <w:rStyle w:val="67"/>
          <w:rFonts w:hint="eastAsia" w:ascii="仿宋" w:hAnsi="仿宋" w:eastAsia="仿宋" w:cs="仿宋"/>
          <w:color w:val="auto"/>
          <w:highlight w:val="none"/>
        </w:rPr>
      </w:pPr>
      <w:r>
        <w:rPr>
          <w:rFonts w:hint="eastAsia" w:ascii="仿宋" w:hAnsi="仿宋" w:eastAsia="仿宋" w:cs="仿宋"/>
          <w:color w:val="auto"/>
          <w:sz w:val="24"/>
          <w:highlight w:val="none"/>
        </w:rPr>
        <w:t>公章：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highlight w:val="none"/>
        </w:rPr>
        <w:br w:type="page"/>
      </w:r>
      <w:bookmarkStart w:id="230" w:name="_Toc51176625"/>
      <w:bookmarkStart w:id="231" w:name="_Toc27788"/>
      <w:bookmarkStart w:id="232" w:name="_Toc518923104"/>
      <w:r>
        <w:rPr>
          <w:rFonts w:hint="eastAsia" w:ascii="仿宋" w:hAnsi="仿宋" w:eastAsia="仿宋" w:cs="仿宋"/>
          <w:b/>
          <w:bCs/>
          <w:color w:val="auto"/>
          <w:sz w:val="22"/>
          <w:szCs w:val="28"/>
          <w:highlight w:val="none"/>
        </w:rPr>
        <w:t>附件2：履约担保函格式</w:t>
      </w:r>
      <w:bookmarkEnd w:id="230"/>
      <w:bookmarkEnd w:id="231"/>
      <w:bookmarkEnd w:id="232"/>
    </w:p>
    <w:p w14:paraId="2DBA8E93">
      <w:pPr>
        <w:spacing w:line="360" w:lineRule="auto"/>
        <w:jc w:val="center"/>
        <w:rPr>
          <w:rFonts w:hint="eastAsia" w:ascii="仿宋" w:hAnsi="仿宋" w:eastAsia="仿宋" w:cs="仿宋"/>
          <w:b/>
          <w:color w:val="auto"/>
          <w:kern w:val="0"/>
          <w:sz w:val="24"/>
          <w:szCs w:val="20"/>
          <w:highlight w:val="none"/>
        </w:rPr>
      </w:pPr>
      <w:bookmarkStart w:id="233" w:name="_Toc30995"/>
      <w:bookmarkStart w:id="234" w:name="_Toc515904842"/>
      <w:bookmarkStart w:id="235" w:name="_Toc518923105"/>
      <w:r>
        <w:rPr>
          <w:rFonts w:hint="eastAsia" w:ascii="仿宋" w:hAnsi="仿宋" w:eastAsia="仿宋" w:cs="仿宋"/>
          <w:color w:val="auto"/>
          <w:sz w:val="24"/>
          <w:highlight w:val="none"/>
        </w:rPr>
        <w:t>（采用政府采购信用担保形式时使用）</w:t>
      </w:r>
      <w:bookmarkEnd w:id="233"/>
      <w:bookmarkEnd w:id="234"/>
      <w:bookmarkEnd w:id="235"/>
    </w:p>
    <w:p w14:paraId="29282D2C">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政府采购履约担保函（项目用）</w:t>
      </w:r>
    </w:p>
    <w:p w14:paraId="598EF3DF">
      <w:pPr>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编号：</w:t>
      </w:r>
    </w:p>
    <w:p w14:paraId="546EFEF0">
      <w:pPr>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（采购人）：</w:t>
      </w:r>
    </w:p>
    <w:p w14:paraId="6AF5BE11">
      <w:pPr>
        <w:rPr>
          <w:rFonts w:hint="eastAsia" w:ascii="仿宋" w:hAnsi="仿宋" w:eastAsia="仿宋" w:cs="仿宋"/>
          <w:color w:val="auto"/>
          <w:sz w:val="24"/>
          <w:highlight w:val="none"/>
        </w:rPr>
      </w:pPr>
    </w:p>
    <w:p w14:paraId="58FC9EF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鉴于你方与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（以下简称供应商）于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日签订编号为   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政府采购合同》（以下简称主合同），且依据该合同的约定，供应商应在</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p>
    <w:p w14:paraId="0543E9E5">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日前向你方交纳履约保证金，且可以履约担保函的形式交纳履约保证金。应供应商的申请，我方以保证的方式向你方提供如下履约保证金担保：</w:t>
      </w:r>
    </w:p>
    <w:p w14:paraId="3F93116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一、保证责任的情形及保证金额</w:t>
      </w:r>
    </w:p>
    <w:p w14:paraId="5F73792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（一）在供应商出现下列情形之一时，我方承担保证责任：</w:t>
      </w:r>
    </w:p>
    <w:p w14:paraId="523D706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1．将中标项目转让给他人，或者在响应文件中未说明，且未经采购代理机构同意，将中标项目分包给他人的；</w:t>
      </w:r>
    </w:p>
    <w:p w14:paraId="354A7B8D">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2．主合同约定的应当缴纳履约保证金的情形: </w:t>
      </w:r>
    </w:p>
    <w:p w14:paraId="633E9D8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（1）未按主合同约定的质量、数量和期限供应货物/提供服务/完成工程的；</w:t>
      </w:r>
    </w:p>
    <w:p w14:paraId="7915B4D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365264C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（二）我方的保证范围是主合同约定的合同价款总额的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%数额为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元（大写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），币种为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。（即主合同履约保证金金额）</w:t>
      </w:r>
    </w:p>
    <w:p w14:paraId="4F77E33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二、保证的方式及保证期间</w:t>
      </w:r>
    </w:p>
    <w:p w14:paraId="224C41B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我方保证的方式为：连带责任保证。</w:t>
      </w:r>
    </w:p>
    <w:p w14:paraId="693A77D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我方保证的期间为：自本合同生效之日起至供应商按照主合同约定的供货/完工期限届满后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日内。</w:t>
      </w:r>
    </w:p>
    <w:p w14:paraId="397DF82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如果供应商未按主合同约定向贵方供应货物/提供服务/完成工程的，由我方在保证金额内向你方支付上述款项。</w:t>
      </w:r>
    </w:p>
    <w:p w14:paraId="5FB9CA7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三、承担保证责任的程序</w:t>
      </w:r>
    </w:p>
    <w:p w14:paraId="2FF0FE1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1．你方要求我方承担保证责任的，应在本保函保证期间内向我方发出书面索赔通知。索赔通知应写明要求索赔的金额，支付款项应到达的账号。并附有证明供应商违约事实的证明材料。</w:t>
      </w:r>
    </w:p>
    <w:p w14:paraId="2AFDC31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如果你方与供应商因货物质量问题产生争议，你方还需同时提供</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部门出具的质量检测报告，或经诉讼（仲裁）程序裁决后的裁决书、调解书，本保证人即按照检测结果或裁决书、调解书决定是否承担保证责任。</w:t>
      </w:r>
    </w:p>
    <w:p w14:paraId="2C44334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 我方收到你方的书面索赔通知及相应证明材料，在</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工作日内进行核定后按照本保函的承诺承担保证责任。</w:t>
      </w:r>
    </w:p>
    <w:p w14:paraId="2359D28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四、保证责任的终止</w:t>
      </w:r>
    </w:p>
    <w:p w14:paraId="055EB55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1．保证期间届满你方未向我方书面主张保证责任的，自保证期间届满次日起，我方保证责任自动终止。保证期间届满前，主合同约定的货物\工程\服务全部验收合格的，自验收合格日起，我方保证责任自动终止。</w:t>
      </w:r>
    </w:p>
    <w:p w14:paraId="5AA607D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2．我方按照本保函向你方履行了保证责任后，自我方向你方支付款项（支付款项从我方账户划出）之日起，保证责任即终止。</w:t>
      </w:r>
    </w:p>
    <w:p w14:paraId="5D8F250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3．按照法律法规的规定或出现应终止我方保证责任的其他情形的，我方在本保函项下的保证责任亦终止。</w:t>
      </w:r>
    </w:p>
    <w:p w14:paraId="5B7B09A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14:paraId="2E211DE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五、免责条款</w:t>
      </w:r>
    </w:p>
    <w:p w14:paraId="0D241B0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1．因你方违反主合同约定致使供应商不能履行义务的，我方不承担保证责任。</w:t>
      </w:r>
    </w:p>
    <w:p w14:paraId="10F21A5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2．依照法律法规的规定或你方与供应商的另行约定，全部或者部分免除供应商应缴纳的保证金义务的，我方亦免除相应的保证责任。</w:t>
      </w:r>
    </w:p>
    <w:p w14:paraId="0E0F0C9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3．因不可抗力造成供应商不能履行供货义务的，我方不承担保证责任。</w:t>
      </w:r>
    </w:p>
    <w:p w14:paraId="456004B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六、争议的解决</w:t>
      </w:r>
    </w:p>
    <w:p w14:paraId="46CFF38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因本保函发生的纠纷，由你我双方协商解决，协商不成的，通过诉讼程序解决，诉讼管辖地法院为</w:t>
      </w:r>
      <w:r>
        <w:rPr>
          <w:rFonts w:hint="eastAsia" w:ascii="仿宋" w:hAnsi="仿宋" w:eastAsia="仿宋" w:cs="仿宋"/>
          <w:color w:val="auto"/>
          <w:sz w:val="24"/>
          <w:highlight w:val="none"/>
          <w:u w:val="single"/>
        </w:rPr>
        <w:t xml:space="preserve"> 采购人所在地  </w:t>
      </w:r>
      <w:r>
        <w:rPr>
          <w:rFonts w:hint="eastAsia" w:ascii="仿宋" w:hAnsi="仿宋" w:eastAsia="仿宋" w:cs="仿宋"/>
          <w:color w:val="auto"/>
          <w:sz w:val="24"/>
          <w:highlight w:val="none"/>
        </w:rPr>
        <w:t>法院。</w:t>
      </w:r>
    </w:p>
    <w:p w14:paraId="5FEB9E5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七、保函的生效</w:t>
      </w:r>
    </w:p>
    <w:p w14:paraId="4079012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本保函自我方加盖公章之日起生效。</w:t>
      </w:r>
    </w:p>
    <w:p w14:paraId="73AAB22C">
      <w:pPr>
        <w:ind w:firstLine="6120" w:firstLineChars="2550"/>
        <w:rPr>
          <w:rFonts w:hint="eastAsia" w:ascii="仿宋" w:hAnsi="仿宋" w:eastAsia="仿宋" w:cs="仿宋"/>
          <w:color w:val="auto"/>
          <w:sz w:val="24"/>
          <w:highlight w:val="none"/>
        </w:rPr>
      </w:pPr>
      <w:r>
        <w:rPr>
          <w:rFonts w:hint="eastAsia" w:ascii="仿宋" w:hAnsi="仿宋" w:eastAsia="仿宋" w:cs="仿宋"/>
          <w:color w:val="auto"/>
          <w:sz w:val="24"/>
          <w:highlight w:val="none"/>
        </w:rPr>
        <w:t>保证人：（公章）</w:t>
      </w:r>
    </w:p>
    <w:p w14:paraId="3C62BEEE">
      <w:pPr>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年     月      日</w:t>
      </w:r>
    </w:p>
    <w:p w14:paraId="2AB17C5D">
      <w:pPr>
        <w:spacing w:line="360" w:lineRule="exact"/>
        <w:ind w:left="1079" w:leftChars="257" w:hanging="539"/>
        <w:jc w:val="center"/>
        <w:rPr>
          <w:rFonts w:hint="eastAsia" w:ascii="仿宋" w:hAnsi="仿宋" w:eastAsia="仿宋" w:cs="仿宋"/>
          <w:b/>
          <w:color w:val="auto"/>
          <w:sz w:val="32"/>
          <w:highlight w:val="none"/>
        </w:rPr>
      </w:pPr>
    </w:p>
    <w:p w14:paraId="3D2E74AE">
      <w:pPr>
        <w:spacing w:line="360" w:lineRule="exact"/>
        <w:ind w:left="1079" w:leftChars="257" w:hanging="539"/>
        <w:jc w:val="center"/>
        <w:rPr>
          <w:rFonts w:hint="eastAsia" w:ascii="仿宋" w:hAnsi="仿宋" w:eastAsia="仿宋" w:cs="仿宋"/>
          <w:b/>
          <w:color w:val="auto"/>
          <w:sz w:val="32"/>
          <w:highlight w:val="none"/>
        </w:rPr>
      </w:pPr>
    </w:p>
    <w:p w14:paraId="7963695C">
      <w:pPr>
        <w:pStyle w:val="2"/>
        <w:tabs>
          <w:tab w:val="left" w:pos="0"/>
        </w:tabs>
        <w:spacing w:before="0" w:after="0" w:line="240" w:lineRule="atLeast"/>
        <w:rPr>
          <w:rFonts w:hint="eastAsia" w:ascii="仿宋" w:hAnsi="仿宋" w:eastAsia="仿宋" w:cs="仿宋"/>
          <w:color w:val="auto"/>
          <w:highlight w:val="none"/>
        </w:rPr>
      </w:pPr>
      <w:bookmarkStart w:id="236" w:name="_Toc27389"/>
      <w:r>
        <w:rPr>
          <w:rFonts w:hint="eastAsia" w:ascii="仿宋" w:hAnsi="仿宋" w:eastAsia="仿宋" w:cs="仿宋"/>
          <w:color w:val="auto"/>
          <w:highlight w:val="none"/>
        </w:rPr>
        <w:t xml:space="preserve">第2章  </w:t>
      </w:r>
      <w:bookmarkEnd w:id="236"/>
      <w:r>
        <w:rPr>
          <w:rFonts w:hint="eastAsia" w:ascii="仿宋" w:hAnsi="仿宋" w:eastAsia="仿宋" w:cs="仿宋"/>
          <w:color w:val="auto"/>
          <w:highlight w:val="none"/>
        </w:rPr>
        <w:t>竞争性磋商公告</w:t>
      </w:r>
    </w:p>
    <w:p w14:paraId="2E6C9312">
      <w:pPr>
        <w:rPr>
          <w:rFonts w:hint="eastAsia" w:ascii="仿宋" w:hAnsi="仿宋" w:eastAsia="仿宋" w:cs="仿宋"/>
          <w:color w:val="auto"/>
          <w:highlight w:val="none"/>
          <w:u w:val="single"/>
        </w:rPr>
      </w:pPr>
      <w:bookmarkStart w:id="237" w:name="_Hlk99719148"/>
    </w:p>
    <w:bookmarkEnd w:id="237"/>
    <w:p w14:paraId="1E3D4E2D">
      <w:pPr>
        <w:pBdr>
          <w:top w:val="single" w:color="auto" w:sz="4" w:space="1"/>
          <w:left w:val="single" w:color="auto" w:sz="4" w:space="4"/>
          <w:bottom w:val="single" w:color="auto" w:sz="4" w:space="1"/>
          <w:right w:val="single" w:color="auto" w:sz="4" w:space="4"/>
        </w:pBdr>
        <w:spacing w:line="360" w:lineRule="auto"/>
        <w:rPr>
          <w:rFonts w:hint="eastAsia" w:ascii="仿宋" w:hAnsi="仿宋" w:eastAsia="仿宋" w:cs="仿宋"/>
          <w:color w:val="auto"/>
          <w:sz w:val="24"/>
          <w:highlight w:val="none"/>
        </w:rPr>
      </w:pPr>
      <w:bookmarkStart w:id="238" w:name="_Toc512937850"/>
      <w:r>
        <w:rPr>
          <w:rFonts w:hint="eastAsia" w:ascii="仿宋" w:hAnsi="仿宋" w:eastAsia="仿宋" w:cs="仿宋"/>
          <w:color w:val="auto"/>
          <w:sz w:val="24"/>
          <w:highlight w:val="none"/>
        </w:rPr>
        <w:t>项目概况</w:t>
      </w:r>
    </w:p>
    <w:p w14:paraId="780E880A">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lang w:eastAsia="zh-CN"/>
        </w:rPr>
        <w:t>临沂大学2025年农林学院实验室仪器设备采购项目</w:t>
      </w:r>
      <w:r>
        <w:rPr>
          <w:rFonts w:hint="eastAsia" w:ascii="仿宋" w:hAnsi="仿宋" w:eastAsia="仿宋" w:cs="仿宋"/>
          <w:color w:val="auto"/>
          <w:sz w:val="24"/>
          <w:highlight w:val="none"/>
        </w:rPr>
        <w:t>的潜在供应商应在</w:t>
      </w:r>
      <w:r>
        <w:rPr>
          <w:rFonts w:hint="eastAsia" w:ascii="仿宋" w:hAnsi="仿宋" w:eastAsia="仿宋" w:cs="仿宋"/>
          <w:color w:val="auto"/>
          <w:sz w:val="24"/>
          <w:highlight w:val="none"/>
          <w:u w:val="single"/>
        </w:rPr>
        <w:t>济南市历下区环山路148号中联花园B区南侧综合楼二楼</w:t>
      </w:r>
      <w:r>
        <w:rPr>
          <w:rFonts w:hint="eastAsia" w:ascii="仿宋" w:hAnsi="仿宋" w:eastAsia="仿宋" w:cs="仿宋"/>
          <w:color w:val="auto"/>
          <w:sz w:val="24"/>
          <w:highlight w:val="none"/>
        </w:rPr>
        <w:t>获取采购文件，并于</w:t>
      </w:r>
      <w:r>
        <w:rPr>
          <w:rFonts w:hint="eastAsia" w:ascii="仿宋" w:hAnsi="仿宋" w:eastAsia="仿宋" w:cs="仿宋"/>
          <w:color w:val="auto"/>
          <w:sz w:val="24"/>
          <w:highlight w:val="none"/>
          <w:u w:val="single"/>
        </w:rPr>
        <w:t>202</w:t>
      </w:r>
      <w:r>
        <w:rPr>
          <w:rFonts w:hint="eastAsia" w:ascii="仿宋" w:hAnsi="仿宋" w:eastAsia="仿宋" w:cs="仿宋"/>
          <w:color w:val="auto"/>
          <w:sz w:val="24"/>
          <w:highlight w:val="none"/>
          <w:u w:val="single"/>
          <w:lang w:val="en-US" w:eastAsia="zh-CN"/>
        </w:rPr>
        <w:t>5</w:t>
      </w:r>
      <w:r>
        <w:rPr>
          <w:rFonts w:hint="eastAsia" w:ascii="仿宋" w:hAnsi="仿宋" w:eastAsia="仿宋" w:cs="仿宋"/>
          <w:bCs/>
          <w:color w:val="auto"/>
          <w:sz w:val="24"/>
          <w:highlight w:val="none"/>
          <w:u w:val="single"/>
        </w:rPr>
        <w:t>年</w:t>
      </w:r>
      <w:r>
        <w:rPr>
          <w:rFonts w:hint="eastAsia" w:ascii="仿宋" w:hAnsi="仿宋" w:eastAsia="仿宋" w:cs="仿宋"/>
          <w:bCs/>
          <w:color w:val="auto"/>
          <w:sz w:val="24"/>
          <w:highlight w:val="none"/>
          <w:u w:val="single"/>
          <w:lang w:val="en-US" w:eastAsia="zh-CN"/>
        </w:rPr>
        <w:t>08</w:t>
      </w:r>
      <w:r>
        <w:rPr>
          <w:rFonts w:hint="eastAsia" w:ascii="仿宋" w:hAnsi="仿宋" w:eastAsia="仿宋" w:cs="仿宋"/>
          <w:bCs/>
          <w:color w:val="auto"/>
          <w:sz w:val="24"/>
          <w:highlight w:val="none"/>
          <w:u w:val="single"/>
        </w:rPr>
        <w:t>月</w:t>
      </w:r>
      <w:r>
        <w:rPr>
          <w:rFonts w:hint="eastAsia" w:ascii="仿宋" w:hAnsi="仿宋" w:eastAsia="仿宋" w:cs="仿宋"/>
          <w:bCs/>
          <w:color w:val="auto"/>
          <w:sz w:val="24"/>
          <w:highlight w:val="none"/>
          <w:u w:val="single"/>
          <w:lang w:val="en-US" w:eastAsia="zh-CN"/>
        </w:rPr>
        <w:t>06</w:t>
      </w:r>
      <w:r>
        <w:rPr>
          <w:rFonts w:hint="eastAsia" w:ascii="仿宋" w:hAnsi="仿宋" w:eastAsia="仿宋" w:cs="仿宋"/>
          <w:bCs/>
          <w:color w:val="auto"/>
          <w:sz w:val="24"/>
          <w:highlight w:val="none"/>
          <w:u w:val="single"/>
        </w:rPr>
        <w:t>日</w:t>
      </w:r>
      <w:r>
        <w:rPr>
          <w:rFonts w:hint="eastAsia" w:ascii="仿宋" w:hAnsi="仿宋" w:eastAsia="仿宋" w:cs="仿宋"/>
          <w:bCs/>
          <w:color w:val="auto"/>
          <w:sz w:val="24"/>
          <w:highlight w:val="none"/>
          <w:u w:val="single"/>
          <w:lang w:val="en-US" w:eastAsia="zh-CN"/>
        </w:rPr>
        <w:t>14</w:t>
      </w:r>
      <w:r>
        <w:rPr>
          <w:rFonts w:hint="eastAsia" w:ascii="仿宋" w:hAnsi="仿宋" w:eastAsia="仿宋" w:cs="仿宋"/>
          <w:bCs/>
          <w:color w:val="auto"/>
          <w:sz w:val="24"/>
          <w:highlight w:val="none"/>
          <w:u w:val="single"/>
        </w:rPr>
        <w:t>点</w:t>
      </w:r>
      <w:r>
        <w:rPr>
          <w:rFonts w:hint="eastAsia" w:ascii="仿宋" w:hAnsi="仿宋" w:eastAsia="仿宋" w:cs="仿宋"/>
          <w:bCs/>
          <w:color w:val="auto"/>
          <w:sz w:val="24"/>
          <w:highlight w:val="none"/>
          <w:u w:val="single"/>
          <w:lang w:val="en-US" w:eastAsia="zh-CN"/>
        </w:rPr>
        <w:t>0</w:t>
      </w:r>
      <w:r>
        <w:rPr>
          <w:rFonts w:hint="eastAsia" w:ascii="仿宋" w:hAnsi="仿宋" w:eastAsia="仿宋" w:cs="仿宋"/>
          <w:bCs/>
          <w:color w:val="auto"/>
          <w:sz w:val="24"/>
          <w:highlight w:val="none"/>
          <w:u w:val="single"/>
        </w:rPr>
        <w:t>0分</w:t>
      </w:r>
      <w:r>
        <w:rPr>
          <w:rFonts w:hint="eastAsia" w:ascii="仿宋" w:hAnsi="仿宋" w:eastAsia="仿宋" w:cs="仿宋"/>
          <w:bCs/>
          <w:color w:val="auto"/>
          <w:sz w:val="24"/>
          <w:highlight w:val="none"/>
        </w:rPr>
        <w:t>（北</w:t>
      </w:r>
      <w:r>
        <w:rPr>
          <w:rFonts w:hint="eastAsia" w:ascii="仿宋" w:hAnsi="仿宋" w:eastAsia="仿宋" w:cs="仿宋"/>
          <w:bCs/>
          <w:color w:val="auto"/>
          <w:sz w:val="24"/>
          <w:highlight w:val="none"/>
        </w:rPr>
        <w:t>京时间）前提交响应文件</w:t>
      </w:r>
      <w:r>
        <w:rPr>
          <w:rFonts w:hint="eastAsia" w:ascii="仿宋" w:hAnsi="仿宋" w:eastAsia="仿宋" w:cs="仿宋"/>
          <w:color w:val="auto"/>
          <w:sz w:val="24"/>
          <w:highlight w:val="none"/>
        </w:rPr>
        <w:t>。</w:t>
      </w:r>
    </w:p>
    <w:p w14:paraId="38504D3C">
      <w:pPr>
        <w:spacing w:line="360" w:lineRule="auto"/>
        <w:rPr>
          <w:rFonts w:hint="eastAsia" w:ascii="仿宋" w:hAnsi="仿宋" w:eastAsia="仿宋" w:cs="仿宋"/>
          <w:color w:val="auto"/>
          <w:sz w:val="24"/>
          <w:highlight w:val="none"/>
        </w:rPr>
      </w:pPr>
      <w:bookmarkStart w:id="239" w:name="_Toc99722657"/>
      <w:r>
        <w:rPr>
          <w:rFonts w:hint="eastAsia" w:ascii="仿宋" w:hAnsi="仿宋" w:eastAsia="仿宋" w:cs="仿宋"/>
          <w:color w:val="auto"/>
          <w:sz w:val="24"/>
          <w:highlight w:val="none"/>
        </w:rPr>
        <w:t>一、项目基本情况</w:t>
      </w:r>
      <w:bookmarkEnd w:id="239"/>
    </w:p>
    <w:p w14:paraId="76AEC47D">
      <w:pPr>
        <w:spacing w:line="360" w:lineRule="auto"/>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u w:val="single"/>
          <w:lang w:eastAsia="zh-CN"/>
        </w:rPr>
        <w:t>SDGP370000000202502005154</w:t>
      </w:r>
    </w:p>
    <w:p w14:paraId="3D48883A">
      <w:pPr>
        <w:spacing w:line="360" w:lineRule="auto"/>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rPr>
        <w:t>项目名称：</w:t>
      </w:r>
      <w:r>
        <w:rPr>
          <w:rFonts w:hint="eastAsia" w:ascii="仿宋" w:hAnsi="仿宋" w:eastAsia="仿宋" w:cs="仿宋"/>
          <w:color w:val="auto"/>
          <w:sz w:val="24"/>
          <w:highlight w:val="none"/>
          <w:u w:val="single"/>
          <w:lang w:eastAsia="zh-CN"/>
        </w:rPr>
        <w:t>临沂大学2025年农林学院实验室仪器设备采购项目</w:t>
      </w:r>
    </w:p>
    <w:p w14:paraId="27C6080C">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采购方式：</w:t>
      </w:r>
      <w:r>
        <w:rPr>
          <w:rFonts w:hint="eastAsia" w:ascii="仿宋" w:hAnsi="仿宋" w:eastAsia="仿宋" w:cs="仿宋"/>
          <w:color w:val="auto"/>
          <w:sz w:val="24"/>
          <w:highlight w:val="none"/>
          <w:u w:val="single"/>
        </w:rPr>
        <w:t>竞争性磋商</w:t>
      </w:r>
    </w:p>
    <w:p w14:paraId="06BBD1DF">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预算金额：</w:t>
      </w:r>
      <w:r>
        <w:rPr>
          <w:rFonts w:hint="eastAsia" w:ascii="仿宋" w:hAnsi="仿宋" w:eastAsia="仿宋" w:cs="仿宋"/>
          <w:color w:val="auto"/>
          <w:sz w:val="24"/>
          <w:highlight w:val="none"/>
          <w:u w:val="single"/>
        </w:rPr>
        <w:t>总预算</w:t>
      </w:r>
      <w:r>
        <w:rPr>
          <w:rFonts w:hint="eastAsia" w:ascii="仿宋" w:hAnsi="仿宋" w:eastAsia="仿宋" w:cs="仿宋"/>
          <w:color w:val="auto"/>
          <w:sz w:val="24"/>
          <w:highlight w:val="none"/>
          <w:u w:val="single"/>
          <w:lang w:val="en-US" w:eastAsia="zh-CN"/>
        </w:rPr>
        <w:t>27.9</w:t>
      </w:r>
      <w:r>
        <w:rPr>
          <w:rFonts w:hint="eastAsia" w:ascii="仿宋" w:hAnsi="仿宋" w:eastAsia="仿宋" w:cs="仿宋"/>
          <w:color w:val="auto"/>
          <w:sz w:val="24"/>
          <w:highlight w:val="none"/>
          <w:u w:val="single"/>
        </w:rPr>
        <w:t>万元。</w:t>
      </w:r>
    </w:p>
    <w:p w14:paraId="5037274B">
      <w:pPr>
        <w:spacing w:line="360" w:lineRule="auto"/>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rPr>
        <w:t>采购需求：</w:t>
      </w:r>
      <w:r>
        <w:rPr>
          <w:rFonts w:hint="eastAsia" w:ascii="仿宋" w:hAnsi="仿宋" w:eastAsia="仿宋" w:cs="仿宋"/>
          <w:color w:val="auto"/>
          <w:sz w:val="24"/>
          <w:highlight w:val="none"/>
          <w:u w:val="single"/>
          <w:lang w:eastAsia="zh-CN"/>
        </w:rPr>
        <w:t>临沂大学2025年农林学院实验室仪器设备采购</w:t>
      </w:r>
    </w:p>
    <w:p w14:paraId="3C3221BB">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合同履行期限：自项目开始履行，至项目履行结束</w:t>
      </w:r>
    </w:p>
    <w:p w14:paraId="2561A840">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本项目（是/否）接受联合体：否</w:t>
      </w:r>
    </w:p>
    <w:p w14:paraId="63FA2650">
      <w:pPr>
        <w:spacing w:line="360" w:lineRule="auto"/>
        <w:rPr>
          <w:rFonts w:hint="eastAsia" w:ascii="仿宋" w:hAnsi="仿宋" w:eastAsia="仿宋" w:cs="仿宋"/>
          <w:color w:val="auto"/>
          <w:sz w:val="24"/>
          <w:highlight w:val="none"/>
        </w:rPr>
      </w:pPr>
      <w:bookmarkStart w:id="240" w:name="_Toc28359013"/>
      <w:bookmarkStart w:id="241" w:name="_Toc99722658"/>
      <w:bookmarkStart w:id="242" w:name="_Toc35393799"/>
      <w:bookmarkStart w:id="243" w:name="_Toc28359090"/>
      <w:bookmarkStart w:id="244" w:name="_Toc35393630"/>
      <w:r>
        <w:rPr>
          <w:rFonts w:hint="eastAsia" w:ascii="仿宋" w:hAnsi="仿宋" w:eastAsia="仿宋" w:cs="仿宋"/>
          <w:color w:val="auto"/>
          <w:sz w:val="24"/>
          <w:highlight w:val="none"/>
        </w:rPr>
        <w:t>二、申请人的资格要求：</w:t>
      </w:r>
      <w:bookmarkEnd w:id="240"/>
      <w:bookmarkEnd w:id="241"/>
      <w:bookmarkEnd w:id="242"/>
      <w:bookmarkEnd w:id="243"/>
      <w:bookmarkEnd w:id="244"/>
    </w:p>
    <w:p w14:paraId="69189F29">
      <w:pPr>
        <w:tabs>
          <w:tab w:val="left" w:pos="4276"/>
          <w:tab w:val="left" w:pos="8522"/>
        </w:tabs>
        <w:spacing w:line="336" w:lineRule="auto"/>
        <w:jc w:val="left"/>
        <w:rPr>
          <w:rFonts w:hint="eastAsia" w:ascii="仿宋" w:hAnsi="仿宋" w:eastAsia="仿宋" w:cs="仿宋"/>
          <w:color w:val="auto"/>
          <w:sz w:val="24"/>
          <w:highlight w:val="none"/>
        </w:rPr>
      </w:pPr>
      <w:bookmarkStart w:id="245" w:name="_Toc20497"/>
      <w:bookmarkStart w:id="246" w:name="_Toc2396"/>
      <w:bookmarkStart w:id="247" w:name="_Toc28359091"/>
      <w:bookmarkStart w:id="248" w:name="_Toc28359014"/>
      <w:bookmarkStart w:id="249" w:name="_Toc35393631"/>
      <w:bookmarkStart w:id="250" w:name="_Toc35393800"/>
      <w:bookmarkStart w:id="251" w:name="_Toc99722661"/>
      <w:r>
        <w:rPr>
          <w:rFonts w:hint="eastAsia" w:ascii="仿宋" w:hAnsi="仿宋" w:eastAsia="仿宋" w:cs="仿宋"/>
          <w:color w:val="auto"/>
          <w:sz w:val="24"/>
          <w:highlight w:val="none"/>
        </w:rPr>
        <w:t>1.满足《中华人民共和国政府采购法》第二十二条规定；</w:t>
      </w:r>
      <w:bookmarkEnd w:id="245"/>
      <w:bookmarkEnd w:id="246"/>
    </w:p>
    <w:p w14:paraId="266253ED">
      <w:pPr>
        <w:tabs>
          <w:tab w:val="left" w:pos="4276"/>
          <w:tab w:val="left" w:pos="8522"/>
        </w:tabs>
        <w:spacing w:line="336"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2.是否为专门面向中小企业采购：（是□否☑）</w:t>
      </w:r>
    </w:p>
    <w:p w14:paraId="0D7D123C">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3.本项目的特定资格要求：</w:t>
      </w:r>
      <w:r>
        <w:rPr>
          <w:rFonts w:hint="eastAsia" w:ascii="仿宋" w:hAnsi="仿宋" w:eastAsia="仿宋" w:cs="仿宋"/>
          <w:color w:val="auto"/>
          <w:sz w:val="24"/>
          <w:highlight w:val="none"/>
          <w:lang w:eastAsia="zh-CN"/>
        </w:rPr>
        <w:t>无</w:t>
      </w:r>
    </w:p>
    <w:p w14:paraId="713F192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三、获取采购文件</w:t>
      </w:r>
      <w:bookmarkEnd w:id="247"/>
      <w:bookmarkEnd w:id="248"/>
      <w:bookmarkEnd w:id="249"/>
      <w:bookmarkEnd w:id="250"/>
      <w:bookmarkEnd w:id="251"/>
    </w:p>
    <w:p w14:paraId="2128DFCC">
      <w:pPr>
        <w:spacing w:line="360" w:lineRule="auto"/>
        <w:rPr>
          <w:rFonts w:hint="eastAsia" w:ascii="仿宋" w:hAnsi="仿宋" w:eastAsia="仿宋" w:cs="仿宋"/>
          <w:color w:val="auto"/>
          <w:sz w:val="24"/>
          <w:highlight w:val="none"/>
        </w:rPr>
      </w:pPr>
      <w:bookmarkStart w:id="252" w:name="_Hlk100323170"/>
      <w:bookmarkStart w:id="253" w:name="_Toc28359015"/>
      <w:bookmarkStart w:id="254" w:name="_Toc35393632"/>
      <w:bookmarkStart w:id="255" w:name="_Toc99722662"/>
      <w:bookmarkStart w:id="256" w:name="_Toc28359092"/>
      <w:bookmarkStart w:id="257" w:name="_Toc35393801"/>
      <w:r>
        <w:rPr>
          <w:rFonts w:hint="eastAsia" w:ascii="仿宋" w:hAnsi="仿宋" w:eastAsia="仿宋" w:cs="仿宋"/>
          <w:color w:val="auto"/>
          <w:sz w:val="24"/>
          <w:highlight w:val="none"/>
        </w:rPr>
        <w:t>时间：</w:t>
      </w:r>
      <w:r>
        <w:rPr>
          <w:rFonts w:hint="eastAsia" w:ascii="仿宋" w:hAnsi="仿宋" w:eastAsia="仿宋" w:cs="仿宋"/>
          <w:color w:val="auto"/>
          <w:sz w:val="24"/>
          <w:highlight w:val="none"/>
        </w:rPr>
        <w:t>202</w:t>
      </w: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07</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26</w:t>
      </w:r>
      <w:r>
        <w:rPr>
          <w:rFonts w:hint="eastAsia" w:ascii="仿宋" w:hAnsi="仿宋" w:eastAsia="仿宋" w:cs="仿宋"/>
          <w:color w:val="auto"/>
          <w:sz w:val="24"/>
          <w:highlight w:val="none"/>
        </w:rPr>
        <w:t>日至202</w:t>
      </w: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08</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01</w:t>
      </w:r>
      <w:r>
        <w:rPr>
          <w:rFonts w:hint="eastAsia" w:ascii="仿宋" w:hAnsi="仿宋" w:eastAsia="仿宋" w:cs="仿宋"/>
          <w:color w:val="auto"/>
          <w:sz w:val="24"/>
          <w:highlight w:val="none"/>
        </w:rPr>
        <w:t>日</w:t>
      </w:r>
      <w:r>
        <w:rPr>
          <w:rFonts w:hint="eastAsia" w:ascii="仿宋" w:hAnsi="仿宋" w:eastAsia="仿宋" w:cs="仿宋"/>
          <w:color w:val="auto"/>
          <w:sz w:val="24"/>
          <w:highlight w:val="none"/>
        </w:rPr>
        <w:t>，每天上午8：30至11：30，下午13：30至17：00（北京时间，法定节假日除外）</w:t>
      </w:r>
    </w:p>
    <w:p w14:paraId="65DD29B8">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地点： 济南市历下区环山路148号中联花园B区南侧综合楼二楼</w:t>
      </w:r>
    </w:p>
    <w:p w14:paraId="18F9A1D5">
      <w:pPr>
        <w:pStyle w:val="8"/>
        <w:spacing w:before="0" w:line="360" w:lineRule="auto"/>
        <w:rPr>
          <w:rFonts w:hint="eastAsia" w:ascii="仿宋" w:hAnsi="仿宋" w:eastAsia="仿宋" w:cs="仿宋"/>
          <w:color w:val="auto"/>
          <w:highlight w:val="none"/>
        </w:rPr>
      </w:pPr>
      <w:r>
        <w:rPr>
          <w:rFonts w:hint="eastAsia" w:ascii="仿宋" w:hAnsi="仿宋" w:eastAsia="仿宋" w:cs="仿宋"/>
          <w:color w:val="auto"/>
          <w:highlight w:val="none"/>
        </w:rPr>
        <w:t>文件工本费：300元/份，磋商文件售后不退</w:t>
      </w:r>
    </w:p>
    <w:p w14:paraId="6C7E3A21">
      <w:pPr>
        <w:pStyle w:val="44"/>
        <w:spacing w:line="360" w:lineRule="auto"/>
        <w:ind w:firstLine="0"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方式: 供应商需按以下方式获取竞争性磋商文件，否则响应将被拒绝。</w:t>
      </w:r>
    </w:p>
    <w:bookmarkEnd w:id="252"/>
    <w:p w14:paraId="2255552B">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首先，在磋商文件获取时间内，须先登录中国山东政府采购网（http://www.ccgp-shandong.gov.cn）注册并投标备案（已注册的无需重复注册）。其次，发送邮件至代理机构，在邮件标题中注明所报项目名称及编号，并将电汇凭证（体现出付款方姓名或名称）、购买文件登记表一并发送。邮箱地址：sdzhuoshun@163.com。开户名称：山东卓舜招标咨询有限公司；开户银行：中国建设银行股份有限公司济南燕西支行；开户账号：37001616280050148830；行号：105451000848</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获取发票请致电财务0531-82924425。</w:t>
      </w:r>
    </w:p>
    <w:p w14:paraId="5C088DDA">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四、响应文件提交</w:t>
      </w:r>
      <w:bookmarkEnd w:id="253"/>
      <w:bookmarkEnd w:id="254"/>
      <w:bookmarkEnd w:id="255"/>
      <w:bookmarkEnd w:id="256"/>
      <w:bookmarkEnd w:id="257"/>
    </w:p>
    <w:p w14:paraId="1F5E4EA4">
      <w:pPr>
        <w:spacing w:line="360" w:lineRule="auto"/>
        <w:rPr>
          <w:rFonts w:hint="eastAsia" w:ascii="仿宋" w:hAnsi="仿宋" w:eastAsia="仿宋" w:cs="仿宋"/>
          <w:bCs/>
          <w:color w:val="auto"/>
          <w:sz w:val="24"/>
          <w:highlight w:val="none"/>
        </w:rPr>
      </w:pPr>
      <w:r>
        <w:rPr>
          <w:rFonts w:hint="eastAsia" w:ascii="仿宋" w:hAnsi="仿宋" w:eastAsia="仿宋" w:cs="仿宋"/>
          <w:color w:val="auto"/>
          <w:sz w:val="24"/>
          <w:highlight w:val="none"/>
        </w:rPr>
        <w:t>截止时间：</w:t>
      </w:r>
      <w:r>
        <w:rPr>
          <w:rFonts w:hint="eastAsia" w:ascii="仿宋" w:hAnsi="仿宋" w:eastAsia="仿宋" w:cs="仿宋"/>
          <w:color w:val="auto"/>
          <w:sz w:val="24"/>
          <w:highlight w:val="none"/>
        </w:rPr>
        <w:t>202</w:t>
      </w: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08</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06</w:t>
      </w: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14</w:t>
      </w:r>
      <w:r>
        <w:rPr>
          <w:rFonts w:hint="eastAsia" w:ascii="仿宋" w:hAnsi="仿宋" w:eastAsia="仿宋" w:cs="仿宋"/>
          <w:color w:val="auto"/>
          <w:sz w:val="24"/>
          <w:highlight w:val="none"/>
        </w:rPr>
        <w:t>点</w:t>
      </w:r>
      <w:r>
        <w:rPr>
          <w:rFonts w:hint="eastAsia" w:ascii="仿宋" w:hAnsi="仿宋" w:eastAsia="仿宋" w:cs="仿宋"/>
          <w:color w:val="auto"/>
          <w:sz w:val="24"/>
          <w:highlight w:val="none"/>
          <w:lang w:val="en-US" w:eastAsia="zh-CN"/>
        </w:rPr>
        <w:t>0</w:t>
      </w:r>
      <w:r>
        <w:rPr>
          <w:rFonts w:hint="eastAsia" w:ascii="仿宋" w:hAnsi="仿宋" w:eastAsia="仿宋" w:cs="仿宋"/>
          <w:color w:val="auto"/>
          <w:sz w:val="24"/>
          <w:highlight w:val="none"/>
          <w:lang w:val="en-US" w:eastAsia="zh-CN"/>
        </w:rPr>
        <w:t>0</w:t>
      </w:r>
      <w:r>
        <w:rPr>
          <w:rFonts w:hint="eastAsia" w:ascii="仿宋" w:hAnsi="仿宋" w:eastAsia="仿宋" w:cs="仿宋"/>
          <w:color w:val="auto"/>
          <w:sz w:val="24"/>
          <w:highlight w:val="none"/>
        </w:rPr>
        <w:t>分</w:t>
      </w:r>
      <w:r>
        <w:rPr>
          <w:rFonts w:hint="eastAsia" w:ascii="仿宋" w:hAnsi="仿宋" w:eastAsia="仿宋" w:cs="仿宋"/>
          <w:bCs/>
          <w:color w:val="auto"/>
          <w:sz w:val="24"/>
          <w:highlight w:val="none"/>
        </w:rPr>
        <w:t>（北京时间）</w:t>
      </w:r>
    </w:p>
    <w:p w14:paraId="4055E7AC">
      <w:pPr>
        <w:spacing w:line="360" w:lineRule="auto"/>
        <w:rPr>
          <w:rFonts w:hint="eastAsia" w:ascii="仿宋" w:hAnsi="仿宋" w:eastAsia="仿宋" w:cs="仿宋"/>
          <w:bCs/>
          <w:color w:val="auto"/>
          <w:sz w:val="24"/>
          <w:highlight w:val="none"/>
          <w:u w:val="single"/>
          <w:lang w:eastAsia="zh-CN"/>
        </w:rPr>
      </w:pPr>
      <w:r>
        <w:rPr>
          <w:rFonts w:hint="eastAsia" w:ascii="仿宋" w:hAnsi="仿宋" w:eastAsia="仿宋" w:cs="仿宋"/>
          <w:color w:val="auto"/>
          <w:sz w:val="24"/>
          <w:highlight w:val="none"/>
        </w:rPr>
        <w:t>地点：济南市历下区环山路148号中联花园B区南侧综合楼一楼</w:t>
      </w:r>
      <w:r>
        <w:rPr>
          <w:rFonts w:hint="eastAsia" w:ascii="仿宋" w:hAnsi="仿宋" w:eastAsia="仿宋" w:cs="仿宋"/>
          <w:color w:val="auto"/>
          <w:sz w:val="24"/>
          <w:highlight w:val="none"/>
          <w:lang w:eastAsia="zh-CN"/>
        </w:rPr>
        <w:t>开标室二</w:t>
      </w:r>
    </w:p>
    <w:p w14:paraId="0FBD19D3">
      <w:pPr>
        <w:spacing w:line="360" w:lineRule="auto"/>
        <w:rPr>
          <w:rFonts w:hint="eastAsia" w:ascii="仿宋" w:hAnsi="仿宋" w:eastAsia="仿宋" w:cs="仿宋"/>
          <w:color w:val="auto"/>
          <w:sz w:val="24"/>
          <w:highlight w:val="none"/>
        </w:rPr>
      </w:pPr>
      <w:bookmarkStart w:id="258" w:name="_Toc28359093"/>
      <w:bookmarkStart w:id="259" w:name="_Toc35393633"/>
      <w:bookmarkStart w:id="260" w:name="_Toc99722663"/>
      <w:bookmarkStart w:id="261" w:name="_Toc28359016"/>
      <w:bookmarkStart w:id="262" w:name="_Toc35393802"/>
      <w:r>
        <w:rPr>
          <w:rFonts w:hint="eastAsia" w:ascii="仿宋" w:hAnsi="仿宋" w:eastAsia="仿宋" w:cs="仿宋"/>
          <w:color w:val="auto"/>
          <w:sz w:val="24"/>
          <w:highlight w:val="none"/>
        </w:rPr>
        <w:t>五、开启</w:t>
      </w:r>
      <w:bookmarkEnd w:id="258"/>
      <w:bookmarkEnd w:id="259"/>
      <w:bookmarkEnd w:id="260"/>
      <w:bookmarkEnd w:id="261"/>
      <w:bookmarkEnd w:id="262"/>
    </w:p>
    <w:p w14:paraId="101EBC6E">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时间：</w:t>
      </w:r>
      <w:r>
        <w:rPr>
          <w:rFonts w:hint="eastAsia" w:ascii="仿宋" w:hAnsi="仿宋" w:eastAsia="仿宋" w:cs="仿宋"/>
          <w:color w:val="auto"/>
          <w:sz w:val="24"/>
          <w:highlight w:val="none"/>
        </w:rPr>
        <w:t>202</w:t>
      </w: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08</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06</w:t>
      </w: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14</w:t>
      </w:r>
      <w:r>
        <w:rPr>
          <w:rFonts w:hint="eastAsia" w:ascii="仿宋" w:hAnsi="仿宋" w:eastAsia="仿宋" w:cs="仿宋"/>
          <w:color w:val="auto"/>
          <w:sz w:val="24"/>
          <w:highlight w:val="none"/>
        </w:rPr>
        <w:t>点</w:t>
      </w:r>
      <w:r>
        <w:rPr>
          <w:rFonts w:hint="eastAsia" w:ascii="仿宋" w:hAnsi="仿宋" w:eastAsia="仿宋" w:cs="仿宋"/>
          <w:color w:val="auto"/>
          <w:sz w:val="24"/>
          <w:highlight w:val="none"/>
          <w:lang w:val="en-US" w:eastAsia="zh-CN"/>
        </w:rPr>
        <w:t>00</w:t>
      </w:r>
      <w:r>
        <w:rPr>
          <w:rFonts w:hint="eastAsia" w:ascii="仿宋" w:hAnsi="仿宋" w:eastAsia="仿宋" w:cs="仿宋"/>
          <w:color w:val="auto"/>
          <w:sz w:val="24"/>
          <w:highlight w:val="none"/>
        </w:rPr>
        <w:t>分</w:t>
      </w:r>
      <w:r>
        <w:rPr>
          <w:rFonts w:hint="eastAsia" w:ascii="仿宋" w:hAnsi="仿宋" w:eastAsia="仿宋" w:cs="仿宋"/>
          <w:color w:val="auto"/>
          <w:sz w:val="24"/>
          <w:highlight w:val="none"/>
        </w:rPr>
        <w:t>（北京时间）</w:t>
      </w:r>
    </w:p>
    <w:p w14:paraId="2F952E64">
      <w:pPr>
        <w:spacing w:line="360" w:lineRule="auto"/>
        <w:rPr>
          <w:rFonts w:hint="eastAsia" w:ascii="仿宋" w:hAnsi="仿宋" w:eastAsia="仿宋" w:cs="仿宋"/>
          <w:bCs/>
          <w:color w:val="auto"/>
          <w:sz w:val="24"/>
          <w:highlight w:val="none"/>
          <w:u w:val="single"/>
        </w:rPr>
      </w:pPr>
      <w:r>
        <w:rPr>
          <w:rFonts w:hint="eastAsia" w:ascii="仿宋" w:hAnsi="仿宋" w:eastAsia="仿宋" w:cs="仿宋"/>
          <w:color w:val="auto"/>
          <w:sz w:val="24"/>
          <w:highlight w:val="none"/>
        </w:rPr>
        <w:t>地点：济南市历下区环山路148号中联花园B区南侧综合楼一楼</w:t>
      </w:r>
      <w:r>
        <w:rPr>
          <w:rFonts w:hint="eastAsia" w:ascii="仿宋" w:hAnsi="仿宋" w:eastAsia="仿宋" w:cs="仿宋"/>
          <w:color w:val="auto"/>
          <w:sz w:val="24"/>
          <w:highlight w:val="none"/>
          <w:lang w:eastAsia="zh-CN"/>
        </w:rPr>
        <w:t>开标室二</w:t>
      </w:r>
    </w:p>
    <w:p w14:paraId="7B7A6284">
      <w:pPr>
        <w:spacing w:line="360" w:lineRule="auto"/>
        <w:rPr>
          <w:rFonts w:hint="eastAsia" w:ascii="仿宋" w:hAnsi="仿宋" w:eastAsia="仿宋" w:cs="仿宋"/>
          <w:color w:val="auto"/>
          <w:sz w:val="24"/>
          <w:highlight w:val="none"/>
        </w:rPr>
      </w:pPr>
      <w:bookmarkStart w:id="263" w:name="_Toc28359017"/>
      <w:bookmarkStart w:id="264" w:name="_Toc35393634"/>
      <w:bookmarkStart w:id="265" w:name="_Toc28359094"/>
      <w:bookmarkStart w:id="266" w:name="_Toc35393803"/>
      <w:bookmarkStart w:id="267" w:name="_Toc99722664"/>
      <w:r>
        <w:rPr>
          <w:rFonts w:hint="eastAsia" w:ascii="仿宋" w:hAnsi="仿宋" w:eastAsia="仿宋" w:cs="仿宋"/>
          <w:color w:val="auto"/>
          <w:sz w:val="24"/>
          <w:highlight w:val="none"/>
        </w:rPr>
        <w:t>六、公告期限</w:t>
      </w:r>
      <w:bookmarkEnd w:id="263"/>
      <w:bookmarkEnd w:id="264"/>
      <w:bookmarkEnd w:id="265"/>
      <w:bookmarkEnd w:id="266"/>
      <w:bookmarkEnd w:id="267"/>
    </w:p>
    <w:p w14:paraId="4B9D8503">
      <w:pPr>
        <w:spacing w:line="360" w:lineRule="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自本公告发布之日起3个工作日。</w:t>
      </w:r>
    </w:p>
    <w:p w14:paraId="40125C0C">
      <w:pPr>
        <w:spacing w:line="360" w:lineRule="auto"/>
        <w:rPr>
          <w:rFonts w:hint="eastAsia" w:ascii="仿宋" w:hAnsi="仿宋" w:eastAsia="仿宋" w:cs="仿宋"/>
          <w:color w:val="auto"/>
          <w:sz w:val="24"/>
          <w:highlight w:val="none"/>
        </w:rPr>
      </w:pPr>
      <w:bookmarkStart w:id="268" w:name="_Toc35393635"/>
      <w:bookmarkStart w:id="269" w:name="_Toc35393804"/>
      <w:bookmarkStart w:id="270" w:name="_Toc99722665"/>
      <w:r>
        <w:rPr>
          <w:rFonts w:hint="eastAsia" w:ascii="仿宋" w:hAnsi="仿宋" w:eastAsia="仿宋" w:cs="仿宋"/>
          <w:color w:val="auto"/>
          <w:sz w:val="24"/>
          <w:highlight w:val="none"/>
        </w:rPr>
        <w:t>七、其他补充事宜</w:t>
      </w:r>
      <w:bookmarkEnd w:id="268"/>
      <w:bookmarkEnd w:id="269"/>
      <w:bookmarkEnd w:id="270"/>
    </w:p>
    <w:p w14:paraId="090E9E7C">
      <w:pPr>
        <w:spacing w:line="360" w:lineRule="auto"/>
        <w:rPr>
          <w:rFonts w:hint="eastAsia" w:ascii="仿宋" w:hAnsi="仿宋" w:eastAsia="仿宋" w:cs="仿宋"/>
          <w:color w:val="auto"/>
          <w:sz w:val="24"/>
          <w:highlight w:val="none"/>
        </w:rPr>
      </w:pPr>
      <w:bookmarkStart w:id="271" w:name="_Toc28359095"/>
      <w:bookmarkStart w:id="272" w:name="_Toc28359018"/>
      <w:bookmarkStart w:id="273" w:name="_Toc35393636"/>
      <w:bookmarkStart w:id="274" w:name="_Toc35393805"/>
      <w:bookmarkStart w:id="275" w:name="_Toc99722666"/>
      <w:r>
        <w:rPr>
          <w:rFonts w:hint="eastAsia" w:ascii="仿宋" w:hAnsi="仿宋" w:eastAsia="仿宋" w:cs="仿宋"/>
          <w:color w:val="auto"/>
          <w:sz w:val="24"/>
          <w:highlight w:val="none"/>
        </w:rPr>
        <w:t>八、凡对本次采购提出询问，请按以下方式联系。</w:t>
      </w:r>
      <w:bookmarkEnd w:id="271"/>
      <w:bookmarkEnd w:id="272"/>
      <w:bookmarkEnd w:id="273"/>
      <w:bookmarkEnd w:id="274"/>
      <w:bookmarkEnd w:id="275"/>
    </w:p>
    <w:p w14:paraId="58DD8B4E">
      <w:pPr>
        <w:spacing w:line="360" w:lineRule="auto"/>
        <w:rPr>
          <w:rFonts w:hint="eastAsia" w:ascii="仿宋" w:hAnsi="仿宋" w:eastAsia="仿宋" w:cs="仿宋"/>
          <w:color w:val="auto"/>
          <w:sz w:val="24"/>
          <w:highlight w:val="none"/>
        </w:rPr>
      </w:pPr>
      <w:bookmarkStart w:id="276" w:name="_Toc28359096"/>
      <w:bookmarkStart w:id="277" w:name="_Toc35393637"/>
      <w:bookmarkStart w:id="278" w:name="_Toc28359019"/>
      <w:bookmarkStart w:id="279" w:name="_Toc99722667"/>
      <w:bookmarkStart w:id="280" w:name="_Toc35393806"/>
      <w:r>
        <w:rPr>
          <w:rFonts w:hint="eastAsia" w:ascii="仿宋" w:hAnsi="仿宋" w:eastAsia="仿宋" w:cs="仿宋"/>
          <w:color w:val="auto"/>
          <w:sz w:val="24"/>
          <w:highlight w:val="none"/>
        </w:rPr>
        <w:t>1.采购人信息</w:t>
      </w:r>
      <w:bookmarkEnd w:id="276"/>
      <w:bookmarkEnd w:id="277"/>
      <w:bookmarkEnd w:id="278"/>
      <w:bookmarkEnd w:id="279"/>
      <w:bookmarkEnd w:id="280"/>
    </w:p>
    <w:p w14:paraId="601D56DD">
      <w:pPr>
        <w:spacing w:line="360" w:lineRule="auto"/>
        <w:jc w:val="left"/>
        <w:rPr>
          <w:rFonts w:hint="eastAsia" w:ascii="仿宋" w:hAnsi="仿宋" w:eastAsia="仿宋" w:cs="仿宋"/>
          <w:color w:val="auto"/>
          <w:sz w:val="24"/>
          <w:highlight w:val="none"/>
          <w:lang w:eastAsia="zh-CN"/>
        </w:rPr>
      </w:pPr>
      <w:bookmarkStart w:id="281" w:name="_Toc99722668"/>
      <w:bookmarkStart w:id="282" w:name="_Toc28359097"/>
      <w:bookmarkStart w:id="283" w:name="_Toc28359020"/>
      <w:bookmarkStart w:id="284" w:name="_Toc35393807"/>
      <w:bookmarkStart w:id="285" w:name="_Toc35393638"/>
      <w:r>
        <w:rPr>
          <w:rFonts w:hint="eastAsia" w:ascii="仿宋" w:hAnsi="仿宋" w:eastAsia="仿宋" w:cs="仿宋"/>
          <w:sz w:val="24"/>
          <w:highlight w:val="none"/>
        </w:rPr>
        <w:t>名 称：</w:t>
      </w:r>
      <w:r>
        <w:rPr>
          <w:rFonts w:hint="eastAsia" w:ascii="仿宋" w:hAnsi="仿宋" w:eastAsia="仿宋" w:cs="仿宋"/>
          <w:sz w:val="24"/>
          <w:highlight w:val="none"/>
          <w:lang w:eastAsia="zh-CN"/>
        </w:rPr>
        <w:t xml:space="preserve">临沂大学 </w:t>
      </w:r>
    </w:p>
    <w:p w14:paraId="7F9A3D18">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地 址：山东省临沂市双岭路中段     </w:t>
      </w:r>
    </w:p>
    <w:p w14:paraId="4022FCB8">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2.采购代理机构信息</w:t>
      </w:r>
      <w:bookmarkEnd w:id="281"/>
      <w:bookmarkEnd w:id="282"/>
      <w:bookmarkEnd w:id="283"/>
      <w:bookmarkEnd w:id="284"/>
      <w:bookmarkEnd w:id="285"/>
    </w:p>
    <w:p w14:paraId="2EF1AAB7">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名    称：山东卓舜招标咨询有限公司</w:t>
      </w:r>
    </w:p>
    <w:p w14:paraId="76141B1E">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地　　址：济南市历下区环山路148号中联花园B区南侧综合楼二楼</w:t>
      </w:r>
    </w:p>
    <w:p w14:paraId="3B55C1BC">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联系方式：0531-67897306</w:t>
      </w:r>
    </w:p>
    <w:p w14:paraId="454B4003">
      <w:pPr>
        <w:spacing w:line="360" w:lineRule="auto"/>
        <w:rPr>
          <w:rFonts w:hint="eastAsia" w:ascii="仿宋" w:hAnsi="仿宋" w:eastAsia="仿宋" w:cs="仿宋"/>
          <w:color w:val="auto"/>
          <w:sz w:val="24"/>
          <w:highlight w:val="none"/>
        </w:rPr>
      </w:pPr>
      <w:bookmarkStart w:id="286" w:name="_Toc35393808"/>
      <w:bookmarkStart w:id="287" w:name="_Toc28359021"/>
      <w:bookmarkStart w:id="288" w:name="_Toc28359098"/>
      <w:bookmarkStart w:id="289" w:name="_Toc99722669"/>
      <w:bookmarkStart w:id="290" w:name="_Toc35393639"/>
      <w:r>
        <w:rPr>
          <w:rFonts w:hint="eastAsia" w:ascii="仿宋" w:hAnsi="仿宋" w:eastAsia="仿宋" w:cs="仿宋"/>
          <w:color w:val="auto"/>
          <w:sz w:val="24"/>
          <w:highlight w:val="none"/>
        </w:rPr>
        <w:t>3.项目联系方式</w:t>
      </w:r>
      <w:bookmarkEnd w:id="286"/>
      <w:bookmarkEnd w:id="287"/>
      <w:bookmarkEnd w:id="288"/>
      <w:bookmarkEnd w:id="289"/>
      <w:bookmarkEnd w:id="290"/>
    </w:p>
    <w:p w14:paraId="7DCDEECB">
      <w:pPr>
        <w:pStyle w:val="18"/>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项目联系人： </w:t>
      </w:r>
      <w:r>
        <w:rPr>
          <w:rFonts w:hint="eastAsia" w:ascii="仿宋" w:hAnsi="仿宋" w:eastAsia="仿宋" w:cs="仿宋"/>
          <w:color w:val="auto"/>
          <w:sz w:val="24"/>
          <w:szCs w:val="24"/>
          <w:highlight w:val="none"/>
          <w:lang w:eastAsia="zh-CN"/>
        </w:rPr>
        <w:t>徐文亮、</w:t>
      </w:r>
      <w:r>
        <w:rPr>
          <w:rFonts w:hint="eastAsia" w:ascii="仿宋" w:hAnsi="仿宋" w:eastAsia="仿宋" w:cs="仿宋"/>
          <w:color w:val="auto"/>
          <w:sz w:val="24"/>
          <w:szCs w:val="24"/>
          <w:highlight w:val="none"/>
        </w:rPr>
        <w:t>朱志强</w:t>
      </w:r>
    </w:p>
    <w:p w14:paraId="1E09F5EE">
      <w:pPr>
        <w:pStyle w:val="18"/>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highlight w:val="none"/>
        </w:rPr>
        <w:t xml:space="preserve"> 0531-67897306</w:t>
      </w:r>
    </w:p>
    <w:p w14:paraId="1032015D">
      <w:pPr>
        <w:rPr>
          <w:rFonts w:hint="eastAsia" w:ascii="仿宋" w:hAnsi="仿宋" w:eastAsia="仿宋" w:cs="仿宋"/>
          <w:color w:val="auto"/>
          <w:highlight w:val="none"/>
        </w:rPr>
      </w:pPr>
    </w:p>
    <w:p w14:paraId="0AE3547E">
      <w:pPr>
        <w:spacing w:line="320" w:lineRule="exact"/>
        <w:jc w:val="left"/>
        <w:rPr>
          <w:rFonts w:hint="eastAsia" w:ascii="仿宋" w:hAnsi="仿宋" w:eastAsia="仿宋" w:cs="仿宋"/>
          <w:color w:val="auto"/>
          <w:sz w:val="24"/>
          <w:highlight w:val="none"/>
        </w:rPr>
      </w:pPr>
    </w:p>
    <w:p w14:paraId="20CA4598">
      <w:pPr>
        <w:spacing w:line="320" w:lineRule="exact"/>
        <w:jc w:val="left"/>
        <w:rPr>
          <w:rFonts w:hint="eastAsia" w:ascii="仿宋" w:hAnsi="仿宋" w:eastAsia="仿宋" w:cs="仿宋"/>
          <w:color w:val="auto"/>
          <w:sz w:val="24"/>
          <w:highlight w:val="none"/>
        </w:rPr>
      </w:pPr>
    </w:p>
    <w:p w14:paraId="4D7F6A81">
      <w:pPr>
        <w:rPr>
          <w:rFonts w:hint="eastAsia" w:ascii="仿宋" w:hAnsi="仿宋" w:eastAsia="仿宋" w:cs="仿宋"/>
          <w:color w:val="auto"/>
          <w:szCs w:val="32"/>
          <w:highlight w:val="none"/>
        </w:rPr>
      </w:pPr>
    </w:p>
    <w:p w14:paraId="4C0D45A6">
      <w:pPr>
        <w:rPr>
          <w:rFonts w:hint="eastAsia" w:ascii="仿宋" w:hAnsi="仿宋" w:eastAsia="仿宋" w:cs="仿宋"/>
          <w:color w:val="auto"/>
          <w:szCs w:val="32"/>
          <w:highlight w:val="none"/>
        </w:rPr>
      </w:pPr>
      <w:bookmarkStart w:id="291" w:name="_Toc12344"/>
      <w:r>
        <w:rPr>
          <w:rFonts w:hint="eastAsia" w:ascii="仿宋" w:hAnsi="仿宋" w:eastAsia="仿宋" w:cs="仿宋"/>
          <w:color w:val="auto"/>
          <w:szCs w:val="32"/>
          <w:highlight w:val="none"/>
        </w:rPr>
        <w:br w:type="page"/>
      </w:r>
    </w:p>
    <w:p w14:paraId="3FB3298E">
      <w:pPr>
        <w:pStyle w:val="2"/>
        <w:tabs>
          <w:tab w:val="left" w:pos="0"/>
        </w:tabs>
        <w:spacing w:before="0" w:after="0" w:line="240" w:lineRule="atLeast"/>
        <w:ind w:firstLine="2088" w:firstLineChars="650"/>
        <w:jc w:val="both"/>
        <w:rPr>
          <w:rFonts w:hint="eastAsia" w:ascii="仿宋" w:hAnsi="仿宋" w:eastAsia="仿宋" w:cs="仿宋"/>
          <w:color w:val="auto"/>
          <w:szCs w:val="32"/>
          <w:highlight w:val="none"/>
        </w:rPr>
      </w:pPr>
      <w:r>
        <w:rPr>
          <w:rFonts w:hint="eastAsia" w:ascii="仿宋" w:hAnsi="仿宋" w:eastAsia="仿宋" w:cs="仿宋"/>
          <w:color w:val="auto"/>
          <w:szCs w:val="32"/>
          <w:highlight w:val="none"/>
        </w:rPr>
        <w:t>第3章</w:t>
      </w:r>
      <w:bookmarkStart w:id="292" w:name="_Toc31583"/>
      <w:bookmarkStart w:id="293" w:name="_Toc507399903"/>
      <w:bookmarkStart w:id="294" w:name="_Toc515647830"/>
      <w:bookmarkStart w:id="295" w:name="_Toc216582823"/>
      <w:bookmarkStart w:id="296" w:name="_Toc4766814"/>
      <w:bookmarkStart w:id="297" w:name="_Toc10488"/>
      <w:r>
        <w:rPr>
          <w:rFonts w:hint="eastAsia" w:ascii="仿宋" w:hAnsi="仿宋" w:eastAsia="仿宋" w:cs="仿宋"/>
          <w:color w:val="auto"/>
          <w:szCs w:val="32"/>
          <w:highlight w:val="none"/>
        </w:rPr>
        <w:t xml:space="preserve">  </w:t>
      </w:r>
      <w:r>
        <w:rPr>
          <w:rFonts w:hint="eastAsia" w:ascii="仿宋" w:hAnsi="仿宋" w:eastAsia="仿宋" w:cs="仿宋"/>
          <w:color w:val="auto"/>
          <w:highlight w:val="none"/>
        </w:rPr>
        <w:t>供应商须知</w:t>
      </w:r>
      <w:r>
        <w:rPr>
          <w:rFonts w:hint="eastAsia" w:ascii="仿宋" w:hAnsi="仿宋" w:eastAsia="仿宋" w:cs="仿宋"/>
          <w:color w:val="auto"/>
          <w:szCs w:val="32"/>
          <w:highlight w:val="none"/>
        </w:rPr>
        <w:t>资料表</w:t>
      </w:r>
      <w:bookmarkEnd w:id="291"/>
      <w:bookmarkEnd w:id="292"/>
      <w:bookmarkEnd w:id="293"/>
      <w:bookmarkEnd w:id="294"/>
      <w:bookmarkEnd w:id="295"/>
      <w:bookmarkEnd w:id="296"/>
      <w:bookmarkEnd w:id="297"/>
    </w:p>
    <w:p w14:paraId="1046F58B">
      <w:pPr>
        <w:spacing w:line="320" w:lineRule="exact"/>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本表是本磋商项目的具体资料，是对供应商须知的具体补充和修改，如有矛盾，应以本资料表为准。</w:t>
      </w:r>
    </w:p>
    <w:tbl>
      <w:tblPr>
        <w:tblStyle w:val="34"/>
        <w:tblW w:w="833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03"/>
        <w:gridCol w:w="7336"/>
      </w:tblGrid>
      <w:tr w14:paraId="1B3C0D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4" w:hRule="atLeast"/>
        </w:trPr>
        <w:tc>
          <w:tcPr>
            <w:tcW w:w="1003" w:type="dxa"/>
            <w:tcBorders>
              <w:top w:val="single" w:color="auto" w:sz="12" w:space="0"/>
              <w:left w:val="single" w:color="auto" w:sz="12" w:space="0"/>
              <w:bottom w:val="single" w:color="auto" w:sz="6" w:space="0"/>
              <w:right w:val="single" w:color="auto" w:sz="6" w:space="0"/>
            </w:tcBorders>
            <w:vAlign w:val="center"/>
          </w:tcPr>
          <w:p w14:paraId="12DE457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条款号</w:t>
            </w:r>
          </w:p>
        </w:tc>
        <w:tc>
          <w:tcPr>
            <w:tcW w:w="7336" w:type="dxa"/>
            <w:tcBorders>
              <w:top w:val="single" w:color="auto" w:sz="12" w:space="0"/>
              <w:left w:val="single" w:color="auto" w:sz="6" w:space="0"/>
              <w:bottom w:val="single" w:color="auto" w:sz="6" w:space="0"/>
              <w:right w:val="single" w:color="auto" w:sz="12" w:space="0"/>
            </w:tcBorders>
            <w:vAlign w:val="center"/>
          </w:tcPr>
          <w:p w14:paraId="26378475">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内   容</w:t>
            </w:r>
          </w:p>
        </w:tc>
      </w:tr>
      <w:tr w14:paraId="3B1DA2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63" w:hRule="atLeast"/>
        </w:trPr>
        <w:tc>
          <w:tcPr>
            <w:tcW w:w="1003" w:type="dxa"/>
            <w:tcBorders>
              <w:top w:val="single" w:color="auto" w:sz="6" w:space="0"/>
              <w:left w:val="single" w:color="auto" w:sz="12" w:space="0"/>
              <w:bottom w:val="single" w:color="auto" w:sz="6" w:space="0"/>
              <w:right w:val="single" w:color="auto" w:sz="6" w:space="0"/>
            </w:tcBorders>
            <w:vAlign w:val="center"/>
          </w:tcPr>
          <w:p w14:paraId="52D09377">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1.1</w:t>
            </w:r>
          </w:p>
        </w:tc>
        <w:tc>
          <w:tcPr>
            <w:tcW w:w="7336" w:type="dxa"/>
            <w:tcBorders>
              <w:top w:val="single" w:color="auto" w:sz="6" w:space="0"/>
              <w:left w:val="single" w:color="auto" w:sz="6" w:space="0"/>
              <w:bottom w:val="single" w:color="auto" w:sz="6" w:space="0"/>
              <w:right w:val="single" w:color="auto" w:sz="12" w:space="0"/>
            </w:tcBorders>
            <w:vAlign w:val="center"/>
          </w:tcPr>
          <w:p w14:paraId="71C5DA57">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 xml:space="preserve">采购人： </w:t>
            </w:r>
            <w:r>
              <w:rPr>
                <w:rFonts w:hint="eastAsia" w:ascii="仿宋" w:hAnsi="仿宋" w:eastAsia="仿宋" w:cs="仿宋"/>
                <w:color w:val="auto"/>
                <w:sz w:val="24"/>
                <w:highlight w:val="none"/>
                <w:lang w:eastAsia="zh-CN"/>
              </w:rPr>
              <w:t xml:space="preserve">临沂大学 </w:t>
            </w:r>
          </w:p>
          <w:p w14:paraId="1EF2AF8B">
            <w:pPr>
              <w:spacing w:line="360" w:lineRule="auto"/>
              <w:jc w:val="left"/>
              <w:rPr>
                <w:rFonts w:hint="eastAsia" w:ascii="仿宋" w:hAnsi="仿宋" w:eastAsia="仿宋" w:cs="仿宋"/>
                <w:bCs/>
                <w:color w:val="auto"/>
                <w:sz w:val="24"/>
                <w:highlight w:val="none"/>
              </w:rPr>
            </w:pPr>
            <w:r>
              <w:rPr>
                <w:rFonts w:hint="eastAsia" w:ascii="仿宋" w:hAnsi="仿宋" w:eastAsia="仿宋" w:cs="仿宋"/>
                <w:color w:val="auto"/>
                <w:sz w:val="24"/>
                <w:highlight w:val="none"/>
              </w:rPr>
              <w:t xml:space="preserve">地  址：山东省临沂市双岭路中段  </w:t>
            </w:r>
          </w:p>
        </w:tc>
      </w:tr>
      <w:tr w14:paraId="0869AD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011" w:hRule="atLeast"/>
        </w:trPr>
        <w:tc>
          <w:tcPr>
            <w:tcW w:w="1003" w:type="dxa"/>
            <w:tcBorders>
              <w:top w:val="single" w:color="auto" w:sz="6" w:space="0"/>
              <w:left w:val="single" w:color="auto" w:sz="12" w:space="0"/>
              <w:bottom w:val="single" w:color="auto" w:sz="6" w:space="0"/>
              <w:right w:val="single" w:color="auto" w:sz="6" w:space="0"/>
            </w:tcBorders>
            <w:vAlign w:val="center"/>
          </w:tcPr>
          <w:p w14:paraId="28AAE900">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1.2</w:t>
            </w:r>
          </w:p>
        </w:tc>
        <w:tc>
          <w:tcPr>
            <w:tcW w:w="7336" w:type="dxa"/>
            <w:tcBorders>
              <w:top w:val="single" w:color="auto" w:sz="6" w:space="0"/>
              <w:left w:val="single" w:color="auto" w:sz="6" w:space="0"/>
              <w:bottom w:val="single" w:color="auto" w:sz="6" w:space="0"/>
              <w:right w:val="single" w:color="auto" w:sz="12" w:space="0"/>
            </w:tcBorders>
            <w:vAlign w:val="center"/>
          </w:tcPr>
          <w:p w14:paraId="336F4122">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采购代理机构：</w:t>
            </w:r>
            <w:r>
              <w:rPr>
                <w:rFonts w:hint="eastAsia" w:ascii="仿宋" w:hAnsi="仿宋" w:eastAsia="仿宋" w:cs="仿宋"/>
                <w:color w:val="auto"/>
                <w:sz w:val="24"/>
                <w:highlight w:val="none"/>
              </w:rPr>
              <w:t>山东卓舜招标咨询有限公司</w:t>
            </w:r>
            <w:r>
              <w:rPr>
                <w:rFonts w:hint="eastAsia" w:ascii="仿宋" w:hAnsi="仿宋" w:eastAsia="仿宋" w:cs="仿宋"/>
                <w:bCs/>
                <w:color w:val="auto"/>
                <w:sz w:val="24"/>
                <w:highlight w:val="none"/>
              </w:rPr>
              <w:t xml:space="preserve">                 </w:t>
            </w:r>
          </w:p>
          <w:p w14:paraId="78383250">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地址：济南市历下区环山路148号中联花园B区综合楼二楼                           </w:t>
            </w:r>
          </w:p>
        </w:tc>
      </w:tr>
      <w:tr w14:paraId="2D5F47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702" w:hRule="atLeast"/>
        </w:trPr>
        <w:tc>
          <w:tcPr>
            <w:tcW w:w="1003" w:type="dxa"/>
            <w:tcBorders>
              <w:top w:val="single" w:color="auto" w:sz="6" w:space="0"/>
              <w:left w:val="single" w:color="auto" w:sz="12" w:space="0"/>
              <w:bottom w:val="single" w:color="auto" w:sz="6" w:space="0"/>
              <w:right w:val="single" w:color="auto" w:sz="6" w:space="0"/>
            </w:tcBorders>
            <w:vAlign w:val="center"/>
          </w:tcPr>
          <w:p w14:paraId="5B11A76F">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1.3.4</w:t>
            </w:r>
          </w:p>
        </w:tc>
        <w:tc>
          <w:tcPr>
            <w:tcW w:w="7336" w:type="dxa"/>
            <w:tcBorders>
              <w:top w:val="single" w:color="auto" w:sz="6" w:space="0"/>
              <w:left w:val="single" w:color="auto" w:sz="6" w:space="0"/>
              <w:bottom w:val="single" w:color="auto" w:sz="6" w:space="0"/>
              <w:right w:val="single" w:color="auto" w:sz="12" w:space="0"/>
            </w:tcBorders>
            <w:vAlign w:val="center"/>
          </w:tcPr>
          <w:p w14:paraId="4646FAD6">
            <w:pPr>
              <w:autoSpaceDE w:val="0"/>
              <w:autoSpaceDN w:val="0"/>
              <w:spacing w:line="360" w:lineRule="auto"/>
              <w:outlineLvl w:val="1"/>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合格供应商的资格要求：</w:t>
            </w:r>
          </w:p>
          <w:p w14:paraId="6F8C67FC">
            <w:pPr>
              <w:tabs>
                <w:tab w:val="left" w:pos="4276"/>
                <w:tab w:val="left" w:pos="8522"/>
              </w:tabs>
              <w:spacing w:line="336"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1.满足《中华人民共和国政府采购法》第二十二条规定；</w:t>
            </w:r>
          </w:p>
          <w:p w14:paraId="4E5C5DD5">
            <w:pPr>
              <w:tabs>
                <w:tab w:val="left" w:pos="4276"/>
                <w:tab w:val="left" w:pos="8522"/>
              </w:tabs>
              <w:spacing w:line="336"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2.是否为专门面向中小企业采购：（是□否☑）</w:t>
            </w:r>
          </w:p>
          <w:p w14:paraId="7E653DCE">
            <w:pPr>
              <w:spacing w:line="360" w:lineRule="auto"/>
              <w:rPr>
                <w:rFonts w:hint="eastAsia" w:ascii="仿宋" w:hAnsi="仿宋" w:eastAsia="仿宋" w:cs="仿宋"/>
                <w:bCs/>
                <w:color w:val="auto"/>
                <w:sz w:val="24"/>
                <w:highlight w:val="none"/>
              </w:rPr>
            </w:pPr>
            <w:r>
              <w:rPr>
                <w:rFonts w:hint="eastAsia" w:ascii="仿宋" w:hAnsi="仿宋" w:eastAsia="仿宋" w:cs="仿宋"/>
                <w:color w:val="auto"/>
                <w:sz w:val="24"/>
                <w:highlight w:val="none"/>
              </w:rPr>
              <w:t>3.本项目的特定资格要求：</w:t>
            </w:r>
            <w:r>
              <w:rPr>
                <w:rFonts w:hint="eastAsia" w:ascii="仿宋" w:hAnsi="仿宋" w:eastAsia="仿宋" w:cs="仿宋"/>
                <w:color w:val="auto"/>
                <w:sz w:val="24"/>
                <w:highlight w:val="none"/>
                <w:lang w:eastAsia="zh-CN"/>
              </w:rPr>
              <w:t>无</w:t>
            </w:r>
            <w:r>
              <w:rPr>
                <w:rFonts w:hint="eastAsia" w:ascii="仿宋" w:hAnsi="仿宋" w:eastAsia="仿宋" w:cs="仿宋"/>
                <w:color w:val="auto"/>
                <w:sz w:val="24"/>
                <w:highlight w:val="none"/>
              </w:rPr>
              <w:t>。</w:t>
            </w:r>
          </w:p>
        </w:tc>
      </w:tr>
      <w:tr w14:paraId="47BE99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68" w:hRule="atLeast"/>
        </w:trPr>
        <w:tc>
          <w:tcPr>
            <w:tcW w:w="1003" w:type="dxa"/>
            <w:tcBorders>
              <w:top w:val="single" w:color="auto" w:sz="6" w:space="0"/>
              <w:left w:val="single" w:color="auto" w:sz="12" w:space="0"/>
              <w:bottom w:val="single" w:color="auto" w:sz="6" w:space="0"/>
              <w:right w:val="single" w:color="auto" w:sz="6" w:space="0"/>
            </w:tcBorders>
            <w:vAlign w:val="center"/>
          </w:tcPr>
          <w:p w14:paraId="77010D95">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1.3.5</w:t>
            </w:r>
          </w:p>
        </w:tc>
        <w:tc>
          <w:tcPr>
            <w:tcW w:w="7336" w:type="dxa"/>
            <w:tcBorders>
              <w:top w:val="single" w:color="auto" w:sz="6" w:space="0"/>
              <w:left w:val="single" w:color="auto" w:sz="6" w:space="0"/>
              <w:bottom w:val="single" w:color="auto" w:sz="6" w:space="0"/>
              <w:right w:val="single" w:color="auto" w:sz="12" w:space="0"/>
            </w:tcBorders>
            <w:vAlign w:val="center"/>
          </w:tcPr>
          <w:p w14:paraId="2F75A5B2">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是否为专门面向中小企业采购：（是</w:t>
            </w:r>
            <w:r>
              <w:rPr>
                <w:rFonts w:hint="eastAsia" w:ascii="仿宋" w:hAnsi="仿宋" w:eastAsia="仿宋" w:cs="仿宋"/>
                <w:bCs/>
                <w:color w:val="auto"/>
                <w:sz w:val="24"/>
                <w:highlight w:val="none"/>
              </w:rPr>
              <w:sym w:font="Wingdings" w:char="00A8"/>
            </w:r>
            <w:r>
              <w:rPr>
                <w:rFonts w:hint="eastAsia" w:ascii="仿宋" w:hAnsi="仿宋" w:eastAsia="仿宋" w:cs="仿宋"/>
                <w:bCs/>
                <w:color w:val="auto"/>
                <w:sz w:val="24"/>
                <w:highlight w:val="none"/>
              </w:rPr>
              <w:t xml:space="preserve">   否</w:t>
            </w:r>
            <w:r>
              <w:rPr>
                <w:rFonts w:hint="eastAsia" w:ascii="仿宋" w:hAnsi="仿宋" w:eastAsia="仿宋" w:cs="仿宋"/>
                <w:bCs/>
                <w:color w:val="auto"/>
                <w:sz w:val="24"/>
                <w:highlight w:val="none"/>
              </w:rPr>
              <w:sym w:font="Wingdings" w:char="00FE"/>
            </w:r>
            <w:r>
              <w:rPr>
                <w:rFonts w:hint="eastAsia" w:ascii="仿宋" w:hAnsi="仿宋" w:eastAsia="仿宋" w:cs="仿宋"/>
                <w:bCs/>
                <w:color w:val="auto"/>
                <w:sz w:val="24"/>
                <w:highlight w:val="none"/>
              </w:rPr>
              <w:t xml:space="preserve"> ）</w:t>
            </w:r>
          </w:p>
          <w:p w14:paraId="3DC1879F">
            <w:pPr>
              <w:pStyle w:val="8"/>
              <w:rPr>
                <w:rFonts w:hint="eastAsia" w:ascii="仿宋" w:hAnsi="仿宋" w:eastAsia="仿宋" w:cs="仿宋"/>
                <w:color w:val="auto"/>
                <w:highlight w:val="none"/>
                <w:u w:val="single"/>
                <w:lang w:eastAsia="zh-CN"/>
              </w:rPr>
            </w:pPr>
            <w:r>
              <w:rPr>
                <w:rFonts w:hint="eastAsia" w:ascii="仿宋" w:hAnsi="仿宋" w:eastAsia="仿宋" w:cs="仿宋"/>
                <w:color w:val="auto"/>
                <w:highlight w:val="none"/>
              </w:rPr>
              <w:t>所属行业分类：</w:t>
            </w:r>
            <w:r>
              <w:rPr>
                <w:rFonts w:hint="eastAsia" w:ascii="仿宋" w:hAnsi="仿宋" w:eastAsia="仿宋" w:cs="仿宋"/>
                <w:color w:val="auto"/>
                <w:highlight w:val="none"/>
                <w:u w:val="single"/>
                <w:lang w:eastAsia="zh-CN"/>
              </w:rPr>
              <w:t>工业</w:t>
            </w:r>
          </w:p>
        </w:tc>
      </w:tr>
      <w:tr w14:paraId="3E8069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4" w:hRule="atLeast"/>
        </w:trPr>
        <w:tc>
          <w:tcPr>
            <w:tcW w:w="1003" w:type="dxa"/>
            <w:tcBorders>
              <w:top w:val="single" w:color="auto" w:sz="6" w:space="0"/>
              <w:left w:val="single" w:color="auto" w:sz="12" w:space="0"/>
              <w:bottom w:val="single" w:color="auto" w:sz="6" w:space="0"/>
              <w:right w:val="single" w:color="auto" w:sz="6" w:space="0"/>
            </w:tcBorders>
            <w:vAlign w:val="center"/>
          </w:tcPr>
          <w:p w14:paraId="3BE27029">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1.3.6</w:t>
            </w:r>
          </w:p>
        </w:tc>
        <w:tc>
          <w:tcPr>
            <w:tcW w:w="7336" w:type="dxa"/>
            <w:tcBorders>
              <w:top w:val="single" w:color="auto" w:sz="6" w:space="0"/>
              <w:left w:val="single" w:color="auto" w:sz="6" w:space="0"/>
              <w:bottom w:val="single" w:color="auto" w:sz="6" w:space="0"/>
              <w:right w:val="single" w:color="auto" w:sz="12" w:space="0"/>
            </w:tcBorders>
            <w:vAlign w:val="center"/>
          </w:tcPr>
          <w:p w14:paraId="3B7E2BF1">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是否允许采购进口产品（是</w:t>
            </w:r>
            <w:r>
              <w:rPr>
                <w:rFonts w:hint="eastAsia" w:ascii="仿宋" w:hAnsi="仿宋" w:eastAsia="仿宋" w:cs="仿宋"/>
                <w:bCs/>
                <w:color w:val="auto"/>
                <w:sz w:val="24"/>
                <w:highlight w:val="none"/>
              </w:rPr>
              <w:sym w:font="Wingdings" w:char="00A8"/>
            </w:r>
            <w:r>
              <w:rPr>
                <w:rFonts w:hint="eastAsia" w:ascii="仿宋" w:hAnsi="仿宋" w:eastAsia="仿宋" w:cs="仿宋"/>
                <w:bCs/>
                <w:color w:val="auto"/>
                <w:sz w:val="24"/>
                <w:highlight w:val="none"/>
              </w:rPr>
              <w:t xml:space="preserve">   否</w:t>
            </w:r>
            <w:r>
              <w:rPr>
                <w:rFonts w:hint="eastAsia" w:ascii="仿宋" w:hAnsi="仿宋" w:eastAsia="仿宋" w:cs="仿宋"/>
                <w:bCs/>
                <w:color w:val="auto"/>
                <w:sz w:val="24"/>
                <w:highlight w:val="none"/>
              </w:rPr>
              <w:sym w:font="Wingdings" w:char="00FE"/>
            </w:r>
            <w:r>
              <w:rPr>
                <w:rFonts w:hint="eastAsia" w:ascii="仿宋" w:hAnsi="仿宋" w:eastAsia="仿宋" w:cs="仿宋"/>
                <w:bCs/>
                <w:color w:val="auto"/>
                <w:sz w:val="24"/>
                <w:highlight w:val="none"/>
              </w:rPr>
              <w:t xml:space="preserve"> ）</w:t>
            </w:r>
          </w:p>
        </w:tc>
      </w:tr>
      <w:tr w14:paraId="3C1A26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1" w:hRule="atLeast"/>
        </w:trPr>
        <w:tc>
          <w:tcPr>
            <w:tcW w:w="1003" w:type="dxa"/>
            <w:tcBorders>
              <w:top w:val="single" w:color="auto" w:sz="6" w:space="0"/>
              <w:left w:val="single" w:color="auto" w:sz="12" w:space="0"/>
              <w:bottom w:val="single" w:color="auto" w:sz="6" w:space="0"/>
              <w:right w:val="single" w:color="auto" w:sz="6" w:space="0"/>
            </w:tcBorders>
            <w:vAlign w:val="center"/>
          </w:tcPr>
          <w:p w14:paraId="7B6ADF4B">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1.4</w:t>
            </w:r>
          </w:p>
        </w:tc>
        <w:tc>
          <w:tcPr>
            <w:tcW w:w="7336" w:type="dxa"/>
            <w:tcBorders>
              <w:top w:val="single" w:color="auto" w:sz="6" w:space="0"/>
              <w:left w:val="single" w:color="auto" w:sz="6" w:space="0"/>
              <w:bottom w:val="single" w:color="auto" w:sz="6" w:space="0"/>
              <w:right w:val="single" w:color="auto" w:sz="12" w:space="0"/>
            </w:tcBorders>
            <w:vAlign w:val="center"/>
          </w:tcPr>
          <w:p w14:paraId="62051659">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是否允许联合体投标：（是</w:t>
            </w:r>
            <w:r>
              <w:rPr>
                <w:rFonts w:hint="eastAsia" w:ascii="仿宋" w:hAnsi="仿宋" w:eastAsia="仿宋" w:cs="仿宋"/>
                <w:bCs/>
                <w:color w:val="auto"/>
                <w:sz w:val="24"/>
                <w:highlight w:val="none"/>
              </w:rPr>
              <w:sym w:font="Wingdings" w:char="00A8"/>
            </w:r>
            <w:r>
              <w:rPr>
                <w:rFonts w:hint="eastAsia" w:ascii="仿宋" w:hAnsi="仿宋" w:eastAsia="仿宋" w:cs="仿宋"/>
                <w:bCs/>
                <w:color w:val="auto"/>
                <w:sz w:val="24"/>
                <w:highlight w:val="none"/>
              </w:rPr>
              <w:t xml:space="preserve">   否</w:t>
            </w:r>
            <w:r>
              <w:rPr>
                <w:rFonts w:hint="eastAsia" w:ascii="仿宋" w:hAnsi="仿宋" w:eastAsia="仿宋" w:cs="仿宋"/>
                <w:bCs/>
                <w:color w:val="auto"/>
                <w:sz w:val="24"/>
                <w:highlight w:val="none"/>
              </w:rPr>
              <w:sym w:font="Wingdings" w:char="00FE"/>
            </w:r>
            <w:r>
              <w:rPr>
                <w:rFonts w:hint="eastAsia" w:ascii="仿宋" w:hAnsi="仿宋" w:eastAsia="仿宋" w:cs="仿宋"/>
                <w:bCs/>
                <w:color w:val="auto"/>
                <w:sz w:val="24"/>
                <w:highlight w:val="none"/>
              </w:rPr>
              <w:t xml:space="preserve">   ）</w:t>
            </w:r>
          </w:p>
        </w:tc>
      </w:tr>
      <w:tr w14:paraId="329A3E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67" w:hRule="atLeast"/>
        </w:trPr>
        <w:tc>
          <w:tcPr>
            <w:tcW w:w="1003" w:type="dxa"/>
            <w:tcBorders>
              <w:top w:val="single" w:color="auto" w:sz="6" w:space="0"/>
              <w:left w:val="single" w:color="auto" w:sz="12" w:space="0"/>
              <w:bottom w:val="single" w:color="auto" w:sz="6" w:space="0"/>
              <w:right w:val="single" w:color="auto" w:sz="6" w:space="0"/>
            </w:tcBorders>
            <w:vAlign w:val="center"/>
          </w:tcPr>
          <w:p w14:paraId="6209E6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1.4.7</w:t>
            </w:r>
          </w:p>
        </w:tc>
        <w:tc>
          <w:tcPr>
            <w:tcW w:w="7336" w:type="dxa"/>
            <w:tcBorders>
              <w:top w:val="single" w:color="auto" w:sz="6" w:space="0"/>
              <w:left w:val="single" w:color="auto" w:sz="6" w:space="0"/>
              <w:bottom w:val="single" w:color="auto" w:sz="6" w:space="0"/>
              <w:right w:val="single" w:color="auto" w:sz="12" w:space="0"/>
            </w:tcBorders>
            <w:vAlign w:val="center"/>
          </w:tcPr>
          <w:p w14:paraId="0067FBB4">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联合体的其他资格要求：无</w:t>
            </w:r>
          </w:p>
        </w:tc>
      </w:tr>
      <w:tr w14:paraId="35795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rPr>
        <w:tc>
          <w:tcPr>
            <w:tcW w:w="1003" w:type="dxa"/>
            <w:tcBorders>
              <w:top w:val="single" w:color="auto" w:sz="6" w:space="0"/>
              <w:left w:val="single" w:color="auto" w:sz="12" w:space="0"/>
              <w:bottom w:val="single" w:color="auto" w:sz="6" w:space="0"/>
              <w:right w:val="single" w:color="auto" w:sz="6" w:space="0"/>
            </w:tcBorders>
            <w:vAlign w:val="center"/>
          </w:tcPr>
          <w:p w14:paraId="5AF74FDE">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2.2</w:t>
            </w:r>
          </w:p>
        </w:tc>
        <w:tc>
          <w:tcPr>
            <w:tcW w:w="7336" w:type="dxa"/>
            <w:tcBorders>
              <w:top w:val="single" w:color="auto" w:sz="6" w:space="0"/>
              <w:left w:val="single" w:color="auto" w:sz="6" w:space="0"/>
              <w:bottom w:val="single" w:color="auto" w:sz="6" w:space="0"/>
              <w:right w:val="single" w:color="auto" w:sz="12" w:space="0"/>
            </w:tcBorders>
            <w:vAlign w:val="center"/>
          </w:tcPr>
          <w:p w14:paraId="5EB5C633">
            <w:pPr>
              <w:spacing w:line="360" w:lineRule="auto"/>
              <w:ind w:left="649" w:leftChars="52" w:hanging="540"/>
              <w:rPr>
                <w:rFonts w:hint="eastAsia" w:ascii="仿宋" w:hAnsi="仿宋" w:eastAsia="仿宋"/>
                <w:color w:val="auto"/>
                <w:sz w:val="24"/>
                <w:highlight w:val="none"/>
              </w:rPr>
            </w:pPr>
            <w:r>
              <w:rPr>
                <w:rFonts w:hint="eastAsia" w:ascii="仿宋" w:hAnsi="仿宋" w:eastAsia="仿宋" w:cs="仿宋"/>
                <w:bCs/>
                <w:color w:val="auto"/>
                <w:sz w:val="24"/>
                <w:highlight w:val="none"/>
              </w:rPr>
              <w:t>本项目预算金额：</w:t>
            </w:r>
            <w:r>
              <w:rPr>
                <w:rFonts w:hint="eastAsia" w:ascii="仿宋" w:hAnsi="仿宋" w:eastAsia="仿宋" w:cs="仿宋"/>
                <w:color w:val="auto"/>
                <w:sz w:val="24"/>
                <w:highlight w:val="none"/>
                <w:u w:val="single"/>
                <w:lang w:val="en-US" w:eastAsia="zh-CN"/>
              </w:rPr>
              <w:t>27.9</w:t>
            </w:r>
            <w:r>
              <w:rPr>
                <w:rFonts w:hint="eastAsia" w:ascii="仿宋" w:hAnsi="仿宋" w:eastAsia="仿宋"/>
                <w:color w:val="auto"/>
                <w:sz w:val="24"/>
                <w:highlight w:val="none"/>
              </w:rPr>
              <w:t>万元</w:t>
            </w:r>
          </w:p>
          <w:p w14:paraId="3508A979">
            <w:pPr>
              <w:spacing w:line="360" w:lineRule="auto"/>
              <w:ind w:left="649" w:leftChars="52" w:hanging="54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本项目预算属于以下情形：</w:t>
            </w:r>
          </w:p>
          <w:p w14:paraId="365E37F9">
            <w:pPr>
              <w:numPr>
                <w:ilvl w:val="0"/>
                <w:numId w:val="3"/>
              </w:numPr>
              <w:spacing w:line="360" w:lineRule="auto"/>
              <w:ind w:left="649" w:leftChars="52" w:hanging="54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项目是否为预采购项目（是</w:t>
            </w:r>
            <w:r>
              <w:rPr>
                <w:rFonts w:hint="eastAsia" w:ascii="仿宋" w:hAnsi="仿宋" w:eastAsia="仿宋" w:cs="仿宋"/>
                <w:bCs/>
                <w:color w:val="auto"/>
                <w:sz w:val="24"/>
                <w:highlight w:val="none"/>
                <w:lang w:eastAsia="zh-CN"/>
              </w:rPr>
              <w:t>□</w:t>
            </w:r>
            <w:r>
              <w:rPr>
                <w:rFonts w:hint="eastAsia" w:ascii="仿宋" w:hAnsi="仿宋" w:eastAsia="仿宋" w:cs="仿宋"/>
                <w:bCs/>
                <w:color w:val="auto"/>
                <w:sz w:val="24"/>
                <w:highlight w:val="none"/>
              </w:rPr>
              <w:t>否</w:t>
            </w:r>
            <w:r>
              <w:rPr>
                <w:rFonts w:hint="eastAsia" w:ascii="仿宋" w:hAnsi="仿宋" w:eastAsia="仿宋" w:cs="仿宋"/>
                <w:bCs/>
                <w:color w:val="auto"/>
                <w:sz w:val="24"/>
                <w:highlight w:val="none"/>
                <w:lang w:eastAsia="zh-CN"/>
              </w:rPr>
              <w:t>☑</w:t>
            </w:r>
            <w:r>
              <w:rPr>
                <w:rFonts w:hint="eastAsia" w:ascii="仿宋" w:hAnsi="仿宋" w:eastAsia="仿宋" w:cs="仿宋"/>
                <w:bCs/>
                <w:color w:val="auto"/>
                <w:sz w:val="24"/>
                <w:highlight w:val="none"/>
              </w:rPr>
              <w:t>）</w:t>
            </w:r>
          </w:p>
          <w:p w14:paraId="244776EB">
            <w:pPr>
              <w:spacing w:line="360" w:lineRule="auto"/>
              <w:rPr>
                <w:rFonts w:hint="eastAsia" w:ascii="仿宋" w:hAnsi="仿宋" w:eastAsia="仿宋" w:cs="仿宋"/>
                <w:bCs/>
                <w:color w:val="auto"/>
                <w:sz w:val="24"/>
                <w:highlight w:val="none"/>
              </w:rPr>
            </w:pPr>
            <w:r>
              <w:rPr>
                <w:rFonts w:hint="eastAsia" w:ascii="仿宋" w:hAnsi="仿宋" w:eastAsia="仿宋" w:cs="仿宋"/>
                <w:b/>
                <w:color w:val="auto"/>
                <w:sz w:val="24"/>
                <w:highlight w:val="none"/>
              </w:rPr>
              <w:t>根据《转发财政部关于做好政府采购信息公开工作的通知》（鲁财采【2015】33号）文件规定，预采购项目有取消和终止采购的可能。</w:t>
            </w:r>
          </w:p>
        </w:tc>
      </w:tr>
      <w:tr w14:paraId="632494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18" w:hRule="atLeast"/>
        </w:trPr>
        <w:tc>
          <w:tcPr>
            <w:tcW w:w="1003" w:type="dxa"/>
            <w:tcBorders>
              <w:top w:val="single" w:color="auto" w:sz="6" w:space="0"/>
              <w:left w:val="single" w:color="auto" w:sz="12" w:space="0"/>
              <w:bottom w:val="single" w:color="auto" w:sz="6" w:space="0"/>
              <w:right w:val="single" w:color="auto" w:sz="6" w:space="0"/>
            </w:tcBorders>
            <w:vAlign w:val="center"/>
          </w:tcPr>
          <w:p w14:paraId="69C7702F">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5.6</w:t>
            </w:r>
          </w:p>
        </w:tc>
        <w:tc>
          <w:tcPr>
            <w:tcW w:w="7336" w:type="dxa"/>
            <w:tcBorders>
              <w:top w:val="single" w:color="auto" w:sz="6" w:space="0"/>
              <w:left w:val="single" w:color="auto" w:sz="6" w:space="0"/>
              <w:bottom w:val="single" w:color="auto" w:sz="6" w:space="0"/>
              <w:right w:val="single" w:color="auto" w:sz="12" w:space="0"/>
            </w:tcBorders>
            <w:vAlign w:val="center"/>
          </w:tcPr>
          <w:p w14:paraId="4685D4FD">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是否现场踏勘：（是</w:t>
            </w:r>
            <w:r>
              <w:rPr>
                <w:rFonts w:hint="eastAsia" w:ascii="仿宋" w:hAnsi="仿宋" w:eastAsia="仿宋" w:cs="仿宋"/>
                <w:bCs/>
                <w:color w:val="auto"/>
                <w:sz w:val="24"/>
                <w:highlight w:val="none"/>
              </w:rPr>
              <w:sym w:font="Wingdings" w:char="00A8"/>
            </w:r>
            <w:r>
              <w:rPr>
                <w:rFonts w:hint="eastAsia" w:ascii="仿宋" w:hAnsi="仿宋" w:eastAsia="仿宋" w:cs="仿宋"/>
                <w:bCs/>
                <w:color w:val="auto"/>
                <w:sz w:val="24"/>
                <w:highlight w:val="none"/>
              </w:rPr>
              <w:t>否</w:t>
            </w:r>
            <w:r>
              <w:rPr>
                <w:rFonts w:hint="eastAsia" w:ascii="仿宋" w:hAnsi="仿宋" w:eastAsia="仿宋" w:cs="仿宋"/>
                <w:bCs/>
                <w:color w:val="auto"/>
                <w:sz w:val="24"/>
                <w:highlight w:val="none"/>
              </w:rPr>
              <w:sym w:font="Wingdings" w:char="00FE"/>
            </w:r>
            <w:r>
              <w:rPr>
                <w:rFonts w:hint="eastAsia" w:ascii="仿宋" w:hAnsi="仿宋" w:eastAsia="仿宋" w:cs="仿宋"/>
                <w:bCs/>
                <w:color w:val="auto"/>
                <w:sz w:val="24"/>
                <w:highlight w:val="none"/>
              </w:rPr>
              <w:t>）</w:t>
            </w:r>
          </w:p>
          <w:p w14:paraId="2AF9D762">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是否答疑会：（是</w:t>
            </w:r>
            <w:r>
              <w:rPr>
                <w:rFonts w:hint="eastAsia" w:ascii="仿宋" w:hAnsi="仿宋" w:eastAsia="仿宋" w:cs="仿宋"/>
                <w:bCs/>
                <w:color w:val="auto"/>
                <w:sz w:val="24"/>
                <w:highlight w:val="none"/>
              </w:rPr>
              <w:sym w:font="Wingdings" w:char="00A8"/>
            </w:r>
            <w:r>
              <w:rPr>
                <w:rFonts w:hint="eastAsia" w:ascii="仿宋" w:hAnsi="仿宋" w:eastAsia="仿宋" w:cs="仿宋"/>
                <w:bCs/>
                <w:color w:val="auto"/>
                <w:sz w:val="24"/>
                <w:highlight w:val="none"/>
              </w:rPr>
              <w:t>否</w:t>
            </w:r>
            <w:r>
              <w:rPr>
                <w:rFonts w:hint="eastAsia" w:ascii="仿宋" w:hAnsi="仿宋" w:eastAsia="仿宋" w:cs="仿宋"/>
                <w:bCs/>
                <w:color w:val="auto"/>
                <w:sz w:val="24"/>
                <w:highlight w:val="none"/>
              </w:rPr>
              <w:sym w:font="Wingdings" w:char="00FE"/>
            </w:r>
            <w:r>
              <w:rPr>
                <w:rFonts w:hint="eastAsia" w:ascii="仿宋" w:hAnsi="仿宋" w:eastAsia="仿宋" w:cs="仿宋"/>
                <w:bCs/>
                <w:color w:val="auto"/>
                <w:sz w:val="24"/>
                <w:highlight w:val="none"/>
              </w:rPr>
              <w:t>）</w:t>
            </w:r>
          </w:p>
        </w:tc>
      </w:tr>
      <w:tr w14:paraId="40231B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7" w:hRule="atLeast"/>
        </w:trPr>
        <w:tc>
          <w:tcPr>
            <w:tcW w:w="1003" w:type="dxa"/>
            <w:tcBorders>
              <w:top w:val="single" w:color="auto" w:sz="6" w:space="0"/>
              <w:left w:val="single" w:color="auto" w:sz="12" w:space="0"/>
              <w:bottom w:val="single" w:color="auto" w:sz="6" w:space="0"/>
              <w:right w:val="single" w:color="auto" w:sz="6" w:space="0"/>
            </w:tcBorders>
            <w:vAlign w:val="center"/>
          </w:tcPr>
          <w:p w14:paraId="6D14E8FF">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8.6</w:t>
            </w:r>
          </w:p>
        </w:tc>
        <w:tc>
          <w:tcPr>
            <w:tcW w:w="7336" w:type="dxa"/>
            <w:tcBorders>
              <w:top w:val="single" w:color="auto" w:sz="6" w:space="0"/>
              <w:left w:val="single" w:color="auto" w:sz="6" w:space="0"/>
              <w:bottom w:val="single" w:color="auto" w:sz="6" w:space="0"/>
              <w:right w:val="single" w:color="auto" w:sz="12" w:space="0"/>
            </w:tcBorders>
            <w:vAlign w:val="center"/>
          </w:tcPr>
          <w:p w14:paraId="42498E88">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是否兼投兼中：</w:t>
            </w:r>
            <w:r>
              <w:rPr>
                <w:rFonts w:hint="eastAsia" w:ascii="仿宋" w:hAnsi="仿宋" w:eastAsia="仿宋" w:cs="仿宋"/>
                <w:bCs/>
                <w:color w:val="auto"/>
                <w:sz w:val="24"/>
                <w:highlight w:val="none"/>
              </w:rPr>
              <w:t>（是</w:t>
            </w:r>
            <w:r>
              <w:rPr>
                <w:rFonts w:hint="eastAsia" w:ascii="仿宋" w:hAnsi="仿宋" w:eastAsia="仿宋" w:cs="仿宋"/>
                <w:bCs/>
                <w:color w:val="auto"/>
                <w:sz w:val="24"/>
                <w:highlight w:val="none"/>
              </w:rPr>
              <w:sym w:font="Wingdings" w:char="00A8"/>
            </w:r>
            <w:r>
              <w:rPr>
                <w:rFonts w:hint="eastAsia" w:ascii="仿宋" w:hAnsi="仿宋" w:eastAsia="仿宋" w:cs="仿宋"/>
                <w:bCs/>
                <w:color w:val="auto"/>
                <w:sz w:val="24"/>
                <w:highlight w:val="none"/>
              </w:rPr>
              <w:t>否</w:t>
            </w:r>
            <w:r>
              <w:rPr>
                <w:rFonts w:hint="eastAsia" w:ascii="仿宋" w:hAnsi="仿宋" w:eastAsia="仿宋" w:cs="仿宋"/>
                <w:bCs/>
                <w:color w:val="auto"/>
                <w:sz w:val="24"/>
                <w:highlight w:val="none"/>
              </w:rPr>
              <w:sym w:font="Wingdings" w:char="00FE"/>
            </w:r>
            <w:r>
              <w:rPr>
                <w:rFonts w:hint="eastAsia" w:ascii="仿宋" w:hAnsi="仿宋" w:eastAsia="仿宋" w:cs="仿宋"/>
                <w:bCs/>
                <w:color w:val="auto"/>
                <w:sz w:val="24"/>
                <w:highlight w:val="none"/>
              </w:rPr>
              <w:t>）</w:t>
            </w:r>
          </w:p>
        </w:tc>
      </w:tr>
      <w:tr w14:paraId="2904B4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6" w:hRule="atLeast"/>
        </w:trPr>
        <w:tc>
          <w:tcPr>
            <w:tcW w:w="1003" w:type="dxa"/>
            <w:tcBorders>
              <w:top w:val="single" w:color="auto" w:sz="6" w:space="0"/>
              <w:left w:val="single" w:color="auto" w:sz="12" w:space="0"/>
              <w:bottom w:val="single" w:color="auto" w:sz="6" w:space="0"/>
              <w:right w:val="single" w:color="auto" w:sz="6" w:space="0"/>
            </w:tcBorders>
            <w:vAlign w:val="center"/>
          </w:tcPr>
          <w:p w14:paraId="56B77300">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9.3</w:t>
            </w:r>
          </w:p>
        </w:tc>
        <w:tc>
          <w:tcPr>
            <w:tcW w:w="7336" w:type="dxa"/>
            <w:tcBorders>
              <w:top w:val="single" w:color="auto" w:sz="6" w:space="0"/>
              <w:left w:val="single" w:color="auto" w:sz="6" w:space="0"/>
              <w:bottom w:val="single" w:color="auto" w:sz="6" w:space="0"/>
              <w:right w:val="single" w:color="auto" w:sz="12" w:space="0"/>
            </w:tcBorders>
            <w:vAlign w:val="center"/>
          </w:tcPr>
          <w:p w14:paraId="79CF1975">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本项目是否采用电子投标：（是</w:t>
            </w:r>
            <w:r>
              <w:rPr>
                <w:rFonts w:hint="eastAsia" w:ascii="仿宋" w:hAnsi="仿宋" w:eastAsia="仿宋" w:cs="仿宋"/>
                <w:bCs/>
                <w:color w:val="auto"/>
                <w:sz w:val="24"/>
                <w:highlight w:val="none"/>
              </w:rPr>
              <w:sym w:font="Wingdings" w:char="00A8"/>
            </w:r>
            <w:r>
              <w:rPr>
                <w:rFonts w:hint="eastAsia" w:ascii="仿宋" w:hAnsi="仿宋" w:eastAsia="仿宋" w:cs="仿宋"/>
                <w:bCs/>
                <w:color w:val="auto"/>
                <w:sz w:val="24"/>
                <w:highlight w:val="none"/>
              </w:rPr>
              <w:t xml:space="preserve">    否</w:t>
            </w:r>
            <w:r>
              <w:rPr>
                <w:rFonts w:hint="eastAsia" w:ascii="仿宋" w:hAnsi="仿宋" w:eastAsia="仿宋" w:cs="仿宋"/>
                <w:bCs/>
                <w:color w:val="auto"/>
                <w:sz w:val="24"/>
                <w:highlight w:val="none"/>
              </w:rPr>
              <w:sym w:font="Wingdings" w:char="00FE"/>
            </w:r>
            <w:r>
              <w:rPr>
                <w:rFonts w:hint="eastAsia" w:ascii="仿宋" w:hAnsi="仿宋" w:eastAsia="仿宋" w:cs="仿宋"/>
                <w:bCs/>
                <w:color w:val="auto"/>
                <w:sz w:val="24"/>
                <w:highlight w:val="none"/>
              </w:rPr>
              <w:t xml:space="preserve">   ）</w:t>
            </w:r>
          </w:p>
        </w:tc>
      </w:tr>
      <w:tr w14:paraId="2748EE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3" w:hRule="atLeast"/>
        </w:trPr>
        <w:tc>
          <w:tcPr>
            <w:tcW w:w="1003" w:type="dxa"/>
            <w:tcBorders>
              <w:top w:val="single" w:color="auto" w:sz="6" w:space="0"/>
              <w:left w:val="single" w:color="auto" w:sz="12" w:space="0"/>
              <w:bottom w:val="single" w:color="auto" w:sz="6" w:space="0"/>
              <w:right w:val="single" w:color="auto" w:sz="6" w:space="0"/>
            </w:tcBorders>
            <w:vAlign w:val="center"/>
          </w:tcPr>
          <w:p w14:paraId="2F41F6E5">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10.6.5</w:t>
            </w:r>
          </w:p>
        </w:tc>
        <w:tc>
          <w:tcPr>
            <w:tcW w:w="7336" w:type="dxa"/>
            <w:tcBorders>
              <w:top w:val="single" w:color="auto" w:sz="6" w:space="0"/>
              <w:left w:val="single" w:color="auto" w:sz="6" w:space="0"/>
              <w:bottom w:val="single" w:color="auto" w:sz="6" w:space="0"/>
              <w:right w:val="single" w:color="auto" w:sz="12" w:space="0"/>
            </w:tcBorders>
            <w:vAlign w:val="center"/>
          </w:tcPr>
          <w:p w14:paraId="49FEEEE6">
            <w:pPr>
              <w:widowControl/>
              <w:jc w:val="left"/>
              <w:rPr>
                <w:rFonts w:hint="eastAsia" w:ascii="仿宋" w:hAnsi="仿宋" w:eastAsia="仿宋" w:cs="仿宋"/>
                <w:bCs/>
                <w:color w:val="auto"/>
                <w:sz w:val="24"/>
                <w:highlight w:val="none"/>
              </w:rPr>
            </w:pPr>
            <w:r>
              <w:rPr>
                <w:rFonts w:hint="eastAsia" w:ascii="仿宋" w:hAnsi="仿宋" w:eastAsia="仿宋" w:cs="仿宋"/>
                <w:color w:val="auto"/>
                <w:kern w:val="0"/>
                <w:sz w:val="24"/>
                <w:highlight w:val="none"/>
                <w:lang w:bidi="ar"/>
              </w:rPr>
              <w:t>质保期：</w:t>
            </w:r>
            <w:r>
              <w:rPr>
                <w:rFonts w:hint="eastAsia" w:ascii="仿宋" w:hAnsi="仿宋" w:eastAsia="仿宋" w:cs="仿宋"/>
                <w:color w:val="auto"/>
                <w:kern w:val="0"/>
                <w:sz w:val="24"/>
                <w:highlight w:val="none"/>
                <w:lang w:eastAsia="zh-CN" w:bidi="ar"/>
              </w:rPr>
              <w:t>货物</w:t>
            </w:r>
            <w:r>
              <w:rPr>
                <w:rFonts w:hint="eastAsia" w:ascii="仿宋" w:hAnsi="仿宋" w:eastAsia="仿宋" w:cs="仿宋"/>
                <w:color w:val="auto"/>
                <w:kern w:val="0"/>
                <w:sz w:val="24"/>
                <w:highlight w:val="none"/>
                <w:lang w:bidi="ar"/>
              </w:rPr>
              <w:t>验收合格后</w:t>
            </w:r>
            <w:r>
              <w:rPr>
                <w:rFonts w:hint="eastAsia" w:ascii="仿宋" w:hAnsi="仿宋" w:eastAsia="仿宋" w:cs="仿宋"/>
                <w:color w:val="auto"/>
                <w:kern w:val="0"/>
                <w:sz w:val="24"/>
                <w:highlight w:val="none"/>
                <w:lang w:eastAsia="zh-CN" w:bidi="ar"/>
              </w:rPr>
              <w:t>三</w:t>
            </w:r>
            <w:r>
              <w:rPr>
                <w:rFonts w:hint="eastAsia" w:ascii="仿宋" w:hAnsi="仿宋" w:eastAsia="仿宋" w:cs="仿宋"/>
                <w:color w:val="auto"/>
                <w:kern w:val="0"/>
                <w:sz w:val="24"/>
                <w:highlight w:val="none"/>
                <w:lang w:bidi="ar"/>
              </w:rPr>
              <w:t>年。</w:t>
            </w:r>
          </w:p>
        </w:tc>
      </w:tr>
      <w:tr w14:paraId="70C740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69" w:hRule="atLeast"/>
        </w:trPr>
        <w:tc>
          <w:tcPr>
            <w:tcW w:w="1003" w:type="dxa"/>
            <w:tcBorders>
              <w:top w:val="single" w:color="auto" w:sz="6" w:space="0"/>
              <w:left w:val="single" w:color="auto" w:sz="12" w:space="0"/>
              <w:bottom w:val="single" w:color="auto" w:sz="6" w:space="0"/>
              <w:right w:val="single" w:color="auto" w:sz="6" w:space="0"/>
            </w:tcBorders>
            <w:vAlign w:val="center"/>
          </w:tcPr>
          <w:p w14:paraId="5FAC996A">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11.1</w:t>
            </w:r>
          </w:p>
        </w:tc>
        <w:tc>
          <w:tcPr>
            <w:tcW w:w="7336" w:type="dxa"/>
            <w:tcBorders>
              <w:top w:val="single" w:color="auto" w:sz="6" w:space="0"/>
              <w:left w:val="single" w:color="auto" w:sz="6" w:space="0"/>
              <w:bottom w:val="single" w:color="auto" w:sz="6" w:space="0"/>
              <w:right w:val="single" w:color="auto" w:sz="12" w:space="0"/>
            </w:tcBorders>
            <w:vAlign w:val="center"/>
          </w:tcPr>
          <w:p w14:paraId="003A003A">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报价要求：人民币完税报价。</w:t>
            </w:r>
          </w:p>
        </w:tc>
      </w:tr>
      <w:tr w14:paraId="2908AF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99" w:hRule="atLeast"/>
        </w:trPr>
        <w:tc>
          <w:tcPr>
            <w:tcW w:w="1003" w:type="dxa"/>
            <w:tcBorders>
              <w:top w:val="single" w:color="auto" w:sz="6" w:space="0"/>
              <w:left w:val="single" w:color="auto" w:sz="12" w:space="0"/>
              <w:bottom w:val="single" w:color="auto" w:sz="6" w:space="0"/>
              <w:right w:val="single" w:color="auto" w:sz="6" w:space="0"/>
            </w:tcBorders>
            <w:vAlign w:val="center"/>
          </w:tcPr>
          <w:p w14:paraId="0FBFE6B5">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11.9</w:t>
            </w:r>
          </w:p>
        </w:tc>
        <w:tc>
          <w:tcPr>
            <w:tcW w:w="7336" w:type="dxa"/>
            <w:tcBorders>
              <w:top w:val="single" w:color="auto" w:sz="6" w:space="0"/>
              <w:left w:val="single" w:color="auto" w:sz="6" w:space="0"/>
              <w:bottom w:val="single" w:color="auto" w:sz="6" w:space="0"/>
              <w:right w:val="single" w:color="auto" w:sz="12" w:space="0"/>
            </w:tcBorders>
            <w:vAlign w:val="center"/>
          </w:tcPr>
          <w:p w14:paraId="05FB1BDB">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提供样品：（是</w:t>
            </w:r>
            <w:r>
              <w:rPr>
                <w:rFonts w:hint="eastAsia" w:ascii="仿宋" w:hAnsi="仿宋" w:eastAsia="仿宋" w:cs="仿宋"/>
                <w:bCs/>
                <w:color w:val="auto"/>
                <w:sz w:val="24"/>
                <w:highlight w:val="none"/>
              </w:rPr>
              <w:sym w:font="Wingdings" w:char="00A8"/>
            </w:r>
            <w:r>
              <w:rPr>
                <w:rFonts w:hint="eastAsia" w:ascii="仿宋" w:hAnsi="仿宋" w:eastAsia="仿宋" w:cs="仿宋"/>
                <w:bCs/>
                <w:color w:val="auto"/>
                <w:sz w:val="24"/>
                <w:highlight w:val="none"/>
              </w:rPr>
              <w:t xml:space="preserve">    否</w:t>
            </w:r>
            <w:r>
              <w:rPr>
                <w:rFonts w:hint="eastAsia" w:ascii="仿宋" w:hAnsi="仿宋" w:eastAsia="仿宋" w:cs="仿宋"/>
                <w:bCs/>
                <w:color w:val="auto"/>
                <w:sz w:val="24"/>
                <w:highlight w:val="none"/>
              </w:rPr>
              <w:sym w:font="Wingdings" w:char="00FE"/>
            </w:r>
            <w:r>
              <w:rPr>
                <w:rFonts w:hint="eastAsia" w:ascii="仿宋" w:hAnsi="仿宋" w:eastAsia="仿宋" w:cs="仿宋"/>
                <w:bCs/>
                <w:color w:val="auto"/>
                <w:sz w:val="24"/>
                <w:highlight w:val="none"/>
              </w:rPr>
              <w:t xml:space="preserve">   ）</w:t>
            </w:r>
          </w:p>
        </w:tc>
      </w:tr>
      <w:tr w14:paraId="788104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53" w:hRule="atLeast"/>
        </w:trPr>
        <w:tc>
          <w:tcPr>
            <w:tcW w:w="1003" w:type="dxa"/>
            <w:tcBorders>
              <w:top w:val="single" w:color="auto" w:sz="6" w:space="0"/>
              <w:left w:val="single" w:color="auto" w:sz="12" w:space="0"/>
              <w:bottom w:val="single" w:color="auto" w:sz="6" w:space="0"/>
              <w:right w:val="single" w:color="auto" w:sz="6" w:space="0"/>
            </w:tcBorders>
            <w:vAlign w:val="center"/>
          </w:tcPr>
          <w:p w14:paraId="68400F9C">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12</w:t>
            </w:r>
          </w:p>
        </w:tc>
        <w:tc>
          <w:tcPr>
            <w:tcW w:w="7336" w:type="dxa"/>
            <w:tcBorders>
              <w:top w:val="single" w:color="auto" w:sz="6" w:space="0"/>
              <w:left w:val="single" w:color="auto" w:sz="6" w:space="0"/>
              <w:bottom w:val="single" w:color="auto" w:sz="6" w:space="0"/>
              <w:right w:val="single" w:color="auto" w:sz="12" w:space="0"/>
            </w:tcBorders>
            <w:vAlign w:val="center"/>
          </w:tcPr>
          <w:p w14:paraId="7CEE9FFD">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是否收取投标保证金：</w:t>
            </w:r>
            <w:r>
              <w:rPr>
                <w:rFonts w:hint="eastAsia" w:ascii="仿宋" w:hAnsi="仿宋" w:eastAsia="仿宋" w:cs="仿宋"/>
                <w:color w:val="auto"/>
                <w:sz w:val="24"/>
                <w:highlight w:val="none"/>
              </w:rPr>
              <w:t>（是□否☑）</w:t>
            </w:r>
          </w:p>
          <w:p w14:paraId="325B7DE7">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保证金形式：</w:t>
            </w:r>
            <w:r>
              <w:rPr>
                <w:rFonts w:hint="eastAsia" w:ascii="仿宋" w:hAnsi="仿宋" w:eastAsia="仿宋" w:cs="仿宋"/>
                <w:color w:val="auto"/>
                <w:sz w:val="24"/>
                <w:highlight w:val="none"/>
              </w:rPr>
              <w:t>支票、汇票、本票、保函等非现金形式缴纳投标保证金。</w:t>
            </w:r>
          </w:p>
          <w:p w14:paraId="0059414F">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本次项目的投标保证金为：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万元；投标保证金必须在投标截止时间前采用下列形式之一缴纳：支票、汇票、本票、保函等；缴纳投标保证金单位须与供应商名称一致（不接受个人转账）。</w:t>
            </w:r>
          </w:p>
          <w:p w14:paraId="75C44AAE">
            <w:pPr>
              <w:spacing w:line="360" w:lineRule="auto"/>
              <w:rPr>
                <w:rFonts w:hint="eastAsia" w:ascii="仿宋" w:hAnsi="仿宋" w:eastAsia="仿宋" w:cs="仿宋"/>
                <w:bCs/>
                <w:color w:val="auto"/>
                <w:sz w:val="24"/>
                <w:highlight w:val="none"/>
              </w:rPr>
            </w:pPr>
            <w:r>
              <w:rPr>
                <w:rFonts w:hint="eastAsia" w:ascii="仿宋" w:hAnsi="仿宋" w:eastAsia="仿宋" w:cs="仿宋"/>
                <w:b/>
                <w:bCs/>
                <w:color w:val="auto"/>
                <w:sz w:val="24"/>
                <w:highlight w:val="none"/>
              </w:rPr>
              <w:t>保证金返还时间</w:t>
            </w:r>
            <w:r>
              <w:rPr>
                <w:rFonts w:hint="eastAsia" w:ascii="仿宋" w:hAnsi="仿宋" w:eastAsia="仿宋" w:cs="仿宋"/>
                <w:color w:val="auto"/>
                <w:sz w:val="24"/>
                <w:highlight w:val="none"/>
              </w:rPr>
              <w:t>：自成交通知书发出之日起5个工作日内退还未成交供应商的投标保证金，自政府采购合同签订之日起5个工作日内退还成交供应商的投标保证金。</w:t>
            </w:r>
            <w:r>
              <w:rPr>
                <w:rFonts w:hint="eastAsia" w:ascii="仿宋" w:hAnsi="仿宋" w:eastAsia="仿宋" w:cs="仿宋"/>
                <w:bCs/>
                <w:color w:val="auto"/>
                <w:sz w:val="24"/>
                <w:highlight w:val="none"/>
              </w:rPr>
              <w:t xml:space="preserve">     </w:t>
            </w:r>
          </w:p>
        </w:tc>
      </w:tr>
      <w:tr w14:paraId="33CFBD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trPr>
        <w:tc>
          <w:tcPr>
            <w:tcW w:w="1003" w:type="dxa"/>
            <w:tcBorders>
              <w:top w:val="single" w:color="auto" w:sz="6" w:space="0"/>
              <w:left w:val="single" w:color="auto" w:sz="12" w:space="0"/>
              <w:bottom w:val="single" w:color="auto" w:sz="6" w:space="0"/>
              <w:right w:val="single" w:color="auto" w:sz="6" w:space="0"/>
            </w:tcBorders>
            <w:vAlign w:val="center"/>
          </w:tcPr>
          <w:p w14:paraId="7ACF662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13.1</w:t>
            </w:r>
          </w:p>
        </w:tc>
        <w:tc>
          <w:tcPr>
            <w:tcW w:w="7336" w:type="dxa"/>
            <w:tcBorders>
              <w:top w:val="single" w:color="auto" w:sz="6" w:space="0"/>
              <w:left w:val="single" w:color="auto" w:sz="6" w:space="0"/>
              <w:bottom w:val="single" w:color="auto" w:sz="6" w:space="0"/>
              <w:right w:val="single" w:color="auto" w:sz="12" w:space="0"/>
            </w:tcBorders>
            <w:vAlign w:val="center"/>
          </w:tcPr>
          <w:p w14:paraId="176E9749">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响应有效期：90日历日。</w:t>
            </w:r>
          </w:p>
        </w:tc>
      </w:tr>
      <w:tr w14:paraId="3E710B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43" w:hRule="atLeast"/>
        </w:trPr>
        <w:tc>
          <w:tcPr>
            <w:tcW w:w="1003" w:type="dxa"/>
            <w:tcBorders>
              <w:top w:val="single" w:color="auto" w:sz="6" w:space="0"/>
              <w:left w:val="single" w:color="auto" w:sz="12" w:space="0"/>
              <w:bottom w:val="single" w:color="auto" w:sz="6" w:space="0"/>
              <w:right w:val="single" w:color="auto" w:sz="6" w:space="0"/>
            </w:tcBorders>
            <w:vAlign w:val="center"/>
          </w:tcPr>
          <w:p w14:paraId="3F59E11D">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14.1</w:t>
            </w:r>
          </w:p>
        </w:tc>
        <w:tc>
          <w:tcPr>
            <w:tcW w:w="7336" w:type="dxa"/>
            <w:tcBorders>
              <w:top w:val="single" w:color="auto" w:sz="6" w:space="0"/>
              <w:left w:val="single" w:color="auto" w:sz="6" w:space="0"/>
              <w:bottom w:val="single" w:color="auto" w:sz="6" w:space="0"/>
              <w:right w:val="single" w:color="auto" w:sz="12" w:space="0"/>
            </w:tcBorders>
            <w:vAlign w:val="center"/>
          </w:tcPr>
          <w:p w14:paraId="079A76DF">
            <w:pP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响应文件：正本：一份、副本：三份、报价一览表：三份（密封在一个信封内）；电子版响应文件：一份，</w:t>
            </w:r>
            <w:r>
              <w:rPr>
                <w:rFonts w:hint="eastAsia" w:ascii="仿宋" w:hAnsi="仿宋" w:eastAsia="仿宋" w:cs="仿宋"/>
                <w:color w:val="auto"/>
                <w:sz w:val="24"/>
                <w:highlight w:val="none"/>
              </w:rPr>
              <w:t>电子版包含全部响应文件内容的可编辑格式以及完整的签字盖章后的响应文件正本PDF扫描件（含响应文件封面）。电子版响应文件命名：项目名称+供应商名称+包号。</w:t>
            </w:r>
          </w:p>
          <w:p w14:paraId="19CA1C93">
            <w:pPr>
              <w:spacing w:line="360" w:lineRule="auto"/>
              <w:rPr>
                <w:rFonts w:hint="eastAsia" w:ascii="仿宋" w:hAnsi="仿宋" w:eastAsia="仿宋" w:cs="仿宋"/>
                <w:color w:val="auto"/>
                <w:highlight w:val="none"/>
              </w:rPr>
            </w:pPr>
            <w:r>
              <w:rPr>
                <w:rFonts w:hint="eastAsia" w:ascii="仿宋" w:hAnsi="仿宋" w:eastAsia="仿宋" w:cs="仿宋"/>
                <w:bCs/>
                <w:color w:val="auto"/>
                <w:sz w:val="24"/>
                <w:highlight w:val="none"/>
              </w:rPr>
              <w:t>响应文件书脊位置应列明：项目编号+包号（如有）+供应商名称+正/副本。</w:t>
            </w:r>
          </w:p>
        </w:tc>
      </w:tr>
      <w:tr w14:paraId="0C6305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61" w:hRule="atLeast"/>
        </w:trPr>
        <w:tc>
          <w:tcPr>
            <w:tcW w:w="1003" w:type="dxa"/>
            <w:tcBorders>
              <w:top w:val="single" w:color="auto" w:sz="6" w:space="0"/>
              <w:left w:val="single" w:color="auto" w:sz="12" w:space="0"/>
              <w:bottom w:val="single" w:color="auto" w:sz="6" w:space="0"/>
              <w:right w:val="single" w:color="auto" w:sz="6" w:space="0"/>
            </w:tcBorders>
            <w:vAlign w:val="center"/>
          </w:tcPr>
          <w:p w14:paraId="67C30FDB">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16.1</w:t>
            </w:r>
          </w:p>
        </w:tc>
        <w:tc>
          <w:tcPr>
            <w:tcW w:w="7336" w:type="dxa"/>
            <w:tcBorders>
              <w:top w:val="single" w:color="auto" w:sz="6" w:space="0"/>
              <w:left w:val="single" w:color="auto" w:sz="6" w:space="0"/>
              <w:bottom w:val="single" w:color="auto" w:sz="6" w:space="0"/>
              <w:right w:val="single" w:color="auto" w:sz="12" w:space="0"/>
            </w:tcBorders>
            <w:vAlign w:val="center"/>
          </w:tcPr>
          <w:p w14:paraId="5DDAEF23">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响应文件提交截止时间：</w:t>
            </w:r>
            <w:r>
              <w:rPr>
                <w:rFonts w:hint="eastAsia" w:ascii="仿宋" w:hAnsi="仿宋" w:eastAsia="仿宋" w:cs="仿宋"/>
                <w:color w:val="auto"/>
                <w:sz w:val="24"/>
                <w:highlight w:val="none"/>
              </w:rPr>
              <w:t>202</w:t>
            </w:r>
            <w:r>
              <w:rPr>
                <w:rFonts w:hint="eastAsia" w:ascii="仿宋" w:hAnsi="仿宋" w:eastAsia="仿宋" w:cs="仿宋"/>
                <w:color w:val="auto"/>
                <w:sz w:val="24"/>
                <w:highlight w:val="none"/>
                <w:lang w:val="en-US" w:eastAsia="zh-CN"/>
              </w:rPr>
              <w:t>5</w:t>
            </w:r>
            <w:r>
              <w:rPr>
                <w:rFonts w:hint="eastAsia" w:ascii="仿宋" w:hAnsi="仿宋" w:eastAsia="仿宋" w:cs="仿宋"/>
                <w:bCs/>
                <w:color w:val="auto"/>
                <w:sz w:val="24"/>
                <w:highlight w:val="none"/>
              </w:rPr>
              <w:t>年</w:t>
            </w:r>
            <w:r>
              <w:rPr>
                <w:rFonts w:hint="eastAsia" w:ascii="仿宋" w:hAnsi="仿宋" w:eastAsia="仿宋" w:cs="仿宋"/>
                <w:bCs/>
                <w:color w:val="auto"/>
                <w:sz w:val="24"/>
                <w:highlight w:val="none"/>
                <w:lang w:val="en-US" w:eastAsia="zh-CN"/>
              </w:rPr>
              <w:t>08</w:t>
            </w:r>
            <w:r>
              <w:rPr>
                <w:rFonts w:hint="eastAsia" w:ascii="仿宋" w:hAnsi="仿宋" w:eastAsia="仿宋" w:cs="仿宋"/>
                <w:bCs/>
                <w:color w:val="auto"/>
                <w:sz w:val="24"/>
                <w:highlight w:val="none"/>
              </w:rPr>
              <w:t>月</w:t>
            </w:r>
            <w:r>
              <w:rPr>
                <w:rFonts w:hint="eastAsia" w:ascii="仿宋" w:hAnsi="仿宋" w:eastAsia="仿宋" w:cs="仿宋"/>
                <w:bCs/>
                <w:color w:val="auto"/>
                <w:sz w:val="24"/>
                <w:highlight w:val="none"/>
                <w:lang w:val="en-US" w:eastAsia="zh-CN"/>
              </w:rPr>
              <w:t>06</w:t>
            </w:r>
            <w:r>
              <w:rPr>
                <w:rFonts w:hint="eastAsia" w:ascii="仿宋" w:hAnsi="仿宋" w:eastAsia="仿宋" w:cs="仿宋"/>
                <w:bCs/>
                <w:color w:val="auto"/>
                <w:sz w:val="24"/>
                <w:highlight w:val="none"/>
              </w:rPr>
              <w:t>日</w:t>
            </w:r>
            <w:r>
              <w:rPr>
                <w:rFonts w:hint="eastAsia" w:ascii="仿宋" w:hAnsi="仿宋" w:eastAsia="仿宋" w:cs="仿宋"/>
                <w:bCs/>
                <w:color w:val="auto"/>
                <w:sz w:val="24"/>
                <w:highlight w:val="none"/>
                <w:lang w:val="en-US" w:eastAsia="zh-CN"/>
              </w:rPr>
              <w:t>14</w:t>
            </w:r>
            <w:r>
              <w:rPr>
                <w:rFonts w:hint="eastAsia" w:ascii="仿宋" w:hAnsi="仿宋" w:eastAsia="仿宋" w:cs="仿宋"/>
                <w:bCs/>
                <w:color w:val="auto"/>
                <w:sz w:val="24"/>
                <w:highlight w:val="none"/>
              </w:rPr>
              <w:t>点</w:t>
            </w:r>
            <w:r>
              <w:rPr>
                <w:rFonts w:hint="eastAsia" w:ascii="仿宋" w:hAnsi="仿宋" w:eastAsia="仿宋" w:cs="仿宋"/>
                <w:bCs/>
                <w:color w:val="auto"/>
                <w:sz w:val="24"/>
                <w:highlight w:val="none"/>
                <w:lang w:val="en-US" w:eastAsia="zh-CN"/>
              </w:rPr>
              <w:t>0</w:t>
            </w:r>
            <w:r>
              <w:rPr>
                <w:rFonts w:hint="eastAsia" w:ascii="仿宋" w:hAnsi="仿宋" w:eastAsia="仿宋" w:cs="仿宋"/>
                <w:bCs/>
                <w:color w:val="auto"/>
                <w:sz w:val="24"/>
                <w:highlight w:val="none"/>
                <w:lang w:val="en-US" w:eastAsia="zh-CN"/>
              </w:rPr>
              <w:t>0</w:t>
            </w:r>
            <w:r>
              <w:rPr>
                <w:rFonts w:hint="eastAsia" w:ascii="仿宋" w:hAnsi="仿宋" w:eastAsia="仿宋" w:cs="仿宋"/>
                <w:bCs/>
                <w:color w:val="auto"/>
                <w:sz w:val="24"/>
                <w:highlight w:val="none"/>
              </w:rPr>
              <w:t>分</w:t>
            </w:r>
            <w:r>
              <w:rPr>
                <w:rFonts w:hint="eastAsia" w:ascii="仿宋" w:hAnsi="仿宋" w:eastAsia="仿宋" w:cs="仿宋"/>
                <w:color w:val="auto"/>
                <w:sz w:val="24"/>
                <w:highlight w:val="none"/>
              </w:rPr>
              <w:t>（北京时间），如文件中要求提供原件，原件的递交截止时间同响应文件的截止时间，逾期送达或未按磋商文件要求密封的响应文件恕不接收。</w:t>
            </w:r>
            <w:r>
              <w:rPr>
                <w:rFonts w:hint="eastAsia" w:ascii="仿宋" w:hAnsi="仿宋" w:eastAsia="仿宋" w:cs="仿宋"/>
                <w:bCs/>
                <w:color w:val="auto"/>
                <w:sz w:val="24"/>
                <w:highlight w:val="none"/>
              </w:rPr>
              <w:t xml:space="preserve">             　</w:t>
            </w:r>
          </w:p>
        </w:tc>
      </w:tr>
      <w:tr w14:paraId="291898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2" w:hRule="atLeast"/>
        </w:trPr>
        <w:tc>
          <w:tcPr>
            <w:tcW w:w="1003" w:type="dxa"/>
            <w:tcBorders>
              <w:top w:val="single" w:color="auto" w:sz="6" w:space="0"/>
              <w:left w:val="single" w:color="auto" w:sz="12" w:space="0"/>
              <w:bottom w:val="single" w:color="auto" w:sz="6" w:space="0"/>
              <w:right w:val="single" w:color="auto" w:sz="6" w:space="0"/>
            </w:tcBorders>
            <w:vAlign w:val="center"/>
          </w:tcPr>
          <w:p w14:paraId="5AF02778">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18.1</w:t>
            </w:r>
          </w:p>
        </w:tc>
        <w:tc>
          <w:tcPr>
            <w:tcW w:w="7336" w:type="dxa"/>
            <w:tcBorders>
              <w:top w:val="single" w:color="auto" w:sz="6" w:space="0"/>
              <w:left w:val="single" w:color="auto" w:sz="6" w:space="0"/>
              <w:bottom w:val="single" w:color="auto" w:sz="6" w:space="0"/>
              <w:right w:val="single" w:color="auto" w:sz="12" w:space="0"/>
            </w:tcBorders>
            <w:vAlign w:val="center"/>
          </w:tcPr>
          <w:p w14:paraId="5DF0F241">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开启响应文件时间：</w:t>
            </w:r>
            <w:r>
              <w:rPr>
                <w:rFonts w:hint="eastAsia" w:ascii="仿宋" w:hAnsi="仿宋" w:eastAsia="仿宋" w:cs="仿宋"/>
                <w:color w:val="auto"/>
                <w:sz w:val="24"/>
                <w:highlight w:val="none"/>
              </w:rPr>
              <w:t>202</w:t>
            </w:r>
            <w:r>
              <w:rPr>
                <w:rFonts w:hint="eastAsia" w:ascii="仿宋" w:hAnsi="仿宋" w:eastAsia="仿宋" w:cs="仿宋"/>
                <w:color w:val="auto"/>
                <w:sz w:val="24"/>
                <w:highlight w:val="none"/>
                <w:lang w:val="en-US" w:eastAsia="zh-CN"/>
              </w:rPr>
              <w:t>5</w:t>
            </w:r>
            <w:r>
              <w:rPr>
                <w:rFonts w:hint="eastAsia" w:ascii="仿宋" w:hAnsi="仿宋" w:eastAsia="仿宋" w:cs="仿宋"/>
                <w:bCs/>
                <w:color w:val="auto"/>
                <w:sz w:val="24"/>
                <w:highlight w:val="none"/>
              </w:rPr>
              <w:t>年</w:t>
            </w:r>
            <w:r>
              <w:rPr>
                <w:rFonts w:hint="eastAsia" w:ascii="仿宋" w:hAnsi="仿宋" w:eastAsia="仿宋" w:cs="仿宋"/>
                <w:bCs/>
                <w:color w:val="auto"/>
                <w:sz w:val="24"/>
                <w:highlight w:val="none"/>
                <w:lang w:val="en-US" w:eastAsia="zh-CN"/>
              </w:rPr>
              <w:t>08</w:t>
            </w:r>
            <w:r>
              <w:rPr>
                <w:rFonts w:hint="eastAsia" w:ascii="仿宋" w:hAnsi="仿宋" w:eastAsia="仿宋" w:cs="仿宋"/>
                <w:bCs/>
                <w:color w:val="auto"/>
                <w:sz w:val="24"/>
                <w:highlight w:val="none"/>
              </w:rPr>
              <w:t>月</w:t>
            </w:r>
            <w:r>
              <w:rPr>
                <w:rFonts w:hint="eastAsia" w:ascii="仿宋" w:hAnsi="仿宋" w:eastAsia="仿宋" w:cs="仿宋"/>
                <w:bCs/>
                <w:color w:val="auto"/>
                <w:sz w:val="24"/>
                <w:highlight w:val="none"/>
                <w:lang w:val="en-US" w:eastAsia="zh-CN"/>
              </w:rPr>
              <w:t>06</w:t>
            </w:r>
            <w:r>
              <w:rPr>
                <w:rFonts w:hint="eastAsia" w:ascii="仿宋" w:hAnsi="仿宋" w:eastAsia="仿宋" w:cs="仿宋"/>
                <w:bCs/>
                <w:color w:val="auto"/>
                <w:sz w:val="24"/>
                <w:highlight w:val="none"/>
              </w:rPr>
              <w:t>日</w:t>
            </w:r>
            <w:r>
              <w:rPr>
                <w:rFonts w:hint="eastAsia" w:ascii="仿宋" w:hAnsi="仿宋" w:eastAsia="仿宋" w:cs="仿宋"/>
                <w:bCs/>
                <w:color w:val="auto"/>
                <w:sz w:val="24"/>
                <w:highlight w:val="none"/>
                <w:lang w:val="en-US" w:eastAsia="zh-CN"/>
              </w:rPr>
              <w:t>14</w:t>
            </w:r>
            <w:r>
              <w:rPr>
                <w:rFonts w:hint="eastAsia" w:ascii="仿宋" w:hAnsi="仿宋" w:eastAsia="仿宋" w:cs="仿宋"/>
                <w:bCs/>
                <w:color w:val="auto"/>
                <w:sz w:val="24"/>
                <w:highlight w:val="none"/>
              </w:rPr>
              <w:t>点</w:t>
            </w:r>
            <w:r>
              <w:rPr>
                <w:rFonts w:hint="eastAsia" w:ascii="仿宋" w:hAnsi="仿宋" w:eastAsia="仿宋" w:cs="仿宋"/>
                <w:bCs/>
                <w:color w:val="auto"/>
                <w:sz w:val="24"/>
                <w:highlight w:val="none"/>
                <w:lang w:val="en-US" w:eastAsia="zh-CN"/>
              </w:rPr>
              <w:t>00</w:t>
            </w:r>
            <w:r>
              <w:rPr>
                <w:rFonts w:hint="eastAsia" w:ascii="仿宋" w:hAnsi="仿宋" w:eastAsia="仿宋" w:cs="仿宋"/>
                <w:bCs/>
                <w:color w:val="auto"/>
                <w:sz w:val="24"/>
                <w:highlight w:val="none"/>
              </w:rPr>
              <w:t>分</w:t>
            </w:r>
            <w:r>
              <w:rPr>
                <w:rFonts w:hint="eastAsia" w:ascii="仿宋" w:hAnsi="仿宋" w:eastAsia="仿宋" w:cs="仿宋"/>
                <w:color w:val="auto"/>
                <w:sz w:val="24"/>
                <w:highlight w:val="none"/>
              </w:rPr>
              <w:t>（北京时间）。</w:t>
            </w:r>
            <w:r>
              <w:rPr>
                <w:rFonts w:hint="eastAsia" w:ascii="仿宋" w:hAnsi="仿宋" w:eastAsia="仿宋" w:cs="仿宋"/>
                <w:bCs/>
                <w:color w:val="auto"/>
                <w:sz w:val="24"/>
                <w:highlight w:val="none"/>
              </w:rPr>
              <w:t>　　　　　　    　</w:t>
            </w:r>
          </w:p>
          <w:p w14:paraId="26A35B49">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开启地点：济南市历下区环山路148号中联花园B区南侧综合楼一楼</w:t>
            </w:r>
            <w:r>
              <w:rPr>
                <w:rFonts w:hint="eastAsia" w:ascii="仿宋" w:hAnsi="仿宋" w:eastAsia="仿宋" w:cs="仿宋"/>
                <w:bCs/>
                <w:color w:val="auto"/>
                <w:sz w:val="24"/>
                <w:highlight w:val="none"/>
                <w:lang w:eastAsia="zh-CN"/>
              </w:rPr>
              <w:t>开标室二</w:t>
            </w:r>
            <w:r>
              <w:rPr>
                <w:rFonts w:hint="eastAsia" w:ascii="仿宋" w:hAnsi="仿宋" w:eastAsia="仿宋" w:cs="仿宋"/>
                <w:bCs/>
                <w:color w:val="auto"/>
                <w:sz w:val="24"/>
                <w:highlight w:val="none"/>
              </w:rPr>
              <w:t xml:space="preserve">                     </w:t>
            </w:r>
          </w:p>
        </w:tc>
      </w:tr>
      <w:tr w14:paraId="7A100D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 w:hRule="atLeast"/>
        </w:trPr>
        <w:tc>
          <w:tcPr>
            <w:tcW w:w="1003" w:type="dxa"/>
            <w:tcBorders>
              <w:top w:val="single" w:color="auto" w:sz="6" w:space="0"/>
              <w:left w:val="single" w:color="auto" w:sz="12" w:space="0"/>
              <w:bottom w:val="single" w:color="auto" w:sz="6" w:space="0"/>
              <w:right w:val="single" w:color="auto" w:sz="6" w:space="0"/>
            </w:tcBorders>
            <w:vAlign w:val="center"/>
          </w:tcPr>
          <w:p w14:paraId="228713D0">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28</w:t>
            </w:r>
          </w:p>
        </w:tc>
        <w:tc>
          <w:tcPr>
            <w:tcW w:w="7336" w:type="dxa"/>
            <w:tcBorders>
              <w:top w:val="single" w:color="auto" w:sz="6" w:space="0"/>
              <w:left w:val="single" w:color="auto" w:sz="6" w:space="0"/>
              <w:bottom w:val="single" w:color="auto" w:sz="6" w:space="0"/>
              <w:right w:val="single" w:color="auto" w:sz="12" w:space="0"/>
            </w:tcBorders>
            <w:vAlign w:val="center"/>
          </w:tcPr>
          <w:p w14:paraId="606F64B0">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采购人是否委托磋商小组直接确定成交供应商：是☑ 否□</w:t>
            </w:r>
          </w:p>
        </w:tc>
      </w:tr>
      <w:tr w14:paraId="53456F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rPr>
        <w:tc>
          <w:tcPr>
            <w:tcW w:w="1003" w:type="dxa"/>
            <w:tcBorders>
              <w:top w:val="single" w:color="auto" w:sz="6" w:space="0"/>
              <w:left w:val="single" w:color="auto" w:sz="12" w:space="0"/>
              <w:bottom w:val="single" w:color="auto" w:sz="6" w:space="0"/>
              <w:right w:val="single" w:color="auto" w:sz="6" w:space="0"/>
            </w:tcBorders>
            <w:vAlign w:val="center"/>
          </w:tcPr>
          <w:p w14:paraId="1DC18034">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32</w:t>
            </w:r>
          </w:p>
        </w:tc>
        <w:tc>
          <w:tcPr>
            <w:tcW w:w="7336" w:type="dxa"/>
            <w:tcBorders>
              <w:top w:val="single" w:color="auto" w:sz="6" w:space="0"/>
              <w:left w:val="single" w:color="auto" w:sz="6" w:space="0"/>
              <w:bottom w:val="single" w:color="auto" w:sz="6" w:space="0"/>
              <w:right w:val="single" w:color="auto" w:sz="12" w:space="0"/>
            </w:tcBorders>
            <w:vAlign w:val="center"/>
          </w:tcPr>
          <w:p w14:paraId="724F724B">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是否收取履约保证金：</w:t>
            </w:r>
            <w:r>
              <w:rPr>
                <w:rFonts w:hint="eastAsia" w:ascii="仿宋" w:hAnsi="仿宋" w:eastAsia="仿宋" w:cs="仿宋"/>
                <w:color w:val="auto"/>
                <w:sz w:val="24"/>
                <w:highlight w:val="none"/>
              </w:rPr>
              <w:t>（是</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否</w:t>
            </w:r>
            <w:r>
              <w:rPr>
                <w:rFonts w:hint="eastAsia" w:ascii="仿宋" w:hAnsi="仿宋" w:eastAsia="仿宋" w:cs="仿宋"/>
                <w:color w:val="auto"/>
                <w:sz w:val="24"/>
                <w:highlight w:val="none"/>
              </w:rPr>
              <w:sym w:font="Wingdings" w:char="00A8"/>
            </w:r>
            <w:r>
              <w:rPr>
                <w:rFonts w:hint="eastAsia" w:ascii="仿宋" w:hAnsi="仿宋" w:eastAsia="仿宋" w:cs="仿宋"/>
                <w:color w:val="auto"/>
                <w:sz w:val="24"/>
                <w:highlight w:val="none"/>
              </w:rPr>
              <w:t>）</w:t>
            </w:r>
          </w:p>
          <w:p w14:paraId="07BDC895">
            <w:pPr>
              <w:spacing w:line="360" w:lineRule="auto"/>
              <w:rPr>
                <w:rFonts w:hint="eastAsia"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履约保证金：</w:t>
            </w:r>
          </w:p>
          <w:p w14:paraId="3DF5ADEF">
            <w:pPr>
              <w:spacing w:line="360" w:lineRule="auto"/>
              <w:rPr>
                <w:rFonts w:hint="eastAsia"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1.双方合同签订前，成交供应商须向采购人指定的账户交纳合同金额的5%作为履约保证金。</w:t>
            </w:r>
          </w:p>
          <w:p w14:paraId="00A6B43B">
            <w:pPr>
              <w:spacing w:line="360" w:lineRule="auto"/>
              <w:rPr>
                <w:rFonts w:hint="eastAsia" w:ascii="仿宋" w:hAnsi="仿宋" w:eastAsia="仿宋" w:cs="仿宋"/>
                <w:bCs/>
                <w:strike w:val="0"/>
                <w:sz w:val="24"/>
                <w:highlight w:val="none"/>
                <w:lang w:val="en-US" w:eastAsia="zh-CN"/>
              </w:rPr>
            </w:pPr>
            <w:r>
              <w:rPr>
                <w:rFonts w:hint="eastAsia" w:ascii="仿宋" w:hAnsi="仿宋" w:eastAsia="仿宋" w:cs="仿宋"/>
                <w:bCs/>
                <w:sz w:val="24"/>
                <w:highlight w:val="none"/>
                <w:lang w:val="en-US" w:eastAsia="zh-CN"/>
              </w:rPr>
              <w:t>2.履约保证金自项目验收合格后</w:t>
            </w:r>
            <w:r>
              <w:rPr>
                <w:rFonts w:hint="eastAsia" w:ascii="仿宋" w:hAnsi="仿宋" w:eastAsia="仿宋" w:cs="仿宋"/>
                <w:bCs/>
                <w:strike w:val="0"/>
                <w:dstrike w:val="0"/>
                <w:color w:val="auto"/>
                <w:sz w:val="24"/>
                <w:highlight w:val="none"/>
              </w:rPr>
              <w:t>，由乙方向</w:t>
            </w:r>
            <w:r>
              <w:rPr>
                <w:rFonts w:hint="eastAsia" w:ascii="仿宋" w:hAnsi="仿宋" w:eastAsia="仿宋" w:cs="仿宋"/>
                <w:bCs/>
                <w:strike w:val="0"/>
                <w:dstrike w:val="0"/>
                <w:color w:val="auto"/>
                <w:sz w:val="24"/>
                <w:highlight w:val="none"/>
                <w:lang w:eastAsia="zh-CN"/>
              </w:rPr>
              <w:t>甲</w:t>
            </w:r>
            <w:r>
              <w:rPr>
                <w:rFonts w:hint="eastAsia" w:ascii="仿宋" w:hAnsi="仿宋" w:eastAsia="仿宋" w:cs="仿宋"/>
                <w:bCs/>
                <w:strike w:val="0"/>
                <w:dstrike w:val="0"/>
                <w:color w:val="auto"/>
                <w:sz w:val="24"/>
                <w:highlight w:val="none"/>
              </w:rPr>
              <w:t>方提出退还申请。</w:t>
            </w:r>
            <w:r>
              <w:rPr>
                <w:rFonts w:hint="eastAsia" w:ascii="仿宋" w:hAnsi="仿宋" w:eastAsia="仿宋" w:cs="仿宋"/>
                <w:bCs/>
                <w:strike w:val="0"/>
                <w:dstrike w:val="0"/>
                <w:color w:val="auto"/>
                <w:sz w:val="24"/>
                <w:highlight w:val="none"/>
                <w:lang w:eastAsia="zh-CN"/>
              </w:rPr>
              <w:t>甲</w:t>
            </w:r>
            <w:r>
              <w:rPr>
                <w:rFonts w:hint="eastAsia" w:ascii="仿宋" w:hAnsi="仿宋" w:eastAsia="仿宋" w:cs="仿宋"/>
                <w:bCs/>
                <w:strike w:val="0"/>
                <w:dstrike w:val="0"/>
                <w:color w:val="auto"/>
                <w:sz w:val="24"/>
                <w:highlight w:val="none"/>
              </w:rPr>
              <w:t>方在项目实施及质保无争议的情况下，无息退还。</w:t>
            </w:r>
          </w:p>
          <w:p w14:paraId="4CF5BDE5">
            <w:pPr>
              <w:spacing w:line="360" w:lineRule="auto"/>
              <w:rPr>
                <w:rFonts w:hint="eastAsia"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3.成交供应商未按要求缴纳履约保证金的，视为放弃成交。</w:t>
            </w:r>
          </w:p>
          <w:p w14:paraId="74B209EA">
            <w:pPr>
              <w:spacing w:line="360" w:lineRule="auto"/>
              <w:rPr>
                <w:rFonts w:hint="eastAsia"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4.合同履行期间，除采购人原因或不可抗力因素外，成交供应商因无正当理由不履行与采购人订立的合同的，履约保证金不予退还，给采购人造成的损失超过履约保证金数额的，还应当对超过部分予以赔偿。</w:t>
            </w:r>
          </w:p>
          <w:p w14:paraId="0F6DEFFB">
            <w:pPr>
              <w:spacing w:line="360" w:lineRule="auto"/>
              <w:rPr>
                <w:rFonts w:hint="eastAsia"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5.履约保证金缴纳账号</w:t>
            </w:r>
          </w:p>
          <w:p w14:paraId="177E4D93">
            <w:pPr>
              <w:spacing w:line="360" w:lineRule="auto"/>
              <w:rPr>
                <w:rFonts w:hint="eastAsia"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户名：临沂大学</w:t>
            </w:r>
          </w:p>
          <w:p w14:paraId="6201817E">
            <w:pPr>
              <w:spacing w:line="360" w:lineRule="auto"/>
              <w:rPr>
                <w:rFonts w:hint="eastAsia"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账号：218243959980</w:t>
            </w:r>
          </w:p>
          <w:p w14:paraId="19D0106B">
            <w:pPr>
              <w:spacing w:line="360" w:lineRule="auto"/>
              <w:rPr>
                <w:rFonts w:hint="eastAsia"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银行：中国银行临沂兰山支行</w:t>
            </w:r>
          </w:p>
          <w:p w14:paraId="12947401">
            <w:pPr>
              <w:spacing w:line="360" w:lineRule="auto"/>
              <w:rPr>
                <w:rFonts w:hint="eastAsia"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行号（银行联行号）：104473000078</w:t>
            </w:r>
          </w:p>
          <w:p w14:paraId="7D8DDD45">
            <w:pPr>
              <w:spacing w:line="360" w:lineRule="auto"/>
              <w:rPr>
                <w:rFonts w:hint="eastAsia" w:ascii="仿宋" w:hAnsi="仿宋" w:eastAsia="仿宋" w:cs="仿宋"/>
                <w:bCs/>
                <w:sz w:val="24"/>
                <w:highlight w:val="none"/>
                <w:lang w:val="en-US" w:eastAsia="zh-CN"/>
              </w:rPr>
            </w:pPr>
            <w:r>
              <w:rPr>
                <w:rFonts w:hint="eastAsia" w:ascii="仿宋" w:hAnsi="仿宋" w:eastAsia="仿宋" w:cs="仿宋"/>
                <w:bCs/>
                <w:sz w:val="24"/>
                <w:highlight w:val="none"/>
                <w:lang w:val="en-US" w:eastAsia="zh-CN"/>
              </w:rPr>
              <w:t>社会信用代码（税号）：12370000495184322F</w:t>
            </w:r>
          </w:p>
          <w:p w14:paraId="18A971ED">
            <w:pPr>
              <w:pStyle w:val="8"/>
              <w:rPr>
                <w:rFonts w:hint="eastAsia" w:ascii="仿宋" w:hAnsi="仿宋" w:eastAsia="仿宋" w:cs="仿宋"/>
                <w:color w:val="auto"/>
                <w:highlight w:val="none"/>
              </w:rPr>
            </w:pPr>
            <w:r>
              <w:rPr>
                <w:rFonts w:hint="eastAsia" w:ascii="仿宋" w:hAnsi="仿宋" w:eastAsia="仿宋" w:cs="仿宋"/>
                <w:bCs/>
                <w:sz w:val="24"/>
                <w:highlight w:val="none"/>
                <w:lang w:val="en-US" w:eastAsia="zh-CN"/>
              </w:rPr>
              <w:t xml:space="preserve">保证金缴纳后，请联系0539-7258283确认。 </w:t>
            </w:r>
          </w:p>
        </w:tc>
      </w:tr>
      <w:tr w14:paraId="0DEA1E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6" w:hRule="atLeast"/>
        </w:trPr>
        <w:tc>
          <w:tcPr>
            <w:tcW w:w="1003" w:type="dxa"/>
            <w:tcBorders>
              <w:top w:val="single" w:color="auto" w:sz="6" w:space="0"/>
              <w:left w:val="single" w:color="auto" w:sz="12" w:space="0"/>
              <w:bottom w:val="single" w:color="auto" w:sz="6" w:space="0"/>
              <w:right w:val="single" w:color="auto" w:sz="6" w:space="0"/>
            </w:tcBorders>
            <w:vAlign w:val="center"/>
          </w:tcPr>
          <w:p w14:paraId="5A08F8AE">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33.1</w:t>
            </w:r>
          </w:p>
        </w:tc>
        <w:tc>
          <w:tcPr>
            <w:tcW w:w="7336" w:type="dxa"/>
            <w:tcBorders>
              <w:top w:val="single" w:color="auto" w:sz="6" w:space="0"/>
              <w:left w:val="single" w:color="auto" w:sz="6" w:space="0"/>
              <w:bottom w:val="single" w:color="auto" w:sz="6" w:space="0"/>
              <w:right w:val="single" w:color="auto" w:sz="12" w:space="0"/>
            </w:tcBorders>
            <w:vAlign w:val="center"/>
          </w:tcPr>
          <w:p w14:paraId="186C4B69">
            <w:pPr>
              <w:spacing w:line="360" w:lineRule="auto"/>
              <w:rPr>
                <w:rFonts w:hint="eastAsia" w:ascii="仿宋" w:hAnsi="仿宋" w:eastAsia="仿宋" w:cs="仿宋"/>
                <w:b/>
                <w:bCs/>
                <w:color w:val="auto"/>
                <w:sz w:val="24"/>
                <w:highlight w:val="none"/>
              </w:rPr>
            </w:pPr>
            <w:r>
              <w:rPr>
                <w:rFonts w:hint="eastAsia" w:ascii="仿宋" w:hAnsi="仿宋" w:eastAsia="仿宋" w:cs="仿宋"/>
                <w:bCs/>
                <w:color w:val="auto"/>
                <w:sz w:val="24"/>
                <w:highlight w:val="none"/>
              </w:rPr>
              <w:t>本项目是否属于信用担保试点范围： （是□  否</w:t>
            </w:r>
            <w:bookmarkStart w:id="298" w:name="_Hlk99718955"/>
            <w:r>
              <w:rPr>
                <w:rFonts w:hint="eastAsia" w:ascii="仿宋" w:hAnsi="仿宋" w:eastAsia="仿宋" w:cs="仿宋"/>
                <w:bCs/>
                <w:color w:val="auto"/>
                <w:sz w:val="24"/>
                <w:highlight w:val="none"/>
              </w:rPr>
              <w:t>☑</w:t>
            </w:r>
            <w:bookmarkEnd w:id="298"/>
            <w:r>
              <w:rPr>
                <w:rFonts w:hint="eastAsia" w:ascii="仿宋" w:hAnsi="仿宋" w:eastAsia="仿宋" w:cs="仿宋"/>
                <w:bCs/>
                <w:color w:val="auto"/>
                <w:sz w:val="24"/>
                <w:highlight w:val="none"/>
              </w:rPr>
              <w:t>）</w:t>
            </w:r>
          </w:p>
        </w:tc>
      </w:tr>
      <w:tr w14:paraId="78F260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6" w:hRule="atLeast"/>
        </w:trPr>
        <w:tc>
          <w:tcPr>
            <w:tcW w:w="1003" w:type="dxa"/>
            <w:tcBorders>
              <w:top w:val="single" w:color="auto" w:sz="6" w:space="0"/>
              <w:left w:val="single" w:color="auto" w:sz="12" w:space="0"/>
              <w:bottom w:val="single" w:color="auto" w:sz="6" w:space="0"/>
              <w:right w:val="single" w:color="auto" w:sz="6" w:space="0"/>
            </w:tcBorders>
            <w:vAlign w:val="center"/>
          </w:tcPr>
          <w:p w14:paraId="32713E98">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34.1</w:t>
            </w:r>
          </w:p>
        </w:tc>
        <w:tc>
          <w:tcPr>
            <w:tcW w:w="7336" w:type="dxa"/>
            <w:tcBorders>
              <w:top w:val="single" w:color="auto" w:sz="6" w:space="0"/>
              <w:left w:val="single" w:color="auto" w:sz="6" w:space="0"/>
              <w:bottom w:val="single" w:color="auto" w:sz="6" w:space="0"/>
              <w:right w:val="single" w:color="auto" w:sz="12" w:space="0"/>
            </w:tcBorders>
            <w:vAlign w:val="center"/>
          </w:tcPr>
          <w:p w14:paraId="27287DBF">
            <w:pPr>
              <w:spacing w:line="360" w:lineRule="auto"/>
              <w:rPr>
                <w:rFonts w:hint="eastAsia" w:ascii="仿宋" w:hAnsi="仿宋" w:eastAsia="仿宋" w:cs="仿宋"/>
                <w:b/>
                <w:bCs/>
                <w:color w:val="auto"/>
                <w:sz w:val="24"/>
                <w:highlight w:val="none"/>
              </w:rPr>
            </w:pPr>
            <w:r>
              <w:rPr>
                <w:rFonts w:hint="eastAsia" w:ascii="仿宋" w:hAnsi="仿宋" w:eastAsia="仿宋" w:cs="仿宋"/>
                <w:bCs/>
                <w:color w:val="auto"/>
                <w:sz w:val="24"/>
                <w:highlight w:val="none"/>
              </w:rPr>
              <w:t>预付款比例为：</w:t>
            </w:r>
            <w:r>
              <w:rPr>
                <w:rFonts w:hint="eastAsia" w:ascii="仿宋" w:hAnsi="仿宋" w:eastAsia="仿宋" w:cs="仿宋"/>
                <w:color w:val="auto"/>
                <w:sz w:val="24"/>
                <w:highlight w:val="none"/>
              </w:rPr>
              <w:t>见付款方式</w:t>
            </w:r>
          </w:p>
        </w:tc>
      </w:tr>
      <w:tr w14:paraId="1C3093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6" w:hRule="atLeast"/>
        </w:trPr>
        <w:tc>
          <w:tcPr>
            <w:tcW w:w="1003" w:type="dxa"/>
            <w:tcBorders>
              <w:top w:val="single" w:color="auto" w:sz="6" w:space="0"/>
              <w:left w:val="single" w:color="auto" w:sz="12" w:space="0"/>
              <w:bottom w:val="single" w:color="auto" w:sz="6" w:space="0"/>
              <w:right w:val="single" w:color="auto" w:sz="6" w:space="0"/>
            </w:tcBorders>
            <w:vAlign w:val="center"/>
          </w:tcPr>
          <w:p w14:paraId="6E7855AF">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35.3</w:t>
            </w:r>
          </w:p>
        </w:tc>
        <w:tc>
          <w:tcPr>
            <w:tcW w:w="7336" w:type="dxa"/>
            <w:tcBorders>
              <w:top w:val="single" w:color="auto" w:sz="6" w:space="0"/>
              <w:left w:val="single" w:color="auto" w:sz="6" w:space="0"/>
              <w:bottom w:val="single" w:color="auto" w:sz="6" w:space="0"/>
              <w:right w:val="single" w:color="auto" w:sz="12" w:space="0"/>
            </w:tcBorders>
            <w:vAlign w:val="center"/>
          </w:tcPr>
          <w:p w14:paraId="794DDB32">
            <w:pPr>
              <w:spacing w:line="360" w:lineRule="auto"/>
              <w:rPr>
                <w:rFonts w:hint="eastAsia" w:ascii="仿宋" w:hAnsi="仿宋" w:eastAsia="仿宋" w:cs="仿宋"/>
                <w:b/>
                <w:bCs/>
                <w:color w:val="auto"/>
                <w:sz w:val="24"/>
                <w:highlight w:val="none"/>
              </w:rPr>
            </w:pPr>
            <w:r>
              <w:rPr>
                <w:rFonts w:hint="eastAsia" w:ascii="仿宋" w:hAnsi="仿宋" w:eastAsia="仿宋" w:cs="仿宋"/>
                <w:bCs/>
                <w:color w:val="auto"/>
                <w:sz w:val="24"/>
                <w:highlight w:val="none"/>
              </w:rPr>
              <w:t>反腐倡廉监督电话/邮箱：0531-67897306/sdzhuoshun@163.com</w:t>
            </w:r>
          </w:p>
        </w:tc>
      </w:tr>
      <w:tr w14:paraId="7E1298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29" w:hRule="atLeast"/>
        </w:trPr>
        <w:tc>
          <w:tcPr>
            <w:tcW w:w="1003" w:type="dxa"/>
            <w:tcBorders>
              <w:top w:val="single" w:color="auto" w:sz="6" w:space="0"/>
              <w:left w:val="single" w:color="auto" w:sz="12" w:space="0"/>
              <w:bottom w:val="single" w:color="auto" w:sz="6" w:space="0"/>
              <w:right w:val="single" w:color="auto" w:sz="6" w:space="0"/>
            </w:tcBorders>
            <w:vAlign w:val="center"/>
          </w:tcPr>
          <w:p w14:paraId="471EAE6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37.3</w:t>
            </w:r>
          </w:p>
        </w:tc>
        <w:tc>
          <w:tcPr>
            <w:tcW w:w="7336" w:type="dxa"/>
            <w:tcBorders>
              <w:top w:val="single" w:color="auto" w:sz="6" w:space="0"/>
              <w:left w:val="single" w:color="auto" w:sz="6" w:space="0"/>
              <w:bottom w:val="single" w:color="auto" w:sz="6" w:space="0"/>
              <w:right w:val="single" w:color="auto" w:sz="12" w:space="0"/>
            </w:tcBorders>
            <w:vAlign w:val="center"/>
          </w:tcPr>
          <w:p w14:paraId="0A507C68">
            <w:pPr>
              <w:spacing w:line="360" w:lineRule="auto"/>
              <w:rPr>
                <w:rFonts w:hint="eastAsia" w:ascii="仿宋" w:hAnsi="仿宋" w:eastAsia="仿宋" w:cs="仿宋"/>
                <w:bCs/>
                <w:color w:val="auto"/>
                <w:sz w:val="24"/>
                <w:highlight w:val="none"/>
                <w:u w:val="single"/>
              </w:rPr>
            </w:pPr>
            <w:r>
              <w:rPr>
                <w:rFonts w:hint="eastAsia" w:ascii="仿宋" w:hAnsi="仿宋" w:eastAsia="仿宋" w:cs="仿宋"/>
                <w:bCs/>
                <w:color w:val="auto"/>
                <w:sz w:val="24"/>
                <w:highlight w:val="none"/>
              </w:rPr>
              <w:t>质疑函接收部门、联系电话和通讯地址：</w:t>
            </w:r>
          </w:p>
          <w:p w14:paraId="44700A0D">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联系部门：招标一部</w:t>
            </w:r>
          </w:p>
          <w:p w14:paraId="7F0E9CBD">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联系电话：0531-67897306</w:t>
            </w:r>
          </w:p>
          <w:p w14:paraId="08731C54">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通讯地址：济南市历下区环山路148号中联花园B区南侧综合楼二楼 </w:t>
            </w:r>
            <w:r>
              <w:rPr>
                <w:rFonts w:hint="eastAsia" w:ascii="仿宋" w:hAnsi="仿宋" w:eastAsia="仿宋" w:cs="仿宋"/>
                <w:color w:val="auto"/>
                <w:sz w:val="24"/>
                <w:highlight w:val="none"/>
              </w:rPr>
              <w:t xml:space="preserve">             </w:t>
            </w:r>
          </w:p>
        </w:tc>
      </w:tr>
      <w:tr w14:paraId="0A339B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61" w:hRule="atLeast"/>
        </w:trPr>
        <w:tc>
          <w:tcPr>
            <w:tcW w:w="1003" w:type="dxa"/>
            <w:tcBorders>
              <w:top w:val="single" w:color="auto" w:sz="6" w:space="0"/>
              <w:left w:val="single" w:color="auto" w:sz="12" w:space="0"/>
              <w:bottom w:val="single" w:color="auto" w:sz="6" w:space="0"/>
              <w:right w:val="single" w:color="auto" w:sz="6" w:space="0"/>
            </w:tcBorders>
            <w:vAlign w:val="center"/>
          </w:tcPr>
          <w:p w14:paraId="5C4B88DD">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38.1</w:t>
            </w:r>
          </w:p>
        </w:tc>
        <w:tc>
          <w:tcPr>
            <w:tcW w:w="7336" w:type="dxa"/>
            <w:tcBorders>
              <w:top w:val="single" w:color="auto" w:sz="6" w:space="0"/>
              <w:left w:val="single" w:color="auto" w:sz="6" w:space="0"/>
              <w:bottom w:val="single" w:color="auto" w:sz="6" w:space="0"/>
              <w:right w:val="single" w:color="auto" w:sz="12" w:space="0"/>
            </w:tcBorders>
            <w:vAlign w:val="center"/>
          </w:tcPr>
          <w:p w14:paraId="23A8FE47">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本项目向成交供应商按</w:t>
            </w:r>
            <w:r>
              <w:rPr>
                <w:rFonts w:hint="eastAsia" w:ascii="仿宋" w:hAnsi="仿宋" w:eastAsia="仿宋" w:cs="仿宋"/>
                <w:bCs/>
                <w:color w:val="auto"/>
                <w:sz w:val="24"/>
                <w:highlight w:val="none"/>
                <w:lang w:eastAsia="zh-CN"/>
              </w:rPr>
              <w:t>下浮</w:t>
            </w:r>
            <w:r>
              <w:rPr>
                <w:rFonts w:hint="eastAsia" w:ascii="仿宋" w:hAnsi="仿宋" w:eastAsia="仿宋" w:cs="仿宋"/>
                <w:bCs/>
                <w:color w:val="auto"/>
                <w:sz w:val="24"/>
                <w:highlight w:val="none"/>
                <w:lang w:val="en-US" w:eastAsia="zh-CN"/>
              </w:rPr>
              <w:t>20%</w:t>
            </w:r>
            <w:r>
              <w:rPr>
                <w:rFonts w:hint="eastAsia" w:ascii="仿宋" w:hAnsi="仿宋" w:eastAsia="仿宋" w:cs="仿宋"/>
                <w:bCs/>
                <w:color w:val="auto"/>
                <w:sz w:val="24"/>
                <w:highlight w:val="none"/>
              </w:rPr>
              <w:t>标准收取招标代理费，</w:t>
            </w:r>
            <w:r>
              <w:rPr>
                <w:rFonts w:hint="eastAsia" w:ascii="仿宋" w:hAnsi="仿宋" w:eastAsia="仿宋" w:cs="仿宋"/>
                <w:bCs/>
                <w:color w:val="auto"/>
                <w:sz w:val="24"/>
                <w:highlight w:val="none"/>
                <w:lang w:eastAsia="zh-CN"/>
              </w:rPr>
              <w:t>不足2</w:t>
            </w:r>
            <w:r>
              <w:rPr>
                <w:rFonts w:hint="eastAsia" w:ascii="仿宋" w:hAnsi="仿宋" w:eastAsia="仿宋" w:cs="仿宋"/>
                <w:bCs/>
                <w:color w:val="auto"/>
                <w:sz w:val="24"/>
                <w:highlight w:val="none"/>
                <w:lang w:val="en-US" w:eastAsia="zh-CN"/>
              </w:rPr>
              <w:t>000</w:t>
            </w:r>
            <w:r>
              <w:rPr>
                <w:rFonts w:hint="eastAsia" w:ascii="仿宋" w:hAnsi="仿宋" w:eastAsia="仿宋" w:cs="仿宋"/>
                <w:bCs/>
                <w:color w:val="auto"/>
                <w:sz w:val="24"/>
                <w:highlight w:val="none"/>
                <w:lang w:eastAsia="zh-CN"/>
              </w:rPr>
              <w:t>元按2</w:t>
            </w:r>
            <w:r>
              <w:rPr>
                <w:rFonts w:hint="eastAsia" w:ascii="仿宋" w:hAnsi="仿宋" w:eastAsia="仿宋" w:cs="仿宋"/>
                <w:bCs/>
                <w:color w:val="auto"/>
                <w:sz w:val="24"/>
                <w:highlight w:val="none"/>
                <w:lang w:val="en-US" w:eastAsia="zh-CN"/>
              </w:rPr>
              <w:t>000</w:t>
            </w:r>
            <w:r>
              <w:rPr>
                <w:rFonts w:hint="eastAsia" w:ascii="仿宋" w:hAnsi="仿宋" w:eastAsia="仿宋" w:cs="仿宋"/>
                <w:bCs/>
                <w:color w:val="auto"/>
                <w:sz w:val="24"/>
                <w:highlight w:val="none"/>
                <w:lang w:eastAsia="zh-CN"/>
              </w:rPr>
              <w:t>元收取。</w:t>
            </w:r>
            <w:r>
              <w:rPr>
                <w:rFonts w:hint="eastAsia" w:ascii="仿宋" w:hAnsi="仿宋" w:eastAsia="仿宋" w:cs="仿宋"/>
                <w:bCs/>
                <w:color w:val="auto"/>
                <w:sz w:val="24"/>
                <w:highlight w:val="none"/>
              </w:rPr>
              <w:t>收费标准详见附件。</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2"/>
              <w:gridCol w:w="1967"/>
            </w:tblGrid>
            <w:tr w14:paraId="1135B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432" w:type="dxa"/>
                </w:tcPr>
                <w:p w14:paraId="3A6C0486">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中标金额（万元）</w:t>
                  </w:r>
                </w:p>
              </w:tc>
              <w:tc>
                <w:tcPr>
                  <w:tcW w:w="1967" w:type="dxa"/>
                  <w:vAlign w:val="center"/>
                </w:tcPr>
                <w:p w14:paraId="06FA00CC">
                  <w:pPr>
                    <w:spacing w:line="360" w:lineRule="auto"/>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货物招标费率</w:t>
                  </w:r>
                </w:p>
              </w:tc>
            </w:tr>
            <w:tr w14:paraId="25F0F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432" w:type="dxa"/>
                </w:tcPr>
                <w:p w14:paraId="1EBCF6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100以下</w:t>
                  </w:r>
                </w:p>
              </w:tc>
              <w:tc>
                <w:tcPr>
                  <w:tcW w:w="1967" w:type="dxa"/>
                </w:tcPr>
                <w:p w14:paraId="09084EA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1.5%</w:t>
                  </w:r>
                </w:p>
              </w:tc>
            </w:tr>
            <w:tr w14:paraId="2FED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432" w:type="dxa"/>
                </w:tcPr>
                <w:p w14:paraId="3592FE3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100-500</w:t>
                  </w:r>
                </w:p>
              </w:tc>
              <w:tc>
                <w:tcPr>
                  <w:tcW w:w="1967" w:type="dxa"/>
                </w:tcPr>
                <w:p w14:paraId="6D3DD491">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1.1%</w:t>
                  </w:r>
                </w:p>
              </w:tc>
            </w:tr>
            <w:tr w14:paraId="66071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432" w:type="dxa"/>
                </w:tcPr>
                <w:p w14:paraId="111A6D58">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500-1000</w:t>
                  </w:r>
                </w:p>
              </w:tc>
              <w:tc>
                <w:tcPr>
                  <w:tcW w:w="1967" w:type="dxa"/>
                </w:tcPr>
                <w:p w14:paraId="7E8DDC64">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0.8%</w:t>
                  </w:r>
                </w:p>
              </w:tc>
            </w:tr>
            <w:tr w14:paraId="05EFC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432" w:type="dxa"/>
                </w:tcPr>
                <w:p w14:paraId="11C09F0F">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1000-5000</w:t>
                  </w:r>
                </w:p>
              </w:tc>
              <w:tc>
                <w:tcPr>
                  <w:tcW w:w="1967" w:type="dxa"/>
                </w:tcPr>
                <w:p w14:paraId="2D438F8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0.5%</w:t>
                  </w:r>
                </w:p>
              </w:tc>
            </w:tr>
            <w:tr w14:paraId="07AB6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432" w:type="dxa"/>
                </w:tcPr>
                <w:p w14:paraId="4180483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5000-10000</w:t>
                  </w:r>
                </w:p>
              </w:tc>
              <w:tc>
                <w:tcPr>
                  <w:tcW w:w="1967" w:type="dxa"/>
                </w:tcPr>
                <w:p w14:paraId="6F2C2D7C">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0.25%</w:t>
                  </w:r>
                </w:p>
              </w:tc>
            </w:tr>
            <w:tr w14:paraId="57954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432" w:type="dxa"/>
                </w:tcPr>
                <w:p w14:paraId="729E83DE">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10000-100000</w:t>
                  </w:r>
                </w:p>
              </w:tc>
              <w:tc>
                <w:tcPr>
                  <w:tcW w:w="1967" w:type="dxa"/>
                </w:tcPr>
                <w:p w14:paraId="70F457AD">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0.05%</w:t>
                  </w:r>
                </w:p>
              </w:tc>
            </w:tr>
            <w:tr w14:paraId="7425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2432" w:type="dxa"/>
                </w:tcPr>
                <w:p w14:paraId="50ABAFAA">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1000000以上</w:t>
                  </w:r>
                </w:p>
              </w:tc>
              <w:tc>
                <w:tcPr>
                  <w:tcW w:w="1967" w:type="dxa"/>
                </w:tcPr>
                <w:p w14:paraId="73294FA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0.01%</w:t>
                  </w:r>
                </w:p>
              </w:tc>
            </w:tr>
          </w:tbl>
          <w:p w14:paraId="58FA1572">
            <w:pPr>
              <w:spacing w:line="360" w:lineRule="auto"/>
              <w:ind w:left="630" w:hanging="630"/>
              <w:rPr>
                <w:rFonts w:hint="eastAsia" w:ascii="仿宋" w:hAnsi="仿宋" w:eastAsia="仿宋" w:cs="仿宋"/>
                <w:color w:val="auto"/>
                <w:sz w:val="24"/>
                <w:highlight w:val="none"/>
              </w:rPr>
            </w:pPr>
            <w:r>
              <w:rPr>
                <w:rFonts w:hint="eastAsia" w:ascii="仿宋" w:hAnsi="仿宋" w:eastAsia="仿宋" w:cs="仿宋"/>
                <w:color w:val="auto"/>
                <w:sz w:val="24"/>
                <w:highlight w:val="none"/>
              </w:rPr>
              <w:t>注：1.按本表费率计算的收费为招标代理服务全过程的收费基准价格。</w:t>
            </w:r>
          </w:p>
          <w:p w14:paraId="68C3C85A">
            <w:pPr>
              <w:spacing w:line="360" w:lineRule="auto"/>
              <w:ind w:left="630" w:hanging="210"/>
              <w:rPr>
                <w:rFonts w:hint="eastAsia" w:ascii="仿宋" w:hAnsi="仿宋" w:eastAsia="仿宋" w:cs="仿宋"/>
                <w:color w:val="auto"/>
                <w:sz w:val="24"/>
                <w:highlight w:val="none"/>
              </w:rPr>
            </w:pPr>
            <w:r>
              <w:rPr>
                <w:rFonts w:hint="eastAsia" w:ascii="仿宋" w:hAnsi="仿宋" w:eastAsia="仿宋" w:cs="仿宋"/>
                <w:color w:val="auto"/>
                <w:sz w:val="24"/>
                <w:highlight w:val="none"/>
              </w:rPr>
              <w:t>2.招标代理服务收费按差额定率累进法计算。例如：购买某设备中标金额为546万，计算招标代理服务收费额如下：</w:t>
            </w:r>
          </w:p>
          <w:p w14:paraId="6C7833DB">
            <w:pPr>
              <w:spacing w:line="360" w:lineRule="auto"/>
              <w:ind w:firstLine="284"/>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100万元×1.5%=1.5万元</w:t>
            </w:r>
          </w:p>
          <w:p w14:paraId="7540F1F1">
            <w:pPr>
              <w:spacing w:line="360" w:lineRule="auto"/>
              <w:ind w:firstLine="284"/>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（500-100）万元×1.1%=4.4万元</w:t>
            </w:r>
          </w:p>
          <w:p w14:paraId="5E872338">
            <w:pPr>
              <w:spacing w:line="360" w:lineRule="auto"/>
              <w:ind w:firstLine="284"/>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（546-500）×0.8%=0.368万元</w:t>
            </w:r>
          </w:p>
          <w:p w14:paraId="6DFB1CB4">
            <w:pPr>
              <w:spacing w:line="360" w:lineRule="auto"/>
              <w:ind w:firstLine="284"/>
              <w:jc w:val="center"/>
              <w:rPr>
                <w:rFonts w:hint="eastAsia" w:ascii="仿宋" w:hAnsi="仿宋" w:eastAsia="仿宋" w:cs="仿宋"/>
                <w:color w:val="auto"/>
                <w:highlight w:val="none"/>
              </w:rPr>
            </w:pPr>
            <w:r>
              <w:rPr>
                <w:rFonts w:hint="eastAsia" w:ascii="仿宋" w:hAnsi="仿宋" w:eastAsia="仿宋" w:cs="仿宋"/>
                <w:color w:val="auto"/>
                <w:sz w:val="24"/>
                <w:highlight w:val="none"/>
              </w:rPr>
              <w:t>合计收费=1.5+4.4+0.368=6.268（万元）</w:t>
            </w:r>
          </w:p>
          <w:p w14:paraId="09E1BD37">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支付形式：电汇               </w:t>
            </w:r>
          </w:p>
          <w:p w14:paraId="1443958E">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支付时间：收到成交通知后3个工作日内。                 </w:t>
            </w:r>
          </w:p>
        </w:tc>
      </w:tr>
      <w:tr w14:paraId="3A2185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96" w:hRule="atLeast"/>
        </w:trPr>
        <w:tc>
          <w:tcPr>
            <w:tcW w:w="1003" w:type="dxa"/>
            <w:tcBorders>
              <w:top w:val="single" w:color="auto" w:sz="6" w:space="0"/>
              <w:left w:val="single" w:color="auto" w:sz="12" w:space="0"/>
              <w:bottom w:val="single" w:color="auto" w:sz="6" w:space="0"/>
              <w:right w:val="single" w:color="auto" w:sz="6" w:space="0"/>
            </w:tcBorders>
            <w:vAlign w:val="center"/>
          </w:tcPr>
          <w:p w14:paraId="6048A9F4">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38.2</w:t>
            </w:r>
          </w:p>
        </w:tc>
        <w:tc>
          <w:tcPr>
            <w:tcW w:w="7336" w:type="dxa"/>
            <w:tcBorders>
              <w:top w:val="single" w:color="auto" w:sz="6" w:space="0"/>
              <w:left w:val="single" w:color="auto" w:sz="6" w:space="0"/>
              <w:bottom w:val="single" w:color="auto" w:sz="6" w:space="0"/>
              <w:right w:val="single" w:color="auto" w:sz="12" w:space="0"/>
            </w:tcBorders>
            <w:vAlign w:val="center"/>
          </w:tcPr>
          <w:p w14:paraId="6294281C">
            <w:pPr>
              <w:spacing w:line="360" w:lineRule="auto"/>
              <w:rPr>
                <w:rFonts w:hint="eastAsia" w:ascii="仿宋" w:hAnsi="仿宋" w:eastAsia="仿宋" w:cs="仿宋"/>
                <w:color w:val="auto"/>
                <w:sz w:val="24"/>
                <w:highlight w:val="none"/>
              </w:rPr>
            </w:pPr>
            <w:r>
              <w:rPr>
                <w:rFonts w:hint="eastAsia" w:ascii="仿宋" w:hAnsi="仿宋" w:eastAsia="仿宋" w:cs="仿宋"/>
                <w:bCs/>
                <w:color w:val="auto"/>
                <w:sz w:val="24"/>
                <w:highlight w:val="none"/>
              </w:rPr>
              <w:t>律师见证费：</w:t>
            </w:r>
            <w:r>
              <w:rPr>
                <w:rFonts w:hint="eastAsia" w:ascii="仿宋" w:hAnsi="仿宋" w:eastAsia="仿宋" w:cs="仿宋"/>
                <w:color w:val="auto"/>
                <w:sz w:val="24"/>
                <w:highlight w:val="none"/>
              </w:rPr>
              <w:t>成交供应商在签订合同前按中标金额的1‰缴纳律师见证费。如不足</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00元的按</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00元整收取。</w:t>
            </w:r>
          </w:p>
          <w:p w14:paraId="1A8A0091">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支付形式：电汇              </w:t>
            </w:r>
          </w:p>
          <w:p w14:paraId="0D484715">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支付时间：收到中标通知后3个工作日内。    </w:t>
            </w:r>
          </w:p>
        </w:tc>
      </w:tr>
      <w:tr w14:paraId="4B3936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51" w:hRule="atLeast"/>
        </w:trPr>
        <w:tc>
          <w:tcPr>
            <w:tcW w:w="8339" w:type="dxa"/>
            <w:gridSpan w:val="2"/>
            <w:tcBorders>
              <w:top w:val="single" w:color="auto" w:sz="6" w:space="0"/>
              <w:left w:val="single" w:color="auto" w:sz="12" w:space="0"/>
              <w:bottom w:val="single" w:color="auto" w:sz="6" w:space="0"/>
              <w:right w:val="single" w:color="auto" w:sz="12" w:space="0"/>
            </w:tcBorders>
            <w:vAlign w:val="center"/>
          </w:tcPr>
          <w:p w14:paraId="2CDA9C0C">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color w:val="auto"/>
                <w:sz w:val="24"/>
                <w:highlight w:val="none"/>
              </w:rPr>
              <w:t>适用于本供应商须知的额外增加的变动：</w:t>
            </w:r>
          </w:p>
        </w:tc>
      </w:tr>
      <w:tr w14:paraId="392E8E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51" w:hRule="atLeast"/>
        </w:trPr>
        <w:tc>
          <w:tcPr>
            <w:tcW w:w="1003" w:type="dxa"/>
            <w:tcBorders>
              <w:top w:val="single" w:color="auto" w:sz="6" w:space="0"/>
              <w:left w:val="single" w:color="auto" w:sz="12" w:space="0"/>
              <w:bottom w:val="single" w:color="auto" w:sz="6" w:space="0"/>
              <w:right w:val="single" w:color="auto" w:sz="6" w:space="0"/>
            </w:tcBorders>
            <w:vAlign w:val="center"/>
          </w:tcPr>
          <w:p w14:paraId="39EB3F8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7336" w:type="dxa"/>
            <w:tcBorders>
              <w:top w:val="single" w:color="auto" w:sz="6" w:space="0"/>
              <w:left w:val="single" w:color="auto" w:sz="6" w:space="0"/>
              <w:bottom w:val="single" w:color="auto" w:sz="6" w:space="0"/>
              <w:right w:val="single" w:color="auto" w:sz="12" w:space="0"/>
            </w:tcBorders>
            <w:vAlign w:val="center"/>
          </w:tcPr>
          <w:p w14:paraId="05CD836E">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是否允许供应商将项目非主体、非关键性工作交由他人完成：</w:t>
            </w:r>
          </w:p>
          <w:p w14:paraId="02E93ADF">
            <w:pPr>
              <w:spacing w:line="360" w:lineRule="auto"/>
              <w:rPr>
                <w:rFonts w:hint="eastAsia" w:ascii="仿宋" w:hAnsi="仿宋" w:eastAsia="仿宋" w:cs="仿宋"/>
                <w:bCs/>
                <w:color w:val="auto"/>
                <w:sz w:val="24"/>
                <w:highlight w:val="none"/>
              </w:rPr>
            </w:pPr>
            <w:r>
              <w:rPr>
                <w:rFonts w:hint="eastAsia" w:ascii="仿宋" w:hAnsi="仿宋" w:eastAsia="仿宋" w:cs="仿宋"/>
                <w:color w:val="auto"/>
                <w:sz w:val="24"/>
                <w:highlight w:val="none"/>
              </w:rPr>
              <w:t>是□  否☑</w:t>
            </w:r>
          </w:p>
        </w:tc>
      </w:tr>
      <w:tr w14:paraId="743F23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96" w:hRule="atLeast"/>
        </w:trPr>
        <w:tc>
          <w:tcPr>
            <w:tcW w:w="1003" w:type="dxa"/>
            <w:tcBorders>
              <w:top w:val="single" w:color="auto" w:sz="6" w:space="0"/>
              <w:left w:val="single" w:color="auto" w:sz="12" w:space="0"/>
              <w:bottom w:val="single" w:color="auto" w:sz="6" w:space="0"/>
              <w:right w:val="single" w:color="auto" w:sz="6" w:space="0"/>
            </w:tcBorders>
            <w:vAlign w:val="center"/>
          </w:tcPr>
          <w:p w14:paraId="439964C7">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7336" w:type="dxa"/>
            <w:tcBorders>
              <w:top w:val="single" w:color="auto" w:sz="6" w:space="0"/>
              <w:left w:val="single" w:color="auto" w:sz="6" w:space="0"/>
              <w:bottom w:val="single" w:color="auto" w:sz="6" w:space="0"/>
              <w:right w:val="single" w:color="auto" w:sz="12" w:space="0"/>
            </w:tcBorders>
            <w:vAlign w:val="center"/>
          </w:tcPr>
          <w:p w14:paraId="04DEB291">
            <w:pPr>
              <w:adjustRightInd w:val="0"/>
              <w:snapToGrid w:val="0"/>
              <w:spacing w:line="360" w:lineRule="auto"/>
              <w:jc w:val="lef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强制节能产品要求：</w:t>
            </w:r>
          </w:p>
          <w:p w14:paraId="22552473">
            <w:pPr>
              <w:spacing w:line="360" w:lineRule="auto"/>
              <w:rPr>
                <w:rFonts w:hint="eastAsia" w:ascii="仿宋" w:hAnsi="仿宋" w:eastAsia="仿宋" w:cs="仿宋"/>
                <w:bCs/>
                <w:color w:val="auto"/>
                <w:sz w:val="24"/>
                <w:highlight w:val="none"/>
              </w:rPr>
            </w:pPr>
            <w:r>
              <w:rPr>
                <w:rFonts w:hint="eastAsia" w:ascii="仿宋" w:hAnsi="仿宋" w:eastAsia="仿宋" w:cs="仿宋"/>
                <w:color w:val="auto"/>
                <w:sz w:val="24"/>
                <w:highlight w:val="none"/>
              </w:rPr>
              <w:t>其中台式计算机，便携式计算机，平板式微型计算机，激光打印机，针式打印机，液晶显示器，制冷压缩机，空调机组，专用制冷、空调设备，镇流器，空调机，电热水器，普通照明用双端荧光灯，电视设备，视频设备，便器，水嘴等品目为政府强制采购的节能产品。本次采购产品中如包含以上产品的，供应商须同时提供政府强制采购节能产品明细表（见附件）及在有效期内的国家节能产品认证证书复印件，否则按无效报价处理。</w:t>
            </w:r>
          </w:p>
        </w:tc>
      </w:tr>
      <w:tr w14:paraId="7FAF91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4" w:hRule="atLeast"/>
        </w:trPr>
        <w:tc>
          <w:tcPr>
            <w:tcW w:w="8339" w:type="dxa"/>
            <w:gridSpan w:val="2"/>
            <w:vAlign w:val="center"/>
          </w:tcPr>
          <w:p w14:paraId="5CC1A4DD">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合同条款：</w:t>
            </w:r>
          </w:p>
        </w:tc>
      </w:tr>
      <w:tr w14:paraId="6B0A4F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12" w:hRule="atLeast"/>
        </w:trPr>
        <w:tc>
          <w:tcPr>
            <w:tcW w:w="1003" w:type="dxa"/>
          </w:tcPr>
          <w:p w14:paraId="50C7F317">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7336" w:type="dxa"/>
          </w:tcPr>
          <w:p w14:paraId="14A571A9">
            <w:pPr>
              <w:spacing w:line="312"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付款途径：采购人支付</w:t>
            </w:r>
          </w:p>
        </w:tc>
      </w:tr>
      <w:tr w14:paraId="772641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3" w:hRule="atLeast"/>
        </w:trPr>
        <w:tc>
          <w:tcPr>
            <w:tcW w:w="1003" w:type="dxa"/>
            <w:vAlign w:val="center"/>
          </w:tcPr>
          <w:p w14:paraId="06C30060">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7336" w:type="dxa"/>
            <w:vAlign w:val="center"/>
          </w:tcPr>
          <w:p w14:paraId="52771D76">
            <w:pPr>
              <w:spacing w:line="312"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付款方式：</w:t>
            </w:r>
            <w:r>
              <w:rPr>
                <w:rFonts w:hint="eastAsia" w:ascii="仿宋" w:hAnsi="仿宋" w:eastAsia="仿宋" w:cs="仿宋"/>
                <w:color w:val="000000"/>
                <w:sz w:val="24"/>
                <w:highlight w:val="none"/>
              </w:rPr>
              <w:t>项目完成且经验收合格货物无质量问题，采购人一次性向供应商支付全部合同货款。</w:t>
            </w:r>
          </w:p>
        </w:tc>
      </w:tr>
      <w:tr w14:paraId="501D54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2" w:hRule="atLeast"/>
        </w:trPr>
        <w:tc>
          <w:tcPr>
            <w:tcW w:w="1003" w:type="dxa"/>
            <w:vAlign w:val="center"/>
          </w:tcPr>
          <w:p w14:paraId="045DBCC5">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7336" w:type="dxa"/>
            <w:vAlign w:val="center"/>
          </w:tcPr>
          <w:p w14:paraId="59FAE364">
            <w:pP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交付时间：</w:t>
            </w:r>
            <w:r>
              <w:rPr>
                <w:rFonts w:hint="eastAsia" w:ascii="仿宋" w:hAnsi="仿宋" w:eastAsia="仿宋" w:cs="仿宋"/>
                <w:bCs/>
                <w:sz w:val="24"/>
                <w:szCs w:val="24"/>
                <w:highlight w:val="none"/>
                <w:lang w:val="en-US" w:eastAsia="zh-CN"/>
              </w:rPr>
              <w:t>自签订双方合同之日起30日内供货安装调试完毕。</w:t>
            </w:r>
          </w:p>
        </w:tc>
      </w:tr>
      <w:tr w14:paraId="0857B4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rPr>
        <w:tc>
          <w:tcPr>
            <w:tcW w:w="1003" w:type="dxa"/>
          </w:tcPr>
          <w:p w14:paraId="1DCB602A">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7336" w:type="dxa"/>
          </w:tcPr>
          <w:p w14:paraId="544CF12E">
            <w:pPr>
              <w:spacing w:line="312"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免费维护期、保修期：</w:t>
            </w:r>
            <w:r>
              <w:rPr>
                <w:rFonts w:hint="eastAsia" w:ascii="仿宋" w:hAnsi="仿宋" w:eastAsia="仿宋" w:cs="仿宋"/>
                <w:color w:val="auto"/>
                <w:sz w:val="24"/>
                <w:highlight w:val="none"/>
                <w:lang w:eastAsia="zh-CN"/>
              </w:rPr>
              <w:t>同质保期。</w:t>
            </w:r>
          </w:p>
        </w:tc>
      </w:tr>
      <w:tr w14:paraId="6D81D8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2" w:hRule="atLeast"/>
        </w:trPr>
        <w:tc>
          <w:tcPr>
            <w:tcW w:w="1003" w:type="dxa"/>
            <w:vAlign w:val="center"/>
          </w:tcPr>
          <w:p w14:paraId="1DE1EA1D">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p>
        </w:tc>
        <w:tc>
          <w:tcPr>
            <w:tcW w:w="7336" w:type="dxa"/>
            <w:vAlign w:val="center"/>
          </w:tcPr>
          <w:p w14:paraId="12E8D1C6">
            <w:pPr>
              <w:spacing w:line="312"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交付地点：采购人指定地点</w:t>
            </w:r>
          </w:p>
        </w:tc>
      </w:tr>
      <w:tr w14:paraId="31F013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2" w:hRule="atLeast"/>
        </w:trPr>
        <w:tc>
          <w:tcPr>
            <w:tcW w:w="1003" w:type="dxa"/>
            <w:vAlign w:val="center"/>
          </w:tcPr>
          <w:p w14:paraId="44C5C570">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p>
        </w:tc>
        <w:tc>
          <w:tcPr>
            <w:tcW w:w="7336" w:type="dxa"/>
            <w:vAlign w:val="center"/>
          </w:tcPr>
          <w:p w14:paraId="1F3EFA0B">
            <w:pPr>
              <w:pStyle w:val="79"/>
              <w:spacing w:line="312" w:lineRule="auto"/>
              <w:ind w:firstLine="0" w:firstLineChars="0"/>
              <w:rPr>
                <w:rFonts w:hint="eastAsia" w:ascii="仿宋" w:hAnsi="仿宋" w:eastAsia="仿宋" w:cs="仿宋"/>
                <w:color w:val="auto"/>
                <w:highlight w:val="none"/>
              </w:rPr>
            </w:pPr>
            <w:r>
              <w:rPr>
                <w:rFonts w:hint="eastAsia" w:ascii="仿宋" w:hAnsi="仿宋" w:eastAsia="仿宋" w:cs="仿宋"/>
                <w:color w:val="auto"/>
                <w:highlight w:val="none"/>
              </w:rPr>
              <w:t>争议的解决：</w:t>
            </w:r>
          </w:p>
          <w:p w14:paraId="4ED10C55">
            <w:pPr>
              <w:pStyle w:val="79"/>
              <w:spacing w:line="312" w:lineRule="auto"/>
              <w:ind w:firstLine="504"/>
              <w:rPr>
                <w:rFonts w:hint="eastAsia" w:ascii="仿宋" w:hAnsi="仿宋" w:eastAsia="仿宋" w:cs="仿宋"/>
                <w:color w:val="auto"/>
                <w:highlight w:val="none"/>
              </w:rPr>
            </w:pPr>
            <w:r>
              <w:rPr>
                <w:rFonts w:hint="eastAsia" w:ascii="仿宋" w:hAnsi="仿宋" w:eastAsia="仿宋" w:cs="仿宋"/>
                <w:color w:val="auto"/>
                <w:highlight w:val="none"/>
              </w:rPr>
              <w:t>本合同履行过程中发生的任何争议，双方当事人均可通过和解或者调解解决；不愿和解、调解或者和解、调解不成的，可以选择下列方式解决：向项目所在地人民法院起诉。</w:t>
            </w:r>
          </w:p>
        </w:tc>
      </w:tr>
    </w:tbl>
    <w:p w14:paraId="279D9A13">
      <w:pPr>
        <w:spacing w:line="320" w:lineRule="exact"/>
        <w:rPr>
          <w:rFonts w:hint="eastAsia" w:ascii="仿宋" w:hAnsi="仿宋" w:eastAsia="仿宋" w:cs="仿宋"/>
          <w:color w:val="auto"/>
          <w:sz w:val="24"/>
          <w:highlight w:val="none"/>
        </w:rPr>
        <w:sectPr>
          <w:headerReference r:id="rId3" w:type="default"/>
          <w:footerReference r:id="rId5" w:type="default"/>
          <w:headerReference r:id="rId4" w:type="even"/>
          <w:footerReference r:id="rId6" w:type="even"/>
          <w:pgSz w:w="11906" w:h="16838"/>
          <w:pgMar w:top="1440" w:right="1489" w:bottom="1440" w:left="1797" w:header="851" w:footer="992" w:gutter="0"/>
          <w:cols w:space="720" w:num="1"/>
          <w:docGrid w:linePitch="312" w:charSpace="0"/>
        </w:sectPr>
      </w:pPr>
    </w:p>
    <w:bookmarkEnd w:id="238"/>
    <w:p w14:paraId="242732FB">
      <w:pPr>
        <w:pStyle w:val="2"/>
        <w:tabs>
          <w:tab w:val="left" w:pos="0"/>
        </w:tabs>
        <w:spacing w:before="0" w:after="0" w:line="240" w:lineRule="atLeast"/>
        <w:jc w:val="center"/>
        <w:rPr>
          <w:rFonts w:hint="eastAsia" w:ascii="仿宋" w:hAnsi="仿宋" w:eastAsia="仿宋" w:cs="仿宋"/>
          <w:color w:val="auto"/>
          <w:highlight w:val="none"/>
        </w:rPr>
      </w:pPr>
      <w:bookmarkStart w:id="299" w:name="_Toc219175638"/>
      <w:bookmarkStart w:id="300" w:name="_Toc216582825"/>
      <w:bookmarkStart w:id="301" w:name="_Toc515647831"/>
      <w:bookmarkStart w:id="302" w:name="_Toc218935354"/>
      <w:bookmarkStart w:id="303" w:name="_Toc4766527"/>
      <w:bookmarkStart w:id="304" w:name="_Toc507399906"/>
      <w:bookmarkStart w:id="305" w:name="_Toc9887"/>
      <w:bookmarkStart w:id="306" w:name="_Toc512937852"/>
      <w:bookmarkStart w:id="307" w:name="_Toc46238255"/>
      <w:bookmarkStart w:id="308" w:name="_Toc9032"/>
      <w:bookmarkStart w:id="309" w:name="_Toc5894"/>
      <w:r>
        <w:rPr>
          <w:rFonts w:hint="eastAsia" w:ascii="仿宋" w:hAnsi="仿宋" w:eastAsia="仿宋" w:cs="仿宋"/>
          <w:color w:val="auto"/>
          <w:highlight w:val="none"/>
        </w:rPr>
        <w:t>第4章 货物需求一览表及技术规格</w:t>
      </w:r>
    </w:p>
    <w:tbl>
      <w:tblPr>
        <w:tblStyle w:val="3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0"/>
        <w:gridCol w:w="950"/>
        <w:gridCol w:w="5606"/>
        <w:gridCol w:w="460"/>
        <w:gridCol w:w="574"/>
        <w:gridCol w:w="460"/>
        <w:gridCol w:w="461"/>
      </w:tblGrid>
      <w:tr w14:paraId="0460E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vAlign w:val="center"/>
          </w:tcPr>
          <w:p w14:paraId="7143D12B">
            <w:pPr>
              <w:spacing w:line="500" w:lineRule="exact"/>
              <w:rPr>
                <w:rFonts w:asciiTheme="minorEastAsia" w:hAnsiTheme="minorEastAsia"/>
                <w:b/>
                <w:bCs/>
                <w:sz w:val="22"/>
                <w:highlight w:val="none"/>
              </w:rPr>
            </w:pPr>
            <w:r>
              <w:rPr>
                <w:rFonts w:asciiTheme="minorEastAsia" w:hAnsiTheme="minorEastAsia"/>
                <w:b/>
                <w:bCs/>
                <w:sz w:val="22"/>
                <w:highlight w:val="none"/>
              </w:rPr>
              <w:t>序</w:t>
            </w:r>
          </w:p>
          <w:p w14:paraId="47A03F9F">
            <w:pPr>
              <w:spacing w:line="500" w:lineRule="exact"/>
              <w:rPr>
                <w:rFonts w:asciiTheme="minorEastAsia" w:hAnsiTheme="minorEastAsia"/>
                <w:b/>
                <w:bCs/>
                <w:sz w:val="22"/>
                <w:highlight w:val="none"/>
              </w:rPr>
            </w:pPr>
            <w:r>
              <w:rPr>
                <w:rFonts w:asciiTheme="minorEastAsia" w:hAnsiTheme="minorEastAsia"/>
                <w:b/>
                <w:bCs/>
                <w:sz w:val="22"/>
                <w:highlight w:val="none"/>
              </w:rPr>
              <w:t>号</w:t>
            </w:r>
          </w:p>
        </w:tc>
        <w:tc>
          <w:tcPr>
            <w:tcW w:w="529" w:type="pct"/>
            <w:vAlign w:val="center"/>
          </w:tcPr>
          <w:p w14:paraId="17C2A3DA">
            <w:pPr>
              <w:spacing w:line="500" w:lineRule="exact"/>
              <w:rPr>
                <w:rFonts w:asciiTheme="minorEastAsia" w:hAnsiTheme="minorEastAsia"/>
                <w:b/>
                <w:bCs/>
                <w:sz w:val="22"/>
                <w:highlight w:val="none"/>
              </w:rPr>
            </w:pPr>
            <w:r>
              <w:rPr>
                <w:rFonts w:hint="eastAsia" w:asciiTheme="minorEastAsia" w:hAnsiTheme="minorEastAsia"/>
                <w:b/>
                <w:bCs/>
                <w:sz w:val="22"/>
                <w:highlight w:val="none"/>
              </w:rPr>
              <w:t>设备</w:t>
            </w:r>
            <w:r>
              <w:rPr>
                <w:rFonts w:asciiTheme="minorEastAsia" w:hAnsiTheme="minorEastAsia"/>
                <w:b/>
                <w:bCs/>
                <w:sz w:val="22"/>
                <w:highlight w:val="none"/>
              </w:rPr>
              <w:t>名称</w:t>
            </w:r>
          </w:p>
        </w:tc>
        <w:tc>
          <w:tcPr>
            <w:tcW w:w="3123" w:type="pct"/>
            <w:vAlign w:val="center"/>
          </w:tcPr>
          <w:p w14:paraId="3BB4A02B">
            <w:pPr>
              <w:spacing w:line="500" w:lineRule="exact"/>
              <w:jc w:val="center"/>
              <w:rPr>
                <w:rFonts w:asciiTheme="minorEastAsia" w:hAnsiTheme="minorEastAsia"/>
                <w:b/>
                <w:bCs/>
                <w:sz w:val="22"/>
                <w:highlight w:val="none"/>
              </w:rPr>
            </w:pPr>
            <w:r>
              <w:rPr>
                <w:rFonts w:hint="eastAsia" w:asciiTheme="minorEastAsia" w:hAnsiTheme="minorEastAsia"/>
                <w:b/>
                <w:bCs/>
                <w:sz w:val="22"/>
                <w:highlight w:val="none"/>
              </w:rPr>
              <w:t>相关指标及参数</w:t>
            </w:r>
          </w:p>
          <w:p w14:paraId="578A548C">
            <w:pPr>
              <w:spacing w:line="500" w:lineRule="exact"/>
              <w:jc w:val="center"/>
              <w:rPr>
                <w:rFonts w:asciiTheme="minorEastAsia" w:hAnsiTheme="minorEastAsia"/>
                <w:b/>
                <w:bCs/>
                <w:sz w:val="22"/>
                <w:highlight w:val="none"/>
              </w:rPr>
            </w:pPr>
          </w:p>
        </w:tc>
        <w:tc>
          <w:tcPr>
            <w:tcW w:w="256" w:type="pct"/>
            <w:vAlign w:val="center"/>
          </w:tcPr>
          <w:p w14:paraId="7D6AE60D">
            <w:pPr>
              <w:spacing w:line="500" w:lineRule="exact"/>
              <w:rPr>
                <w:rFonts w:asciiTheme="minorEastAsia" w:hAnsiTheme="minorEastAsia"/>
                <w:b/>
                <w:bCs/>
                <w:sz w:val="22"/>
                <w:highlight w:val="none"/>
              </w:rPr>
            </w:pPr>
            <w:r>
              <w:rPr>
                <w:rFonts w:hint="eastAsia" w:asciiTheme="minorEastAsia" w:hAnsiTheme="minorEastAsia"/>
                <w:b/>
                <w:bCs/>
                <w:sz w:val="22"/>
                <w:highlight w:val="none"/>
              </w:rPr>
              <w:t>单位</w:t>
            </w:r>
          </w:p>
        </w:tc>
        <w:tc>
          <w:tcPr>
            <w:tcW w:w="320" w:type="pct"/>
            <w:vAlign w:val="center"/>
          </w:tcPr>
          <w:p w14:paraId="40AA7C1C">
            <w:pPr>
              <w:spacing w:line="500" w:lineRule="exact"/>
              <w:rPr>
                <w:rFonts w:asciiTheme="minorEastAsia" w:hAnsiTheme="minorEastAsia"/>
                <w:b/>
                <w:bCs/>
                <w:sz w:val="22"/>
                <w:highlight w:val="none"/>
              </w:rPr>
            </w:pPr>
            <w:r>
              <w:rPr>
                <w:rFonts w:asciiTheme="minorEastAsia" w:hAnsiTheme="minorEastAsia"/>
                <w:b/>
                <w:bCs/>
                <w:sz w:val="22"/>
                <w:highlight w:val="none"/>
              </w:rPr>
              <w:t>数</w:t>
            </w:r>
          </w:p>
          <w:p w14:paraId="64933C01">
            <w:pPr>
              <w:spacing w:line="500" w:lineRule="exact"/>
              <w:rPr>
                <w:rFonts w:asciiTheme="minorEastAsia" w:hAnsiTheme="minorEastAsia"/>
                <w:b/>
                <w:bCs/>
                <w:sz w:val="22"/>
                <w:highlight w:val="none"/>
              </w:rPr>
            </w:pPr>
            <w:r>
              <w:rPr>
                <w:rFonts w:asciiTheme="minorEastAsia" w:hAnsiTheme="minorEastAsia"/>
                <w:b/>
                <w:bCs/>
                <w:sz w:val="22"/>
                <w:highlight w:val="none"/>
              </w:rPr>
              <w:t>量</w:t>
            </w:r>
          </w:p>
        </w:tc>
        <w:tc>
          <w:tcPr>
            <w:tcW w:w="256" w:type="pct"/>
            <w:vAlign w:val="center"/>
          </w:tcPr>
          <w:p w14:paraId="127CA988">
            <w:pPr>
              <w:spacing w:line="500" w:lineRule="exact"/>
              <w:rPr>
                <w:rFonts w:asciiTheme="minorEastAsia" w:hAnsiTheme="minorEastAsia"/>
                <w:b/>
                <w:bCs/>
                <w:sz w:val="22"/>
                <w:highlight w:val="none"/>
              </w:rPr>
            </w:pPr>
            <w:r>
              <w:rPr>
                <w:rFonts w:hint="eastAsia" w:asciiTheme="minorEastAsia" w:hAnsiTheme="minorEastAsia"/>
                <w:b/>
                <w:bCs/>
                <w:sz w:val="22"/>
                <w:highlight w:val="none"/>
              </w:rPr>
              <w:t>单价</w:t>
            </w:r>
          </w:p>
        </w:tc>
        <w:tc>
          <w:tcPr>
            <w:tcW w:w="257" w:type="pct"/>
            <w:vAlign w:val="center"/>
          </w:tcPr>
          <w:p w14:paraId="3C245AED">
            <w:pPr>
              <w:spacing w:line="500" w:lineRule="exact"/>
              <w:rPr>
                <w:rFonts w:hint="eastAsia" w:asciiTheme="minorEastAsia" w:hAnsiTheme="minorEastAsia" w:eastAsiaTheme="minorEastAsia"/>
                <w:b/>
                <w:bCs/>
                <w:sz w:val="22"/>
                <w:highlight w:val="none"/>
                <w:lang w:eastAsia="zh-CN"/>
              </w:rPr>
            </w:pPr>
            <w:r>
              <w:rPr>
                <w:rFonts w:hint="eastAsia" w:asciiTheme="minorEastAsia" w:hAnsiTheme="minorEastAsia"/>
                <w:b/>
                <w:bCs/>
                <w:sz w:val="22"/>
                <w:highlight w:val="none"/>
                <w:lang w:eastAsia="zh-CN"/>
              </w:rPr>
              <w:t>总价</w:t>
            </w:r>
          </w:p>
        </w:tc>
      </w:tr>
      <w:tr w14:paraId="50F81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vAlign w:val="center"/>
          </w:tcPr>
          <w:p w14:paraId="32EEEDB8">
            <w:pPr>
              <w:spacing w:line="500" w:lineRule="exact"/>
              <w:rPr>
                <w:rFonts w:asciiTheme="minorEastAsia" w:hAnsiTheme="minorEastAsia"/>
                <w:sz w:val="22"/>
                <w:highlight w:val="none"/>
              </w:rPr>
            </w:pPr>
            <w:r>
              <w:rPr>
                <w:rFonts w:hint="eastAsia" w:asciiTheme="minorEastAsia" w:hAnsiTheme="minorEastAsia"/>
                <w:sz w:val="22"/>
                <w:highlight w:val="none"/>
              </w:rPr>
              <w:t>1</w:t>
            </w:r>
          </w:p>
        </w:tc>
        <w:tc>
          <w:tcPr>
            <w:tcW w:w="529" w:type="pct"/>
            <w:vAlign w:val="center"/>
          </w:tcPr>
          <w:p w14:paraId="681D252B">
            <w:pPr>
              <w:spacing w:line="500" w:lineRule="exact"/>
              <w:rPr>
                <w:rFonts w:asciiTheme="minorEastAsia" w:hAnsiTheme="minorEastAsia"/>
                <w:b/>
                <w:bCs/>
                <w:sz w:val="22"/>
                <w:highlight w:val="none"/>
              </w:rPr>
            </w:pPr>
            <w:r>
              <w:rPr>
                <w:rFonts w:hint="eastAsia" w:asciiTheme="minorEastAsia" w:hAnsiTheme="minorEastAsia"/>
                <w:b/>
                <w:bCs/>
                <w:sz w:val="22"/>
                <w:highlight w:val="none"/>
              </w:rPr>
              <w:t>全自动数显孵化机</w:t>
            </w:r>
          </w:p>
        </w:tc>
        <w:tc>
          <w:tcPr>
            <w:tcW w:w="3123" w:type="pct"/>
          </w:tcPr>
          <w:p w14:paraId="3E21D6ED">
            <w:pPr>
              <w:jc w:val="left"/>
              <w:rPr>
                <w:rFonts w:asciiTheme="minorEastAsia" w:hAnsiTheme="minorEastAsia"/>
                <w:sz w:val="22"/>
                <w:highlight w:val="none"/>
              </w:rPr>
            </w:pPr>
            <w:r>
              <w:rPr>
                <w:rFonts w:hint="eastAsia" w:asciiTheme="minorEastAsia" w:hAnsiTheme="minorEastAsia"/>
                <w:sz w:val="22"/>
                <w:highlight w:val="none"/>
              </w:rPr>
              <w:t xml:space="preserve">参考尺寸：120×70×75cm          </w:t>
            </w:r>
          </w:p>
          <w:p w14:paraId="386C70AB">
            <w:pPr>
              <w:jc w:val="left"/>
              <w:rPr>
                <w:rFonts w:asciiTheme="minorEastAsia" w:hAnsiTheme="minorEastAsia"/>
                <w:sz w:val="22"/>
                <w:highlight w:val="none"/>
              </w:rPr>
            </w:pPr>
            <w:r>
              <w:rPr>
                <w:rFonts w:hint="eastAsia" w:asciiTheme="minorEastAsia" w:hAnsiTheme="minorEastAsia"/>
                <w:sz w:val="22"/>
                <w:highlight w:val="none"/>
              </w:rPr>
              <w:t>温度显示范围：30～80℃（可任意设定）</w:t>
            </w:r>
          </w:p>
          <w:p w14:paraId="7E93981E">
            <w:pPr>
              <w:jc w:val="left"/>
              <w:rPr>
                <w:rFonts w:asciiTheme="minorEastAsia" w:hAnsiTheme="minorEastAsia"/>
                <w:sz w:val="22"/>
                <w:highlight w:val="none"/>
              </w:rPr>
            </w:pPr>
            <w:r>
              <w:rPr>
                <w:rFonts w:hint="eastAsia" w:asciiTheme="minorEastAsia" w:hAnsiTheme="minorEastAsia"/>
                <w:sz w:val="22"/>
                <w:highlight w:val="none"/>
              </w:rPr>
              <w:t>温度测量精度：±0.01℃</w:t>
            </w:r>
          </w:p>
          <w:p w14:paraId="21D18D3C">
            <w:pPr>
              <w:jc w:val="left"/>
              <w:rPr>
                <w:rFonts w:asciiTheme="minorEastAsia" w:hAnsiTheme="minorEastAsia"/>
                <w:sz w:val="22"/>
                <w:highlight w:val="none"/>
              </w:rPr>
            </w:pPr>
            <w:r>
              <w:rPr>
                <w:rFonts w:hint="eastAsia" w:asciiTheme="minorEastAsia" w:hAnsiTheme="minorEastAsia"/>
                <w:sz w:val="22"/>
                <w:highlight w:val="none"/>
              </w:rPr>
              <w:t>湿度显示范围：30～80%RH（可任意设定）</w:t>
            </w:r>
          </w:p>
          <w:p w14:paraId="562000E6">
            <w:pPr>
              <w:jc w:val="left"/>
              <w:rPr>
                <w:rFonts w:asciiTheme="minorEastAsia" w:hAnsiTheme="minorEastAsia"/>
                <w:sz w:val="22"/>
                <w:highlight w:val="none"/>
              </w:rPr>
            </w:pPr>
            <w:r>
              <w:rPr>
                <w:rFonts w:hint="eastAsia" w:asciiTheme="minorEastAsia" w:hAnsiTheme="minorEastAsia"/>
                <w:sz w:val="22"/>
                <w:highlight w:val="none"/>
              </w:rPr>
              <w:t>控湿精度：±0.1%RH</w:t>
            </w:r>
          </w:p>
          <w:p w14:paraId="5842FBB3">
            <w:pPr>
              <w:jc w:val="left"/>
              <w:rPr>
                <w:rFonts w:asciiTheme="minorEastAsia" w:hAnsiTheme="minorEastAsia"/>
                <w:sz w:val="22"/>
                <w:highlight w:val="none"/>
              </w:rPr>
            </w:pPr>
            <w:r>
              <w:rPr>
                <w:rFonts w:hint="eastAsia" w:asciiTheme="minorEastAsia" w:hAnsiTheme="minorEastAsia"/>
                <w:sz w:val="22"/>
                <w:highlight w:val="none"/>
              </w:rPr>
              <w:t>输出路数：≥7路(超温、控温、低温、左翻蛋、右翻蛋、控湿、报警)等（可任意设定）</w:t>
            </w:r>
          </w:p>
          <w:p w14:paraId="6E6C5739">
            <w:pPr>
              <w:jc w:val="left"/>
              <w:rPr>
                <w:rFonts w:asciiTheme="minorEastAsia" w:hAnsiTheme="minorEastAsia"/>
                <w:sz w:val="22"/>
                <w:highlight w:val="none"/>
              </w:rPr>
            </w:pPr>
            <w:r>
              <w:rPr>
                <w:rFonts w:hint="eastAsia" w:asciiTheme="minorEastAsia" w:hAnsiTheme="minorEastAsia"/>
                <w:sz w:val="22"/>
                <w:highlight w:val="none"/>
              </w:rPr>
              <w:t>翻蛋次数：最大可记录999次</w:t>
            </w:r>
          </w:p>
          <w:p w14:paraId="6E8B6E7A">
            <w:pPr>
              <w:jc w:val="left"/>
              <w:rPr>
                <w:rFonts w:asciiTheme="minorEastAsia" w:hAnsiTheme="minorEastAsia"/>
                <w:sz w:val="22"/>
                <w:highlight w:val="none"/>
              </w:rPr>
            </w:pPr>
            <w:r>
              <w:rPr>
                <w:rFonts w:hint="eastAsia" w:asciiTheme="minorEastAsia" w:hAnsiTheme="minorEastAsia"/>
                <w:sz w:val="22"/>
                <w:highlight w:val="none"/>
              </w:rPr>
              <w:t>翻蛋周期：0.1～99.9小时</w:t>
            </w:r>
          </w:p>
          <w:p w14:paraId="182F3C4B">
            <w:pPr>
              <w:jc w:val="left"/>
              <w:rPr>
                <w:rFonts w:asciiTheme="minorEastAsia" w:hAnsiTheme="minorEastAsia"/>
                <w:sz w:val="22"/>
                <w:highlight w:val="none"/>
              </w:rPr>
            </w:pPr>
            <w:r>
              <w:rPr>
                <w:rFonts w:hint="eastAsia" w:asciiTheme="minorEastAsia" w:hAnsiTheme="minorEastAsia"/>
                <w:sz w:val="22"/>
                <w:highlight w:val="none"/>
              </w:rPr>
              <w:t>翻蛋时间：1～255秒可调</w:t>
            </w:r>
          </w:p>
          <w:p w14:paraId="4692D40B">
            <w:pPr>
              <w:jc w:val="left"/>
              <w:rPr>
                <w:rFonts w:asciiTheme="minorEastAsia" w:hAnsiTheme="minorEastAsia"/>
                <w:sz w:val="22"/>
                <w:highlight w:val="none"/>
              </w:rPr>
            </w:pPr>
            <w:r>
              <w:rPr>
                <w:rFonts w:hint="eastAsia" w:asciiTheme="minorEastAsia" w:hAnsiTheme="minorEastAsia"/>
                <w:sz w:val="22"/>
                <w:highlight w:val="none"/>
              </w:rPr>
              <w:t>换气周期：5—999分钟</w:t>
            </w:r>
          </w:p>
          <w:p w14:paraId="5805721E">
            <w:pPr>
              <w:jc w:val="left"/>
              <w:rPr>
                <w:rFonts w:asciiTheme="minorEastAsia" w:hAnsiTheme="minorEastAsia"/>
                <w:sz w:val="22"/>
                <w:highlight w:val="none"/>
              </w:rPr>
            </w:pPr>
            <w:r>
              <w:rPr>
                <w:rFonts w:hint="eastAsia" w:asciiTheme="minorEastAsia" w:hAnsiTheme="minorEastAsia"/>
                <w:sz w:val="22"/>
                <w:highlight w:val="none"/>
              </w:rPr>
              <w:t xml:space="preserve">换气时间：0—999秒钟                         </w:t>
            </w:r>
          </w:p>
          <w:p w14:paraId="55BC6404">
            <w:pPr>
              <w:jc w:val="left"/>
              <w:rPr>
                <w:rFonts w:asciiTheme="minorEastAsia" w:hAnsiTheme="minorEastAsia"/>
                <w:sz w:val="22"/>
                <w:highlight w:val="none"/>
              </w:rPr>
            </w:pPr>
            <w:r>
              <w:rPr>
                <w:rFonts w:hint="eastAsia" w:asciiTheme="minorEastAsia" w:hAnsiTheme="minorEastAsia"/>
                <w:sz w:val="22"/>
                <w:highlight w:val="none"/>
              </w:rPr>
              <w:t>蛋鸡种蛋孵化数量/批：≥600枚</w:t>
            </w:r>
          </w:p>
        </w:tc>
        <w:tc>
          <w:tcPr>
            <w:tcW w:w="256" w:type="pct"/>
            <w:vAlign w:val="center"/>
          </w:tcPr>
          <w:p w14:paraId="14835FF7">
            <w:pPr>
              <w:spacing w:line="500" w:lineRule="exact"/>
              <w:rPr>
                <w:rFonts w:asciiTheme="minorEastAsia" w:hAnsiTheme="minorEastAsia"/>
                <w:sz w:val="22"/>
                <w:highlight w:val="none"/>
              </w:rPr>
            </w:pPr>
            <w:r>
              <w:rPr>
                <w:rFonts w:hint="eastAsia" w:asciiTheme="minorEastAsia" w:hAnsiTheme="minorEastAsia"/>
                <w:sz w:val="22"/>
                <w:highlight w:val="none"/>
              </w:rPr>
              <w:t>台</w:t>
            </w:r>
          </w:p>
        </w:tc>
        <w:tc>
          <w:tcPr>
            <w:tcW w:w="320" w:type="pct"/>
            <w:vAlign w:val="center"/>
          </w:tcPr>
          <w:p w14:paraId="7C201419">
            <w:pPr>
              <w:spacing w:line="500" w:lineRule="exact"/>
              <w:rPr>
                <w:rFonts w:asciiTheme="minorEastAsia" w:hAnsiTheme="minorEastAsia"/>
                <w:sz w:val="22"/>
                <w:highlight w:val="none"/>
              </w:rPr>
            </w:pPr>
            <w:r>
              <w:rPr>
                <w:rFonts w:hint="eastAsia" w:asciiTheme="minorEastAsia" w:hAnsiTheme="minorEastAsia"/>
                <w:sz w:val="22"/>
                <w:highlight w:val="none"/>
              </w:rPr>
              <w:t>2</w:t>
            </w:r>
          </w:p>
        </w:tc>
        <w:tc>
          <w:tcPr>
            <w:tcW w:w="256" w:type="pct"/>
            <w:vAlign w:val="center"/>
          </w:tcPr>
          <w:p w14:paraId="6D72B8AD">
            <w:pPr>
              <w:spacing w:line="500" w:lineRule="exact"/>
              <w:rPr>
                <w:rFonts w:asciiTheme="minorEastAsia" w:hAnsiTheme="minorEastAsia"/>
                <w:sz w:val="22"/>
                <w:highlight w:val="none"/>
              </w:rPr>
            </w:pPr>
          </w:p>
        </w:tc>
        <w:tc>
          <w:tcPr>
            <w:tcW w:w="257" w:type="pct"/>
            <w:vAlign w:val="center"/>
          </w:tcPr>
          <w:p w14:paraId="6C83A97D">
            <w:pPr>
              <w:spacing w:line="500" w:lineRule="exact"/>
              <w:rPr>
                <w:rFonts w:asciiTheme="minorEastAsia" w:hAnsiTheme="minorEastAsia"/>
                <w:sz w:val="22"/>
                <w:highlight w:val="none"/>
              </w:rPr>
            </w:pPr>
          </w:p>
        </w:tc>
      </w:tr>
      <w:tr w14:paraId="09767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tcPr>
          <w:p w14:paraId="5AE40D12">
            <w:pPr>
              <w:spacing w:line="500" w:lineRule="exact"/>
              <w:rPr>
                <w:rFonts w:asciiTheme="minorEastAsia" w:hAnsiTheme="minorEastAsia"/>
                <w:sz w:val="22"/>
                <w:highlight w:val="none"/>
              </w:rPr>
            </w:pPr>
            <w:r>
              <w:rPr>
                <w:rFonts w:hint="eastAsia" w:asciiTheme="minorEastAsia" w:hAnsiTheme="minorEastAsia"/>
                <w:sz w:val="22"/>
                <w:highlight w:val="none"/>
              </w:rPr>
              <w:t>2</w:t>
            </w:r>
          </w:p>
        </w:tc>
        <w:tc>
          <w:tcPr>
            <w:tcW w:w="529" w:type="pct"/>
          </w:tcPr>
          <w:p w14:paraId="729539DB">
            <w:pPr>
              <w:spacing w:line="500" w:lineRule="exact"/>
              <w:rPr>
                <w:rFonts w:asciiTheme="minorEastAsia" w:hAnsiTheme="minorEastAsia"/>
                <w:b/>
                <w:bCs/>
                <w:sz w:val="22"/>
                <w:highlight w:val="none"/>
              </w:rPr>
            </w:pPr>
            <w:r>
              <w:rPr>
                <w:rFonts w:hint="eastAsia" w:asciiTheme="minorEastAsia" w:hAnsiTheme="minorEastAsia"/>
                <w:b/>
                <w:bCs/>
                <w:sz w:val="22"/>
                <w:highlight w:val="none"/>
              </w:rPr>
              <w:t>小型全自动孵化出雏机</w:t>
            </w:r>
          </w:p>
        </w:tc>
        <w:tc>
          <w:tcPr>
            <w:tcW w:w="3123" w:type="pct"/>
          </w:tcPr>
          <w:p w14:paraId="485A59E4">
            <w:pPr>
              <w:jc w:val="left"/>
              <w:rPr>
                <w:rFonts w:asciiTheme="minorEastAsia" w:hAnsiTheme="minorEastAsia"/>
                <w:sz w:val="22"/>
                <w:highlight w:val="none"/>
              </w:rPr>
            </w:pPr>
            <w:r>
              <w:rPr>
                <w:rFonts w:hint="eastAsia" w:asciiTheme="minorEastAsia" w:hAnsiTheme="minorEastAsia"/>
                <w:sz w:val="22"/>
                <w:highlight w:val="none"/>
              </w:rPr>
              <w:t>1.自动控温：微电脑控温板，数显36.00-39.00，加热管加热</w:t>
            </w:r>
          </w:p>
          <w:p w14:paraId="1067F83F">
            <w:pPr>
              <w:jc w:val="left"/>
              <w:rPr>
                <w:rFonts w:asciiTheme="minorEastAsia" w:hAnsiTheme="minorEastAsia"/>
                <w:sz w:val="22"/>
                <w:highlight w:val="none"/>
              </w:rPr>
            </w:pPr>
            <w:r>
              <w:rPr>
                <w:rFonts w:hint="eastAsia" w:asciiTheme="minorEastAsia" w:hAnsiTheme="minorEastAsia"/>
                <w:sz w:val="22"/>
                <w:highlight w:val="none"/>
              </w:rPr>
              <w:t>2.自动控湿：微电脑控湿板，10.0-99.9RH%，机外加湿器增湿</w:t>
            </w:r>
          </w:p>
          <w:p w14:paraId="1AB091CD">
            <w:pPr>
              <w:rPr>
                <w:highlight w:val="none"/>
              </w:rPr>
            </w:pPr>
            <w:r>
              <w:rPr>
                <w:rFonts w:hint="eastAsia" w:asciiTheme="minorEastAsia" w:hAnsiTheme="minorEastAsia"/>
                <w:sz w:val="22"/>
                <w:highlight w:val="none"/>
              </w:rPr>
              <w:t>3.自动超温保护及冷却</w:t>
            </w:r>
          </w:p>
          <w:p w14:paraId="67B87CFA">
            <w:pPr>
              <w:jc w:val="left"/>
              <w:rPr>
                <w:rFonts w:asciiTheme="minorEastAsia" w:hAnsiTheme="minorEastAsia"/>
                <w:sz w:val="22"/>
                <w:highlight w:val="none"/>
              </w:rPr>
            </w:pPr>
            <w:r>
              <w:rPr>
                <w:rFonts w:hint="eastAsia" w:asciiTheme="minorEastAsia" w:hAnsiTheme="minorEastAsia"/>
                <w:sz w:val="22"/>
                <w:highlight w:val="none"/>
              </w:rPr>
              <w:t>4.自动翻蛋：微电脑0-2小时定时器，低速电机、减速机构及附件</w:t>
            </w:r>
          </w:p>
          <w:p w14:paraId="41C50D17">
            <w:pPr>
              <w:jc w:val="left"/>
              <w:rPr>
                <w:highlight w:val="none"/>
              </w:rPr>
            </w:pPr>
            <w:r>
              <w:rPr>
                <w:rFonts w:hint="eastAsia" w:asciiTheme="minorEastAsia" w:hAnsiTheme="minorEastAsia"/>
                <w:sz w:val="22"/>
                <w:highlight w:val="none"/>
              </w:rPr>
              <w:t>5.铁质底座、框架结构，箱体由≥5cm厚彩钢复合板及金属结构组成。</w:t>
            </w:r>
          </w:p>
          <w:p w14:paraId="7D248BCB">
            <w:pPr>
              <w:jc w:val="left"/>
              <w:rPr>
                <w:rFonts w:asciiTheme="minorEastAsia" w:hAnsiTheme="minorEastAsia"/>
                <w:sz w:val="22"/>
                <w:highlight w:val="none"/>
              </w:rPr>
            </w:pPr>
            <w:r>
              <w:rPr>
                <w:rFonts w:hint="eastAsia" w:asciiTheme="minorEastAsia" w:hAnsiTheme="minorEastAsia"/>
                <w:sz w:val="22"/>
                <w:highlight w:val="none"/>
              </w:rPr>
              <w:t xml:space="preserve">6.控温范围：36.00-39.00℃（可调、任意设定） </w:t>
            </w:r>
          </w:p>
          <w:p w14:paraId="1BEDAF8B">
            <w:pPr>
              <w:jc w:val="left"/>
              <w:rPr>
                <w:rFonts w:asciiTheme="minorEastAsia" w:hAnsiTheme="minorEastAsia"/>
                <w:sz w:val="22"/>
                <w:highlight w:val="none"/>
              </w:rPr>
            </w:pPr>
            <w:r>
              <w:rPr>
                <w:rFonts w:hint="eastAsia" w:asciiTheme="minorEastAsia" w:hAnsiTheme="minorEastAsia"/>
                <w:sz w:val="22"/>
                <w:highlight w:val="none"/>
              </w:rPr>
              <w:t xml:space="preserve">7.温度显示范围：00.00-99.99℃ 显示分辨率：0.01℃ 高分辨率范围：34.20-39.00 </w:t>
            </w:r>
          </w:p>
          <w:p w14:paraId="3FB003E6">
            <w:pPr>
              <w:jc w:val="left"/>
              <w:rPr>
                <w:rFonts w:asciiTheme="minorEastAsia" w:hAnsiTheme="minorEastAsia"/>
                <w:sz w:val="22"/>
                <w:highlight w:val="none"/>
              </w:rPr>
            </w:pPr>
            <w:r>
              <w:rPr>
                <w:rFonts w:hint="eastAsia" w:asciiTheme="minorEastAsia" w:hAnsiTheme="minorEastAsia"/>
                <w:sz w:val="22"/>
                <w:highlight w:val="none"/>
              </w:rPr>
              <w:t xml:space="preserve">8.显示分辨率：0.1%RH 控湿范围40.0-80.0%RH </w:t>
            </w:r>
          </w:p>
          <w:p w14:paraId="18DFA2E8">
            <w:pPr>
              <w:jc w:val="left"/>
              <w:rPr>
                <w:rFonts w:asciiTheme="minorEastAsia" w:hAnsiTheme="minorEastAsia"/>
                <w:sz w:val="22"/>
                <w:highlight w:val="none"/>
              </w:rPr>
            </w:pPr>
            <w:r>
              <w:rPr>
                <w:rFonts w:hint="eastAsia" w:asciiTheme="minorEastAsia" w:hAnsiTheme="minorEastAsia"/>
                <w:sz w:val="22"/>
                <w:highlight w:val="none"/>
              </w:rPr>
              <w:t xml:space="preserve">9.翻蛋时间：1小时或2小时或0-120分钟 </w:t>
            </w:r>
          </w:p>
          <w:p w14:paraId="6AEB681E">
            <w:pPr>
              <w:jc w:val="left"/>
              <w:rPr>
                <w:rFonts w:asciiTheme="minorEastAsia" w:hAnsiTheme="minorEastAsia"/>
                <w:strike/>
                <w:sz w:val="22"/>
                <w:highlight w:val="none"/>
              </w:rPr>
            </w:pPr>
            <w:r>
              <w:rPr>
                <w:rFonts w:hint="eastAsia" w:asciiTheme="minorEastAsia" w:hAnsiTheme="minorEastAsia"/>
                <w:sz w:val="22"/>
                <w:highlight w:val="none"/>
              </w:rPr>
              <w:t>10.温度超设定值0.3℃冷却功能启动（可任意设定） 温度超设定值0.3℃</w:t>
            </w:r>
          </w:p>
          <w:p w14:paraId="44C78211">
            <w:pPr>
              <w:jc w:val="left"/>
              <w:rPr>
                <w:rFonts w:asciiTheme="minorEastAsia" w:hAnsiTheme="minorEastAsia"/>
                <w:sz w:val="22"/>
                <w:highlight w:val="none"/>
              </w:rPr>
            </w:pPr>
            <w:r>
              <w:rPr>
                <w:rFonts w:hint="eastAsia" w:asciiTheme="minorEastAsia" w:hAnsiTheme="minorEastAsia"/>
                <w:sz w:val="22"/>
                <w:highlight w:val="none"/>
              </w:rPr>
              <w:t>11.4层孵化,1层出雏,体积≥0.8立方米。配一套对应全塑料蛋盘。</w:t>
            </w:r>
          </w:p>
        </w:tc>
        <w:tc>
          <w:tcPr>
            <w:tcW w:w="256" w:type="pct"/>
            <w:vAlign w:val="center"/>
          </w:tcPr>
          <w:p w14:paraId="7BBD42DF">
            <w:pPr>
              <w:spacing w:line="500" w:lineRule="exact"/>
              <w:rPr>
                <w:rFonts w:asciiTheme="minorEastAsia" w:hAnsiTheme="minorEastAsia"/>
                <w:sz w:val="22"/>
                <w:highlight w:val="none"/>
              </w:rPr>
            </w:pPr>
            <w:r>
              <w:rPr>
                <w:rFonts w:hint="eastAsia" w:asciiTheme="minorEastAsia" w:hAnsiTheme="minorEastAsia"/>
                <w:sz w:val="22"/>
                <w:highlight w:val="none"/>
              </w:rPr>
              <w:t>个</w:t>
            </w:r>
          </w:p>
        </w:tc>
        <w:tc>
          <w:tcPr>
            <w:tcW w:w="320" w:type="pct"/>
            <w:vAlign w:val="center"/>
          </w:tcPr>
          <w:p w14:paraId="3112B930">
            <w:pPr>
              <w:spacing w:line="500" w:lineRule="exact"/>
              <w:jc w:val="center"/>
              <w:rPr>
                <w:rFonts w:asciiTheme="minorEastAsia" w:hAnsiTheme="minorEastAsia"/>
                <w:sz w:val="22"/>
                <w:highlight w:val="none"/>
              </w:rPr>
            </w:pPr>
            <w:r>
              <w:rPr>
                <w:rFonts w:hint="eastAsia" w:asciiTheme="minorEastAsia" w:hAnsiTheme="minorEastAsia"/>
                <w:sz w:val="22"/>
                <w:highlight w:val="none"/>
              </w:rPr>
              <w:t>1</w:t>
            </w:r>
          </w:p>
        </w:tc>
        <w:tc>
          <w:tcPr>
            <w:tcW w:w="256" w:type="pct"/>
            <w:vAlign w:val="center"/>
          </w:tcPr>
          <w:p w14:paraId="0520B1B7">
            <w:pPr>
              <w:spacing w:line="500" w:lineRule="exact"/>
              <w:jc w:val="center"/>
              <w:rPr>
                <w:rFonts w:asciiTheme="minorEastAsia" w:hAnsiTheme="minorEastAsia"/>
                <w:sz w:val="22"/>
                <w:highlight w:val="none"/>
              </w:rPr>
            </w:pPr>
          </w:p>
        </w:tc>
        <w:tc>
          <w:tcPr>
            <w:tcW w:w="257" w:type="pct"/>
            <w:vAlign w:val="center"/>
          </w:tcPr>
          <w:p w14:paraId="2083C594">
            <w:pPr>
              <w:spacing w:line="500" w:lineRule="exact"/>
              <w:jc w:val="center"/>
              <w:rPr>
                <w:rFonts w:asciiTheme="minorEastAsia" w:hAnsiTheme="minorEastAsia"/>
                <w:sz w:val="22"/>
                <w:highlight w:val="none"/>
              </w:rPr>
            </w:pPr>
          </w:p>
        </w:tc>
      </w:tr>
      <w:tr w14:paraId="74B3C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tcPr>
          <w:p w14:paraId="4592E74A">
            <w:pPr>
              <w:spacing w:line="500" w:lineRule="exact"/>
              <w:rPr>
                <w:rFonts w:asciiTheme="minorEastAsia" w:hAnsiTheme="minorEastAsia"/>
                <w:sz w:val="22"/>
                <w:highlight w:val="none"/>
              </w:rPr>
            </w:pPr>
            <w:r>
              <w:rPr>
                <w:rFonts w:hint="eastAsia" w:asciiTheme="minorEastAsia" w:hAnsiTheme="minorEastAsia"/>
                <w:sz w:val="22"/>
                <w:highlight w:val="none"/>
              </w:rPr>
              <w:t>3</w:t>
            </w:r>
          </w:p>
        </w:tc>
        <w:tc>
          <w:tcPr>
            <w:tcW w:w="529" w:type="pct"/>
          </w:tcPr>
          <w:p w14:paraId="4C0CA1A3">
            <w:pPr>
              <w:spacing w:line="500" w:lineRule="exact"/>
              <w:rPr>
                <w:rFonts w:asciiTheme="minorEastAsia" w:hAnsiTheme="minorEastAsia"/>
                <w:b/>
                <w:bCs/>
                <w:sz w:val="22"/>
                <w:highlight w:val="none"/>
              </w:rPr>
            </w:pPr>
            <w:r>
              <w:rPr>
                <w:rFonts w:hint="eastAsia" w:asciiTheme="minorEastAsia" w:hAnsiTheme="minorEastAsia"/>
                <w:b/>
                <w:bCs/>
                <w:sz w:val="22"/>
                <w:highlight w:val="none"/>
              </w:rPr>
              <w:t>高速冷冻离心机</w:t>
            </w:r>
          </w:p>
        </w:tc>
        <w:tc>
          <w:tcPr>
            <w:tcW w:w="3123" w:type="pct"/>
          </w:tcPr>
          <w:p w14:paraId="68D7C3C8">
            <w:pPr>
              <w:jc w:val="left"/>
              <w:rPr>
                <w:rFonts w:asciiTheme="minorEastAsia" w:hAnsiTheme="minorEastAsia"/>
                <w:sz w:val="22"/>
                <w:highlight w:val="none"/>
              </w:rPr>
            </w:pPr>
            <w:r>
              <w:rPr>
                <w:rFonts w:hint="eastAsia" w:asciiTheme="minorEastAsia" w:hAnsiTheme="minorEastAsia"/>
                <w:sz w:val="22"/>
                <w:highlight w:val="none"/>
              </w:rPr>
              <w:t>1.高清触摸屏控制</w:t>
            </w:r>
          </w:p>
          <w:p w14:paraId="71CC5AA5">
            <w:pPr>
              <w:jc w:val="left"/>
              <w:rPr>
                <w:rFonts w:asciiTheme="minorEastAsia" w:hAnsiTheme="minorEastAsia"/>
                <w:sz w:val="22"/>
                <w:highlight w:val="none"/>
              </w:rPr>
            </w:pPr>
            <w:r>
              <w:rPr>
                <w:rFonts w:hint="eastAsia" w:asciiTheme="minorEastAsia" w:hAnsiTheme="minorEastAsia"/>
                <w:sz w:val="22"/>
                <w:highlight w:val="none"/>
              </w:rPr>
              <w:t>2.≥11种升速曲线、12种减速曲线</w:t>
            </w:r>
          </w:p>
          <w:p w14:paraId="183D49DE">
            <w:pPr>
              <w:rPr>
                <w:highlight w:val="none"/>
              </w:rPr>
            </w:pPr>
            <w:r>
              <w:rPr>
                <w:rFonts w:hint="eastAsia" w:asciiTheme="minorEastAsia" w:hAnsiTheme="minorEastAsia"/>
                <w:sz w:val="22"/>
                <w:highlight w:val="none"/>
              </w:rPr>
              <w:t>3.可设置多组程序，并可对每组程序进行命名</w:t>
            </w:r>
          </w:p>
          <w:p w14:paraId="7198533D">
            <w:pPr>
              <w:rPr>
                <w:rFonts w:asciiTheme="minorEastAsia" w:hAnsiTheme="minorEastAsia"/>
                <w:strike/>
                <w:sz w:val="22"/>
                <w:highlight w:val="none"/>
              </w:rPr>
            </w:pPr>
            <w:r>
              <w:rPr>
                <w:rFonts w:hint="eastAsia" w:asciiTheme="minorEastAsia" w:hAnsiTheme="minorEastAsia"/>
                <w:sz w:val="22"/>
                <w:highlight w:val="none"/>
              </w:rPr>
              <w:t>4.设有超速、超温、电机过热、门盖自锁、不锈钢内套、保护套等多重保护</w:t>
            </w:r>
          </w:p>
          <w:p w14:paraId="1E414E9D">
            <w:pPr>
              <w:jc w:val="left"/>
              <w:rPr>
                <w:rFonts w:asciiTheme="minorEastAsia" w:hAnsiTheme="minorEastAsia"/>
                <w:sz w:val="22"/>
                <w:highlight w:val="none"/>
              </w:rPr>
            </w:pPr>
            <w:r>
              <w:rPr>
                <w:rFonts w:hint="eastAsia" w:asciiTheme="minorEastAsia" w:hAnsiTheme="minorEastAsia"/>
                <w:sz w:val="22"/>
                <w:highlight w:val="none"/>
                <w:lang w:val="en-US" w:eastAsia="zh-CN"/>
              </w:rPr>
              <w:t>5</w:t>
            </w:r>
            <w:r>
              <w:rPr>
                <w:rFonts w:hint="eastAsia" w:asciiTheme="minorEastAsia" w:hAnsiTheme="minorEastAsia"/>
                <w:sz w:val="22"/>
                <w:highlight w:val="none"/>
              </w:rPr>
              <w:t>.最高转速：≧16000r/min</w:t>
            </w:r>
          </w:p>
          <w:p w14:paraId="62773E15">
            <w:pPr>
              <w:jc w:val="left"/>
              <w:rPr>
                <w:rFonts w:asciiTheme="minorEastAsia" w:hAnsiTheme="minorEastAsia"/>
                <w:sz w:val="22"/>
                <w:highlight w:val="none"/>
              </w:rPr>
            </w:pPr>
            <w:r>
              <w:rPr>
                <w:rFonts w:hint="eastAsia" w:asciiTheme="minorEastAsia" w:hAnsiTheme="minorEastAsia"/>
                <w:sz w:val="22"/>
                <w:highlight w:val="none"/>
                <w:lang w:val="en-US" w:eastAsia="zh-CN"/>
              </w:rPr>
              <w:t>6</w:t>
            </w:r>
            <w:r>
              <w:rPr>
                <w:rFonts w:hint="eastAsia" w:asciiTheme="minorEastAsia" w:hAnsiTheme="minorEastAsia"/>
                <w:sz w:val="22"/>
                <w:highlight w:val="none"/>
              </w:rPr>
              <w:t>.最大相对离心力：≧21500×g</w:t>
            </w:r>
          </w:p>
          <w:p w14:paraId="3BA552D8">
            <w:pPr>
              <w:jc w:val="left"/>
              <w:rPr>
                <w:rFonts w:asciiTheme="minorEastAsia" w:hAnsiTheme="minorEastAsia"/>
                <w:sz w:val="22"/>
                <w:highlight w:val="none"/>
              </w:rPr>
            </w:pPr>
            <w:r>
              <w:rPr>
                <w:rFonts w:hint="eastAsia" w:asciiTheme="minorEastAsia" w:hAnsiTheme="minorEastAsia"/>
                <w:sz w:val="22"/>
                <w:highlight w:val="none"/>
                <w:lang w:val="en-US" w:eastAsia="zh-CN"/>
              </w:rPr>
              <w:t>7</w:t>
            </w:r>
            <w:r>
              <w:rPr>
                <w:rFonts w:hint="eastAsia" w:asciiTheme="minorEastAsia" w:hAnsiTheme="minorEastAsia"/>
                <w:sz w:val="22"/>
                <w:highlight w:val="none"/>
              </w:rPr>
              <w:t>.最大容量：≧4×100ml</w:t>
            </w:r>
          </w:p>
          <w:p w14:paraId="2C330E6E">
            <w:pPr>
              <w:jc w:val="left"/>
              <w:rPr>
                <w:rFonts w:asciiTheme="minorEastAsia" w:hAnsiTheme="minorEastAsia"/>
                <w:sz w:val="22"/>
                <w:highlight w:val="none"/>
              </w:rPr>
            </w:pPr>
            <w:r>
              <w:rPr>
                <w:rFonts w:hint="eastAsia" w:asciiTheme="minorEastAsia" w:hAnsiTheme="minorEastAsia"/>
                <w:sz w:val="22"/>
                <w:highlight w:val="none"/>
                <w:lang w:val="en-US" w:eastAsia="zh-CN"/>
              </w:rPr>
              <w:t>8</w:t>
            </w:r>
            <w:r>
              <w:rPr>
                <w:rFonts w:hint="eastAsia" w:asciiTheme="minorEastAsia" w:hAnsiTheme="minorEastAsia"/>
                <w:sz w:val="22"/>
                <w:highlight w:val="none"/>
              </w:rPr>
              <w:t>.转速精度：±10/min</w:t>
            </w:r>
          </w:p>
          <w:p w14:paraId="50479AC4">
            <w:pPr>
              <w:jc w:val="left"/>
              <w:rPr>
                <w:rFonts w:asciiTheme="minorEastAsia" w:hAnsiTheme="minorEastAsia"/>
                <w:sz w:val="22"/>
                <w:highlight w:val="none"/>
              </w:rPr>
            </w:pPr>
            <w:r>
              <w:rPr>
                <w:rFonts w:hint="eastAsia" w:asciiTheme="minorEastAsia" w:hAnsiTheme="minorEastAsia"/>
                <w:sz w:val="22"/>
                <w:highlight w:val="none"/>
                <w:lang w:val="en-US" w:eastAsia="zh-CN"/>
              </w:rPr>
              <w:t>9</w:t>
            </w:r>
            <w:r>
              <w:rPr>
                <w:rFonts w:hint="eastAsia" w:asciiTheme="minorEastAsia" w:hAnsiTheme="minorEastAsia"/>
                <w:sz w:val="22"/>
                <w:highlight w:val="none"/>
              </w:rPr>
              <w:t>.定时范围；1min～99h59min</w:t>
            </w:r>
          </w:p>
          <w:p w14:paraId="04EA7A1A">
            <w:pPr>
              <w:jc w:val="left"/>
              <w:rPr>
                <w:rFonts w:asciiTheme="minorEastAsia" w:hAnsiTheme="minorEastAsia"/>
                <w:sz w:val="22"/>
                <w:highlight w:val="none"/>
              </w:rPr>
            </w:pPr>
            <w:r>
              <w:rPr>
                <w:rFonts w:hint="eastAsia" w:asciiTheme="minorEastAsia" w:hAnsiTheme="minorEastAsia"/>
                <w:sz w:val="22"/>
                <w:highlight w:val="none"/>
                <w:lang w:val="en-US" w:eastAsia="zh-CN"/>
              </w:rPr>
              <w:t>10</w:t>
            </w:r>
            <w:r>
              <w:rPr>
                <w:rFonts w:hint="eastAsia" w:asciiTheme="minorEastAsia" w:hAnsiTheme="minorEastAsia"/>
                <w:sz w:val="22"/>
                <w:highlight w:val="none"/>
              </w:rPr>
              <w:t>.计时模式：启动计时、到转速计时、连续计时</w:t>
            </w:r>
          </w:p>
          <w:p w14:paraId="07244FEC">
            <w:pPr>
              <w:jc w:val="left"/>
              <w:rPr>
                <w:rFonts w:asciiTheme="minorEastAsia" w:hAnsiTheme="minorEastAsia"/>
                <w:sz w:val="22"/>
                <w:highlight w:val="none"/>
              </w:rPr>
            </w:pPr>
            <w:r>
              <w:rPr>
                <w:rFonts w:hint="eastAsia" w:asciiTheme="minorEastAsia" w:hAnsiTheme="minorEastAsia"/>
                <w:sz w:val="22"/>
                <w:highlight w:val="none"/>
                <w:lang w:val="en-US" w:eastAsia="zh-CN"/>
              </w:rPr>
              <w:t>11</w:t>
            </w:r>
            <w:r>
              <w:rPr>
                <w:rFonts w:hint="eastAsia" w:asciiTheme="minorEastAsia" w:hAnsiTheme="minorEastAsia"/>
                <w:sz w:val="22"/>
                <w:highlight w:val="none"/>
              </w:rPr>
              <w:t>.温度设置范围：-20℃～+40℃</w:t>
            </w:r>
          </w:p>
          <w:p w14:paraId="63C2858C">
            <w:pPr>
              <w:jc w:val="left"/>
              <w:rPr>
                <w:rFonts w:asciiTheme="minorEastAsia" w:hAnsiTheme="minorEastAsia"/>
                <w:sz w:val="22"/>
                <w:highlight w:val="none"/>
              </w:rPr>
            </w:pPr>
            <w:r>
              <w:rPr>
                <w:rFonts w:hint="eastAsia" w:asciiTheme="minorEastAsia" w:hAnsiTheme="minorEastAsia"/>
                <w:sz w:val="22"/>
                <w:highlight w:val="none"/>
              </w:rPr>
              <w:t>1</w:t>
            </w:r>
            <w:r>
              <w:rPr>
                <w:rFonts w:hint="eastAsia" w:asciiTheme="minorEastAsia" w:hAnsiTheme="minorEastAsia"/>
                <w:sz w:val="22"/>
                <w:highlight w:val="none"/>
                <w:lang w:val="en-US" w:eastAsia="zh-CN"/>
              </w:rPr>
              <w:t>2</w:t>
            </w:r>
            <w:r>
              <w:rPr>
                <w:rFonts w:hint="eastAsia" w:asciiTheme="minorEastAsia" w:hAnsiTheme="minorEastAsia"/>
                <w:sz w:val="22"/>
                <w:highlight w:val="none"/>
              </w:rPr>
              <w:t>.温控精度：±1℃</w:t>
            </w:r>
          </w:p>
          <w:p w14:paraId="6B9EC7B3">
            <w:pPr>
              <w:jc w:val="left"/>
              <w:rPr>
                <w:rFonts w:asciiTheme="minorEastAsia" w:hAnsiTheme="minorEastAsia"/>
                <w:sz w:val="22"/>
                <w:highlight w:val="none"/>
              </w:rPr>
            </w:pPr>
            <w:r>
              <w:rPr>
                <w:rFonts w:hint="eastAsia" w:asciiTheme="minorEastAsia" w:hAnsiTheme="minorEastAsia"/>
                <w:sz w:val="22"/>
                <w:highlight w:val="none"/>
              </w:rPr>
              <w:t>1</w:t>
            </w:r>
            <w:r>
              <w:rPr>
                <w:rFonts w:hint="eastAsia" w:asciiTheme="minorEastAsia" w:hAnsiTheme="minorEastAsia"/>
                <w:sz w:val="22"/>
                <w:highlight w:val="none"/>
                <w:lang w:val="en-US" w:eastAsia="zh-CN"/>
              </w:rPr>
              <w:t>3</w:t>
            </w:r>
            <w:r>
              <w:rPr>
                <w:rFonts w:hint="eastAsia" w:asciiTheme="minorEastAsia" w:hAnsiTheme="minorEastAsia"/>
                <w:sz w:val="22"/>
                <w:highlight w:val="none"/>
              </w:rPr>
              <w:t>.压缩机组：变频压缩机组环保制冷剂</w:t>
            </w:r>
          </w:p>
          <w:p w14:paraId="31ECCCD3">
            <w:pPr>
              <w:rPr>
                <w:rFonts w:asciiTheme="minorEastAsia" w:hAnsiTheme="minorEastAsia"/>
                <w:strike/>
                <w:sz w:val="22"/>
                <w:highlight w:val="none"/>
              </w:rPr>
            </w:pPr>
            <w:r>
              <w:rPr>
                <w:rFonts w:hint="eastAsia" w:asciiTheme="minorEastAsia" w:hAnsiTheme="minorEastAsia"/>
                <w:sz w:val="22"/>
                <w:highlight w:val="none"/>
              </w:rPr>
              <w:t>1</w:t>
            </w:r>
            <w:r>
              <w:rPr>
                <w:rFonts w:hint="eastAsia" w:asciiTheme="minorEastAsia" w:hAnsiTheme="minorEastAsia"/>
                <w:sz w:val="22"/>
                <w:highlight w:val="none"/>
                <w:lang w:val="en-US" w:eastAsia="zh-CN"/>
              </w:rPr>
              <w:t>4</w:t>
            </w:r>
            <w:r>
              <w:rPr>
                <w:rFonts w:hint="eastAsia" w:asciiTheme="minorEastAsia" w:hAnsiTheme="minorEastAsia"/>
                <w:sz w:val="22"/>
                <w:highlight w:val="none"/>
              </w:rPr>
              <w:t>.整机噪声：≤65dB（A）</w:t>
            </w:r>
          </w:p>
          <w:p w14:paraId="3461615E">
            <w:pPr>
              <w:jc w:val="left"/>
              <w:rPr>
                <w:rFonts w:asciiTheme="minorEastAsia" w:hAnsiTheme="minorEastAsia"/>
                <w:sz w:val="22"/>
                <w:highlight w:val="none"/>
              </w:rPr>
            </w:pPr>
            <w:r>
              <w:rPr>
                <w:rFonts w:hint="eastAsia" w:asciiTheme="minorEastAsia" w:hAnsiTheme="minorEastAsia"/>
                <w:sz w:val="22"/>
                <w:highlight w:val="none"/>
              </w:rPr>
              <w:t>1</w:t>
            </w:r>
            <w:r>
              <w:rPr>
                <w:rFonts w:hint="eastAsia" w:asciiTheme="minorEastAsia" w:hAnsiTheme="minorEastAsia"/>
                <w:sz w:val="22"/>
                <w:highlight w:val="none"/>
                <w:lang w:val="en-US" w:eastAsia="zh-CN"/>
              </w:rPr>
              <w:t>5</w:t>
            </w:r>
            <w:r>
              <w:rPr>
                <w:rFonts w:hint="eastAsia" w:asciiTheme="minorEastAsia" w:hAnsiTheme="minorEastAsia"/>
                <w:sz w:val="22"/>
                <w:highlight w:val="none"/>
              </w:rPr>
              <w:t>.具有点动功能</w:t>
            </w:r>
          </w:p>
          <w:p w14:paraId="186950E8">
            <w:pPr>
              <w:jc w:val="left"/>
              <w:rPr>
                <w:highlight w:val="none"/>
              </w:rPr>
            </w:pPr>
            <w:r>
              <w:rPr>
                <w:rFonts w:hint="eastAsia" w:asciiTheme="minorEastAsia" w:hAnsiTheme="minorEastAsia"/>
                <w:sz w:val="22"/>
                <w:highlight w:val="none"/>
              </w:rPr>
              <w:t>1</w:t>
            </w:r>
            <w:r>
              <w:rPr>
                <w:rFonts w:hint="eastAsia" w:asciiTheme="minorEastAsia" w:hAnsiTheme="minorEastAsia"/>
                <w:sz w:val="22"/>
                <w:highlight w:val="none"/>
                <w:lang w:val="en-US" w:eastAsia="zh-CN"/>
              </w:rPr>
              <w:t>6</w:t>
            </w:r>
            <w:r>
              <w:rPr>
                <w:rFonts w:hint="eastAsia" w:asciiTheme="minorEastAsia" w:hAnsiTheme="minorEastAsia"/>
                <w:sz w:val="22"/>
                <w:highlight w:val="none"/>
              </w:rPr>
              <w:t>.具有转子识别</w:t>
            </w:r>
          </w:p>
          <w:p w14:paraId="13A47AAE">
            <w:pPr>
              <w:jc w:val="left"/>
              <w:rPr>
                <w:rFonts w:asciiTheme="minorEastAsia" w:hAnsiTheme="minorEastAsia"/>
                <w:sz w:val="22"/>
                <w:highlight w:val="none"/>
              </w:rPr>
            </w:pPr>
            <w:r>
              <w:rPr>
                <w:rFonts w:hint="eastAsia" w:asciiTheme="minorEastAsia" w:hAnsiTheme="minorEastAsia"/>
                <w:sz w:val="22"/>
                <w:highlight w:val="none"/>
                <w:lang w:val="en-US" w:eastAsia="zh-CN"/>
              </w:rPr>
              <w:t>17</w:t>
            </w:r>
            <w:r>
              <w:rPr>
                <w:rFonts w:hint="eastAsia" w:asciiTheme="minorEastAsia" w:hAnsiTheme="minorEastAsia"/>
                <w:sz w:val="22"/>
                <w:highlight w:val="none"/>
              </w:rPr>
              <w:t>.配置：主机一台 角转子6×50ml尖底一个；6×15ml适配器一套；角转子24×1.5/2.2ml一个</w:t>
            </w:r>
          </w:p>
        </w:tc>
        <w:tc>
          <w:tcPr>
            <w:tcW w:w="256" w:type="pct"/>
            <w:vAlign w:val="center"/>
          </w:tcPr>
          <w:p w14:paraId="1BC96927">
            <w:pPr>
              <w:spacing w:line="500" w:lineRule="exact"/>
              <w:rPr>
                <w:rFonts w:asciiTheme="minorEastAsia" w:hAnsiTheme="minorEastAsia"/>
                <w:sz w:val="22"/>
                <w:highlight w:val="none"/>
              </w:rPr>
            </w:pPr>
            <w:r>
              <w:rPr>
                <w:rFonts w:hint="eastAsia" w:asciiTheme="minorEastAsia" w:hAnsiTheme="minorEastAsia"/>
                <w:sz w:val="22"/>
                <w:highlight w:val="none"/>
              </w:rPr>
              <w:t>台</w:t>
            </w:r>
          </w:p>
        </w:tc>
        <w:tc>
          <w:tcPr>
            <w:tcW w:w="320" w:type="pct"/>
            <w:vAlign w:val="center"/>
          </w:tcPr>
          <w:p w14:paraId="325C4432">
            <w:pPr>
              <w:spacing w:line="500" w:lineRule="exact"/>
              <w:jc w:val="center"/>
              <w:rPr>
                <w:rFonts w:asciiTheme="minorEastAsia" w:hAnsiTheme="minorEastAsia"/>
                <w:sz w:val="22"/>
                <w:highlight w:val="none"/>
              </w:rPr>
            </w:pPr>
            <w:r>
              <w:rPr>
                <w:rFonts w:hint="eastAsia" w:asciiTheme="minorEastAsia" w:hAnsiTheme="minorEastAsia"/>
                <w:sz w:val="22"/>
                <w:highlight w:val="none"/>
              </w:rPr>
              <w:t>1</w:t>
            </w:r>
          </w:p>
        </w:tc>
        <w:tc>
          <w:tcPr>
            <w:tcW w:w="256" w:type="pct"/>
            <w:vAlign w:val="center"/>
          </w:tcPr>
          <w:p w14:paraId="5017CE25">
            <w:pPr>
              <w:spacing w:line="500" w:lineRule="exact"/>
              <w:jc w:val="center"/>
              <w:rPr>
                <w:rFonts w:asciiTheme="minorEastAsia" w:hAnsiTheme="minorEastAsia"/>
                <w:sz w:val="22"/>
                <w:highlight w:val="none"/>
              </w:rPr>
            </w:pPr>
          </w:p>
        </w:tc>
        <w:tc>
          <w:tcPr>
            <w:tcW w:w="257" w:type="pct"/>
            <w:vAlign w:val="center"/>
          </w:tcPr>
          <w:p w14:paraId="032A2E7C">
            <w:pPr>
              <w:spacing w:line="500" w:lineRule="exact"/>
              <w:jc w:val="center"/>
              <w:rPr>
                <w:rFonts w:asciiTheme="minorEastAsia" w:hAnsiTheme="minorEastAsia"/>
                <w:sz w:val="22"/>
                <w:highlight w:val="none"/>
              </w:rPr>
            </w:pPr>
          </w:p>
        </w:tc>
      </w:tr>
      <w:tr w14:paraId="0D160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tcPr>
          <w:p w14:paraId="6885C4B5">
            <w:pPr>
              <w:spacing w:line="500" w:lineRule="exact"/>
              <w:rPr>
                <w:rFonts w:asciiTheme="minorEastAsia" w:hAnsiTheme="minorEastAsia"/>
                <w:sz w:val="22"/>
                <w:highlight w:val="none"/>
              </w:rPr>
            </w:pPr>
            <w:r>
              <w:rPr>
                <w:rFonts w:hint="eastAsia" w:asciiTheme="minorEastAsia" w:hAnsiTheme="minorEastAsia"/>
                <w:sz w:val="22"/>
                <w:highlight w:val="none"/>
              </w:rPr>
              <w:t>4</w:t>
            </w:r>
          </w:p>
        </w:tc>
        <w:tc>
          <w:tcPr>
            <w:tcW w:w="529" w:type="pct"/>
          </w:tcPr>
          <w:p w14:paraId="58A4425F">
            <w:pPr>
              <w:spacing w:line="500" w:lineRule="exact"/>
              <w:rPr>
                <w:rFonts w:asciiTheme="minorEastAsia" w:hAnsiTheme="minorEastAsia"/>
                <w:b/>
                <w:bCs/>
                <w:sz w:val="22"/>
                <w:highlight w:val="none"/>
              </w:rPr>
            </w:pPr>
            <w:r>
              <w:rPr>
                <w:rFonts w:hint="eastAsia" w:asciiTheme="minorEastAsia" w:hAnsiTheme="minorEastAsia"/>
                <w:b/>
                <w:bCs/>
                <w:sz w:val="22"/>
                <w:highlight w:val="none"/>
              </w:rPr>
              <w:t>倒置生物显微镜</w:t>
            </w:r>
          </w:p>
        </w:tc>
        <w:tc>
          <w:tcPr>
            <w:tcW w:w="3123" w:type="pct"/>
          </w:tcPr>
          <w:p w14:paraId="49844EBB">
            <w:pPr>
              <w:jc w:val="left"/>
              <w:rPr>
                <w:rFonts w:asciiTheme="minorEastAsia" w:hAnsiTheme="minorEastAsia"/>
                <w:sz w:val="22"/>
                <w:highlight w:val="none"/>
              </w:rPr>
            </w:pPr>
            <w:r>
              <w:rPr>
                <w:rFonts w:hint="eastAsia" w:asciiTheme="minorEastAsia" w:hAnsiTheme="minorEastAsia"/>
                <w:sz w:val="22"/>
                <w:highlight w:val="none"/>
              </w:rPr>
              <w:t>1.无限远光学系统。</w:t>
            </w:r>
          </w:p>
          <w:p w14:paraId="763F8812">
            <w:pPr>
              <w:jc w:val="left"/>
              <w:rPr>
                <w:rFonts w:asciiTheme="minorEastAsia" w:hAnsiTheme="minorEastAsia"/>
                <w:sz w:val="22"/>
                <w:highlight w:val="none"/>
              </w:rPr>
            </w:pPr>
            <w:r>
              <w:rPr>
                <w:rFonts w:hint="eastAsia" w:asciiTheme="minorEastAsia" w:hAnsiTheme="minorEastAsia"/>
                <w:sz w:val="22"/>
                <w:highlight w:val="none"/>
              </w:rPr>
              <w:t>2.总放大倍数：40×-400×</w:t>
            </w:r>
          </w:p>
          <w:p w14:paraId="5E3088E4">
            <w:pPr>
              <w:jc w:val="left"/>
              <w:rPr>
                <w:rFonts w:asciiTheme="minorEastAsia" w:hAnsiTheme="minorEastAsia"/>
                <w:sz w:val="22"/>
                <w:highlight w:val="none"/>
              </w:rPr>
            </w:pPr>
            <w:r>
              <w:rPr>
                <w:rFonts w:hint="eastAsia" w:asciiTheme="minorEastAsia" w:hAnsiTheme="minorEastAsia"/>
                <w:sz w:val="22"/>
                <w:highlight w:val="none"/>
              </w:rPr>
              <w:t>3.观察筒：铰链式双筒目镜组，瞳距48-75mm，10×目镜，视场数20mm。具有两个数码通道，分别为20/80分光、0/100分光模式。</w:t>
            </w:r>
          </w:p>
          <w:p w14:paraId="09C49D6A">
            <w:pPr>
              <w:jc w:val="left"/>
              <w:rPr>
                <w:highlight w:val="none"/>
              </w:rPr>
            </w:pPr>
            <w:r>
              <w:rPr>
                <w:rFonts w:hint="eastAsia" w:asciiTheme="minorEastAsia" w:hAnsiTheme="minorEastAsia"/>
                <w:sz w:val="22"/>
                <w:highlight w:val="none"/>
              </w:rPr>
              <w:t>4.目镜放大率准确度±0.3%</w:t>
            </w:r>
          </w:p>
          <w:p w14:paraId="74D0FE1D">
            <w:pPr>
              <w:jc w:val="left"/>
              <w:rPr>
                <w:rFonts w:asciiTheme="minorEastAsia" w:hAnsiTheme="minorEastAsia"/>
                <w:sz w:val="22"/>
                <w:highlight w:val="none"/>
              </w:rPr>
            </w:pPr>
            <w:r>
              <w:rPr>
                <w:rFonts w:hint="eastAsia" w:asciiTheme="minorEastAsia" w:hAnsiTheme="minorEastAsia"/>
                <w:sz w:val="22"/>
                <w:highlight w:val="none"/>
              </w:rPr>
              <w:t>5.物镜：无限远平场长工作距离物镜 4X/5X，WD≥20mm，无限远平场长工作距离相衬物镜10X，WD≥5mm；无限远平场长工作距离掩膜相衬物镜20X,WD≥3.0mm；无限远平场长工作距离掩膜相衬物镜40X,WD≥2.0mm。</w:t>
            </w:r>
          </w:p>
          <w:p w14:paraId="14CCA151">
            <w:pPr>
              <w:jc w:val="left"/>
              <w:rPr>
                <w:highlight w:val="none"/>
              </w:rPr>
            </w:pPr>
            <w:r>
              <w:rPr>
                <w:rFonts w:hint="eastAsia" w:asciiTheme="minorEastAsia" w:hAnsiTheme="minorEastAsia"/>
                <w:sz w:val="22"/>
                <w:highlight w:val="none"/>
              </w:rPr>
              <w:t>6.转换器：五孔转换器</w:t>
            </w:r>
          </w:p>
          <w:p w14:paraId="619B5DDF">
            <w:pPr>
              <w:numPr>
                <w:ilvl w:val="0"/>
                <w:numId w:val="4"/>
              </w:numPr>
              <w:jc w:val="left"/>
              <w:rPr>
                <w:highlight w:val="none"/>
              </w:rPr>
            </w:pPr>
            <w:r>
              <w:rPr>
                <w:rFonts w:hint="eastAsia" w:asciiTheme="minorEastAsia" w:hAnsiTheme="minorEastAsia"/>
                <w:sz w:val="22"/>
                <w:highlight w:val="none"/>
              </w:rPr>
              <w:t>齐焦：距离≤0.05mm</w:t>
            </w:r>
          </w:p>
          <w:p w14:paraId="56F6542A">
            <w:pPr>
              <w:jc w:val="left"/>
              <w:rPr>
                <w:highlight w:val="none"/>
              </w:rPr>
            </w:pPr>
            <w:r>
              <w:rPr>
                <w:rFonts w:hint="eastAsia" w:asciiTheme="minorEastAsia" w:hAnsiTheme="minorEastAsia"/>
                <w:sz w:val="22"/>
                <w:highlight w:val="none"/>
              </w:rPr>
              <w:t>8.载物台：载物台尺寸≥220×170mm；行程：≥120×80mm。</w:t>
            </w:r>
          </w:p>
          <w:p w14:paraId="232F9DA4">
            <w:pPr>
              <w:jc w:val="left"/>
              <w:rPr>
                <w:rFonts w:asciiTheme="minorEastAsia" w:hAnsiTheme="minorEastAsia"/>
                <w:sz w:val="22"/>
                <w:highlight w:val="none"/>
              </w:rPr>
            </w:pPr>
            <w:r>
              <w:rPr>
                <w:rFonts w:hint="eastAsia" w:asciiTheme="minorEastAsia" w:hAnsiTheme="minorEastAsia"/>
                <w:sz w:val="22"/>
                <w:highlight w:val="none"/>
              </w:rPr>
              <w:t>9.调焦：同轴粗微调焦机构，微调格值≤0.002mm。</w:t>
            </w:r>
          </w:p>
          <w:p w14:paraId="713BECFA">
            <w:pPr>
              <w:jc w:val="left"/>
              <w:rPr>
                <w:rFonts w:asciiTheme="minorEastAsia" w:hAnsiTheme="minorEastAsia"/>
                <w:sz w:val="22"/>
                <w:highlight w:val="none"/>
              </w:rPr>
            </w:pPr>
            <w:r>
              <w:rPr>
                <w:rFonts w:hint="eastAsia" w:asciiTheme="minorEastAsia" w:hAnsiTheme="minorEastAsia"/>
                <w:sz w:val="22"/>
                <w:highlight w:val="none"/>
              </w:rPr>
              <w:t>10.托架：Φ38mm培养皿托架，Φ54mm培养皿载玻片托架。</w:t>
            </w:r>
          </w:p>
          <w:p w14:paraId="0CDA79AB">
            <w:pPr>
              <w:jc w:val="left"/>
              <w:rPr>
                <w:rFonts w:asciiTheme="minorEastAsia" w:hAnsiTheme="minorEastAsia"/>
                <w:sz w:val="22"/>
                <w:highlight w:val="none"/>
              </w:rPr>
            </w:pPr>
            <w:r>
              <w:rPr>
                <w:rFonts w:hint="eastAsia" w:asciiTheme="minorEastAsia" w:hAnsiTheme="minorEastAsia"/>
                <w:sz w:val="22"/>
                <w:highlight w:val="none"/>
              </w:rPr>
              <w:t>11.聚光镜：NA0.3，WD≥70mm，聚光镜组可拆卸，最大工作距离≥150mm。</w:t>
            </w:r>
          </w:p>
          <w:p w14:paraId="7046520A">
            <w:pPr>
              <w:jc w:val="left"/>
              <w:rPr>
                <w:rFonts w:asciiTheme="minorEastAsia" w:hAnsiTheme="minorEastAsia"/>
                <w:sz w:val="22"/>
                <w:highlight w:val="none"/>
              </w:rPr>
            </w:pPr>
            <w:r>
              <w:rPr>
                <w:rFonts w:hint="eastAsia" w:asciiTheme="minorEastAsia" w:hAnsiTheme="minorEastAsia"/>
                <w:sz w:val="22"/>
                <w:highlight w:val="none"/>
              </w:rPr>
              <w:t>12.相衬滑板：10X、20X-40X预调中心相衬滑板。</w:t>
            </w:r>
          </w:p>
          <w:p w14:paraId="7F1D3F76">
            <w:pPr>
              <w:jc w:val="left"/>
              <w:rPr>
                <w:rFonts w:asciiTheme="minorEastAsia" w:hAnsiTheme="minorEastAsia"/>
                <w:sz w:val="22"/>
                <w:highlight w:val="none"/>
              </w:rPr>
            </w:pPr>
            <w:r>
              <w:rPr>
                <w:rFonts w:hint="eastAsia" w:asciiTheme="minorEastAsia" w:hAnsiTheme="minorEastAsia"/>
                <w:sz w:val="22"/>
                <w:highlight w:val="none"/>
              </w:rPr>
              <w:t>13.滤色片：单色反差滤色片（绿色），色温转变滤色片，红外消除滤色片。</w:t>
            </w:r>
          </w:p>
          <w:p w14:paraId="4ECEAD96">
            <w:pPr>
              <w:jc w:val="left"/>
              <w:rPr>
                <w:rFonts w:asciiTheme="minorEastAsia" w:hAnsiTheme="minorEastAsia"/>
                <w:sz w:val="22"/>
                <w:highlight w:val="none"/>
              </w:rPr>
            </w:pPr>
            <w:r>
              <w:rPr>
                <w:rFonts w:hint="eastAsia" w:asciiTheme="minorEastAsia" w:hAnsiTheme="minorEastAsia"/>
                <w:sz w:val="22"/>
                <w:highlight w:val="none"/>
              </w:rPr>
              <w:t>14.照明：预调中心照明系统,6V30W卤素灯（或3W LED光源）。</w:t>
            </w:r>
          </w:p>
          <w:p w14:paraId="2E5D0A7B">
            <w:pPr>
              <w:jc w:val="left"/>
              <w:rPr>
                <w:rFonts w:asciiTheme="minorEastAsia" w:hAnsiTheme="minorEastAsia"/>
                <w:sz w:val="22"/>
                <w:highlight w:val="none"/>
              </w:rPr>
            </w:pPr>
            <w:r>
              <w:rPr>
                <w:rFonts w:hint="eastAsia" w:asciiTheme="minorEastAsia" w:hAnsiTheme="minorEastAsia"/>
                <w:sz w:val="22"/>
                <w:highlight w:val="none"/>
              </w:rPr>
              <w:t>15.摄像头：1英寸大靶面CMOS（彩色），2000万物理像素（像素2.4X2.4um）；ISO感光度：ISO200~ISO3200；曝光时间：0.1毫秒至15秒；显示帧频：≥15fps@5440x3648；50@2736x1824；≥60fps@1824x1216，图像格式：BMP、JPEG、TIFF、PNG等；数据接口：USB3.0；软件带有实时3D降噪、景深融合、大图拼接等功能</w:t>
            </w:r>
          </w:p>
          <w:p w14:paraId="17B0AA93">
            <w:pPr>
              <w:rPr>
                <w:rFonts w:hint="eastAsia" w:asciiTheme="minorEastAsia" w:hAnsiTheme="minorEastAsia" w:eastAsiaTheme="minorEastAsia"/>
                <w:strike/>
                <w:dstrike w:val="0"/>
                <w:sz w:val="22"/>
                <w:highlight w:val="none"/>
                <w:lang w:eastAsia="zh-CN"/>
              </w:rPr>
            </w:pPr>
            <w:r>
              <w:rPr>
                <w:rFonts w:hint="eastAsia" w:asciiTheme="minorEastAsia" w:hAnsiTheme="minorEastAsia"/>
                <w:sz w:val="22"/>
                <w:highlight w:val="none"/>
              </w:rPr>
              <w:t>16.</w:t>
            </w:r>
            <w:r>
              <w:rPr>
                <w:rFonts w:hint="eastAsia" w:asciiTheme="minorEastAsia" w:hAnsiTheme="minorEastAsia"/>
                <w:sz w:val="22"/>
                <w:highlight w:val="none"/>
                <w:lang w:eastAsia="zh-CN"/>
              </w:rPr>
              <w:t>显微镜配套</w:t>
            </w:r>
            <w:r>
              <w:rPr>
                <w:rFonts w:hint="eastAsia" w:asciiTheme="minorEastAsia" w:hAnsiTheme="minorEastAsia"/>
                <w:sz w:val="22"/>
                <w:highlight w:val="none"/>
              </w:rPr>
              <w:t>图像处理设备：</w:t>
            </w:r>
            <w:r>
              <w:rPr>
                <w:rFonts w:hint="eastAsia" w:asciiTheme="minorEastAsia" w:hAnsiTheme="minorEastAsia"/>
                <w:sz w:val="22"/>
                <w:highlight w:val="none"/>
                <w:lang w:eastAsia="zh-CN"/>
              </w:rPr>
              <w:t>一套（预装分析软件）</w:t>
            </w:r>
          </w:p>
          <w:p w14:paraId="5457F6A1">
            <w:pPr>
              <w:numPr>
                <w:ilvl w:val="0"/>
                <w:numId w:val="5"/>
              </w:numPr>
              <w:jc w:val="left"/>
              <w:rPr>
                <w:rFonts w:hint="eastAsia" w:asciiTheme="minorEastAsia" w:hAnsiTheme="minorEastAsia"/>
                <w:sz w:val="22"/>
                <w:highlight w:val="none"/>
              </w:rPr>
            </w:pPr>
            <w:r>
              <w:rPr>
                <w:rFonts w:hint="eastAsia" w:asciiTheme="minorEastAsia" w:hAnsiTheme="minorEastAsia"/>
                <w:sz w:val="22"/>
                <w:highlight w:val="none"/>
              </w:rPr>
              <w:t>分析软件功能：①几何测量功能：面积，周长，圆度即形状因子，直径，弧度、角度、多边形、颗粒计数、文字标注等。②具备两种测量模式：动态测量或将图片拍摄下来进行静态测量。③加注标尺功能：标尺大小、长度及位置均可自由设定。④具有专业的图像处理功能，如荧光合成、大图拼接、景深拓展等功能。⑤测量的数据可随同图片一起保存、打印或单独传到</w:t>
            </w:r>
            <w:r>
              <w:rPr>
                <w:rFonts w:asciiTheme="minorEastAsia" w:hAnsiTheme="minorEastAsia"/>
                <w:sz w:val="22"/>
                <w:highlight w:val="none"/>
              </w:rPr>
              <w:t>Excel</w:t>
            </w:r>
            <w:r>
              <w:rPr>
                <w:rFonts w:hint="eastAsia" w:asciiTheme="minorEastAsia" w:hAnsiTheme="minorEastAsia"/>
                <w:sz w:val="22"/>
                <w:highlight w:val="none"/>
              </w:rPr>
              <w:t>中作进一步的处理。</w:t>
            </w:r>
          </w:p>
          <w:p w14:paraId="73A9FC9A">
            <w:pPr>
              <w:keepNext w:val="0"/>
              <w:keepLines w:val="0"/>
              <w:pageBreakBefore w:val="0"/>
              <w:widowControl w:val="0"/>
              <w:kinsoku/>
              <w:wordWrap/>
              <w:overflowPunct/>
              <w:topLinePunct w:val="0"/>
              <w:autoSpaceDE/>
              <w:autoSpaceDN/>
              <w:bidi w:val="0"/>
              <w:adjustRightInd/>
              <w:snapToGrid/>
              <w:spacing w:before="0" w:beforeAutospacing="0" w:line="240" w:lineRule="auto"/>
              <w:textAlignment w:val="auto"/>
              <w:rPr>
                <w:rFonts w:hint="eastAsia" w:ascii="宋体" w:hAnsi="宋体" w:eastAsia="宋体" w:cs="宋体"/>
                <w:b w:val="0"/>
                <w:bCs w:val="0"/>
                <w:color w:val="000000"/>
                <w:sz w:val="22"/>
                <w:szCs w:val="22"/>
                <w:highlight w:val="none"/>
              </w:rPr>
            </w:pPr>
            <w:r>
              <w:rPr>
                <w:rFonts w:hint="eastAsia" w:ascii="宋体" w:hAnsi="宋体" w:eastAsia="宋体" w:cs="宋体"/>
                <w:sz w:val="22"/>
                <w:szCs w:val="22"/>
                <w:highlight w:val="none"/>
                <w:lang w:val="en-US" w:eastAsia="zh-CN"/>
              </w:rPr>
              <w:t>18.形态分析</w:t>
            </w:r>
            <w:r>
              <w:rPr>
                <w:rFonts w:hint="eastAsia" w:ascii="宋体" w:hAnsi="宋体" w:eastAsia="宋体" w:cs="宋体"/>
                <w:b w:val="0"/>
                <w:bCs w:val="0"/>
                <w:color w:val="000000"/>
                <w:sz w:val="22"/>
                <w:szCs w:val="22"/>
                <w:highlight w:val="none"/>
              </w:rPr>
              <w:t>软件</w:t>
            </w:r>
          </w:p>
          <w:p w14:paraId="3EED3364">
            <w:pPr>
              <w:keepNext w:val="0"/>
              <w:keepLines w:val="0"/>
              <w:pageBreakBefore w:val="0"/>
              <w:widowControl w:val="0"/>
              <w:kinsoku/>
              <w:wordWrap/>
              <w:overflowPunct/>
              <w:topLinePunct w:val="0"/>
              <w:autoSpaceDE/>
              <w:autoSpaceDN/>
              <w:bidi w:val="0"/>
              <w:adjustRightInd/>
              <w:snapToGrid/>
              <w:spacing w:before="0" w:beforeAutospacing="0" w:line="240" w:lineRule="auto"/>
              <w:textAlignment w:val="auto"/>
              <w:rPr>
                <w:rFonts w:hint="eastAsia" w:ascii="宋体" w:hAnsi="宋体" w:eastAsia="宋体" w:cs="宋体"/>
                <w:b w:val="0"/>
                <w:bCs w:val="0"/>
                <w:color w:val="000000"/>
                <w:sz w:val="22"/>
                <w:szCs w:val="22"/>
                <w:highlight w:val="none"/>
              </w:rPr>
            </w:pPr>
            <w:r>
              <w:rPr>
                <w:rFonts w:hint="eastAsia" w:ascii="宋体" w:hAnsi="宋体" w:cs="宋体"/>
                <w:b w:val="0"/>
                <w:bCs w:val="0"/>
                <w:color w:val="000000"/>
                <w:sz w:val="22"/>
                <w:szCs w:val="22"/>
                <w:highlight w:val="none"/>
                <w:lang w:eastAsia="zh-CN"/>
              </w:rPr>
              <w:t>（</w:t>
            </w:r>
            <w:r>
              <w:rPr>
                <w:rFonts w:hint="eastAsia" w:ascii="宋体" w:hAnsi="宋体" w:cs="宋体"/>
                <w:b w:val="0"/>
                <w:bCs w:val="0"/>
                <w:color w:val="000000"/>
                <w:sz w:val="22"/>
                <w:szCs w:val="22"/>
                <w:highlight w:val="none"/>
                <w:lang w:val="en-US" w:eastAsia="zh-CN"/>
              </w:rPr>
              <w:t>1</w:t>
            </w:r>
            <w:r>
              <w:rPr>
                <w:rFonts w:hint="eastAsia" w:ascii="宋体" w:hAnsi="宋体" w:cs="宋体"/>
                <w:b w:val="0"/>
                <w:bCs w:val="0"/>
                <w:color w:val="000000"/>
                <w:sz w:val="22"/>
                <w:szCs w:val="22"/>
                <w:highlight w:val="none"/>
                <w:lang w:eastAsia="zh-CN"/>
              </w:rPr>
              <w:t>）</w:t>
            </w:r>
            <w:r>
              <w:rPr>
                <w:rFonts w:hint="eastAsia" w:ascii="宋体" w:hAnsi="宋体" w:eastAsia="宋体" w:cs="宋体"/>
                <w:b w:val="0"/>
                <w:bCs w:val="0"/>
                <w:color w:val="000000"/>
                <w:sz w:val="22"/>
                <w:szCs w:val="22"/>
                <w:highlight w:val="none"/>
              </w:rPr>
              <w:t>图像采集：对实时图像进行捕捉、间隔捕捉、录像；</w:t>
            </w:r>
          </w:p>
          <w:p w14:paraId="7E33C3F8">
            <w:pPr>
              <w:keepNext w:val="0"/>
              <w:keepLines w:val="0"/>
              <w:pageBreakBefore w:val="0"/>
              <w:widowControl w:val="0"/>
              <w:kinsoku/>
              <w:wordWrap/>
              <w:overflowPunct/>
              <w:topLinePunct w:val="0"/>
              <w:autoSpaceDE/>
              <w:autoSpaceDN/>
              <w:bidi w:val="0"/>
              <w:adjustRightInd/>
              <w:snapToGrid/>
              <w:spacing w:before="0" w:beforeAutospacing="0" w:line="240" w:lineRule="auto"/>
              <w:textAlignment w:val="auto"/>
              <w:rPr>
                <w:rFonts w:hint="eastAsia" w:ascii="宋体" w:hAnsi="宋体" w:eastAsia="宋体" w:cs="宋体"/>
                <w:b w:val="0"/>
                <w:bCs w:val="0"/>
                <w:color w:val="000000"/>
                <w:sz w:val="22"/>
                <w:szCs w:val="22"/>
                <w:highlight w:val="none"/>
              </w:rPr>
            </w:pPr>
            <w:r>
              <w:rPr>
                <w:rFonts w:hint="eastAsia" w:ascii="宋体" w:hAnsi="宋体" w:cs="宋体"/>
                <w:b w:val="0"/>
                <w:bCs w:val="0"/>
                <w:color w:val="000000"/>
                <w:sz w:val="22"/>
                <w:szCs w:val="22"/>
                <w:highlight w:val="none"/>
                <w:lang w:eastAsia="zh-CN"/>
              </w:rPr>
              <w:t>（</w:t>
            </w:r>
            <w:r>
              <w:rPr>
                <w:rFonts w:hint="eastAsia" w:ascii="宋体" w:hAnsi="宋体" w:cs="宋体"/>
                <w:b w:val="0"/>
                <w:bCs w:val="0"/>
                <w:color w:val="000000"/>
                <w:sz w:val="22"/>
                <w:szCs w:val="22"/>
                <w:highlight w:val="none"/>
                <w:lang w:val="en-US" w:eastAsia="zh-CN"/>
              </w:rPr>
              <w:t>2</w:t>
            </w:r>
            <w:r>
              <w:rPr>
                <w:rFonts w:hint="eastAsia" w:ascii="宋体" w:hAnsi="宋体" w:cs="宋体"/>
                <w:b w:val="0"/>
                <w:bCs w:val="0"/>
                <w:color w:val="000000"/>
                <w:sz w:val="22"/>
                <w:szCs w:val="22"/>
                <w:highlight w:val="none"/>
                <w:lang w:eastAsia="zh-CN"/>
              </w:rPr>
              <w:t>）</w:t>
            </w:r>
            <w:r>
              <w:rPr>
                <w:rFonts w:hint="eastAsia" w:ascii="宋体" w:hAnsi="宋体" w:eastAsia="宋体" w:cs="宋体"/>
                <w:b w:val="0"/>
                <w:bCs w:val="0"/>
                <w:color w:val="000000"/>
                <w:sz w:val="22"/>
                <w:szCs w:val="22"/>
                <w:highlight w:val="none"/>
              </w:rPr>
              <w:t>图像管理：对图像文件进行新建、打开、编辑、保存、打印报告及相册管理(含图像合并)等功能；</w:t>
            </w:r>
          </w:p>
          <w:p w14:paraId="551E9516">
            <w:pPr>
              <w:keepNext w:val="0"/>
              <w:keepLines w:val="0"/>
              <w:pageBreakBefore w:val="0"/>
              <w:widowControl w:val="0"/>
              <w:kinsoku/>
              <w:wordWrap/>
              <w:overflowPunct/>
              <w:topLinePunct w:val="0"/>
              <w:autoSpaceDE/>
              <w:autoSpaceDN/>
              <w:bidi w:val="0"/>
              <w:adjustRightInd/>
              <w:snapToGrid/>
              <w:spacing w:before="0" w:beforeAutospacing="0" w:line="240" w:lineRule="auto"/>
              <w:textAlignment w:val="auto"/>
              <w:rPr>
                <w:rFonts w:hint="eastAsia" w:ascii="宋体" w:hAnsi="宋体" w:eastAsia="宋体" w:cs="宋体"/>
                <w:b w:val="0"/>
                <w:bCs w:val="0"/>
                <w:color w:val="000000"/>
                <w:sz w:val="22"/>
                <w:szCs w:val="22"/>
                <w:highlight w:val="none"/>
              </w:rPr>
            </w:pPr>
            <w:r>
              <w:rPr>
                <w:rFonts w:hint="eastAsia" w:ascii="宋体" w:hAnsi="宋体" w:cs="宋体"/>
                <w:b w:val="0"/>
                <w:bCs w:val="0"/>
                <w:color w:val="000000"/>
                <w:sz w:val="22"/>
                <w:szCs w:val="22"/>
                <w:highlight w:val="none"/>
                <w:lang w:eastAsia="zh-CN"/>
              </w:rPr>
              <w:t>（</w:t>
            </w:r>
            <w:r>
              <w:rPr>
                <w:rFonts w:hint="eastAsia" w:ascii="宋体" w:hAnsi="宋体" w:cs="宋体"/>
                <w:b w:val="0"/>
                <w:bCs w:val="0"/>
                <w:color w:val="000000"/>
                <w:sz w:val="22"/>
                <w:szCs w:val="22"/>
                <w:highlight w:val="none"/>
                <w:lang w:val="en-US" w:eastAsia="zh-CN"/>
              </w:rPr>
              <w:t>3</w:t>
            </w:r>
            <w:r>
              <w:rPr>
                <w:rFonts w:hint="eastAsia" w:ascii="宋体" w:hAnsi="宋体" w:cs="宋体"/>
                <w:b w:val="0"/>
                <w:bCs w:val="0"/>
                <w:color w:val="000000"/>
                <w:sz w:val="22"/>
                <w:szCs w:val="22"/>
                <w:highlight w:val="none"/>
                <w:lang w:eastAsia="zh-CN"/>
              </w:rPr>
              <w:t>）</w:t>
            </w:r>
            <w:r>
              <w:rPr>
                <w:rFonts w:hint="eastAsia" w:ascii="宋体" w:hAnsi="宋体" w:eastAsia="宋体" w:cs="宋体"/>
                <w:b w:val="0"/>
                <w:bCs w:val="0"/>
                <w:color w:val="000000"/>
                <w:sz w:val="22"/>
                <w:szCs w:val="22"/>
                <w:highlight w:val="none"/>
              </w:rPr>
              <w:t>图像处理：调整、镜像、反转、白平衡、改变图像尺寸、三维化显示、放大镜、平滑、低通滤波、高通滤波、灰度形态学、其它过滤器、直方图均衡、发现边缘、自定义滤波器等；</w:t>
            </w:r>
          </w:p>
          <w:p w14:paraId="097105D2">
            <w:pPr>
              <w:keepNext w:val="0"/>
              <w:keepLines w:val="0"/>
              <w:pageBreakBefore w:val="0"/>
              <w:widowControl w:val="0"/>
              <w:kinsoku/>
              <w:wordWrap/>
              <w:overflowPunct/>
              <w:topLinePunct w:val="0"/>
              <w:autoSpaceDE/>
              <w:autoSpaceDN/>
              <w:bidi w:val="0"/>
              <w:adjustRightInd/>
              <w:snapToGrid/>
              <w:spacing w:before="0" w:beforeAutospacing="0" w:line="240" w:lineRule="auto"/>
              <w:textAlignment w:val="auto"/>
              <w:rPr>
                <w:rFonts w:hint="eastAsia" w:ascii="宋体" w:hAnsi="宋体" w:eastAsia="宋体" w:cs="宋体"/>
                <w:b w:val="0"/>
                <w:bCs w:val="0"/>
                <w:color w:val="000000"/>
                <w:sz w:val="22"/>
                <w:szCs w:val="22"/>
                <w:highlight w:val="none"/>
              </w:rPr>
            </w:pPr>
            <w:r>
              <w:rPr>
                <w:rFonts w:hint="eastAsia" w:ascii="宋体" w:hAnsi="宋体" w:cs="宋体"/>
                <w:b w:val="0"/>
                <w:bCs w:val="0"/>
                <w:color w:val="000000"/>
                <w:sz w:val="22"/>
                <w:szCs w:val="22"/>
                <w:highlight w:val="none"/>
                <w:lang w:eastAsia="zh-CN"/>
              </w:rPr>
              <w:t>（</w:t>
            </w:r>
            <w:r>
              <w:rPr>
                <w:rFonts w:hint="eastAsia" w:ascii="宋体" w:hAnsi="宋体" w:cs="宋体"/>
                <w:b w:val="0"/>
                <w:bCs w:val="0"/>
                <w:color w:val="000000"/>
                <w:sz w:val="22"/>
                <w:szCs w:val="22"/>
                <w:highlight w:val="none"/>
                <w:lang w:val="en-US" w:eastAsia="zh-CN"/>
              </w:rPr>
              <w:t>4</w:t>
            </w:r>
            <w:r>
              <w:rPr>
                <w:rFonts w:hint="eastAsia" w:ascii="宋体" w:hAnsi="宋体" w:cs="宋体"/>
                <w:b w:val="0"/>
                <w:bCs w:val="0"/>
                <w:color w:val="000000"/>
                <w:sz w:val="22"/>
                <w:szCs w:val="22"/>
                <w:highlight w:val="none"/>
                <w:lang w:eastAsia="zh-CN"/>
              </w:rPr>
              <w:t>）</w:t>
            </w:r>
            <w:r>
              <w:rPr>
                <w:rFonts w:hint="eastAsia" w:ascii="宋体" w:hAnsi="宋体" w:eastAsia="宋体" w:cs="宋体"/>
                <w:b w:val="0"/>
                <w:bCs w:val="0"/>
                <w:color w:val="000000"/>
                <w:sz w:val="22"/>
                <w:szCs w:val="22"/>
                <w:highlight w:val="none"/>
              </w:rPr>
              <w:t>校准与测量：配标准校准尺，用不同直径的标准园定标，可用十字尺定标，校准尺度后对图像进行直线、矩形、圆、圆(3点)、椭圆、多边形、不规则多边形、角度、折线等的测量；</w:t>
            </w:r>
          </w:p>
          <w:p w14:paraId="73920380">
            <w:pPr>
              <w:keepNext w:val="0"/>
              <w:keepLines w:val="0"/>
              <w:pageBreakBefore w:val="0"/>
              <w:widowControl w:val="0"/>
              <w:kinsoku/>
              <w:wordWrap/>
              <w:overflowPunct/>
              <w:topLinePunct w:val="0"/>
              <w:autoSpaceDE/>
              <w:autoSpaceDN/>
              <w:bidi w:val="0"/>
              <w:adjustRightInd/>
              <w:snapToGrid/>
              <w:spacing w:before="0" w:beforeAutospacing="0" w:line="240" w:lineRule="auto"/>
              <w:textAlignment w:val="auto"/>
              <w:rPr>
                <w:rFonts w:hint="eastAsia" w:ascii="宋体" w:hAnsi="宋体" w:eastAsia="宋体" w:cs="宋体"/>
                <w:b w:val="0"/>
                <w:bCs w:val="0"/>
                <w:color w:val="000000"/>
                <w:sz w:val="22"/>
                <w:szCs w:val="22"/>
                <w:highlight w:val="none"/>
              </w:rPr>
            </w:pPr>
            <w:r>
              <w:rPr>
                <w:rFonts w:hint="eastAsia" w:ascii="宋体" w:hAnsi="宋体" w:cs="宋体"/>
                <w:b w:val="0"/>
                <w:bCs w:val="0"/>
                <w:color w:val="000000"/>
                <w:sz w:val="22"/>
                <w:szCs w:val="22"/>
                <w:highlight w:val="none"/>
                <w:lang w:eastAsia="zh-CN"/>
              </w:rPr>
              <w:t>（</w:t>
            </w:r>
            <w:r>
              <w:rPr>
                <w:rFonts w:hint="eastAsia" w:ascii="宋体" w:hAnsi="宋体" w:cs="宋体"/>
                <w:b w:val="0"/>
                <w:bCs w:val="0"/>
                <w:color w:val="000000"/>
                <w:sz w:val="22"/>
                <w:szCs w:val="22"/>
                <w:highlight w:val="none"/>
                <w:lang w:val="en-US" w:eastAsia="zh-CN"/>
              </w:rPr>
              <w:t>5</w:t>
            </w:r>
            <w:r>
              <w:rPr>
                <w:rFonts w:hint="eastAsia" w:ascii="宋体" w:hAnsi="宋体" w:cs="宋体"/>
                <w:b w:val="0"/>
                <w:bCs w:val="0"/>
                <w:color w:val="000000"/>
                <w:sz w:val="22"/>
                <w:szCs w:val="22"/>
                <w:highlight w:val="none"/>
                <w:lang w:eastAsia="zh-CN"/>
              </w:rPr>
              <w:t>）</w:t>
            </w:r>
            <w:r>
              <w:rPr>
                <w:rFonts w:hint="eastAsia" w:ascii="宋体" w:hAnsi="宋体" w:eastAsia="宋体" w:cs="宋体"/>
                <w:b w:val="0"/>
                <w:bCs w:val="0"/>
                <w:color w:val="000000"/>
                <w:sz w:val="22"/>
                <w:szCs w:val="22"/>
                <w:highlight w:val="none"/>
              </w:rPr>
              <w:t>标尺：可在预览状态下加入标尺，标尺长度可自行设定，可以直接拍照并生成带标尺图像</w:t>
            </w:r>
            <w:r>
              <w:rPr>
                <w:rFonts w:hint="eastAsia" w:ascii="宋体" w:hAnsi="宋体" w:eastAsia="宋体" w:cs="宋体"/>
                <w:b w:val="0"/>
                <w:bCs w:val="0"/>
                <w:color w:val="000000"/>
                <w:sz w:val="22"/>
                <w:szCs w:val="22"/>
                <w:highlight w:val="none"/>
                <w:lang w:eastAsia="zh-CN"/>
              </w:rPr>
              <w:t>，</w:t>
            </w:r>
            <w:r>
              <w:rPr>
                <w:rFonts w:hint="eastAsia" w:ascii="宋体" w:hAnsi="宋体" w:eastAsia="宋体" w:cs="宋体"/>
                <w:b w:val="0"/>
                <w:bCs w:val="0"/>
                <w:color w:val="000000"/>
                <w:sz w:val="22"/>
                <w:szCs w:val="22"/>
                <w:highlight w:val="none"/>
              </w:rPr>
              <w:t>测量时不需要再设定。</w:t>
            </w:r>
          </w:p>
          <w:p w14:paraId="3697D89A">
            <w:pPr>
              <w:keepNext w:val="0"/>
              <w:keepLines w:val="0"/>
              <w:pageBreakBefore w:val="0"/>
              <w:widowControl w:val="0"/>
              <w:kinsoku/>
              <w:wordWrap/>
              <w:overflowPunct/>
              <w:topLinePunct w:val="0"/>
              <w:autoSpaceDE/>
              <w:autoSpaceDN/>
              <w:bidi w:val="0"/>
              <w:adjustRightInd/>
              <w:snapToGrid/>
              <w:spacing w:before="0" w:beforeAutospacing="0" w:line="240" w:lineRule="auto"/>
              <w:textAlignment w:val="auto"/>
              <w:rPr>
                <w:rFonts w:hint="eastAsia" w:ascii="宋体" w:hAnsi="宋体" w:eastAsia="宋体" w:cs="宋体"/>
                <w:b w:val="0"/>
                <w:bCs w:val="0"/>
                <w:color w:val="000000"/>
                <w:sz w:val="22"/>
                <w:szCs w:val="22"/>
                <w:highlight w:val="none"/>
              </w:rPr>
            </w:pPr>
            <w:r>
              <w:rPr>
                <w:rFonts w:hint="eastAsia" w:ascii="宋体" w:hAnsi="宋体" w:cs="宋体"/>
                <w:b w:val="0"/>
                <w:bCs w:val="0"/>
                <w:color w:val="000000"/>
                <w:sz w:val="22"/>
                <w:szCs w:val="22"/>
                <w:highlight w:val="none"/>
                <w:lang w:eastAsia="zh-CN"/>
              </w:rPr>
              <w:t>（</w:t>
            </w:r>
            <w:r>
              <w:rPr>
                <w:rFonts w:hint="eastAsia" w:ascii="宋体" w:hAnsi="宋体" w:cs="宋体"/>
                <w:b w:val="0"/>
                <w:bCs w:val="0"/>
                <w:color w:val="000000"/>
                <w:sz w:val="22"/>
                <w:szCs w:val="22"/>
                <w:highlight w:val="none"/>
                <w:lang w:val="en-US" w:eastAsia="zh-CN"/>
              </w:rPr>
              <w:t>6</w:t>
            </w:r>
            <w:r>
              <w:rPr>
                <w:rFonts w:hint="eastAsia" w:ascii="宋体" w:hAnsi="宋体" w:cs="宋体"/>
                <w:b w:val="0"/>
                <w:bCs w:val="0"/>
                <w:color w:val="000000"/>
                <w:sz w:val="22"/>
                <w:szCs w:val="22"/>
                <w:highlight w:val="none"/>
                <w:lang w:eastAsia="zh-CN"/>
              </w:rPr>
              <w:t>）</w:t>
            </w:r>
            <w:r>
              <w:rPr>
                <w:rFonts w:hint="eastAsia" w:ascii="宋体" w:hAnsi="宋体" w:eastAsia="宋体" w:cs="宋体"/>
                <w:b w:val="0"/>
                <w:bCs w:val="0"/>
                <w:color w:val="000000"/>
                <w:sz w:val="22"/>
                <w:szCs w:val="22"/>
                <w:highlight w:val="none"/>
              </w:rPr>
              <w:t>动态测量：在预览状态下对图像进行直线、矩形、圆、圆(3点)、椭圆、多边形、不规则多边形、角度、折线等的测量；</w:t>
            </w:r>
          </w:p>
          <w:p w14:paraId="4D41F476">
            <w:pPr>
              <w:numPr>
                <w:ilvl w:val="-1"/>
                <w:numId w:val="0"/>
              </w:numPr>
              <w:jc w:val="left"/>
              <w:rPr>
                <w:rFonts w:hint="eastAsia" w:asciiTheme="minorEastAsia" w:hAnsiTheme="minorEastAsia"/>
                <w:sz w:val="22"/>
                <w:highlight w:val="none"/>
              </w:rPr>
            </w:pPr>
            <w:r>
              <w:rPr>
                <w:rFonts w:hint="eastAsia" w:ascii="宋体" w:hAnsi="宋体" w:cs="宋体"/>
                <w:b w:val="0"/>
                <w:bCs w:val="0"/>
                <w:color w:val="000000"/>
                <w:sz w:val="22"/>
                <w:szCs w:val="22"/>
                <w:highlight w:val="none"/>
                <w:lang w:eastAsia="zh-CN"/>
              </w:rPr>
              <w:t>（</w:t>
            </w:r>
            <w:r>
              <w:rPr>
                <w:rFonts w:hint="eastAsia" w:ascii="宋体" w:hAnsi="宋体" w:cs="宋体"/>
                <w:b w:val="0"/>
                <w:bCs w:val="0"/>
                <w:color w:val="000000"/>
                <w:sz w:val="22"/>
                <w:szCs w:val="22"/>
                <w:highlight w:val="none"/>
                <w:lang w:val="en-US" w:eastAsia="zh-CN"/>
              </w:rPr>
              <w:t>7</w:t>
            </w:r>
            <w:r>
              <w:rPr>
                <w:rFonts w:hint="eastAsia" w:ascii="宋体" w:hAnsi="宋体" w:cs="宋体"/>
                <w:b w:val="0"/>
                <w:bCs w:val="0"/>
                <w:color w:val="000000"/>
                <w:sz w:val="22"/>
                <w:szCs w:val="22"/>
                <w:highlight w:val="none"/>
                <w:lang w:eastAsia="zh-CN"/>
              </w:rPr>
              <w:t>）</w:t>
            </w:r>
            <w:r>
              <w:rPr>
                <w:rFonts w:hint="eastAsia" w:ascii="宋体" w:hAnsi="宋体" w:eastAsia="宋体" w:cs="宋体"/>
                <w:b w:val="0"/>
                <w:bCs w:val="0"/>
                <w:color w:val="000000"/>
                <w:sz w:val="22"/>
                <w:szCs w:val="22"/>
                <w:highlight w:val="none"/>
              </w:rPr>
              <w:t>动态预览：动态预览模块在预览状态下对图像进行曝光时间，增益，偏移，伽马值，白平衡，读取背景，全屏显示，启用色彩校正等。</w:t>
            </w:r>
          </w:p>
        </w:tc>
        <w:tc>
          <w:tcPr>
            <w:tcW w:w="256" w:type="pct"/>
            <w:vAlign w:val="center"/>
          </w:tcPr>
          <w:p w14:paraId="0E2BE35A">
            <w:pPr>
              <w:spacing w:line="500" w:lineRule="exact"/>
              <w:rPr>
                <w:rFonts w:asciiTheme="minorEastAsia" w:hAnsiTheme="minorEastAsia"/>
                <w:sz w:val="22"/>
                <w:highlight w:val="none"/>
              </w:rPr>
            </w:pPr>
            <w:r>
              <w:rPr>
                <w:rFonts w:hint="eastAsia" w:asciiTheme="minorEastAsia" w:hAnsiTheme="minorEastAsia"/>
                <w:sz w:val="22"/>
                <w:highlight w:val="none"/>
              </w:rPr>
              <w:t>台</w:t>
            </w:r>
          </w:p>
        </w:tc>
        <w:tc>
          <w:tcPr>
            <w:tcW w:w="320" w:type="pct"/>
            <w:vAlign w:val="center"/>
          </w:tcPr>
          <w:p w14:paraId="1CC8708E">
            <w:pPr>
              <w:spacing w:line="500" w:lineRule="exact"/>
              <w:jc w:val="center"/>
              <w:rPr>
                <w:rFonts w:asciiTheme="minorEastAsia" w:hAnsiTheme="minorEastAsia"/>
                <w:sz w:val="22"/>
                <w:highlight w:val="none"/>
              </w:rPr>
            </w:pPr>
            <w:r>
              <w:rPr>
                <w:rFonts w:hint="eastAsia" w:asciiTheme="minorEastAsia" w:hAnsiTheme="minorEastAsia"/>
                <w:sz w:val="22"/>
                <w:highlight w:val="none"/>
              </w:rPr>
              <w:t>1</w:t>
            </w:r>
          </w:p>
        </w:tc>
        <w:tc>
          <w:tcPr>
            <w:tcW w:w="256" w:type="pct"/>
            <w:vAlign w:val="center"/>
          </w:tcPr>
          <w:p w14:paraId="00D267FE">
            <w:pPr>
              <w:spacing w:line="500" w:lineRule="exact"/>
              <w:jc w:val="center"/>
              <w:rPr>
                <w:rFonts w:asciiTheme="minorEastAsia" w:hAnsiTheme="minorEastAsia"/>
                <w:sz w:val="22"/>
                <w:highlight w:val="none"/>
              </w:rPr>
            </w:pPr>
          </w:p>
        </w:tc>
        <w:tc>
          <w:tcPr>
            <w:tcW w:w="257" w:type="pct"/>
            <w:vAlign w:val="center"/>
          </w:tcPr>
          <w:p w14:paraId="6BD3A014">
            <w:pPr>
              <w:spacing w:line="500" w:lineRule="exact"/>
              <w:jc w:val="center"/>
              <w:rPr>
                <w:rFonts w:asciiTheme="minorEastAsia" w:hAnsiTheme="minorEastAsia"/>
                <w:sz w:val="22"/>
                <w:highlight w:val="none"/>
              </w:rPr>
            </w:pPr>
          </w:p>
        </w:tc>
      </w:tr>
      <w:tr w14:paraId="75F93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tcPr>
          <w:p w14:paraId="5BF8F7E2">
            <w:pPr>
              <w:spacing w:line="500" w:lineRule="exact"/>
              <w:rPr>
                <w:rFonts w:hint="eastAsia" w:asciiTheme="minorEastAsia" w:hAnsiTheme="minorEastAsia" w:eastAsiaTheme="minorEastAsia"/>
                <w:sz w:val="22"/>
                <w:highlight w:val="none"/>
                <w:lang w:eastAsia="zh-CN"/>
              </w:rPr>
            </w:pPr>
            <w:r>
              <w:rPr>
                <w:rFonts w:hint="eastAsia" w:asciiTheme="minorEastAsia" w:hAnsiTheme="minorEastAsia"/>
                <w:sz w:val="22"/>
                <w:highlight w:val="none"/>
                <w:lang w:val="en-US" w:eastAsia="zh-CN"/>
              </w:rPr>
              <w:t>5</w:t>
            </w:r>
          </w:p>
        </w:tc>
        <w:tc>
          <w:tcPr>
            <w:tcW w:w="529" w:type="pct"/>
          </w:tcPr>
          <w:p w14:paraId="40F1A1EE">
            <w:pPr>
              <w:spacing w:line="500" w:lineRule="exact"/>
              <w:rPr>
                <w:rFonts w:asciiTheme="minorEastAsia" w:hAnsiTheme="minorEastAsia"/>
                <w:b/>
                <w:bCs/>
                <w:sz w:val="22"/>
                <w:highlight w:val="none"/>
              </w:rPr>
            </w:pPr>
            <w:r>
              <w:rPr>
                <w:rFonts w:hint="eastAsia" w:asciiTheme="minorEastAsia" w:hAnsiTheme="minorEastAsia"/>
                <w:b/>
                <w:bCs/>
                <w:sz w:val="22"/>
                <w:highlight w:val="none"/>
              </w:rPr>
              <w:t>体视显微镜</w:t>
            </w:r>
          </w:p>
        </w:tc>
        <w:tc>
          <w:tcPr>
            <w:tcW w:w="3123" w:type="pct"/>
          </w:tcPr>
          <w:p w14:paraId="6DBD6781">
            <w:pPr>
              <w:widowControl/>
              <w:jc w:val="left"/>
              <w:rPr>
                <w:color w:val="000000"/>
                <w:sz w:val="22"/>
                <w:highlight w:val="none"/>
              </w:rPr>
            </w:pPr>
            <w:r>
              <w:rPr>
                <w:rFonts w:hint="eastAsia"/>
                <w:color w:val="000000"/>
                <w:sz w:val="22"/>
                <w:highlight w:val="none"/>
              </w:rPr>
              <w:t xml:space="preserve">1.目镜：放大倍数10X，视场≥22，双屈光度±5°调节。 </w:t>
            </w:r>
          </w:p>
          <w:p w14:paraId="6D27E4CB">
            <w:pPr>
              <w:widowControl/>
              <w:jc w:val="left"/>
              <w:rPr>
                <w:color w:val="000000"/>
                <w:sz w:val="22"/>
                <w:highlight w:val="none"/>
              </w:rPr>
            </w:pPr>
            <w:r>
              <w:rPr>
                <w:rFonts w:hint="eastAsia"/>
                <w:color w:val="000000"/>
                <w:sz w:val="22"/>
                <w:highlight w:val="none"/>
              </w:rPr>
              <w:t xml:space="preserve">2.观察筒：双目，45°倾斜。 </w:t>
            </w:r>
          </w:p>
          <w:p w14:paraId="0A998937">
            <w:pPr>
              <w:widowControl/>
              <w:jc w:val="left"/>
              <w:rPr>
                <w:color w:val="000000"/>
                <w:sz w:val="22"/>
                <w:highlight w:val="none"/>
              </w:rPr>
            </w:pPr>
            <w:r>
              <w:rPr>
                <w:rFonts w:hint="eastAsia"/>
                <w:color w:val="000000"/>
                <w:sz w:val="22"/>
                <w:highlight w:val="none"/>
              </w:rPr>
              <w:t xml:space="preserve">3.变倍范围：0.8X-5X。 </w:t>
            </w:r>
          </w:p>
          <w:p w14:paraId="017ED981">
            <w:pPr>
              <w:widowControl/>
              <w:jc w:val="left"/>
              <w:rPr>
                <w:color w:val="000000"/>
                <w:sz w:val="22"/>
                <w:highlight w:val="none"/>
              </w:rPr>
            </w:pPr>
            <w:r>
              <w:rPr>
                <w:rFonts w:hint="eastAsia"/>
                <w:color w:val="000000"/>
                <w:sz w:val="22"/>
                <w:highlight w:val="none"/>
              </w:rPr>
              <w:t xml:space="preserve">4.光学放大倍数：8X-50X。 </w:t>
            </w:r>
          </w:p>
          <w:p w14:paraId="6919DBE7">
            <w:pPr>
              <w:widowControl/>
              <w:jc w:val="left"/>
              <w:rPr>
                <w:color w:val="000000"/>
                <w:sz w:val="22"/>
                <w:highlight w:val="none"/>
              </w:rPr>
            </w:pPr>
            <w:r>
              <w:rPr>
                <w:rFonts w:hint="eastAsia"/>
                <w:color w:val="000000"/>
                <w:sz w:val="22"/>
                <w:highlight w:val="none"/>
              </w:rPr>
              <w:t xml:space="preserve">5.变倍方式：连续变倍。 </w:t>
            </w:r>
          </w:p>
          <w:p w14:paraId="622053CD">
            <w:pPr>
              <w:widowControl/>
              <w:jc w:val="left"/>
              <w:rPr>
                <w:color w:val="000000"/>
                <w:sz w:val="22"/>
                <w:highlight w:val="none"/>
              </w:rPr>
            </w:pPr>
            <w:r>
              <w:rPr>
                <w:rFonts w:hint="eastAsia"/>
                <w:color w:val="000000"/>
                <w:sz w:val="22"/>
                <w:highlight w:val="none"/>
              </w:rPr>
              <w:t xml:space="preserve">6.变倍比：≥6.0：1。 </w:t>
            </w:r>
          </w:p>
          <w:p w14:paraId="71E75A0A">
            <w:pPr>
              <w:widowControl/>
              <w:jc w:val="left"/>
              <w:rPr>
                <w:color w:val="000000"/>
                <w:sz w:val="22"/>
                <w:highlight w:val="none"/>
              </w:rPr>
            </w:pPr>
            <w:r>
              <w:rPr>
                <w:rFonts w:hint="eastAsia"/>
                <w:color w:val="000000"/>
                <w:sz w:val="22"/>
                <w:highlight w:val="none"/>
              </w:rPr>
              <w:t xml:space="preserve">7.双目瞳距：55-75mm。 </w:t>
            </w:r>
          </w:p>
          <w:p w14:paraId="05ED332A">
            <w:pPr>
              <w:widowControl/>
              <w:jc w:val="left"/>
              <w:rPr>
                <w:color w:val="000000"/>
                <w:sz w:val="22"/>
                <w:highlight w:val="none"/>
              </w:rPr>
            </w:pPr>
            <w:r>
              <w:rPr>
                <w:rFonts w:hint="eastAsia"/>
                <w:color w:val="000000"/>
                <w:sz w:val="22"/>
                <w:highlight w:val="none"/>
              </w:rPr>
              <w:t>8.工作距离：115mm。</w:t>
            </w:r>
          </w:p>
          <w:p w14:paraId="275F73F3">
            <w:pPr>
              <w:widowControl/>
              <w:jc w:val="left"/>
              <w:rPr>
                <w:color w:val="000000"/>
                <w:sz w:val="22"/>
                <w:highlight w:val="none"/>
              </w:rPr>
            </w:pPr>
            <w:r>
              <w:rPr>
                <w:rFonts w:hint="eastAsia"/>
                <w:color w:val="000000"/>
                <w:sz w:val="22"/>
                <w:highlight w:val="none"/>
              </w:rPr>
              <w:t>9.架台：配有两个支架安装孔位，载物台板直径≥88mm，内置反光镜</w:t>
            </w:r>
            <w:r>
              <w:rPr>
                <w:rFonts w:hint="eastAsia"/>
                <w:color w:val="000000"/>
                <w:sz w:val="22"/>
                <w:highlight w:val="none"/>
                <w:lang w:eastAsia="zh-CN"/>
              </w:rPr>
              <w:t>，</w:t>
            </w:r>
            <w:r>
              <w:rPr>
                <w:rFonts w:hint="eastAsia"/>
                <w:color w:val="000000"/>
                <w:sz w:val="22"/>
                <w:highlight w:val="none"/>
              </w:rPr>
              <w:t>通过侧面旋转手柄可以调节任意角度；两侧带扩展聚乙烯台板。</w:t>
            </w:r>
          </w:p>
          <w:p w14:paraId="108B0626">
            <w:pPr>
              <w:widowControl/>
              <w:jc w:val="left"/>
              <w:rPr>
                <w:strike w:val="0"/>
                <w:dstrike w:val="0"/>
                <w:color w:val="000000"/>
                <w:sz w:val="22"/>
                <w:highlight w:val="none"/>
              </w:rPr>
            </w:pPr>
            <w:r>
              <w:rPr>
                <w:rFonts w:hint="eastAsia"/>
                <w:color w:val="000000"/>
                <w:sz w:val="22"/>
                <w:highlight w:val="none"/>
              </w:rPr>
              <w:t>10.光源：</w:t>
            </w:r>
            <w:r>
              <w:rPr>
                <w:rFonts w:hint="eastAsia"/>
                <w:strike w:val="0"/>
                <w:color w:val="000000"/>
                <w:sz w:val="22"/>
                <w:highlight w:val="none"/>
                <w:lang w:eastAsia="zh-CN"/>
              </w:rPr>
              <w:t>≥</w:t>
            </w:r>
            <w:r>
              <w:rPr>
                <w:rFonts w:hint="eastAsia"/>
                <w:strike w:val="0"/>
                <w:color w:val="000000"/>
                <w:sz w:val="22"/>
                <w:highlight w:val="none"/>
                <w:lang w:val="en-US" w:eastAsia="zh-CN"/>
              </w:rPr>
              <w:t>2</w:t>
            </w:r>
            <w:r>
              <w:rPr>
                <w:rFonts w:hint="eastAsia"/>
                <w:strike w:val="0"/>
                <w:color w:val="000000"/>
                <w:sz w:val="22"/>
                <w:highlight w:val="none"/>
              </w:rPr>
              <w:t>0W</w:t>
            </w:r>
            <w:r>
              <w:rPr>
                <w:rFonts w:hint="eastAsia"/>
                <w:color w:val="000000"/>
                <w:sz w:val="22"/>
                <w:highlight w:val="none"/>
              </w:rPr>
              <w:t>卤素灯光源，</w:t>
            </w:r>
            <w:r>
              <w:rPr>
                <w:rFonts w:hint="eastAsia"/>
                <w:strike w:val="0"/>
                <w:dstrike w:val="0"/>
                <w:color w:val="000000"/>
                <w:sz w:val="22"/>
                <w:highlight w:val="none"/>
              </w:rPr>
              <w:t xml:space="preserve">亮度可调。 </w:t>
            </w:r>
          </w:p>
          <w:p w14:paraId="12D6EA95">
            <w:pPr>
              <w:widowControl/>
              <w:jc w:val="left"/>
              <w:rPr>
                <w:color w:val="000000"/>
                <w:sz w:val="22"/>
                <w:highlight w:val="none"/>
              </w:rPr>
            </w:pPr>
            <w:r>
              <w:rPr>
                <w:rFonts w:hint="eastAsia"/>
                <w:color w:val="000000"/>
                <w:sz w:val="22"/>
                <w:highlight w:val="none"/>
              </w:rPr>
              <w:t>11．摄像头： 1英寸大靶面CMOS（彩色），2000万物理像素（像素2.4X2.4um）；ISO感光度：ISO200~ISO3200；曝光时间：0.1毫秒至15秒；显示帧频：≥15fps@5440x3648；≥60fps@1824x1216，图像格式：BMP、JPEG、TIFF、PNG等；数据接口：USB3.0；软件带有实时3D降噪、景深融合、大图拼接等功能。</w:t>
            </w:r>
          </w:p>
          <w:p w14:paraId="0CDA81DB">
            <w:pPr>
              <w:widowControl/>
              <w:jc w:val="left"/>
              <w:rPr>
                <w:rFonts w:hint="eastAsia" w:asciiTheme="minorEastAsia" w:hAnsiTheme="minorEastAsia"/>
                <w:sz w:val="22"/>
                <w:highlight w:val="none"/>
                <w:lang w:eastAsia="zh-CN"/>
              </w:rPr>
            </w:pPr>
            <w:r>
              <w:rPr>
                <w:rFonts w:hint="eastAsia"/>
                <w:color w:val="000000"/>
                <w:sz w:val="22"/>
                <w:highlight w:val="none"/>
              </w:rPr>
              <w:t>12.</w:t>
            </w:r>
            <w:r>
              <w:rPr>
                <w:rFonts w:hint="eastAsia" w:asciiTheme="minorEastAsia" w:hAnsiTheme="minorEastAsia"/>
                <w:sz w:val="22"/>
                <w:highlight w:val="none"/>
                <w:lang w:eastAsia="zh-CN"/>
              </w:rPr>
              <w:t>显微镜配套</w:t>
            </w:r>
            <w:r>
              <w:rPr>
                <w:rFonts w:hint="eastAsia" w:asciiTheme="minorEastAsia" w:hAnsiTheme="minorEastAsia"/>
                <w:sz w:val="22"/>
                <w:highlight w:val="none"/>
              </w:rPr>
              <w:t>图像处理设备：</w:t>
            </w:r>
            <w:r>
              <w:rPr>
                <w:rFonts w:hint="eastAsia" w:asciiTheme="minorEastAsia" w:hAnsiTheme="minorEastAsia"/>
                <w:sz w:val="22"/>
                <w:highlight w:val="none"/>
                <w:lang w:eastAsia="zh-CN"/>
              </w:rPr>
              <w:t>一套（预装图像分析软件）</w:t>
            </w:r>
          </w:p>
          <w:p w14:paraId="27B0625C">
            <w:pPr>
              <w:rPr>
                <w:rFonts w:hint="eastAsia"/>
                <w:highlight w:val="none"/>
              </w:rPr>
            </w:pPr>
            <w:r>
              <w:rPr>
                <w:rFonts w:hint="eastAsia"/>
                <w:highlight w:val="none"/>
              </w:rPr>
              <w:t>13.形态分析软件</w:t>
            </w:r>
          </w:p>
          <w:p w14:paraId="769D8D66">
            <w:pPr>
              <w:rPr>
                <w:rFonts w:hint="eastAsia"/>
                <w:highlight w:val="none"/>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图像采集：对实时图像进行捕捉、间隔捕捉、录像；</w:t>
            </w:r>
          </w:p>
          <w:p w14:paraId="0BF308E4">
            <w:pPr>
              <w:rPr>
                <w:rFonts w:hint="eastAsia"/>
                <w:highlight w:val="none"/>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图像管理：对图像文件进行新建、打开、编辑、保存、打印报告及相册管理(含图像合并)等功能；</w:t>
            </w:r>
          </w:p>
          <w:p w14:paraId="1D269E8B">
            <w:pPr>
              <w:rPr>
                <w:rFonts w:hint="eastAsia"/>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图像处理：调整、镜像、反转、白平衡、改变图像尺寸、三维化显示、放大镜、平滑、低通滤波、高通滤波、灰度形态学、其它过滤器、直方图均衡、发现边缘、自定义滤波器等；</w:t>
            </w:r>
          </w:p>
          <w:p w14:paraId="38476C6B">
            <w:pPr>
              <w:rPr>
                <w:rFonts w:hint="eastAsia"/>
                <w:highlight w:val="none"/>
              </w:rPr>
            </w:pPr>
            <w:r>
              <w:rPr>
                <w:rFonts w:hint="eastAsia"/>
                <w:highlight w:val="none"/>
                <w:lang w:eastAsia="zh-CN"/>
              </w:rPr>
              <w:t>（</w:t>
            </w:r>
            <w:r>
              <w:rPr>
                <w:rFonts w:hint="eastAsia"/>
                <w:highlight w:val="none"/>
                <w:lang w:val="en-US" w:eastAsia="zh-CN"/>
              </w:rPr>
              <w:t>4</w:t>
            </w:r>
            <w:r>
              <w:rPr>
                <w:rFonts w:hint="eastAsia"/>
                <w:highlight w:val="none"/>
                <w:lang w:eastAsia="zh-CN"/>
              </w:rPr>
              <w:t>）</w:t>
            </w:r>
            <w:r>
              <w:rPr>
                <w:rFonts w:hint="eastAsia"/>
                <w:highlight w:val="none"/>
              </w:rPr>
              <w:t>校准与测量：配标准校准尺，用不同直径的标准园定标，可用十字尺定标，校准尺度后对图像进行直线、矩形、圆、圆(3点)、椭圆、多边形、不规则多边形、角度、折线等的测量；</w:t>
            </w:r>
          </w:p>
          <w:p w14:paraId="479B4C01">
            <w:pPr>
              <w:rPr>
                <w:rFonts w:hint="eastAsia"/>
                <w:highlight w:val="none"/>
              </w:rPr>
            </w:pPr>
            <w:r>
              <w:rPr>
                <w:rFonts w:hint="eastAsia"/>
                <w:highlight w:val="none"/>
                <w:lang w:eastAsia="zh-CN"/>
              </w:rPr>
              <w:t>（</w:t>
            </w:r>
            <w:r>
              <w:rPr>
                <w:rFonts w:hint="eastAsia"/>
                <w:highlight w:val="none"/>
                <w:lang w:val="en-US" w:eastAsia="zh-CN"/>
              </w:rPr>
              <w:t>5</w:t>
            </w:r>
            <w:r>
              <w:rPr>
                <w:rFonts w:hint="eastAsia"/>
                <w:highlight w:val="none"/>
                <w:lang w:eastAsia="zh-CN"/>
              </w:rPr>
              <w:t>）</w:t>
            </w:r>
            <w:r>
              <w:rPr>
                <w:rFonts w:hint="eastAsia"/>
                <w:highlight w:val="none"/>
              </w:rPr>
              <w:t>标尺：可在预览状态下加入标尺，标尺长度可自行设定，可以直接拍照并生成带标尺图像，测量时不需要再设定。</w:t>
            </w:r>
          </w:p>
          <w:p w14:paraId="1E2F71AA">
            <w:pPr>
              <w:rPr>
                <w:rFonts w:hint="eastAsia"/>
                <w:highlight w:val="none"/>
              </w:rPr>
            </w:pPr>
            <w:r>
              <w:rPr>
                <w:rFonts w:hint="eastAsia"/>
                <w:highlight w:val="none"/>
                <w:lang w:eastAsia="zh-CN"/>
              </w:rPr>
              <w:t>（</w:t>
            </w:r>
            <w:r>
              <w:rPr>
                <w:rFonts w:hint="eastAsia"/>
                <w:highlight w:val="none"/>
                <w:lang w:val="en-US" w:eastAsia="zh-CN"/>
              </w:rPr>
              <w:t>6</w:t>
            </w:r>
            <w:r>
              <w:rPr>
                <w:rFonts w:hint="eastAsia"/>
                <w:highlight w:val="none"/>
                <w:lang w:eastAsia="zh-CN"/>
              </w:rPr>
              <w:t>）</w:t>
            </w:r>
            <w:r>
              <w:rPr>
                <w:rFonts w:hint="eastAsia"/>
                <w:highlight w:val="none"/>
              </w:rPr>
              <w:t>动态测量：在预览状态下对图像进行直线、矩形、圆、圆(3点)、椭圆、多边形、不规则多边形、角度、折线等的测量；</w:t>
            </w:r>
          </w:p>
          <w:p w14:paraId="7945DB91">
            <w:pPr>
              <w:widowControl/>
              <w:jc w:val="left"/>
              <w:rPr>
                <w:rFonts w:hint="eastAsia"/>
                <w:strike/>
                <w:dstrike w:val="0"/>
                <w:color w:val="000000"/>
                <w:sz w:val="22"/>
                <w:highlight w:val="none"/>
              </w:rPr>
            </w:pPr>
            <w:r>
              <w:rPr>
                <w:rFonts w:hint="eastAsia"/>
                <w:highlight w:val="none"/>
                <w:lang w:eastAsia="zh-CN"/>
              </w:rPr>
              <w:t>（</w:t>
            </w:r>
            <w:r>
              <w:rPr>
                <w:rFonts w:hint="eastAsia"/>
                <w:highlight w:val="none"/>
                <w:lang w:val="en-US" w:eastAsia="zh-CN"/>
              </w:rPr>
              <w:t>7</w:t>
            </w:r>
            <w:r>
              <w:rPr>
                <w:rFonts w:hint="eastAsia"/>
                <w:highlight w:val="none"/>
                <w:lang w:eastAsia="zh-CN"/>
              </w:rPr>
              <w:t>）</w:t>
            </w:r>
            <w:r>
              <w:rPr>
                <w:rFonts w:hint="eastAsia"/>
                <w:highlight w:val="none"/>
              </w:rPr>
              <w:t>动态预览：动态预览模块在预览状态下对图像进行曝光时间，增益，偏移，伽马值，白平衡，读取背景，全屏显示，启用色彩校正等。</w:t>
            </w:r>
          </w:p>
        </w:tc>
        <w:tc>
          <w:tcPr>
            <w:tcW w:w="256" w:type="pct"/>
            <w:vAlign w:val="center"/>
          </w:tcPr>
          <w:p w14:paraId="01AA5374">
            <w:pPr>
              <w:spacing w:line="500" w:lineRule="exact"/>
              <w:rPr>
                <w:rFonts w:asciiTheme="minorEastAsia" w:hAnsiTheme="minorEastAsia"/>
                <w:sz w:val="22"/>
                <w:highlight w:val="none"/>
              </w:rPr>
            </w:pPr>
            <w:r>
              <w:rPr>
                <w:rFonts w:hint="eastAsia" w:asciiTheme="minorEastAsia" w:hAnsiTheme="minorEastAsia"/>
                <w:sz w:val="22"/>
                <w:highlight w:val="none"/>
              </w:rPr>
              <w:t>台</w:t>
            </w:r>
          </w:p>
        </w:tc>
        <w:tc>
          <w:tcPr>
            <w:tcW w:w="320" w:type="pct"/>
            <w:vAlign w:val="center"/>
          </w:tcPr>
          <w:p w14:paraId="4F4658CE">
            <w:pPr>
              <w:spacing w:line="500" w:lineRule="exact"/>
              <w:jc w:val="center"/>
              <w:rPr>
                <w:rFonts w:asciiTheme="minorEastAsia" w:hAnsiTheme="minorEastAsia"/>
                <w:sz w:val="22"/>
                <w:highlight w:val="none"/>
              </w:rPr>
            </w:pPr>
            <w:r>
              <w:rPr>
                <w:rFonts w:hint="eastAsia" w:asciiTheme="minorEastAsia" w:hAnsiTheme="minorEastAsia"/>
                <w:sz w:val="22"/>
                <w:highlight w:val="none"/>
              </w:rPr>
              <w:t>1</w:t>
            </w:r>
          </w:p>
        </w:tc>
        <w:tc>
          <w:tcPr>
            <w:tcW w:w="256" w:type="pct"/>
            <w:vAlign w:val="center"/>
          </w:tcPr>
          <w:p w14:paraId="28B0BB80">
            <w:pPr>
              <w:spacing w:line="500" w:lineRule="exact"/>
              <w:jc w:val="center"/>
              <w:rPr>
                <w:rFonts w:asciiTheme="minorEastAsia" w:hAnsiTheme="minorEastAsia"/>
                <w:sz w:val="22"/>
                <w:highlight w:val="none"/>
              </w:rPr>
            </w:pPr>
          </w:p>
        </w:tc>
        <w:tc>
          <w:tcPr>
            <w:tcW w:w="257" w:type="pct"/>
            <w:vAlign w:val="center"/>
          </w:tcPr>
          <w:p w14:paraId="7206C6CB">
            <w:pPr>
              <w:spacing w:line="500" w:lineRule="exact"/>
              <w:jc w:val="center"/>
              <w:rPr>
                <w:rFonts w:asciiTheme="minorEastAsia" w:hAnsiTheme="minorEastAsia"/>
                <w:sz w:val="22"/>
                <w:highlight w:val="none"/>
              </w:rPr>
            </w:pPr>
          </w:p>
        </w:tc>
      </w:tr>
      <w:tr w14:paraId="4AC1B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tcPr>
          <w:p w14:paraId="1AE59263">
            <w:pPr>
              <w:spacing w:line="500" w:lineRule="exact"/>
              <w:rPr>
                <w:rFonts w:hint="eastAsia" w:asciiTheme="minorEastAsia" w:hAnsiTheme="minorEastAsia" w:eastAsiaTheme="minorEastAsia"/>
                <w:sz w:val="22"/>
                <w:highlight w:val="none"/>
                <w:lang w:eastAsia="zh-CN"/>
              </w:rPr>
            </w:pPr>
            <w:r>
              <w:rPr>
                <w:rFonts w:hint="eastAsia" w:asciiTheme="minorEastAsia" w:hAnsiTheme="minorEastAsia"/>
                <w:sz w:val="22"/>
                <w:highlight w:val="none"/>
                <w:lang w:val="en-US" w:eastAsia="zh-CN"/>
              </w:rPr>
              <w:t>6</w:t>
            </w:r>
          </w:p>
        </w:tc>
        <w:tc>
          <w:tcPr>
            <w:tcW w:w="529" w:type="pct"/>
          </w:tcPr>
          <w:p w14:paraId="7FC50E3C">
            <w:pPr>
              <w:widowControl/>
              <w:rPr>
                <w:rFonts w:asciiTheme="minorEastAsia" w:hAnsiTheme="minorEastAsia"/>
                <w:b/>
                <w:bCs/>
                <w:sz w:val="22"/>
                <w:highlight w:val="none"/>
              </w:rPr>
            </w:pPr>
            <w:r>
              <w:rPr>
                <w:rFonts w:hint="eastAsia" w:asciiTheme="minorEastAsia" w:hAnsiTheme="minorEastAsia"/>
                <w:b/>
                <w:bCs/>
                <w:sz w:val="22"/>
                <w:highlight w:val="none"/>
              </w:rPr>
              <w:t>蛋白电泳系统（基础电源+小型垂直电泳系统+湿转印槽）</w:t>
            </w:r>
          </w:p>
        </w:tc>
        <w:tc>
          <w:tcPr>
            <w:tcW w:w="3123" w:type="pct"/>
          </w:tcPr>
          <w:p w14:paraId="0C6064D9">
            <w:pPr>
              <w:widowControl/>
              <w:jc w:val="left"/>
              <w:rPr>
                <w:color w:val="000000"/>
                <w:sz w:val="22"/>
                <w:highlight w:val="none"/>
              </w:rPr>
            </w:pPr>
            <w:r>
              <w:rPr>
                <w:rFonts w:hint="eastAsia"/>
                <w:color w:val="000000"/>
                <w:sz w:val="22"/>
                <w:highlight w:val="none"/>
                <w:lang w:val="en-US" w:eastAsia="zh-CN"/>
              </w:rPr>
              <w:t>1</w:t>
            </w:r>
            <w:r>
              <w:rPr>
                <w:rFonts w:hint="eastAsia"/>
                <w:color w:val="000000"/>
                <w:sz w:val="22"/>
                <w:highlight w:val="none"/>
              </w:rPr>
              <w:t>电泳仪电源</w:t>
            </w:r>
          </w:p>
          <w:p w14:paraId="7FCC7BCA">
            <w:pPr>
              <w:widowControl/>
              <w:jc w:val="left"/>
              <w:rPr>
                <w:color w:val="000000"/>
                <w:sz w:val="22"/>
                <w:highlight w:val="none"/>
              </w:rPr>
            </w:pPr>
            <w:r>
              <w:rPr>
                <w:rFonts w:hint="eastAsia"/>
                <w:color w:val="000000"/>
                <w:sz w:val="22"/>
                <w:highlight w:val="none"/>
                <w:lang w:val="en-US" w:eastAsia="zh-CN"/>
              </w:rPr>
              <w:t>1</w:t>
            </w:r>
            <w:r>
              <w:rPr>
                <w:rFonts w:hint="eastAsia"/>
                <w:color w:val="000000"/>
                <w:sz w:val="22"/>
                <w:highlight w:val="none"/>
              </w:rPr>
              <w:t>.1 输出范围：电压10-300 V；电流4-400 mA；功率75 W (最大)</w:t>
            </w:r>
          </w:p>
          <w:p w14:paraId="32F95F16">
            <w:pPr>
              <w:widowControl/>
              <w:jc w:val="left"/>
              <w:rPr>
                <w:color w:val="000000"/>
                <w:sz w:val="22"/>
                <w:highlight w:val="none"/>
              </w:rPr>
            </w:pPr>
            <w:r>
              <w:rPr>
                <w:rFonts w:hint="eastAsia"/>
                <w:color w:val="000000"/>
                <w:sz w:val="22"/>
                <w:highlight w:val="none"/>
                <w:lang w:val="en-US" w:eastAsia="zh-CN"/>
              </w:rPr>
              <w:t>1</w:t>
            </w:r>
            <w:r>
              <w:rPr>
                <w:rFonts w:hint="eastAsia"/>
                <w:color w:val="000000"/>
                <w:sz w:val="22"/>
                <w:highlight w:val="none"/>
              </w:rPr>
              <w:t>.2 输出类型：恒压、恒流，可定时1-999分钟</w:t>
            </w:r>
          </w:p>
          <w:p w14:paraId="11380A25">
            <w:pPr>
              <w:widowControl/>
              <w:jc w:val="left"/>
              <w:rPr>
                <w:color w:val="000000"/>
                <w:sz w:val="22"/>
                <w:highlight w:val="none"/>
              </w:rPr>
            </w:pPr>
            <w:r>
              <w:rPr>
                <w:rFonts w:hint="eastAsia"/>
                <w:color w:val="000000"/>
                <w:sz w:val="22"/>
                <w:highlight w:val="none"/>
                <w:lang w:val="en-US" w:eastAsia="zh-CN"/>
              </w:rPr>
              <w:t>1</w:t>
            </w:r>
            <w:r>
              <w:rPr>
                <w:rFonts w:hint="eastAsia"/>
                <w:color w:val="000000"/>
                <w:sz w:val="22"/>
                <w:highlight w:val="none"/>
              </w:rPr>
              <w:t>.3 有暂停/继续功能</w:t>
            </w:r>
          </w:p>
          <w:p w14:paraId="3B04C909">
            <w:pPr>
              <w:widowControl/>
              <w:jc w:val="left"/>
              <w:rPr>
                <w:color w:val="000000"/>
                <w:sz w:val="22"/>
                <w:highlight w:val="none"/>
              </w:rPr>
            </w:pPr>
            <w:r>
              <w:rPr>
                <w:rFonts w:hint="eastAsia"/>
                <w:color w:val="000000"/>
                <w:sz w:val="22"/>
                <w:highlight w:val="none"/>
                <w:lang w:val="en-US" w:eastAsia="zh-CN"/>
              </w:rPr>
              <w:t>1</w:t>
            </w:r>
            <w:r>
              <w:rPr>
                <w:rFonts w:hint="eastAsia"/>
                <w:color w:val="000000"/>
                <w:sz w:val="22"/>
                <w:highlight w:val="none"/>
              </w:rPr>
              <w:t>.4 有断电后自动恢复功能</w:t>
            </w:r>
          </w:p>
          <w:p w14:paraId="10E5C48F">
            <w:pPr>
              <w:widowControl/>
              <w:jc w:val="left"/>
              <w:rPr>
                <w:color w:val="000000"/>
                <w:sz w:val="22"/>
                <w:highlight w:val="none"/>
              </w:rPr>
            </w:pPr>
            <w:r>
              <w:rPr>
                <w:rFonts w:hint="eastAsia"/>
                <w:color w:val="000000"/>
                <w:sz w:val="22"/>
                <w:highlight w:val="none"/>
                <w:lang w:val="en-US" w:eastAsia="zh-CN"/>
              </w:rPr>
              <w:t>1</w:t>
            </w:r>
            <w:r>
              <w:rPr>
                <w:rFonts w:hint="eastAsia"/>
                <w:color w:val="000000"/>
                <w:sz w:val="22"/>
                <w:highlight w:val="none"/>
              </w:rPr>
              <w:t>.5 输出插孔4对并联，可同时对四个同类型的电泳槽进行电泳</w:t>
            </w:r>
          </w:p>
          <w:p w14:paraId="536F9C00">
            <w:pPr>
              <w:widowControl/>
              <w:jc w:val="left"/>
              <w:rPr>
                <w:strike/>
                <w:color w:val="000000"/>
                <w:sz w:val="22"/>
                <w:highlight w:val="none"/>
              </w:rPr>
            </w:pPr>
            <w:r>
              <w:rPr>
                <w:rFonts w:hint="eastAsia"/>
                <w:color w:val="000000"/>
                <w:sz w:val="22"/>
                <w:highlight w:val="none"/>
                <w:lang w:val="en-US" w:eastAsia="zh-CN"/>
              </w:rPr>
              <w:t>1</w:t>
            </w:r>
            <w:r>
              <w:rPr>
                <w:rFonts w:hint="eastAsia"/>
                <w:color w:val="000000"/>
                <w:sz w:val="22"/>
                <w:highlight w:val="none"/>
              </w:rPr>
              <w:t>.6 安全标准：满足EN-61010</w:t>
            </w:r>
          </w:p>
          <w:p w14:paraId="0A020762">
            <w:pPr>
              <w:widowControl/>
              <w:jc w:val="left"/>
              <w:rPr>
                <w:color w:val="000000"/>
                <w:sz w:val="22"/>
                <w:highlight w:val="none"/>
              </w:rPr>
            </w:pPr>
            <w:r>
              <w:rPr>
                <w:rFonts w:hint="eastAsia"/>
                <w:color w:val="000000"/>
                <w:sz w:val="22"/>
                <w:highlight w:val="none"/>
                <w:lang w:val="en-US" w:eastAsia="zh-CN"/>
              </w:rPr>
              <w:t>2</w:t>
            </w:r>
            <w:r>
              <w:rPr>
                <w:rFonts w:hint="eastAsia"/>
                <w:color w:val="000000"/>
                <w:sz w:val="22"/>
                <w:highlight w:val="none"/>
              </w:rPr>
              <w:t>蛋白电泳</w:t>
            </w:r>
          </w:p>
          <w:p w14:paraId="607FF24F">
            <w:pPr>
              <w:widowControl/>
              <w:jc w:val="left"/>
              <w:rPr>
                <w:color w:val="000000"/>
                <w:sz w:val="22"/>
                <w:highlight w:val="none"/>
              </w:rPr>
            </w:pPr>
            <w:r>
              <w:rPr>
                <w:rFonts w:hint="eastAsia"/>
                <w:color w:val="000000"/>
                <w:sz w:val="22"/>
                <w:highlight w:val="none"/>
                <w:lang w:val="en-US" w:eastAsia="zh-CN"/>
              </w:rPr>
              <w:t>2</w:t>
            </w:r>
            <w:r>
              <w:rPr>
                <w:rFonts w:hint="eastAsia"/>
                <w:color w:val="000000"/>
                <w:sz w:val="22"/>
                <w:highlight w:val="none"/>
              </w:rPr>
              <w:t>.1标准配置：电泳槽，玻璃板，灌胶系统，上样引导装置，电泳梳</w:t>
            </w:r>
          </w:p>
          <w:p w14:paraId="63EBE202">
            <w:pPr>
              <w:widowControl/>
              <w:jc w:val="left"/>
              <w:rPr>
                <w:color w:val="000000"/>
                <w:sz w:val="22"/>
                <w:highlight w:val="none"/>
              </w:rPr>
            </w:pPr>
            <w:r>
              <w:rPr>
                <w:rFonts w:hint="eastAsia"/>
                <w:color w:val="000000"/>
                <w:sz w:val="22"/>
                <w:highlight w:val="none"/>
                <w:lang w:val="en-US" w:eastAsia="zh-CN"/>
              </w:rPr>
              <w:t>2</w:t>
            </w:r>
            <w:r>
              <w:rPr>
                <w:rFonts w:hint="eastAsia"/>
                <w:color w:val="000000"/>
                <w:sz w:val="22"/>
                <w:highlight w:val="none"/>
              </w:rPr>
              <w:t>.2性能指标：</w:t>
            </w:r>
          </w:p>
          <w:p w14:paraId="2401C5B2">
            <w:pPr>
              <w:widowControl/>
              <w:jc w:val="left"/>
              <w:rPr>
                <w:color w:val="000000"/>
                <w:sz w:val="22"/>
                <w:highlight w:val="none"/>
              </w:rPr>
            </w:pPr>
            <w:r>
              <w:rPr>
                <w:rFonts w:hint="eastAsia"/>
                <w:color w:val="000000"/>
                <w:sz w:val="22"/>
                <w:highlight w:val="none"/>
                <w:lang w:val="en-US" w:eastAsia="zh-CN"/>
              </w:rPr>
              <w:t>2</w:t>
            </w:r>
            <w:r>
              <w:rPr>
                <w:rFonts w:hint="eastAsia"/>
                <w:color w:val="000000"/>
                <w:sz w:val="22"/>
                <w:highlight w:val="none"/>
              </w:rPr>
              <w:t>.2.1同一槽内可同时进行4块SDS-PAGE凝胶的电泳实验</w:t>
            </w:r>
          </w:p>
          <w:p w14:paraId="7533FC95">
            <w:pPr>
              <w:widowControl/>
              <w:jc w:val="left"/>
              <w:rPr>
                <w:color w:val="000000"/>
                <w:sz w:val="22"/>
                <w:highlight w:val="none"/>
              </w:rPr>
            </w:pPr>
            <w:r>
              <w:rPr>
                <w:rFonts w:hint="eastAsia"/>
                <w:color w:val="000000"/>
                <w:sz w:val="22"/>
                <w:highlight w:val="none"/>
                <w:lang w:val="en-US" w:eastAsia="zh-CN"/>
              </w:rPr>
              <w:t>2</w:t>
            </w:r>
            <w:r>
              <w:rPr>
                <w:rFonts w:hint="eastAsia"/>
                <w:color w:val="000000"/>
                <w:sz w:val="22"/>
                <w:highlight w:val="none"/>
              </w:rPr>
              <w:t>.2.2胶面积：≥8.3x7.3cm；短玻璃板：≥10.1x7.3cm；长玻璃板：≥10.1x8.2cm</w:t>
            </w:r>
          </w:p>
          <w:p w14:paraId="173CE416">
            <w:pPr>
              <w:widowControl/>
              <w:jc w:val="left"/>
              <w:rPr>
                <w:highlight w:val="none"/>
              </w:rPr>
            </w:pPr>
            <w:r>
              <w:rPr>
                <w:rFonts w:hint="eastAsia"/>
                <w:color w:val="000000"/>
                <w:sz w:val="22"/>
                <w:highlight w:val="none"/>
                <w:lang w:val="en-US" w:eastAsia="zh-CN"/>
              </w:rPr>
              <w:t>2</w:t>
            </w:r>
            <w:r>
              <w:rPr>
                <w:rFonts w:hint="eastAsia"/>
                <w:color w:val="000000"/>
                <w:sz w:val="22"/>
                <w:highlight w:val="none"/>
              </w:rPr>
              <w:t>.2.3玻璃板：具备封边垫条</w:t>
            </w:r>
          </w:p>
          <w:p w14:paraId="29A46992">
            <w:pPr>
              <w:widowControl/>
              <w:jc w:val="left"/>
              <w:rPr>
                <w:highlight w:val="none"/>
              </w:rPr>
            </w:pPr>
            <w:r>
              <w:rPr>
                <w:rFonts w:hint="eastAsia"/>
                <w:color w:val="000000"/>
                <w:sz w:val="22"/>
                <w:highlight w:val="none"/>
                <w:lang w:val="en-US" w:eastAsia="zh-CN"/>
              </w:rPr>
              <w:t>2</w:t>
            </w:r>
            <w:r>
              <w:rPr>
                <w:rFonts w:hint="eastAsia"/>
                <w:color w:val="000000"/>
                <w:sz w:val="22"/>
                <w:highlight w:val="none"/>
              </w:rPr>
              <w:t>.2.4灌胶系统：具备弹簧杠杆</w:t>
            </w:r>
          </w:p>
          <w:p w14:paraId="4C413E1A">
            <w:pPr>
              <w:widowControl/>
              <w:jc w:val="left"/>
              <w:rPr>
                <w:strike/>
                <w:color w:val="000000"/>
                <w:sz w:val="22"/>
                <w:highlight w:val="none"/>
              </w:rPr>
            </w:pPr>
            <w:r>
              <w:rPr>
                <w:rFonts w:hint="eastAsia"/>
                <w:color w:val="000000"/>
                <w:sz w:val="22"/>
                <w:highlight w:val="none"/>
                <w:lang w:val="en-US" w:eastAsia="zh-CN"/>
              </w:rPr>
              <w:t>2</w:t>
            </w:r>
            <w:r>
              <w:rPr>
                <w:rFonts w:hint="eastAsia"/>
                <w:color w:val="000000"/>
                <w:sz w:val="22"/>
                <w:highlight w:val="none"/>
              </w:rPr>
              <w:t>.2.5具备上样引导装置</w:t>
            </w:r>
          </w:p>
          <w:p w14:paraId="4D744C05">
            <w:pPr>
              <w:widowControl/>
              <w:jc w:val="left"/>
              <w:rPr>
                <w:color w:val="000000"/>
                <w:sz w:val="22"/>
                <w:highlight w:val="none"/>
              </w:rPr>
            </w:pPr>
            <w:r>
              <w:rPr>
                <w:rFonts w:hint="eastAsia"/>
                <w:color w:val="000000"/>
                <w:sz w:val="22"/>
                <w:highlight w:val="none"/>
                <w:lang w:val="en-US" w:eastAsia="zh-CN"/>
              </w:rPr>
              <w:t>2</w:t>
            </w:r>
            <w:r>
              <w:rPr>
                <w:rFonts w:hint="eastAsia"/>
                <w:color w:val="000000"/>
                <w:sz w:val="22"/>
                <w:highlight w:val="none"/>
              </w:rPr>
              <w:t>.2.6电泳梳：备内置脊</w:t>
            </w:r>
          </w:p>
          <w:p w14:paraId="37F5A106">
            <w:pPr>
              <w:widowControl/>
              <w:jc w:val="left"/>
              <w:rPr>
                <w:color w:val="000000"/>
                <w:sz w:val="22"/>
                <w:highlight w:val="none"/>
              </w:rPr>
            </w:pPr>
            <w:r>
              <w:rPr>
                <w:rFonts w:hint="eastAsia"/>
                <w:color w:val="000000"/>
                <w:sz w:val="22"/>
                <w:highlight w:val="none"/>
                <w:lang w:val="en-US" w:eastAsia="zh-CN"/>
              </w:rPr>
              <w:t>2</w:t>
            </w:r>
            <w:r>
              <w:rPr>
                <w:rFonts w:hint="eastAsia"/>
                <w:color w:val="000000"/>
                <w:sz w:val="22"/>
                <w:highlight w:val="none"/>
              </w:rPr>
              <w:t>.2.7模块化：可换置转印等模块</w:t>
            </w:r>
          </w:p>
          <w:p w14:paraId="142682BF">
            <w:pPr>
              <w:widowControl/>
              <w:jc w:val="left"/>
              <w:rPr>
                <w:color w:val="000000"/>
                <w:sz w:val="22"/>
                <w:highlight w:val="none"/>
              </w:rPr>
            </w:pPr>
            <w:r>
              <w:rPr>
                <w:rFonts w:hint="eastAsia"/>
                <w:color w:val="000000"/>
                <w:sz w:val="22"/>
                <w:highlight w:val="none"/>
                <w:lang w:val="en-US" w:eastAsia="zh-CN"/>
              </w:rPr>
              <w:t>3</w:t>
            </w:r>
            <w:r>
              <w:rPr>
                <w:rFonts w:hint="eastAsia"/>
                <w:color w:val="000000"/>
                <w:sz w:val="22"/>
                <w:highlight w:val="none"/>
              </w:rPr>
              <w:t>小型转印</w:t>
            </w:r>
          </w:p>
          <w:p w14:paraId="5841F6B3">
            <w:pPr>
              <w:widowControl/>
              <w:jc w:val="left"/>
              <w:rPr>
                <w:color w:val="000000"/>
                <w:sz w:val="22"/>
                <w:highlight w:val="none"/>
              </w:rPr>
            </w:pPr>
            <w:r>
              <w:rPr>
                <w:rFonts w:hint="eastAsia"/>
                <w:color w:val="000000"/>
                <w:sz w:val="22"/>
                <w:highlight w:val="none"/>
                <w:lang w:val="en-US" w:eastAsia="zh-CN"/>
              </w:rPr>
              <w:t>3</w:t>
            </w:r>
            <w:r>
              <w:rPr>
                <w:rFonts w:hint="eastAsia"/>
                <w:color w:val="000000"/>
                <w:sz w:val="22"/>
                <w:highlight w:val="none"/>
              </w:rPr>
              <w:t>.1 标准配置：转印槽，转印夹，海绵垫，冷却芯</w:t>
            </w:r>
          </w:p>
          <w:p w14:paraId="07CAA5D2">
            <w:pPr>
              <w:widowControl/>
              <w:jc w:val="left"/>
              <w:rPr>
                <w:color w:val="000000"/>
                <w:sz w:val="22"/>
                <w:highlight w:val="none"/>
              </w:rPr>
            </w:pPr>
            <w:r>
              <w:rPr>
                <w:rFonts w:hint="eastAsia"/>
                <w:color w:val="000000"/>
                <w:sz w:val="22"/>
                <w:highlight w:val="none"/>
                <w:lang w:val="en-US" w:eastAsia="zh-CN"/>
              </w:rPr>
              <w:t>3</w:t>
            </w:r>
            <w:r>
              <w:rPr>
                <w:rFonts w:hint="eastAsia"/>
                <w:color w:val="000000"/>
                <w:sz w:val="22"/>
                <w:highlight w:val="none"/>
              </w:rPr>
              <w:t>.2 性能指标：</w:t>
            </w:r>
          </w:p>
          <w:p w14:paraId="719CDCD9">
            <w:pPr>
              <w:widowControl/>
              <w:jc w:val="left"/>
              <w:rPr>
                <w:color w:val="000000"/>
                <w:sz w:val="22"/>
                <w:highlight w:val="none"/>
              </w:rPr>
            </w:pPr>
            <w:r>
              <w:rPr>
                <w:rFonts w:hint="eastAsia"/>
                <w:color w:val="000000"/>
                <w:sz w:val="22"/>
                <w:highlight w:val="none"/>
                <w:lang w:val="en-US" w:eastAsia="zh-CN"/>
              </w:rPr>
              <w:t>3</w:t>
            </w:r>
            <w:r>
              <w:rPr>
                <w:rFonts w:hint="eastAsia"/>
                <w:color w:val="000000"/>
                <w:sz w:val="22"/>
                <w:highlight w:val="none"/>
              </w:rPr>
              <w:t>.2.1可以200V电压转移，可以30V过夜转移。</w:t>
            </w:r>
          </w:p>
          <w:p w14:paraId="1B903D76">
            <w:pPr>
              <w:widowControl/>
              <w:jc w:val="left"/>
              <w:rPr>
                <w:color w:val="000000"/>
                <w:sz w:val="22"/>
                <w:highlight w:val="none"/>
              </w:rPr>
            </w:pPr>
            <w:r>
              <w:rPr>
                <w:rFonts w:hint="eastAsia"/>
                <w:color w:val="000000"/>
                <w:sz w:val="22"/>
                <w:highlight w:val="none"/>
                <w:lang w:val="en-US" w:eastAsia="zh-CN"/>
              </w:rPr>
              <w:t>3</w:t>
            </w:r>
            <w:r>
              <w:rPr>
                <w:rFonts w:hint="eastAsia"/>
                <w:color w:val="000000"/>
                <w:sz w:val="22"/>
                <w:highlight w:val="none"/>
              </w:rPr>
              <w:t>.2.2</w:t>
            </w:r>
          </w:p>
          <w:p w14:paraId="544242D0">
            <w:pPr>
              <w:widowControl/>
              <w:jc w:val="left"/>
              <w:rPr>
                <w:color w:val="000000"/>
                <w:sz w:val="22"/>
                <w:highlight w:val="none"/>
              </w:rPr>
            </w:pPr>
            <w:r>
              <w:rPr>
                <w:rFonts w:hint="eastAsia"/>
                <w:color w:val="000000"/>
                <w:sz w:val="22"/>
                <w:highlight w:val="none"/>
                <w:lang w:val="en-US" w:eastAsia="zh-CN"/>
              </w:rPr>
              <w:t>3</w:t>
            </w:r>
            <w:r>
              <w:rPr>
                <w:rFonts w:hint="eastAsia"/>
                <w:color w:val="000000"/>
                <w:sz w:val="22"/>
                <w:highlight w:val="none"/>
              </w:rPr>
              <w:t>.2.3 具有冷却芯和水循环装置</w:t>
            </w:r>
          </w:p>
          <w:p w14:paraId="4EE07F04">
            <w:pPr>
              <w:widowControl/>
              <w:jc w:val="left"/>
              <w:rPr>
                <w:strike/>
                <w:color w:val="000000"/>
                <w:sz w:val="22"/>
                <w:highlight w:val="none"/>
              </w:rPr>
            </w:pPr>
            <w:r>
              <w:rPr>
                <w:rFonts w:hint="eastAsia"/>
                <w:color w:val="000000"/>
                <w:sz w:val="22"/>
                <w:highlight w:val="none"/>
                <w:lang w:val="en-US" w:eastAsia="zh-CN"/>
              </w:rPr>
              <w:t>3</w:t>
            </w:r>
            <w:r>
              <w:rPr>
                <w:rFonts w:hint="eastAsia"/>
                <w:color w:val="000000"/>
                <w:sz w:val="22"/>
                <w:highlight w:val="none"/>
              </w:rPr>
              <w:t>.2.4 阴极采用涂有铂的钛，阳极采用不锈钢</w:t>
            </w:r>
            <w:r>
              <w:rPr>
                <w:rFonts w:hint="eastAsia"/>
                <w:color w:val="000000"/>
                <w:sz w:val="22"/>
                <w:highlight w:val="none"/>
                <w:lang w:eastAsia="zh-CN"/>
              </w:rPr>
              <w:t>。</w:t>
            </w:r>
          </w:p>
          <w:p w14:paraId="7826560B">
            <w:pPr>
              <w:widowControl/>
              <w:jc w:val="left"/>
              <w:rPr>
                <w:color w:val="000000"/>
                <w:kern w:val="0"/>
                <w:sz w:val="22"/>
                <w:highlight w:val="none"/>
              </w:rPr>
            </w:pPr>
            <w:r>
              <w:rPr>
                <w:rFonts w:hint="eastAsia"/>
                <w:color w:val="000000"/>
                <w:sz w:val="22"/>
                <w:highlight w:val="none"/>
                <w:lang w:val="en-US" w:eastAsia="zh-CN"/>
              </w:rPr>
              <w:t>3</w:t>
            </w:r>
            <w:r>
              <w:rPr>
                <w:rFonts w:hint="eastAsia"/>
                <w:color w:val="000000"/>
                <w:sz w:val="22"/>
                <w:highlight w:val="none"/>
              </w:rPr>
              <w:t>.2.5 最大胶尺寸：≥7.5*10 cm；缓冲液体积：约450 ml；胶容量：≥2块小胶</w:t>
            </w:r>
          </w:p>
        </w:tc>
        <w:tc>
          <w:tcPr>
            <w:tcW w:w="256" w:type="pct"/>
            <w:vAlign w:val="center"/>
          </w:tcPr>
          <w:p w14:paraId="4191FBAD">
            <w:pPr>
              <w:spacing w:line="500" w:lineRule="exact"/>
              <w:rPr>
                <w:rFonts w:asciiTheme="minorEastAsia" w:hAnsiTheme="minorEastAsia"/>
                <w:sz w:val="22"/>
                <w:highlight w:val="none"/>
              </w:rPr>
            </w:pPr>
            <w:r>
              <w:rPr>
                <w:rFonts w:hint="eastAsia" w:asciiTheme="minorEastAsia" w:hAnsiTheme="minorEastAsia"/>
                <w:sz w:val="22"/>
                <w:highlight w:val="none"/>
              </w:rPr>
              <w:t>套</w:t>
            </w:r>
          </w:p>
        </w:tc>
        <w:tc>
          <w:tcPr>
            <w:tcW w:w="320" w:type="pct"/>
            <w:vAlign w:val="center"/>
          </w:tcPr>
          <w:p w14:paraId="43CFB8A1">
            <w:pPr>
              <w:spacing w:line="500" w:lineRule="exact"/>
              <w:jc w:val="center"/>
              <w:rPr>
                <w:rFonts w:asciiTheme="minorEastAsia" w:hAnsiTheme="minorEastAsia"/>
                <w:sz w:val="22"/>
                <w:highlight w:val="none"/>
              </w:rPr>
            </w:pPr>
            <w:r>
              <w:rPr>
                <w:rFonts w:hint="eastAsia" w:asciiTheme="minorEastAsia" w:hAnsiTheme="minorEastAsia"/>
                <w:sz w:val="22"/>
                <w:highlight w:val="none"/>
              </w:rPr>
              <w:t>1</w:t>
            </w:r>
          </w:p>
        </w:tc>
        <w:tc>
          <w:tcPr>
            <w:tcW w:w="256" w:type="pct"/>
            <w:vAlign w:val="center"/>
          </w:tcPr>
          <w:p w14:paraId="32B2550C">
            <w:pPr>
              <w:spacing w:line="500" w:lineRule="exact"/>
              <w:jc w:val="center"/>
              <w:rPr>
                <w:rFonts w:asciiTheme="minorEastAsia" w:hAnsiTheme="minorEastAsia"/>
                <w:sz w:val="22"/>
                <w:highlight w:val="none"/>
              </w:rPr>
            </w:pPr>
          </w:p>
        </w:tc>
        <w:tc>
          <w:tcPr>
            <w:tcW w:w="257" w:type="pct"/>
            <w:vAlign w:val="center"/>
          </w:tcPr>
          <w:p w14:paraId="20718801">
            <w:pPr>
              <w:spacing w:line="500" w:lineRule="exact"/>
              <w:jc w:val="center"/>
              <w:rPr>
                <w:rFonts w:asciiTheme="minorEastAsia" w:hAnsiTheme="minorEastAsia"/>
                <w:sz w:val="22"/>
                <w:highlight w:val="none"/>
              </w:rPr>
            </w:pPr>
          </w:p>
        </w:tc>
      </w:tr>
      <w:tr w14:paraId="2AB20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256" w:type="pct"/>
          </w:tcPr>
          <w:p w14:paraId="72B99218">
            <w:pPr>
              <w:spacing w:line="500" w:lineRule="exact"/>
              <w:rPr>
                <w:rFonts w:hint="eastAsia" w:asciiTheme="minorEastAsia" w:hAnsiTheme="minorEastAsia" w:eastAsiaTheme="minorEastAsia"/>
                <w:sz w:val="22"/>
                <w:highlight w:val="none"/>
                <w:lang w:eastAsia="zh-CN"/>
              </w:rPr>
            </w:pPr>
            <w:r>
              <w:rPr>
                <w:rFonts w:hint="eastAsia" w:asciiTheme="minorEastAsia" w:hAnsiTheme="minorEastAsia"/>
                <w:sz w:val="22"/>
                <w:highlight w:val="none"/>
                <w:lang w:val="en-US" w:eastAsia="zh-CN"/>
              </w:rPr>
              <w:t>7</w:t>
            </w:r>
          </w:p>
        </w:tc>
        <w:tc>
          <w:tcPr>
            <w:tcW w:w="529" w:type="pct"/>
          </w:tcPr>
          <w:p w14:paraId="7B16FB31">
            <w:pPr>
              <w:spacing w:line="500" w:lineRule="exact"/>
              <w:rPr>
                <w:rFonts w:asciiTheme="minorEastAsia" w:hAnsiTheme="minorEastAsia"/>
                <w:b/>
                <w:bCs/>
                <w:sz w:val="22"/>
                <w:highlight w:val="none"/>
              </w:rPr>
            </w:pPr>
            <w:r>
              <w:rPr>
                <w:rFonts w:hint="eastAsia" w:asciiTheme="minorEastAsia" w:hAnsiTheme="minorEastAsia"/>
                <w:b/>
                <w:bCs/>
                <w:sz w:val="22"/>
                <w:highlight w:val="none"/>
              </w:rPr>
              <w:t>可调移液器</w:t>
            </w:r>
          </w:p>
        </w:tc>
        <w:tc>
          <w:tcPr>
            <w:tcW w:w="3123" w:type="pct"/>
          </w:tcPr>
          <w:p w14:paraId="0C828B03">
            <w:pPr>
              <w:widowControl/>
              <w:jc w:val="left"/>
              <w:rPr>
                <w:color w:val="000000"/>
                <w:kern w:val="0"/>
                <w:sz w:val="22"/>
                <w:highlight w:val="none"/>
              </w:rPr>
            </w:pPr>
            <w:r>
              <w:rPr>
                <w:rFonts w:hint="eastAsia"/>
                <w:color w:val="000000"/>
                <w:sz w:val="22"/>
                <w:highlight w:val="none"/>
              </w:rPr>
              <w:t>1.数字视窗，</w:t>
            </w:r>
            <w:r>
              <w:rPr>
                <w:rFonts w:hint="eastAsia"/>
                <w:strike w:val="0"/>
                <w:color w:val="000000"/>
                <w:sz w:val="22"/>
                <w:highlight w:val="none"/>
              </w:rPr>
              <w:t>2.</w:t>
            </w:r>
            <w:r>
              <w:rPr>
                <w:rFonts w:hint="eastAsia"/>
                <w:color w:val="000000"/>
                <w:sz w:val="22"/>
                <w:highlight w:val="none"/>
              </w:rPr>
              <w:t>下半支可高温高压消毒；3.量程：0.1-2.5μl；增量0.05μl；2.5μl允许最大系统误差≤0.0625μl，允许最大随机误差≤0.05μl.</w:t>
            </w:r>
          </w:p>
        </w:tc>
        <w:tc>
          <w:tcPr>
            <w:tcW w:w="256" w:type="pct"/>
            <w:vAlign w:val="center"/>
          </w:tcPr>
          <w:p w14:paraId="4EFF1C17">
            <w:pPr>
              <w:spacing w:line="500" w:lineRule="exact"/>
              <w:rPr>
                <w:rFonts w:asciiTheme="minorEastAsia" w:hAnsiTheme="minorEastAsia"/>
                <w:sz w:val="22"/>
                <w:highlight w:val="none"/>
              </w:rPr>
            </w:pPr>
            <w:r>
              <w:rPr>
                <w:rFonts w:hint="eastAsia" w:asciiTheme="minorEastAsia" w:hAnsiTheme="minorEastAsia"/>
                <w:sz w:val="22"/>
                <w:highlight w:val="none"/>
              </w:rPr>
              <w:t>支</w:t>
            </w:r>
          </w:p>
        </w:tc>
        <w:tc>
          <w:tcPr>
            <w:tcW w:w="320" w:type="pct"/>
            <w:vAlign w:val="center"/>
          </w:tcPr>
          <w:p w14:paraId="1874B857">
            <w:pPr>
              <w:spacing w:line="500" w:lineRule="exact"/>
              <w:jc w:val="center"/>
              <w:rPr>
                <w:rFonts w:asciiTheme="minorEastAsia" w:hAnsiTheme="minorEastAsia"/>
                <w:sz w:val="22"/>
                <w:highlight w:val="none"/>
              </w:rPr>
            </w:pPr>
            <w:r>
              <w:rPr>
                <w:rFonts w:hint="eastAsia" w:asciiTheme="minorEastAsia" w:hAnsiTheme="minorEastAsia"/>
                <w:sz w:val="22"/>
                <w:highlight w:val="none"/>
              </w:rPr>
              <w:t>4</w:t>
            </w:r>
          </w:p>
        </w:tc>
        <w:tc>
          <w:tcPr>
            <w:tcW w:w="256" w:type="pct"/>
            <w:vAlign w:val="center"/>
          </w:tcPr>
          <w:p w14:paraId="7DFFAA68">
            <w:pPr>
              <w:spacing w:line="500" w:lineRule="exact"/>
              <w:jc w:val="center"/>
              <w:rPr>
                <w:rFonts w:asciiTheme="minorEastAsia" w:hAnsiTheme="minorEastAsia"/>
                <w:sz w:val="22"/>
                <w:highlight w:val="none"/>
              </w:rPr>
            </w:pPr>
          </w:p>
        </w:tc>
        <w:tc>
          <w:tcPr>
            <w:tcW w:w="257" w:type="pct"/>
            <w:vAlign w:val="center"/>
          </w:tcPr>
          <w:p w14:paraId="6DFBA81D">
            <w:pPr>
              <w:spacing w:line="500" w:lineRule="exact"/>
              <w:jc w:val="center"/>
              <w:rPr>
                <w:rFonts w:asciiTheme="minorEastAsia" w:hAnsiTheme="minorEastAsia"/>
                <w:sz w:val="22"/>
                <w:highlight w:val="none"/>
              </w:rPr>
            </w:pPr>
          </w:p>
        </w:tc>
      </w:tr>
      <w:tr w14:paraId="539DD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256" w:type="pct"/>
          </w:tcPr>
          <w:p w14:paraId="43F5618A">
            <w:pPr>
              <w:spacing w:line="500" w:lineRule="exact"/>
              <w:rPr>
                <w:rFonts w:hint="eastAsia" w:asciiTheme="minorEastAsia" w:hAnsiTheme="minorEastAsia" w:eastAsiaTheme="minorEastAsia"/>
                <w:sz w:val="22"/>
                <w:highlight w:val="none"/>
                <w:lang w:val="en-US" w:eastAsia="zh-CN"/>
              </w:rPr>
            </w:pPr>
            <w:r>
              <w:rPr>
                <w:rFonts w:hint="eastAsia" w:asciiTheme="minorEastAsia" w:hAnsiTheme="minorEastAsia"/>
                <w:sz w:val="22"/>
                <w:highlight w:val="none"/>
                <w:lang w:val="en-US" w:eastAsia="zh-CN"/>
              </w:rPr>
              <w:t>8</w:t>
            </w:r>
          </w:p>
        </w:tc>
        <w:tc>
          <w:tcPr>
            <w:tcW w:w="529" w:type="pct"/>
          </w:tcPr>
          <w:p w14:paraId="3B74D51E">
            <w:pPr>
              <w:spacing w:line="500" w:lineRule="exact"/>
              <w:rPr>
                <w:rFonts w:asciiTheme="minorEastAsia" w:hAnsiTheme="minorEastAsia"/>
                <w:b/>
                <w:bCs/>
                <w:sz w:val="22"/>
                <w:highlight w:val="none"/>
              </w:rPr>
            </w:pPr>
            <w:r>
              <w:rPr>
                <w:rFonts w:hint="eastAsia" w:asciiTheme="minorEastAsia" w:hAnsiTheme="minorEastAsia"/>
                <w:b/>
                <w:bCs/>
                <w:sz w:val="22"/>
                <w:highlight w:val="none"/>
              </w:rPr>
              <w:t>可调移液器</w:t>
            </w:r>
          </w:p>
        </w:tc>
        <w:tc>
          <w:tcPr>
            <w:tcW w:w="3123" w:type="pct"/>
          </w:tcPr>
          <w:p w14:paraId="471B9A3E">
            <w:pPr>
              <w:widowControl/>
              <w:jc w:val="left"/>
              <w:rPr>
                <w:color w:val="000000"/>
                <w:sz w:val="22"/>
                <w:highlight w:val="none"/>
              </w:rPr>
            </w:pPr>
            <w:r>
              <w:rPr>
                <w:rFonts w:hint="eastAsia"/>
                <w:color w:val="000000"/>
                <w:sz w:val="22"/>
                <w:highlight w:val="none"/>
              </w:rPr>
              <w:t>1.数字视窗2.下半支可高温高压消毒3.量程：0.5uL至10uL；增量0.1μl；10μl允许最大系统误差≤0.1μl，允许最大随机误差≤0.08μl.</w:t>
            </w:r>
          </w:p>
        </w:tc>
        <w:tc>
          <w:tcPr>
            <w:tcW w:w="256" w:type="pct"/>
            <w:vAlign w:val="center"/>
          </w:tcPr>
          <w:p w14:paraId="343D9E85">
            <w:pPr>
              <w:spacing w:line="500" w:lineRule="exact"/>
              <w:rPr>
                <w:rFonts w:asciiTheme="minorEastAsia" w:hAnsiTheme="minorEastAsia"/>
                <w:sz w:val="22"/>
                <w:highlight w:val="none"/>
              </w:rPr>
            </w:pPr>
            <w:r>
              <w:rPr>
                <w:rFonts w:hint="eastAsia" w:asciiTheme="minorEastAsia" w:hAnsiTheme="minorEastAsia"/>
                <w:sz w:val="22"/>
                <w:highlight w:val="none"/>
              </w:rPr>
              <w:t>支</w:t>
            </w:r>
          </w:p>
        </w:tc>
        <w:tc>
          <w:tcPr>
            <w:tcW w:w="320" w:type="pct"/>
            <w:vAlign w:val="center"/>
          </w:tcPr>
          <w:p w14:paraId="7CD996D9">
            <w:pPr>
              <w:spacing w:line="500" w:lineRule="exact"/>
              <w:jc w:val="center"/>
              <w:rPr>
                <w:rFonts w:asciiTheme="minorEastAsia" w:hAnsiTheme="minorEastAsia"/>
                <w:sz w:val="22"/>
                <w:highlight w:val="none"/>
              </w:rPr>
            </w:pPr>
            <w:r>
              <w:rPr>
                <w:rFonts w:hint="eastAsia" w:asciiTheme="minorEastAsia" w:hAnsiTheme="minorEastAsia"/>
                <w:sz w:val="22"/>
                <w:highlight w:val="none"/>
              </w:rPr>
              <w:t>4</w:t>
            </w:r>
          </w:p>
        </w:tc>
        <w:tc>
          <w:tcPr>
            <w:tcW w:w="256" w:type="pct"/>
            <w:vAlign w:val="center"/>
          </w:tcPr>
          <w:p w14:paraId="7137BF4D">
            <w:pPr>
              <w:spacing w:line="500" w:lineRule="exact"/>
              <w:jc w:val="center"/>
              <w:rPr>
                <w:rFonts w:asciiTheme="minorEastAsia" w:hAnsiTheme="minorEastAsia"/>
                <w:sz w:val="22"/>
                <w:highlight w:val="none"/>
              </w:rPr>
            </w:pPr>
          </w:p>
        </w:tc>
        <w:tc>
          <w:tcPr>
            <w:tcW w:w="257" w:type="pct"/>
            <w:vAlign w:val="center"/>
          </w:tcPr>
          <w:p w14:paraId="296CB5D4">
            <w:pPr>
              <w:spacing w:line="500" w:lineRule="exact"/>
              <w:jc w:val="center"/>
              <w:rPr>
                <w:rFonts w:asciiTheme="minorEastAsia" w:hAnsiTheme="minorEastAsia"/>
                <w:sz w:val="22"/>
                <w:highlight w:val="none"/>
              </w:rPr>
            </w:pPr>
          </w:p>
        </w:tc>
      </w:tr>
      <w:tr w14:paraId="37ADF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tcPr>
          <w:p w14:paraId="477EA946">
            <w:pPr>
              <w:spacing w:line="500" w:lineRule="exact"/>
              <w:rPr>
                <w:rFonts w:hint="eastAsia" w:asciiTheme="minorEastAsia" w:hAnsiTheme="minorEastAsia" w:eastAsiaTheme="minorEastAsia"/>
                <w:sz w:val="22"/>
                <w:highlight w:val="none"/>
                <w:lang w:eastAsia="zh-CN"/>
              </w:rPr>
            </w:pPr>
            <w:r>
              <w:rPr>
                <w:rFonts w:hint="eastAsia" w:asciiTheme="minorEastAsia" w:hAnsiTheme="minorEastAsia"/>
                <w:sz w:val="22"/>
                <w:highlight w:val="none"/>
                <w:lang w:val="en-US" w:eastAsia="zh-CN"/>
              </w:rPr>
              <w:t>9</w:t>
            </w:r>
          </w:p>
        </w:tc>
        <w:tc>
          <w:tcPr>
            <w:tcW w:w="529" w:type="pct"/>
          </w:tcPr>
          <w:p w14:paraId="07C06E99">
            <w:pPr>
              <w:spacing w:line="500" w:lineRule="exact"/>
              <w:rPr>
                <w:rFonts w:asciiTheme="minorEastAsia" w:hAnsiTheme="minorEastAsia"/>
                <w:b/>
                <w:bCs/>
                <w:sz w:val="22"/>
                <w:highlight w:val="none"/>
              </w:rPr>
            </w:pPr>
            <w:r>
              <w:rPr>
                <w:rFonts w:hint="eastAsia" w:asciiTheme="minorEastAsia" w:hAnsiTheme="minorEastAsia"/>
                <w:b/>
                <w:bCs/>
                <w:sz w:val="22"/>
                <w:highlight w:val="none"/>
              </w:rPr>
              <w:t>可调移液器</w:t>
            </w:r>
          </w:p>
        </w:tc>
        <w:tc>
          <w:tcPr>
            <w:tcW w:w="3123" w:type="pct"/>
          </w:tcPr>
          <w:p w14:paraId="67FDC140">
            <w:pPr>
              <w:widowControl/>
              <w:jc w:val="left"/>
              <w:rPr>
                <w:color w:val="000000"/>
                <w:sz w:val="22"/>
                <w:highlight w:val="none"/>
              </w:rPr>
            </w:pPr>
            <w:r>
              <w:rPr>
                <w:rFonts w:hint="eastAsia"/>
                <w:color w:val="000000"/>
                <w:sz w:val="22"/>
                <w:highlight w:val="none"/>
              </w:rPr>
              <w:t>1.数字视窗2.下半支可高温高压消毒</w:t>
            </w:r>
            <w:r>
              <w:rPr>
                <w:rFonts w:hint="eastAsia"/>
                <w:strike w:val="0"/>
                <w:color w:val="000000"/>
                <w:sz w:val="22"/>
                <w:highlight w:val="none"/>
              </w:rPr>
              <w:t>3.</w:t>
            </w:r>
            <w:r>
              <w:rPr>
                <w:rFonts w:hint="eastAsia"/>
                <w:color w:val="000000"/>
                <w:sz w:val="22"/>
                <w:highlight w:val="none"/>
              </w:rPr>
              <w:t>量程：5uL至50uL；增量0.5μl；50μl允许最大系统误差≤0.3μl，允许最大随机误差≤0.15μl.</w:t>
            </w:r>
          </w:p>
        </w:tc>
        <w:tc>
          <w:tcPr>
            <w:tcW w:w="256" w:type="pct"/>
            <w:vAlign w:val="center"/>
          </w:tcPr>
          <w:p w14:paraId="2897E517">
            <w:pPr>
              <w:spacing w:line="500" w:lineRule="exact"/>
              <w:rPr>
                <w:rFonts w:asciiTheme="minorEastAsia" w:hAnsiTheme="minorEastAsia"/>
                <w:sz w:val="22"/>
                <w:highlight w:val="none"/>
              </w:rPr>
            </w:pPr>
            <w:r>
              <w:rPr>
                <w:rFonts w:hint="eastAsia" w:asciiTheme="minorEastAsia" w:hAnsiTheme="minorEastAsia"/>
                <w:sz w:val="22"/>
                <w:highlight w:val="none"/>
              </w:rPr>
              <w:t>支</w:t>
            </w:r>
          </w:p>
        </w:tc>
        <w:tc>
          <w:tcPr>
            <w:tcW w:w="320" w:type="pct"/>
            <w:vAlign w:val="center"/>
          </w:tcPr>
          <w:p w14:paraId="1CB4B543">
            <w:pPr>
              <w:spacing w:line="500" w:lineRule="exact"/>
              <w:jc w:val="center"/>
              <w:rPr>
                <w:rFonts w:asciiTheme="minorEastAsia" w:hAnsiTheme="minorEastAsia"/>
                <w:sz w:val="22"/>
                <w:highlight w:val="none"/>
              </w:rPr>
            </w:pPr>
            <w:r>
              <w:rPr>
                <w:rFonts w:hint="eastAsia" w:asciiTheme="minorEastAsia" w:hAnsiTheme="minorEastAsia"/>
                <w:sz w:val="22"/>
                <w:highlight w:val="none"/>
              </w:rPr>
              <w:t>4</w:t>
            </w:r>
          </w:p>
        </w:tc>
        <w:tc>
          <w:tcPr>
            <w:tcW w:w="256" w:type="pct"/>
            <w:vAlign w:val="center"/>
          </w:tcPr>
          <w:p w14:paraId="476FC562">
            <w:pPr>
              <w:spacing w:line="500" w:lineRule="exact"/>
              <w:jc w:val="center"/>
              <w:rPr>
                <w:rFonts w:asciiTheme="minorEastAsia" w:hAnsiTheme="minorEastAsia"/>
                <w:sz w:val="22"/>
                <w:highlight w:val="none"/>
              </w:rPr>
            </w:pPr>
          </w:p>
        </w:tc>
        <w:tc>
          <w:tcPr>
            <w:tcW w:w="257" w:type="pct"/>
            <w:vAlign w:val="center"/>
          </w:tcPr>
          <w:p w14:paraId="61E67063">
            <w:pPr>
              <w:spacing w:line="500" w:lineRule="exact"/>
              <w:jc w:val="center"/>
              <w:rPr>
                <w:rFonts w:asciiTheme="minorEastAsia" w:hAnsiTheme="minorEastAsia"/>
                <w:sz w:val="22"/>
                <w:highlight w:val="none"/>
              </w:rPr>
            </w:pPr>
          </w:p>
        </w:tc>
      </w:tr>
      <w:tr w14:paraId="5E936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tcPr>
          <w:p w14:paraId="032AF9DA">
            <w:pPr>
              <w:spacing w:line="500" w:lineRule="exact"/>
              <w:rPr>
                <w:rFonts w:hint="eastAsia" w:asciiTheme="minorEastAsia" w:hAnsiTheme="minorEastAsia" w:eastAsiaTheme="minorEastAsia"/>
                <w:sz w:val="22"/>
                <w:highlight w:val="none"/>
                <w:lang w:val="en-US" w:eastAsia="zh-CN"/>
              </w:rPr>
            </w:pPr>
            <w:r>
              <w:rPr>
                <w:rFonts w:hint="eastAsia" w:asciiTheme="minorEastAsia" w:hAnsiTheme="minorEastAsia"/>
                <w:sz w:val="22"/>
                <w:highlight w:val="none"/>
              </w:rPr>
              <w:t>1</w:t>
            </w:r>
            <w:r>
              <w:rPr>
                <w:rFonts w:hint="eastAsia" w:asciiTheme="minorEastAsia" w:hAnsiTheme="minorEastAsia"/>
                <w:sz w:val="22"/>
                <w:highlight w:val="none"/>
                <w:lang w:val="en-US" w:eastAsia="zh-CN"/>
              </w:rPr>
              <w:t>0</w:t>
            </w:r>
          </w:p>
        </w:tc>
        <w:tc>
          <w:tcPr>
            <w:tcW w:w="529" w:type="pct"/>
          </w:tcPr>
          <w:p w14:paraId="04FCBB3E">
            <w:pPr>
              <w:spacing w:line="500" w:lineRule="exact"/>
              <w:rPr>
                <w:rFonts w:asciiTheme="minorEastAsia" w:hAnsiTheme="minorEastAsia"/>
                <w:b/>
                <w:bCs/>
                <w:sz w:val="22"/>
                <w:highlight w:val="none"/>
              </w:rPr>
            </w:pPr>
            <w:r>
              <w:rPr>
                <w:rFonts w:hint="eastAsia" w:asciiTheme="minorEastAsia" w:hAnsiTheme="minorEastAsia"/>
                <w:b/>
                <w:bCs/>
                <w:sz w:val="22"/>
                <w:highlight w:val="none"/>
              </w:rPr>
              <w:t>可调移液器</w:t>
            </w:r>
          </w:p>
        </w:tc>
        <w:tc>
          <w:tcPr>
            <w:tcW w:w="3123" w:type="pct"/>
          </w:tcPr>
          <w:p w14:paraId="5E0F9091">
            <w:pPr>
              <w:widowControl/>
              <w:jc w:val="left"/>
              <w:rPr>
                <w:color w:val="000000"/>
                <w:sz w:val="22"/>
                <w:highlight w:val="none"/>
              </w:rPr>
            </w:pPr>
            <w:r>
              <w:rPr>
                <w:rFonts w:hint="eastAsia"/>
                <w:color w:val="000000"/>
                <w:sz w:val="22"/>
                <w:highlight w:val="none"/>
              </w:rPr>
              <w:t>1.数字视窗2.下半支可高温高压消毒3.量程：2ml至10ml；增量0.1ml；10mL允许最大系统误差≤60μl，允许最大随机误差≤20μl.</w:t>
            </w:r>
          </w:p>
        </w:tc>
        <w:tc>
          <w:tcPr>
            <w:tcW w:w="256" w:type="pct"/>
            <w:vAlign w:val="center"/>
          </w:tcPr>
          <w:p w14:paraId="206F466D">
            <w:pPr>
              <w:spacing w:line="500" w:lineRule="exact"/>
              <w:rPr>
                <w:rFonts w:asciiTheme="minorEastAsia" w:hAnsiTheme="minorEastAsia"/>
                <w:sz w:val="22"/>
                <w:highlight w:val="none"/>
              </w:rPr>
            </w:pPr>
            <w:r>
              <w:rPr>
                <w:rFonts w:hint="eastAsia" w:asciiTheme="minorEastAsia" w:hAnsiTheme="minorEastAsia"/>
                <w:sz w:val="22"/>
                <w:highlight w:val="none"/>
              </w:rPr>
              <w:t>支</w:t>
            </w:r>
          </w:p>
        </w:tc>
        <w:tc>
          <w:tcPr>
            <w:tcW w:w="320" w:type="pct"/>
            <w:vAlign w:val="center"/>
          </w:tcPr>
          <w:p w14:paraId="416918A3">
            <w:pPr>
              <w:spacing w:line="500" w:lineRule="exact"/>
              <w:jc w:val="center"/>
              <w:rPr>
                <w:rFonts w:asciiTheme="minorEastAsia" w:hAnsiTheme="minorEastAsia"/>
                <w:sz w:val="22"/>
                <w:highlight w:val="none"/>
              </w:rPr>
            </w:pPr>
            <w:r>
              <w:rPr>
                <w:rFonts w:hint="eastAsia" w:asciiTheme="minorEastAsia" w:hAnsiTheme="minorEastAsia"/>
                <w:sz w:val="22"/>
                <w:highlight w:val="none"/>
              </w:rPr>
              <w:t>4</w:t>
            </w:r>
          </w:p>
        </w:tc>
        <w:tc>
          <w:tcPr>
            <w:tcW w:w="256" w:type="pct"/>
            <w:vAlign w:val="center"/>
          </w:tcPr>
          <w:p w14:paraId="6B237FB7">
            <w:pPr>
              <w:spacing w:line="500" w:lineRule="exact"/>
              <w:jc w:val="center"/>
              <w:rPr>
                <w:rFonts w:asciiTheme="minorEastAsia" w:hAnsiTheme="minorEastAsia"/>
                <w:sz w:val="22"/>
                <w:highlight w:val="none"/>
              </w:rPr>
            </w:pPr>
          </w:p>
        </w:tc>
        <w:tc>
          <w:tcPr>
            <w:tcW w:w="257" w:type="pct"/>
            <w:vAlign w:val="center"/>
          </w:tcPr>
          <w:p w14:paraId="4414A6F2">
            <w:pPr>
              <w:spacing w:line="500" w:lineRule="exact"/>
              <w:jc w:val="center"/>
              <w:rPr>
                <w:rFonts w:asciiTheme="minorEastAsia" w:hAnsiTheme="minorEastAsia"/>
                <w:sz w:val="22"/>
                <w:highlight w:val="none"/>
              </w:rPr>
            </w:pPr>
          </w:p>
        </w:tc>
      </w:tr>
      <w:tr w14:paraId="1A617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tcPr>
          <w:p w14:paraId="5EF328EF">
            <w:pPr>
              <w:spacing w:line="500" w:lineRule="exact"/>
              <w:rPr>
                <w:rFonts w:hint="eastAsia" w:asciiTheme="minorEastAsia" w:hAnsiTheme="minorEastAsia" w:eastAsiaTheme="minorEastAsia"/>
                <w:sz w:val="22"/>
                <w:highlight w:val="none"/>
                <w:lang w:val="en-US" w:eastAsia="zh-CN"/>
              </w:rPr>
            </w:pPr>
            <w:r>
              <w:rPr>
                <w:rFonts w:hint="eastAsia" w:asciiTheme="minorEastAsia" w:hAnsiTheme="minorEastAsia"/>
                <w:sz w:val="22"/>
                <w:highlight w:val="none"/>
              </w:rPr>
              <w:t>1</w:t>
            </w:r>
            <w:r>
              <w:rPr>
                <w:rFonts w:hint="eastAsia" w:asciiTheme="minorEastAsia" w:hAnsiTheme="minorEastAsia"/>
                <w:sz w:val="22"/>
                <w:highlight w:val="none"/>
                <w:lang w:val="en-US" w:eastAsia="zh-CN"/>
              </w:rPr>
              <w:t>1</w:t>
            </w:r>
          </w:p>
        </w:tc>
        <w:tc>
          <w:tcPr>
            <w:tcW w:w="529" w:type="pct"/>
          </w:tcPr>
          <w:p w14:paraId="70C6E978">
            <w:pPr>
              <w:spacing w:line="500" w:lineRule="exact"/>
              <w:rPr>
                <w:rFonts w:asciiTheme="minorEastAsia" w:hAnsiTheme="minorEastAsia"/>
                <w:b/>
                <w:bCs/>
                <w:sz w:val="22"/>
                <w:highlight w:val="none"/>
              </w:rPr>
            </w:pPr>
            <w:r>
              <w:rPr>
                <w:rFonts w:hint="eastAsia" w:asciiTheme="minorEastAsia" w:hAnsiTheme="minorEastAsia"/>
                <w:b/>
                <w:bCs/>
                <w:sz w:val="22"/>
                <w:highlight w:val="none"/>
              </w:rPr>
              <w:t>兽用超声诊断仪背膘探头</w:t>
            </w:r>
          </w:p>
        </w:tc>
        <w:tc>
          <w:tcPr>
            <w:tcW w:w="3123" w:type="pct"/>
          </w:tcPr>
          <w:p w14:paraId="4B7C7050">
            <w:pPr>
              <w:widowControl/>
              <w:jc w:val="left"/>
              <w:rPr>
                <w:color w:val="000000"/>
                <w:sz w:val="22"/>
                <w:highlight w:val="none"/>
              </w:rPr>
            </w:pPr>
            <w:r>
              <w:rPr>
                <w:rFonts w:hint="eastAsia"/>
                <w:color w:val="000000"/>
                <w:sz w:val="22"/>
                <w:highlight w:val="none"/>
              </w:rPr>
              <w:t>频率：2.0MHz/3.5MHz/4.0MHz/5.0MHz/H4.0MHz/H5.0MHz 六段变频</w:t>
            </w:r>
          </w:p>
          <w:p w14:paraId="3D699005">
            <w:pPr>
              <w:widowControl/>
              <w:jc w:val="left"/>
              <w:rPr>
                <w:color w:val="000000"/>
                <w:sz w:val="22"/>
                <w:highlight w:val="none"/>
              </w:rPr>
            </w:pPr>
            <w:r>
              <w:rPr>
                <w:rFonts w:hint="eastAsia"/>
                <w:color w:val="000000"/>
                <w:sz w:val="22"/>
                <w:highlight w:val="none"/>
              </w:rPr>
              <w:t>探测深度：30-230mm</w:t>
            </w:r>
          </w:p>
          <w:p w14:paraId="6A3C6D17">
            <w:pPr>
              <w:widowControl/>
              <w:jc w:val="left"/>
              <w:rPr>
                <w:color w:val="000000"/>
                <w:sz w:val="22"/>
                <w:highlight w:val="none"/>
              </w:rPr>
            </w:pPr>
            <w:r>
              <w:rPr>
                <w:rFonts w:hint="eastAsia"/>
                <w:color w:val="000000"/>
                <w:sz w:val="22"/>
                <w:highlight w:val="none"/>
              </w:rPr>
              <w:t>探头参考尺寸：长17cm  宽2cm  高10cm</w:t>
            </w:r>
          </w:p>
          <w:p w14:paraId="5805EDBC">
            <w:pPr>
              <w:widowControl/>
              <w:jc w:val="left"/>
              <w:rPr>
                <w:color w:val="000000"/>
                <w:sz w:val="22"/>
                <w:highlight w:val="none"/>
              </w:rPr>
            </w:pPr>
            <w:r>
              <w:rPr>
                <w:rFonts w:hint="eastAsia"/>
                <w:color w:val="000000"/>
                <w:sz w:val="22"/>
                <w:highlight w:val="none"/>
              </w:rPr>
              <w:t>用途：检测猪、牛，背膘厚度，脂肪沉积，瘦肉率，眼肌面积等数据</w:t>
            </w:r>
          </w:p>
        </w:tc>
        <w:tc>
          <w:tcPr>
            <w:tcW w:w="256" w:type="pct"/>
            <w:vAlign w:val="center"/>
          </w:tcPr>
          <w:p w14:paraId="6DE897D1">
            <w:pPr>
              <w:spacing w:line="500" w:lineRule="exact"/>
              <w:rPr>
                <w:rFonts w:asciiTheme="minorEastAsia" w:hAnsiTheme="minorEastAsia"/>
                <w:sz w:val="22"/>
                <w:highlight w:val="none"/>
              </w:rPr>
            </w:pPr>
            <w:r>
              <w:rPr>
                <w:rFonts w:hint="eastAsia" w:asciiTheme="minorEastAsia" w:hAnsiTheme="minorEastAsia"/>
                <w:sz w:val="22"/>
                <w:highlight w:val="none"/>
              </w:rPr>
              <w:t>支</w:t>
            </w:r>
          </w:p>
        </w:tc>
        <w:tc>
          <w:tcPr>
            <w:tcW w:w="320" w:type="pct"/>
            <w:vAlign w:val="center"/>
          </w:tcPr>
          <w:p w14:paraId="3CE726B2">
            <w:pPr>
              <w:spacing w:line="500" w:lineRule="exact"/>
              <w:jc w:val="center"/>
              <w:rPr>
                <w:rFonts w:asciiTheme="minorEastAsia" w:hAnsiTheme="minorEastAsia"/>
                <w:sz w:val="22"/>
                <w:highlight w:val="none"/>
              </w:rPr>
            </w:pPr>
            <w:r>
              <w:rPr>
                <w:rFonts w:hint="eastAsia" w:asciiTheme="minorEastAsia" w:hAnsiTheme="minorEastAsia"/>
                <w:sz w:val="22"/>
                <w:highlight w:val="none"/>
              </w:rPr>
              <w:t>1</w:t>
            </w:r>
          </w:p>
        </w:tc>
        <w:tc>
          <w:tcPr>
            <w:tcW w:w="256" w:type="pct"/>
            <w:vAlign w:val="center"/>
          </w:tcPr>
          <w:p w14:paraId="614568C0">
            <w:pPr>
              <w:spacing w:line="500" w:lineRule="exact"/>
              <w:jc w:val="center"/>
              <w:rPr>
                <w:rFonts w:asciiTheme="minorEastAsia" w:hAnsiTheme="minorEastAsia"/>
                <w:sz w:val="22"/>
                <w:highlight w:val="none"/>
              </w:rPr>
            </w:pPr>
          </w:p>
        </w:tc>
        <w:tc>
          <w:tcPr>
            <w:tcW w:w="257" w:type="pct"/>
            <w:vAlign w:val="center"/>
          </w:tcPr>
          <w:p w14:paraId="6A72BC93">
            <w:pPr>
              <w:spacing w:line="500" w:lineRule="exact"/>
              <w:jc w:val="center"/>
              <w:rPr>
                <w:rFonts w:asciiTheme="minorEastAsia" w:hAnsiTheme="minorEastAsia"/>
                <w:sz w:val="22"/>
                <w:highlight w:val="none"/>
              </w:rPr>
            </w:pPr>
          </w:p>
        </w:tc>
      </w:tr>
      <w:tr w14:paraId="5EC09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tcPr>
          <w:p w14:paraId="0580C986">
            <w:pPr>
              <w:spacing w:line="500" w:lineRule="exact"/>
              <w:rPr>
                <w:rFonts w:hint="eastAsia" w:asciiTheme="minorEastAsia" w:hAnsiTheme="minorEastAsia" w:eastAsiaTheme="minorEastAsia"/>
                <w:sz w:val="22"/>
                <w:highlight w:val="none"/>
                <w:lang w:val="en-US" w:eastAsia="zh-CN"/>
              </w:rPr>
            </w:pPr>
            <w:r>
              <w:rPr>
                <w:rFonts w:hint="eastAsia" w:asciiTheme="minorEastAsia" w:hAnsiTheme="minorEastAsia"/>
                <w:sz w:val="22"/>
                <w:highlight w:val="none"/>
              </w:rPr>
              <w:t>1</w:t>
            </w:r>
            <w:r>
              <w:rPr>
                <w:rFonts w:hint="eastAsia" w:asciiTheme="minorEastAsia" w:hAnsiTheme="minorEastAsia"/>
                <w:sz w:val="22"/>
                <w:highlight w:val="none"/>
                <w:lang w:val="en-US" w:eastAsia="zh-CN"/>
              </w:rPr>
              <w:t>2</w:t>
            </w:r>
          </w:p>
        </w:tc>
        <w:tc>
          <w:tcPr>
            <w:tcW w:w="529" w:type="pct"/>
          </w:tcPr>
          <w:p w14:paraId="7A0FE553">
            <w:pPr>
              <w:spacing w:line="500" w:lineRule="exact"/>
              <w:rPr>
                <w:rFonts w:asciiTheme="minorEastAsia" w:hAnsiTheme="minorEastAsia"/>
                <w:b/>
                <w:bCs/>
                <w:sz w:val="22"/>
                <w:highlight w:val="none"/>
              </w:rPr>
            </w:pPr>
            <w:r>
              <w:rPr>
                <w:rFonts w:hint="eastAsia" w:asciiTheme="minorEastAsia" w:hAnsiTheme="minorEastAsia"/>
                <w:b/>
                <w:bCs/>
                <w:sz w:val="22"/>
                <w:highlight w:val="none"/>
              </w:rPr>
              <w:t>pH计</w:t>
            </w:r>
          </w:p>
        </w:tc>
        <w:tc>
          <w:tcPr>
            <w:tcW w:w="3123" w:type="pct"/>
          </w:tcPr>
          <w:p w14:paraId="21C332F7">
            <w:pPr>
              <w:widowControl/>
              <w:jc w:val="left"/>
              <w:rPr>
                <w:color w:val="000000"/>
                <w:sz w:val="22"/>
                <w:highlight w:val="none"/>
              </w:rPr>
            </w:pPr>
            <w:r>
              <w:rPr>
                <w:rFonts w:hint="eastAsia"/>
                <w:color w:val="000000"/>
                <w:sz w:val="22"/>
                <w:highlight w:val="none"/>
              </w:rPr>
              <w:t>肉用pH；测定范围：-2.0-20.00 pH；精度 ：0.01 pH；</w:t>
            </w:r>
            <w:r>
              <w:rPr>
                <w:rFonts w:hint="eastAsia"/>
                <w:highlight w:val="none"/>
              </w:rPr>
              <w:t>三合一pH电极，玻璃电极杆，穿刺电极头</w:t>
            </w:r>
          </w:p>
        </w:tc>
        <w:tc>
          <w:tcPr>
            <w:tcW w:w="256" w:type="pct"/>
            <w:vAlign w:val="center"/>
          </w:tcPr>
          <w:p w14:paraId="3A6A694A">
            <w:pPr>
              <w:spacing w:line="500" w:lineRule="exact"/>
              <w:rPr>
                <w:rFonts w:asciiTheme="minorEastAsia" w:hAnsiTheme="minorEastAsia"/>
                <w:sz w:val="22"/>
                <w:highlight w:val="none"/>
              </w:rPr>
            </w:pPr>
            <w:r>
              <w:rPr>
                <w:rFonts w:hint="eastAsia" w:asciiTheme="minorEastAsia" w:hAnsiTheme="minorEastAsia"/>
                <w:sz w:val="22"/>
                <w:highlight w:val="none"/>
              </w:rPr>
              <w:t>台</w:t>
            </w:r>
          </w:p>
        </w:tc>
        <w:tc>
          <w:tcPr>
            <w:tcW w:w="320" w:type="pct"/>
            <w:vAlign w:val="center"/>
          </w:tcPr>
          <w:p w14:paraId="029B58B4">
            <w:pPr>
              <w:spacing w:line="500" w:lineRule="exact"/>
              <w:jc w:val="center"/>
              <w:rPr>
                <w:rFonts w:asciiTheme="minorEastAsia" w:hAnsiTheme="minorEastAsia"/>
                <w:sz w:val="22"/>
                <w:highlight w:val="none"/>
              </w:rPr>
            </w:pPr>
            <w:r>
              <w:rPr>
                <w:rFonts w:hint="eastAsia" w:asciiTheme="minorEastAsia" w:hAnsiTheme="minorEastAsia"/>
                <w:sz w:val="22"/>
                <w:highlight w:val="none"/>
              </w:rPr>
              <w:t>6</w:t>
            </w:r>
          </w:p>
        </w:tc>
        <w:tc>
          <w:tcPr>
            <w:tcW w:w="256" w:type="pct"/>
            <w:vAlign w:val="center"/>
          </w:tcPr>
          <w:p w14:paraId="7B9DF5E6">
            <w:pPr>
              <w:spacing w:line="500" w:lineRule="exact"/>
              <w:jc w:val="center"/>
              <w:rPr>
                <w:rFonts w:asciiTheme="minorEastAsia" w:hAnsiTheme="minorEastAsia"/>
                <w:sz w:val="22"/>
                <w:highlight w:val="none"/>
              </w:rPr>
            </w:pPr>
          </w:p>
        </w:tc>
        <w:tc>
          <w:tcPr>
            <w:tcW w:w="257" w:type="pct"/>
            <w:vAlign w:val="center"/>
          </w:tcPr>
          <w:p w14:paraId="02B64244">
            <w:pPr>
              <w:spacing w:line="500" w:lineRule="exact"/>
              <w:jc w:val="center"/>
              <w:rPr>
                <w:rFonts w:asciiTheme="minorEastAsia" w:hAnsiTheme="minorEastAsia"/>
                <w:sz w:val="22"/>
                <w:highlight w:val="none"/>
              </w:rPr>
            </w:pPr>
          </w:p>
        </w:tc>
      </w:tr>
      <w:tr w14:paraId="75563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256" w:type="pct"/>
          </w:tcPr>
          <w:p w14:paraId="5CF96183">
            <w:pPr>
              <w:spacing w:line="500" w:lineRule="exact"/>
              <w:rPr>
                <w:rFonts w:hint="eastAsia" w:asciiTheme="minorEastAsia" w:hAnsiTheme="minorEastAsia" w:eastAsiaTheme="minorEastAsia"/>
                <w:sz w:val="22"/>
                <w:highlight w:val="none"/>
                <w:lang w:val="en-US" w:eastAsia="zh-CN"/>
              </w:rPr>
            </w:pPr>
            <w:r>
              <w:rPr>
                <w:rFonts w:hint="eastAsia" w:asciiTheme="minorEastAsia" w:hAnsiTheme="minorEastAsia"/>
                <w:sz w:val="22"/>
                <w:highlight w:val="none"/>
              </w:rPr>
              <w:t>1</w:t>
            </w:r>
            <w:r>
              <w:rPr>
                <w:rFonts w:hint="eastAsia" w:asciiTheme="minorEastAsia" w:hAnsiTheme="minorEastAsia"/>
                <w:sz w:val="22"/>
                <w:highlight w:val="none"/>
                <w:lang w:val="en-US" w:eastAsia="zh-CN"/>
              </w:rPr>
              <w:t>3</w:t>
            </w:r>
          </w:p>
        </w:tc>
        <w:tc>
          <w:tcPr>
            <w:tcW w:w="529" w:type="pct"/>
          </w:tcPr>
          <w:p w14:paraId="3BB42A1C">
            <w:pPr>
              <w:spacing w:line="500" w:lineRule="exact"/>
              <w:rPr>
                <w:rFonts w:asciiTheme="minorEastAsia" w:hAnsiTheme="minorEastAsia"/>
                <w:b/>
                <w:bCs/>
                <w:sz w:val="22"/>
                <w:highlight w:val="none"/>
              </w:rPr>
            </w:pPr>
          </w:p>
          <w:p w14:paraId="3928571B">
            <w:pPr>
              <w:spacing w:line="500" w:lineRule="exact"/>
              <w:rPr>
                <w:rFonts w:asciiTheme="minorEastAsia" w:hAnsiTheme="minorEastAsia"/>
                <w:b/>
                <w:bCs/>
                <w:sz w:val="22"/>
                <w:highlight w:val="none"/>
              </w:rPr>
            </w:pPr>
          </w:p>
          <w:p w14:paraId="1906F43A">
            <w:pPr>
              <w:spacing w:line="500" w:lineRule="exact"/>
              <w:rPr>
                <w:rFonts w:asciiTheme="minorEastAsia" w:hAnsiTheme="minorEastAsia"/>
                <w:b/>
                <w:bCs/>
                <w:sz w:val="22"/>
                <w:highlight w:val="none"/>
              </w:rPr>
            </w:pPr>
            <w:r>
              <w:rPr>
                <w:rFonts w:hint="eastAsia" w:asciiTheme="minorEastAsia" w:hAnsiTheme="minorEastAsia"/>
                <w:b/>
                <w:bCs/>
                <w:sz w:val="22"/>
                <w:highlight w:val="none"/>
              </w:rPr>
              <w:t>可见分光光度计</w:t>
            </w:r>
          </w:p>
        </w:tc>
        <w:tc>
          <w:tcPr>
            <w:tcW w:w="3123" w:type="pct"/>
          </w:tcPr>
          <w:p w14:paraId="42F0A484">
            <w:pPr>
              <w:widowControl/>
              <w:jc w:val="left"/>
              <w:rPr>
                <w:color w:val="000000"/>
                <w:sz w:val="22"/>
                <w:highlight w:val="none"/>
              </w:rPr>
            </w:pPr>
            <w:r>
              <w:rPr>
                <w:rFonts w:hint="eastAsia"/>
                <w:color w:val="000000"/>
                <w:sz w:val="22"/>
                <w:highlight w:val="none"/>
              </w:rPr>
              <w:t>波长范围320-1100nm;;光谱带宽4nm;波长分辨率0.1nm;波长准确度±0.5nm;开机自动校准;</w:t>
            </w:r>
          </w:p>
          <w:p w14:paraId="00F14DA8">
            <w:pPr>
              <w:widowControl/>
              <w:jc w:val="left"/>
              <w:rPr>
                <w:color w:val="000000"/>
                <w:sz w:val="22"/>
                <w:highlight w:val="none"/>
              </w:rPr>
            </w:pPr>
            <w:r>
              <w:rPr>
                <w:rFonts w:hint="eastAsia"/>
                <w:color w:val="000000"/>
                <w:sz w:val="22"/>
                <w:highlight w:val="none"/>
              </w:rPr>
              <w:t>波长重复性≤0.2nm;光度准确度±0.3%T(0-100%T)、±0.002A(0-0.5A)、:±0.004A(0.5-1A);光度重复性≤0.15%T(0-100%T)、≤0.001A(0-0.5A)、≤0.002A(0.5-1A);杂散光≤0.05%T@360nm;</w:t>
            </w:r>
          </w:p>
          <w:p w14:paraId="5662906A">
            <w:pPr>
              <w:widowControl/>
              <w:jc w:val="left"/>
              <w:rPr>
                <w:color w:val="000000"/>
                <w:sz w:val="22"/>
                <w:highlight w:val="none"/>
              </w:rPr>
            </w:pPr>
            <w:r>
              <w:rPr>
                <w:rFonts w:hint="eastAsia"/>
                <w:color w:val="000000"/>
                <w:sz w:val="22"/>
                <w:highlight w:val="none"/>
              </w:rPr>
              <w:t>基线漂移≤0.001A/h @500nm;基线平直度≤0.002A;噪声≤0.0005A(500nm处);显示方式液晶显示;工作方式TA,C ,E;波长设置方式自动; 显示范围0-200%T，-0.3-3A;检测器进口硅光二级管;光源钨灯;数据输出USB口;打印输出并口;</w:t>
            </w:r>
          </w:p>
        </w:tc>
        <w:tc>
          <w:tcPr>
            <w:tcW w:w="256" w:type="pct"/>
            <w:vAlign w:val="center"/>
          </w:tcPr>
          <w:p w14:paraId="00E72BC7">
            <w:pPr>
              <w:spacing w:line="500" w:lineRule="exact"/>
              <w:rPr>
                <w:rFonts w:asciiTheme="minorEastAsia" w:hAnsiTheme="minorEastAsia"/>
                <w:sz w:val="22"/>
                <w:highlight w:val="none"/>
              </w:rPr>
            </w:pPr>
            <w:r>
              <w:rPr>
                <w:rFonts w:hint="eastAsia" w:asciiTheme="minorEastAsia" w:hAnsiTheme="minorEastAsia"/>
                <w:sz w:val="22"/>
                <w:highlight w:val="none"/>
              </w:rPr>
              <w:t>台</w:t>
            </w:r>
          </w:p>
        </w:tc>
        <w:tc>
          <w:tcPr>
            <w:tcW w:w="320" w:type="pct"/>
            <w:vAlign w:val="center"/>
          </w:tcPr>
          <w:p w14:paraId="52EBC1BE">
            <w:pPr>
              <w:spacing w:line="500" w:lineRule="exact"/>
              <w:jc w:val="center"/>
              <w:rPr>
                <w:rFonts w:asciiTheme="minorEastAsia" w:hAnsiTheme="minorEastAsia"/>
                <w:sz w:val="22"/>
                <w:highlight w:val="none"/>
              </w:rPr>
            </w:pPr>
            <w:r>
              <w:rPr>
                <w:rFonts w:hint="eastAsia" w:asciiTheme="minorEastAsia" w:hAnsiTheme="minorEastAsia"/>
                <w:sz w:val="22"/>
                <w:highlight w:val="none"/>
              </w:rPr>
              <w:t>1</w:t>
            </w:r>
          </w:p>
        </w:tc>
        <w:tc>
          <w:tcPr>
            <w:tcW w:w="256" w:type="pct"/>
            <w:vAlign w:val="center"/>
          </w:tcPr>
          <w:p w14:paraId="1E1BCA3B">
            <w:pPr>
              <w:spacing w:line="500" w:lineRule="exact"/>
              <w:jc w:val="center"/>
              <w:rPr>
                <w:rFonts w:asciiTheme="minorEastAsia" w:hAnsiTheme="minorEastAsia"/>
                <w:sz w:val="22"/>
                <w:highlight w:val="none"/>
              </w:rPr>
            </w:pPr>
          </w:p>
        </w:tc>
        <w:tc>
          <w:tcPr>
            <w:tcW w:w="257" w:type="pct"/>
            <w:vAlign w:val="center"/>
          </w:tcPr>
          <w:p w14:paraId="26C6C40A">
            <w:pPr>
              <w:spacing w:line="500" w:lineRule="exact"/>
              <w:jc w:val="center"/>
              <w:rPr>
                <w:rFonts w:asciiTheme="minorEastAsia" w:hAnsiTheme="minorEastAsia"/>
                <w:sz w:val="22"/>
                <w:highlight w:val="none"/>
              </w:rPr>
            </w:pPr>
          </w:p>
        </w:tc>
      </w:tr>
      <w:tr w14:paraId="6EBF4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tcPr>
          <w:p w14:paraId="7C849C35">
            <w:pPr>
              <w:spacing w:line="500" w:lineRule="exact"/>
              <w:rPr>
                <w:rFonts w:hint="eastAsia" w:asciiTheme="minorEastAsia" w:hAnsiTheme="minorEastAsia" w:eastAsiaTheme="minorEastAsia"/>
                <w:sz w:val="22"/>
                <w:highlight w:val="none"/>
                <w:lang w:val="en-US" w:eastAsia="zh-CN"/>
              </w:rPr>
            </w:pPr>
            <w:r>
              <w:rPr>
                <w:rFonts w:hint="eastAsia" w:asciiTheme="minorEastAsia" w:hAnsiTheme="minorEastAsia"/>
                <w:sz w:val="22"/>
                <w:highlight w:val="none"/>
              </w:rPr>
              <w:t>1</w:t>
            </w:r>
            <w:r>
              <w:rPr>
                <w:rFonts w:hint="eastAsia" w:asciiTheme="minorEastAsia" w:hAnsiTheme="minorEastAsia"/>
                <w:sz w:val="22"/>
                <w:highlight w:val="none"/>
                <w:lang w:val="en-US" w:eastAsia="zh-CN"/>
              </w:rPr>
              <w:t>4</w:t>
            </w:r>
          </w:p>
        </w:tc>
        <w:tc>
          <w:tcPr>
            <w:tcW w:w="529" w:type="pct"/>
          </w:tcPr>
          <w:p w14:paraId="16131A68">
            <w:pPr>
              <w:spacing w:line="500" w:lineRule="exact"/>
              <w:rPr>
                <w:rFonts w:asciiTheme="minorEastAsia" w:hAnsiTheme="minorEastAsia"/>
                <w:b/>
                <w:bCs/>
                <w:sz w:val="22"/>
                <w:highlight w:val="none"/>
              </w:rPr>
            </w:pPr>
            <w:r>
              <w:rPr>
                <w:rFonts w:hint="eastAsia" w:asciiTheme="minorEastAsia" w:hAnsiTheme="minorEastAsia"/>
                <w:b/>
                <w:bCs/>
                <w:sz w:val="22"/>
                <w:highlight w:val="none"/>
              </w:rPr>
              <w:t>96孔板离心机</w:t>
            </w:r>
          </w:p>
        </w:tc>
        <w:tc>
          <w:tcPr>
            <w:tcW w:w="3123" w:type="pct"/>
          </w:tcPr>
          <w:p w14:paraId="028CF913">
            <w:pPr>
              <w:widowControl/>
              <w:jc w:val="left"/>
              <w:rPr>
                <w:color w:val="000000"/>
                <w:sz w:val="22"/>
                <w:highlight w:val="none"/>
              </w:rPr>
            </w:pPr>
            <w:r>
              <w:rPr>
                <w:rFonts w:hint="eastAsia"/>
                <w:color w:val="000000"/>
                <w:sz w:val="22"/>
                <w:highlight w:val="none"/>
              </w:rPr>
              <w:t>类型管式离心机；噪音≤ 55dB；布局形式卧式；结构类型台式；降速时间20s±5s；最大半径≥60mm；最大离心力≥500 xg；时间范围1s~99s（可点动离心）。</w:t>
            </w:r>
          </w:p>
        </w:tc>
        <w:tc>
          <w:tcPr>
            <w:tcW w:w="256" w:type="pct"/>
            <w:vAlign w:val="center"/>
          </w:tcPr>
          <w:p w14:paraId="3B40E0EC">
            <w:pPr>
              <w:spacing w:line="500" w:lineRule="exact"/>
              <w:rPr>
                <w:rFonts w:asciiTheme="minorEastAsia" w:hAnsiTheme="minorEastAsia"/>
                <w:sz w:val="22"/>
                <w:highlight w:val="none"/>
              </w:rPr>
            </w:pPr>
            <w:r>
              <w:rPr>
                <w:rFonts w:hint="eastAsia" w:asciiTheme="minorEastAsia" w:hAnsiTheme="minorEastAsia"/>
                <w:sz w:val="22"/>
                <w:highlight w:val="none"/>
              </w:rPr>
              <w:t>台</w:t>
            </w:r>
          </w:p>
        </w:tc>
        <w:tc>
          <w:tcPr>
            <w:tcW w:w="320" w:type="pct"/>
            <w:vAlign w:val="center"/>
          </w:tcPr>
          <w:p w14:paraId="29189D26">
            <w:pPr>
              <w:spacing w:line="500" w:lineRule="exact"/>
              <w:jc w:val="center"/>
              <w:rPr>
                <w:rFonts w:asciiTheme="minorEastAsia" w:hAnsiTheme="minorEastAsia"/>
                <w:sz w:val="22"/>
                <w:highlight w:val="none"/>
              </w:rPr>
            </w:pPr>
            <w:r>
              <w:rPr>
                <w:rFonts w:hint="eastAsia" w:asciiTheme="minorEastAsia" w:hAnsiTheme="minorEastAsia"/>
                <w:sz w:val="22"/>
                <w:highlight w:val="none"/>
              </w:rPr>
              <w:t>1</w:t>
            </w:r>
          </w:p>
        </w:tc>
        <w:tc>
          <w:tcPr>
            <w:tcW w:w="256" w:type="pct"/>
            <w:vAlign w:val="center"/>
          </w:tcPr>
          <w:p w14:paraId="50220DD6">
            <w:pPr>
              <w:spacing w:line="500" w:lineRule="exact"/>
              <w:jc w:val="center"/>
              <w:rPr>
                <w:rFonts w:asciiTheme="minorEastAsia" w:hAnsiTheme="minorEastAsia"/>
                <w:sz w:val="22"/>
                <w:highlight w:val="none"/>
              </w:rPr>
            </w:pPr>
          </w:p>
        </w:tc>
        <w:tc>
          <w:tcPr>
            <w:tcW w:w="257" w:type="pct"/>
            <w:vAlign w:val="center"/>
          </w:tcPr>
          <w:p w14:paraId="3237E6F3">
            <w:pPr>
              <w:spacing w:line="500" w:lineRule="exact"/>
              <w:jc w:val="center"/>
              <w:rPr>
                <w:rFonts w:asciiTheme="minorEastAsia" w:hAnsiTheme="minorEastAsia"/>
                <w:sz w:val="22"/>
                <w:highlight w:val="none"/>
              </w:rPr>
            </w:pPr>
          </w:p>
        </w:tc>
      </w:tr>
      <w:tr w14:paraId="6EE33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tcPr>
          <w:p w14:paraId="4464CDCD">
            <w:pPr>
              <w:spacing w:line="500" w:lineRule="exact"/>
              <w:rPr>
                <w:rFonts w:hint="eastAsia" w:asciiTheme="minorEastAsia" w:hAnsiTheme="minorEastAsia" w:eastAsiaTheme="minorEastAsia"/>
                <w:sz w:val="22"/>
                <w:highlight w:val="none"/>
                <w:lang w:val="en-US" w:eastAsia="zh-CN"/>
              </w:rPr>
            </w:pPr>
            <w:r>
              <w:rPr>
                <w:rFonts w:hint="eastAsia" w:asciiTheme="minorEastAsia" w:hAnsiTheme="minorEastAsia"/>
                <w:sz w:val="22"/>
                <w:highlight w:val="none"/>
              </w:rPr>
              <w:t>1</w:t>
            </w:r>
            <w:r>
              <w:rPr>
                <w:rFonts w:hint="eastAsia" w:asciiTheme="minorEastAsia" w:hAnsiTheme="minorEastAsia"/>
                <w:sz w:val="22"/>
                <w:highlight w:val="none"/>
                <w:lang w:val="en-US" w:eastAsia="zh-CN"/>
              </w:rPr>
              <w:t>5</w:t>
            </w:r>
          </w:p>
        </w:tc>
        <w:tc>
          <w:tcPr>
            <w:tcW w:w="529" w:type="pct"/>
          </w:tcPr>
          <w:p w14:paraId="5FC0EBE6">
            <w:pPr>
              <w:spacing w:line="500" w:lineRule="exact"/>
              <w:rPr>
                <w:rFonts w:asciiTheme="minorEastAsia" w:hAnsiTheme="minorEastAsia"/>
                <w:b/>
                <w:bCs/>
                <w:sz w:val="22"/>
                <w:highlight w:val="none"/>
              </w:rPr>
            </w:pPr>
            <w:r>
              <w:rPr>
                <w:rFonts w:hint="eastAsia" w:asciiTheme="minorEastAsia" w:hAnsiTheme="minorEastAsia"/>
                <w:b/>
                <w:bCs/>
                <w:sz w:val="22"/>
                <w:highlight w:val="none"/>
              </w:rPr>
              <w:t>8连管离心机</w:t>
            </w:r>
          </w:p>
        </w:tc>
        <w:tc>
          <w:tcPr>
            <w:tcW w:w="3123" w:type="pct"/>
          </w:tcPr>
          <w:p w14:paraId="1EC67A5C">
            <w:pPr>
              <w:widowControl/>
              <w:jc w:val="left"/>
              <w:rPr>
                <w:color w:val="000000"/>
                <w:sz w:val="22"/>
                <w:highlight w:val="none"/>
              </w:rPr>
            </w:pPr>
            <w:r>
              <w:rPr>
                <w:rFonts w:hint="eastAsia"/>
                <w:color w:val="000000"/>
                <w:sz w:val="22"/>
                <w:highlight w:val="none"/>
              </w:rPr>
              <w:t>离心转速1500-4000rpm；转速调节100rpm；混匀强度等级≥3；适配载具8排管、1.5/2ml离心管；锁紧方式快拆旋钮；多级锁紧力调节；具有程序记忆功能；程序循环数1-999；开盖停机感应式；异常震动停机有；</w:t>
            </w:r>
          </w:p>
        </w:tc>
        <w:tc>
          <w:tcPr>
            <w:tcW w:w="256" w:type="pct"/>
            <w:vAlign w:val="center"/>
          </w:tcPr>
          <w:p w14:paraId="4C1B3827">
            <w:pPr>
              <w:spacing w:line="500" w:lineRule="exact"/>
              <w:rPr>
                <w:rFonts w:asciiTheme="minorEastAsia" w:hAnsiTheme="minorEastAsia"/>
                <w:sz w:val="22"/>
                <w:highlight w:val="none"/>
              </w:rPr>
            </w:pPr>
            <w:r>
              <w:rPr>
                <w:rFonts w:hint="eastAsia" w:asciiTheme="minorEastAsia" w:hAnsiTheme="minorEastAsia"/>
                <w:sz w:val="22"/>
                <w:highlight w:val="none"/>
              </w:rPr>
              <w:t>台</w:t>
            </w:r>
          </w:p>
        </w:tc>
        <w:tc>
          <w:tcPr>
            <w:tcW w:w="320" w:type="pct"/>
            <w:vAlign w:val="center"/>
          </w:tcPr>
          <w:p w14:paraId="79A3997A">
            <w:pPr>
              <w:spacing w:line="500" w:lineRule="exact"/>
              <w:jc w:val="center"/>
              <w:rPr>
                <w:rFonts w:asciiTheme="minorEastAsia" w:hAnsiTheme="minorEastAsia"/>
                <w:sz w:val="22"/>
                <w:highlight w:val="none"/>
              </w:rPr>
            </w:pPr>
            <w:r>
              <w:rPr>
                <w:rFonts w:hint="eastAsia" w:asciiTheme="minorEastAsia" w:hAnsiTheme="minorEastAsia"/>
                <w:sz w:val="22"/>
                <w:highlight w:val="none"/>
              </w:rPr>
              <w:t>1</w:t>
            </w:r>
          </w:p>
        </w:tc>
        <w:tc>
          <w:tcPr>
            <w:tcW w:w="256" w:type="pct"/>
            <w:vAlign w:val="center"/>
          </w:tcPr>
          <w:p w14:paraId="2CF57B5D">
            <w:pPr>
              <w:spacing w:line="500" w:lineRule="exact"/>
              <w:jc w:val="center"/>
              <w:rPr>
                <w:rFonts w:asciiTheme="minorEastAsia" w:hAnsiTheme="minorEastAsia"/>
                <w:sz w:val="22"/>
                <w:highlight w:val="none"/>
              </w:rPr>
            </w:pPr>
          </w:p>
        </w:tc>
        <w:tc>
          <w:tcPr>
            <w:tcW w:w="257" w:type="pct"/>
            <w:vAlign w:val="center"/>
          </w:tcPr>
          <w:p w14:paraId="398E4033">
            <w:pPr>
              <w:spacing w:line="500" w:lineRule="exact"/>
              <w:jc w:val="center"/>
              <w:rPr>
                <w:rFonts w:asciiTheme="minorEastAsia" w:hAnsiTheme="minorEastAsia"/>
                <w:sz w:val="22"/>
                <w:highlight w:val="none"/>
              </w:rPr>
            </w:pPr>
          </w:p>
        </w:tc>
      </w:tr>
      <w:tr w14:paraId="0D41B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tcPr>
          <w:p w14:paraId="2370F223">
            <w:pPr>
              <w:spacing w:line="500" w:lineRule="exact"/>
              <w:rPr>
                <w:rFonts w:hint="eastAsia" w:asciiTheme="minorEastAsia" w:hAnsiTheme="minorEastAsia" w:eastAsiaTheme="minorEastAsia"/>
                <w:sz w:val="22"/>
                <w:highlight w:val="none"/>
                <w:lang w:val="en-US" w:eastAsia="zh-CN"/>
              </w:rPr>
            </w:pPr>
            <w:r>
              <w:rPr>
                <w:rFonts w:hint="eastAsia" w:asciiTheme="minorEastAsia" w:hAnsiTheme="minorEastAsia"/>
                <w:sz w:val="22"/>
                <w:highlight w:val="none"/>
              </w:rPr>
              <w:t>1</w:t>
            </w:r>
            <w:r>
              <w:rPr>
                <w:rFonts w:hint="eastAsia" w:asciiTheme="minorEastAsia" w:hAnsiTheme="minorEastAsia"/>
                <w:sz w:val="22"/>
                <w:highlight w:val="none"/>
                <w:lang w:val="en-US" w:eastAsia="zh-CN"/>
              </w:rPr>
              <w:t>6</w:t>
            </w:r>
          </w:p>
        </w:tc>
        <w:tc>
          <w:tcPr>
            <w:tcW w:w="529" w:type="pct"/>
          </w:tcPr>
          <w:p w14:paraId="44BCD88B">
            <w:pPr>
              <w:spacing w:line="500" w:lineRule="exact"/>
              <w:rPr>
                <w:rFonts w:asciiTheme="minorEastAsia" w:hAnsiTheme="minorEastAsia"/>
                <w:b/>
                <w:bCs/>
                <w:sz w:val="22"/>
                <w:highlight w:val="none"/>
              </w:rPr>
            </w:pPr>
            <w:r>
              <w:rPr>
                <w:rFonts w:hint="eastAsia" w:asciiTheme="minorEastAsia" w:hAnsiTheme="minorEastAsia"/>
                <w:b/>
                <w:bCs/>
                <w:sz w:val="22"/>
                <w:highlight w:val="none"/>
              </w:rPr>
              <w:t>粉碎机</w:t>
            </w:r>
          </w:p>
        </w:tc>
        <w:tc>
          <w:tcPr>
            <w:tcW w:w="3123" w:type="pct"/>
          </w:tcPr>
          <w:p w14:paraId="4C5319F5">
            <w:pPr>
              <w:widowControl/>
              <w:jc w:val="left"/>
              <w:rPr>
                <w:color w:val="000000"/>
                <w:sz w:val="22"/>
                <w:highlight w:val="none"/>
              </w:rPr>
            </w:pPr>
            <w:r>
              <w:rPr>
                <w:rFonts w:hint="eastAsia"/>
                <w:color w:val="000000"/>
                <w:sz w:val="22"/>
                <w:highlight w:val="none"/>
              </w:rPr>
              <w:t>单次最大产量≥800g，摇摆式粉碎机；</w:t>
            </w:r>
          </w:p>
          <w:p w14:paraId="3367515E">
            <w:pPr>
              <w:widowControl/>
              <w:jc w:val="left"/>
              <w:rPr>
                <w:color w:val="000000"/>
                <w:sz w:val="22"/>
                <w:highlight w:val="none"/>
              </w:rPr>
            </w:pPr>
            <w:r>
              <w:rPr>
                <w:rFonts w:hint="eastAsia"/>
                <w:color w:val="000000"/>
                <w:sz w:val="22"/>
                <w:highlight w:val="none"/>
              </w:rPr>
              <w:t>粉碎细度：30-300目；</w:t>
            </w:r>
          </w:p>
          <w:p w14:paraId="0337BF0F">
            <w:pPr>
              <w:widowControl/>
              <w:jc w:val="left"/>
              <w:rPr>
                <w:color w:val="000000"/>
                <w:sz w:val="22"/>
                <w:highlight w:val="none"/>
              </w:rPr>
            </w:pPr>
            <w:r>
              <w:rPr>
                <w:rFonts w:hint="eastAsia"/>
                <w:color w:val="000000"/>
                <w:sz w:val="22"/>
                <w:highlight w:val="none"/>
              </w:rPr>
              <w:t>电压：220V；</w:t>
            </w:r>
          </w:p>
          <w:p w14:paraId="1FEE4C80">
            <w:pPr>
              <w:widowControl/>
              <w:jc w:val="left"/>
              <w:rPr>
                <w:color w:val="000000"/>
                <w:sz w:val="22"/>
                <w:highlight w:val="none"/>
              </w:rPr>
            </w:pPr>
            <w:r>
              <w:rPr>
                <w:rFonts w:hint="eastAsia"/>
                <w:color w:val="000000"/>
                <w:sz w:val="22"/>
                <w:highlight w:val="none"/>
              </w:rPr>
              <w:t>功率：≥2000W；</w:t>
            </w:r>
          </w:p>
          <w:p w14:paraId="37E7D50C">
            <w:pPr>
              <w:widowControl/>
              <w:jc w:val="left"/>
              <w:rPr>
                <w:color w:val="000000"/>
                <w:sz w:val="22"/>
                <w:highlight w:val="none"/>
              </w:rPr>
            </w:pPr>
            <w:r>
              <w:rPr>
                <w:rFonts w:hint="eastAsia"/>
                <w:color w:val="000000"/>
                <w:sz w:val="22"/>
                <w:highlight w:val="none"/>
              </w:rPr>
              <w:t>电机转速≥28000rpm</w:t>
            </w:r>
          </w:p>
        </w:tc>
        <w:tc>
          <w:tcPr>
            <w:tcW w:w="256" w:type="pct"/>
            <w:vAlign w:val="center"/>
          </w:tcPr>
          <w:p w14:paraId="14F73A66">
            <w:pPr>
              <w:spacing w:line="500" w:lineRule="exact"/>
              <w:rPr>
                <w:rFonts w:asciiTheme="minorEastAsia" w:hAnsiTheme="minorEastAsia"/>
                <w:sz w:val="22"/>
                <w:highlight w:val="none"/>
              </w:rPr>
            </w:pPr>
            <w:r>
              <w:rPr>
                <w:rFonts w:hint="eastAsia" w:asciiTheme="minorEastAsia" w:hAnsiTheme="minorEastAsia"/>
                <w:sz w:val="22"/>
                <w:highlight w:val="none"/>
              </w:rPr>
              <w:t>台</w:t>
            </w:r>
          </w:p>
        </w:tc>
        <w:tc>
          <w:tcPr>
            <w:tcW w:w="320" w:type="pct"/>
            <w:vAlign w:val="center"/>
          </w:tcPr>
          <w:p w14:paraId="50DA073A">
            <w:pPr>
              <w:spacing w:line="500" w:lineRule="exact"/>
              <w:jc w:val="center"/>
              <w:rPr>
                <w:rFonts w:asciiTheme="minorEastAsia" w:hAnsiTheme="minorEastAsia"/>
                <w:sz w:val="22"/>
                <w:highlight w:val="none"/>
              </w:rPr>
            </w:pPr>
            <w:r>
              <w:rPr>
                <w:rFonts w:hint="eastAsia" w:asciiTheme="minorEastAsia" w:hAnsiTheme="minorEastAsia"/>
                <w:sz w:val="22"/>
                <w:highlight w:val="none"/>
              </w:rPr>
              <w:t>1</w:t>
            </w:r>
          </w:p>
        </w:tc>
        <w:tc>
          <w:tcPr>
            <w:tcW w:w="256" w:type="pct"/>
            <w:vAlign w:val="center"/>
          </w:tcPr>
          <w:p w14:paraId="54AF9469">
            <w:pPr>
              <w:spacing w:line="500" w:lineRule="exact"/>
              <w:jc w:val="center"/>
              <w:rPr>
                <w:rFonts w:asciiTheme="minorEastAsia" w:hAnsiTheme="minorEastAsia"/>
                <w:sz w:val="22"/>
                <w:highlight w:val="none"/>
              </w:rPr>
            </w:pPr>
          </w:p>
        </w:tc>
        <w:tc>
          <w:tcPr>
            <w:tcW w:w="257" w:type="pct"/>
            <w:vAlign w:val="center"/>
          </w:tcPr>
          <w:p w14:paraId="49424984">
            <w:pPr>
              <w:spacing w:line="500" w:lineRule="exact"/>
              <w:jc w:val="center"/>
              <w:rPr>
                <w:rFonts w:asciiTheme="minorEastAsia" w:hAnsiTheme="minorEastAsia"/>
                <w:sz w:val="22"/>
                <w:highlight w:val="none"/>
              </w:rPr>
            </w:pPr>
          </w:p>
        </w:tc>
      </w:tr>
      <w:tr w14:paraId="31810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2" w:hRule="atLeast"/>
          <w:jc w:val="center"/>
        </w:trPr>
        <w:tc>
          <w:tcPr>
            <w:tcW w:w="256" w:type="pct"/>
          </w:tcPr>
          <w:p w14:paraId="50E51471">
            <w:pPr>
              <w:spacing w:line="500" w:lineRule="exact"/>
              <w:rPr>
                <w:rFonts w:hint="eastAsia" w:asciiTheme="minorEastAsia" w:hAnsiTheme="minorEastAsia" w:eastAsiaTheme="minorEastAsia"/>
                <w:sz w:val="22"/>
                <w:highlight w:val="none"/>
                <w:lang w:val="en-US" w:eastAsia="zh-CN"/>
              </w:rPr>
            </w:pPr>
            <w:r>
              <w:rPr>
                <w:rFonts w:hint="eastAsia" w:asciiTheme="minorEastAsia" w:hAnsiTheme="minorEastAsia"/>
                <w:sz w:val="22"/>
                <w:highlight w:val="none"/>
              </w:rPr>
              <w:t>1</w:t>
            </w:r>
            <w:r>
              <w:rPr>
                <w:rFonts w:hint="eastAsia" w:asciiTheme="minorEastAsia" w:hAnsiTheme="minorEastAsia"/>
                <w:sz w:val="22"/>
                <w:highlight w:val="none"/>
                <w:lang w:val="en-US" w:eastAsia="zh-CN"/>
              </w:rPr>
              <w:t>7</w:t>
            </w:r>
          </w:p>
        </w:tc>
        <w:tc>
          <w:tcPr>
            <w:tcW w:w="529" w:type="pct"/>
          </w:tcPr>
          <w:p w14:paraId="307DE08B">
            <w:pPr>
              <w:spacing w:line="500" w:lineRule="exact"/>
              <w:rPr>
                <w:rFonts w:asciiTheme="minorEastAsia" w:hAnsiTheme="minorEastAsia"/>
                <w:b/>
                <w:bCs/>
                <w:sz w:val="22"/>
                <w:highlight w:val="none"/>
              </w:rPr>
            </w:pPr>
            <w:r>
              <w:rPr>
                <w:rFonts w:hint="eastAsia" w:asciiTheme="minorEastAsia" w:hAnsiTheme="minorEastAsia"/>
                <w:b/>
                <w:bCs/>
                <w:sz w:val="22"/>
                <w:highlight w:val="none"/>
              </w:rPr>
              <w:t>危险化学品安全橱柜（酸碱柜）</w:t>
            </w:r>
          </w:p>
        </w:tc>
        <w:tc>
          <w:tcPr>
            <w:tcW w:w="3123" w:type="pct"/>
          </w:tcPr>
          <w:p w14:paraId="3862B4EA">
            <w:pPr>
              <w:widowControl/>
              <w:jc w:val="left"/>
              <w:rPr>
                <w:highlight w:val="none"/>
              </w:rPr>
            </w:pPr>
            <w:r>
              <w:rPr>
                <w:rFonts w:hint="eastAsia"/>
                <w:color w:val="000000"/>
                <w:sz w:val="22"/>
                <w:highlight w:val="none"/>
              </w:rPr>
              <w:t>层板：3板可调；</w:t>
            </w:r>
          </w:p>
          <w:p w14:paraId="4078372C">
            <w:pPr>
              <w:widowControl/>
              <w:jc w:val="left"/>
              <w:rPr>
                <w:color w:val="000000"/>
                <w:sz w:val="22"/>
                <w:highlight w:val="none"/>
              </w:rPr>
            </w:pPr>
            <w:r>
              <w:rPr>
                <w:rFonts w:hint="eastAsia"/>
                <w:color w:val="000000"/>
                <w:sz w:val="22"/>
                <w:highlight w:val="none"/>
              </w:rPr>
              <w:t>门型：单门</w:t>
            </w:r>
          </w:p>
          <w:p w14:paraId="6E152865">
            <w:pPr>
              <w:widowControl/>
              <w:jc w:val="left"/>
              <w:rPr>
                <w:color w:val="000000"/>
                <w:sz w:val="22"/>
                <w:highlight w:val="none"/>
              </w:rPr>
            </w:pPr>
            <w:r>
              <w:rPr>
                <w:rFonts w:hint="eastAsia"/>
                <w:color w:val="000000"/>
                <w:sz w:val="22"/>
                <w:highlight w:val="none"/>
              </w:rPr>
              <w:t>容积：≥46L</w:t>
            </w:r>
          </w:p>
          <w:p w14:paraId="7B1B066E">
            <w:pPr>
              <w:widowControl/>
              <w:jc w:val="left"/>
              <w:rPr>
                <w:color w:val="000000"/>
                <w:sz w:val="22"/>
                <w:highlight w:val="none"/>
              </w:rPr>
            </w:pPr>
            <w:r>
              <w:rPr>
                <w:rFonts w:hint="eastAsia"/>
                <w:color w:val="000000"/>
                <w:sz w:val="22"/>
                <w:highlight w:val="none"/>
              </w:rPr>
              <w:t>锁具：双锁</w:t>
            </w:r>
          </w:p>
          <w:p w14:paraId="1843026B">
            <w:pPr>
              <w:widowControl/>
              <w:jc w:val="left"/>
              <w:rPr>
                <w:color w:val="000000"/>
                <w:sz w:val="22"/>
                <w:highlight w:val="none"/>
              </w:rPr>
            </w:pPr>
            <w:r>
              <w:rPr>
                <w:rFonts w:hint="eastAsia"/>
                <w:highlight w:val="none"/>
              </w:rPr>
              <w:t>柜体采用1.0mm厚钢板，一次性折弯成型，表面环氧树脂粉末静电喷涂，高温固化。整体焊接成型，柜体双层结构，双层加厚门板。层板同柜体材质，层板托采用304，</w:t>
            </w:r>
            <w:r>
              <w:rPr>
                <w:rFonts w:hint="eastAsia"/>
                <w:highlight w:val="none"/>
                <w:lang w:eastAsia="zh-CN"/>
              </w:rPr>
              <w:t>≥</w:t>
            </w:r>
            <w:r>
              <w:rPr>
                <w:rFonts w:hint="eastAsia"/>
                <w:highlight w:val="none"/>
              </w:rPr>
              <w:t>1.0mm厚不锈钢板冲压成型。</w:t>
            </w:r>
          </w:p>
        </w:tc>
        <w:tc>
          <w:tcPr>
            <w:tcW w:w="256" w:type="pct"/>
            <w:vAlign w:val="center"/>
          </w:tcPr>
          <w:p w14:paraId="157DD79A">
            <w:pPr>
              <w:spacing w:line="500" w:lineRule="exact"/>
              <w:rPr>
                <w:rFonts w:asciiTheme="minorEastAsia" w:hAnsiTheme="minorEastAsia"/>
                <w:sz w:val="22"/>
                <w:highlight w:val="none"/>
              </w:rPr>
            </w:pPr>
            <w:r>
              <w:rPr>
                <w:rFonts w:hint="eastAsia" w:asciiTheme="minorEastAsia" w:hAnsiTheme="minorEastAsia"/>
                <w:sz w:val="22"/>
                <w:highlight w:val="none"/>
              </w:rPr>
              <w:t>套</w:t>
            </w:r>
          </w:p>
        </w:tc>
        <w:tc>
          <w:tcPr>
            <w:tcW w:w="320" w:type="pct"/>
            <w:vAlign w:val="center"/>
          </w:tcPr>
          <w:p w14:paraId="57FEB927">
            <w:pPr>
              <w:spacing w:line="500" w:lineRule="exact"/>
              <w:jc w:val="center"/>
              <w:rPr>
                <w:rFonts w:asciiTheme="minorEastAsia" w:hAnsiTheme="minorEastAsia"/>
                <w:sz w:val="22"/>
                <w:highlight w:val="none"/>
              </w:rPr>
            </w:pPr>
            <w:r>
              <w:rPr>
                <w:rFonts w:hint="eastAsia" w:asciiTheme="minorEastAsia" w:hAnsiTheme="minorEastAsia"/>
                <w:sz w:val="22"/>
                <w:highlight w:val="none"/>
              </w:rPr>
              <w:t>1</w:t>
            </w:r>
          </w:p>
        </w:tc>
        <w:tc>
          <w:tcPr>
            <w:tcW w:w="256" w:type="pct"/>
            <w:vAlign w:val="center"/>
          </w:tcPr>
          <w:p w14:paraId="3F802C69">
            <w:pPr>
              <w:spacing w:line="500" w:lineRule="exact"/>
              <w:jc w:val="center"/>
              <w:rPr>
                <w:rFonts w:asciiTheme="minorEastAsia" w:hAnsiTheme="minorEastAsia"/>
                <w:sz w:val="22"/>
                <w:highlight w:val="none"/>
              </w:rPr>
            </w:pPr>
          </w:p>
        </w:tc>
        <w:tc>
          <w:tcPr>
            <w:tcW w:w="257" w:type="pct"/>
            <w:vAlign w:val="center"/>
          </w:tcPr>
          <w:p w14:paraId="19C46DA9">
            <w:pPr>
              <w:spacing w:line="500" w:lineRule="exact"/>
              <w:jc w:val="center"/>
              <w:rPr>
                <w:rFonts w:asciiTheme="minorEastAsia" w:hAnsiTheme="minorEastAsia"/>
                <w:sz w:val="22"/>
                <w:highlight w:val="none"/>
              </w:rPr>
            </w:pPr>
          </w:p>
        </w:tc>
      </w:tr>
      <w:tr w14:paraId="5E0F4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tcPr>
          <w:p w14:paraId="2CA9E321">
            <w:pPr>
              <w:spacing w:line="500" w:lineRule="exact"/>
              <w:rPr>
                <w:rFonts w:hint="eastAsia" w:asciiTheme="minorEastAsia" w:hAnsiTheme="minorEastAsia" w:eastAsiaTheme="minorEastAsia"/>
                <w:sz w:val="22"/>
                <w:highlight w:val="none"/>
                <w:lang w:val="en-US" w:eastAsia="zh-CN"/>
              </w:rPr>
            </w:pPr>
            <w:r>
              <w:rPr>
                <w:rFonts w:hint="eastAsia" w:asciiTheme="minorEastAsia" w:hAnsiTheme="minorEastAsia"/>
                <w:sz w:val="22"/>
                <w:highlight w:val="none"/>
              </w:rPr>
              <w:t>1</w:t>
            </w:r>
            <w:r>
              <w:rPr>
                <w:rFonts w:hint="eastAsia" w:asciiTheme="minorEastAsia" w:hAnsiTheme="minorEastAsia"/>
                <w:sz w:val="22"/>
                <w:highlight w:val="none"/>
                <w:lang w:val="en-US" w:eastAsia="zh-CN"/>
              </w:rPr>
              <w:t>8</w:t>
            </w:r>
          </w:p>
        </w:tc>
        <w:tc>
          <w:tcPr>
            <w:tcW w:w="529" w:type="pct"/>
          </w:tcPr>
          <w:p w14:paraId="35CE1197">
            <w:pPr>
              <w:spacing w:line="500" w:lineRule="exact"/>
              <w:rPr>
                <w:rFonts w:asciiTheme="minorEastAsia" w:hAnsiTheme="minorEastAsia"/>
                <w:b/>
                <w:bCs/>
                <w:sz w:val="22"/>
                <w:highlight w:val="none"/>
              </w:rPr>
            </w:pPr>
            <w:r>
              <w:rPr>
                <w:rFonts w:hint="eastAsia" w:asciiTheme="minorEastAsia" w:hAnsiTheme="minorEastAsia"/>
                <w:b/>
                <w:bCs/>
                <w:sz w:val="22"/>
                <w:highlight w:val="none"/>
              </w:rPr>
              <w:t>速磨磨粉机</w:t>
            </w:r>
          </w:p>
        </w:tc>
        <w:tc>
          <w:tcPr>
            <w:tcW w:w="3123" w:type="pct"/>
          </w:tcPr>
          <w:p w14:paraId="313D4A4B">
            <w:pPr>
              <w:widowControl/>
              <w:jc w:val="left"/>
              <w:rPr>
                <w:color w:val="000000"/>
                <w:sz w:val="22"/>
                <w:highlight w:val="none"/>
              </w:rPr>
            </w:pPr>
            <w:r>
              <w:rPr>
                <w:rFonts w:hint="eastAsia"/>
                <w:color w:val="000000"/>
                <w:sz w:val="22"/>
                <w:highlight w:val="none"/>
              </w:rPr>
              <w:t>杯体：套娃三杯（250ml、180ml、130ml）；</w:t>
            </w:r>
          </w:p>
          <w:p w14:paraId="47509EE1">
            <w:pPr>
              <w:widowControl/>
              <w:jc w:val="left"/>
              <w:rPr>
                <w:color w:val="000000"/>
                <w:sz w:val="22"/>
                <w:highlight w:val="none"/>
              </w:rPr>
            </w:pPr>
            <w:r>
              <w:rPr>
                <w:rFonts w:hint="eastAsia"/>
                <w:color w:val="000000"/>
                <w:sz w:val="22"/>
                <w:highlight w:val="none"/>
              </w:rPr>
              <w:t>材质：304不锈钢；</w:t>
            </w:r>
          </w:p>
          <w:p w14:paraId="69486B2D">
            <w:pPr>
              <w:widowControl/>
              <w:jc w:val="left"/>
              <w:rPr>
                <w:color w:val="000000"/>
                <w:sz w:val="22"/>
                <w:highlight w:val="none"/>
              </w:rPr>
            </w:pPr>
            <w:r>
              <w:rPr>
                <w:rFonts w:hint="eastAsia"/>
                <w:color w:val="000000"/>
                <w:sz w:val="22"/>
                <w:highlight w:val="none"/>
              </w:rPr>
              <w:t>研磨刀头：大杯：四叶鲸齿钢刀；中杯/小杯：二叶鲸齿钢刀；</w:t>
            </w:r>
          </w:p>
          <w:p w14:paraId="26B47DD1">
            <w:pPr>
              <w:widowControl/>
              <w:jc w:val="left"/>
              <w:rPr>
                <w:color w:val="000000"/>
                <w:sz w:val="22"/>
                <w:highlight w:val="none"/>
              </w:rPr>
            </w:pPr>
            <w:r>
              <w:rPr>
                <w:rFonts w:hint="eastAsia"/>
                <w:color w:val="000000"/>
                <w:sz w:val="22"/>
                <w:highlight w:val="none"/>
              </w:rPr>
              <w:t>额定功率：≥200W</w:t>
            </w:r>
          </w:p>
        </w:tc>
        <w:tc>
          <w:tcPr>
            <w:tcW w:w="256" w:type="pct"/>
            <w:vAlign w:val="center"/>
          </w:tcPr>
          <w:p w14:paraId="77034CB6">
            <w:pPr>
              <w:spacing w:line="500" w:lineRule="exact"/>
              <w:rPr>
                <w:rFonts w:asciiTheme="minorEastAsia" w:hAnsiTheme="minorEastAsia"/>
                <w:sz w:val="22"/>
                <w:highlight w:val="none"/>
              </w:rPr>
            </w:pPr>
            <w:r>
              <w:rPr>
                <w:rFonts w:hint="eastAsia" w:asciiTheme="minorEastAsia" w:hAnsiTheme="minorEastAsia"/>
                <w:sz w:val="22"/>
                <w:highlight w:val="none"/>
              </w:rPr>
              <w:t>套</w:t>
            </w:r>
          </w:p>
        </w:tc>
        <w:tc>
          <w:tcPr>
            <w:tcW w:w="320" w:type="pct"/>
            <w:vAlign w:val="center"/>
          </w:tcPr>
          <w:p w14:paraId="05DC0BF7">
            <w:pPr>
              <w:spacing w:line="500" w:lineRule="exact"/>
              <w:jc w:val="center"/>
              <w:rPr>
                <w:rFonts w:asciiTheme="minorEastAsia" w:hAnsiTheme="minorEastAsia"/>
                <w:sz w:val="22"/>
                <w:highlight w:val="none"/>
              </w:rPr>
            </w:pPr>
            <w:r>
              <w:rPr>
                <w:rFonts w:hint="eastAsia" w:asciiTheme="minorEastAsia" w:hAnsiTheme="minorEastAsia"/>
                <w:sz w:val="22"/>
                <w:highlight w:val="none"/>
              </w:rPr>
              <w:t>2</w:t>
            </w:r>
          </w:p>
        </w:tc>
        <w:tc>
          <w:tcPr>
            <w:tcW w:w="256" w:type="pct"/>
            <w:vAlign w:val="center"/>
          </w:tcPr>
          <w:p w14:paraId="7A633D23">
            <w:pPr>
              <w:spacing w:line="500" w:lineRule="exact"/>
              <w:jc w:val="center"/>
              <w:rPr>
                <w:rFonts w:asciiTheme="minorEastAsia" w:hAnsiTheme="minorEastAsia"/>
                <w:sz w:val="22"/>
                <w:highlight w:val="none"/>
              </w:rPr>
            </w:pPr>
          </w:p>
        </w:tc>
        <w:tc>
          <w:tcPr>
            <w:tcW w:w="257" w:type="pct"/>
            <w:vAlign w:val="center"/>
          </w:tcPr>
          <w:p w14:paraId="2CB864E9">
            <w:pPr>
              <w:spacing w:line="500" w:lineRule="exact"/>
              <w:jc w:val="center"/>
              <w:rPr>
                <w:rFonts w:asciiTheme="minorEastAsia" w:hAnsiTheme="minorEastAsia"/>
                <w:sz w:val="22"/>
                <w:highlight w:val="none"/>
              </w:rPr>
            </w:pPr>
          </w:p>
        </w:tc>
      </w:tr>
      <w:tr w14:paraId="6374F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jc w:val="center"/>
        </w:trPr>
        <w:tc>
          <w:tcPr>
            <w:tcW w:w="256" w:type="pct"/>
          </w:tcPr>
          <w:p w14:paraId="6FBFDFF5">
            <w:pPr>
              <w:spacing w:line="500" w:lineRule="exact"/>
              <w:rPr>
                <w:rFonts w:hint="default" w:asciiTheme="minorEastAsia" w:hAnsiTheme="minorEastAsia" w:eastAsiaTheme="minorEastAsia"/>
                <w:sz w:val="22"/>
                <w:highlight w:val="none"/>
                <w:lang w:val="en-US" w:eastAsia="zh-CN"/>
              </w:rPr>
            </w:pPr>
            <w:r>
              <w:rPr>
                <w:rFonts w:hint="eastAsia" w:asciiTheme="minorEastAsia" w:hAnsiTheme="minorEastAsia"/>
                <w:sz w:val="22"/>
                <w:highlight w:val="none"/>
                <w:lang w:val="en-US" w:eastAsia="zh-CN"/>
              </w:rPr>
              <w:t>19</w:t>
            </w:r>
          </w:p>
        </w:tc>
        <w:tc>
          <w:tcPr>
            <w:tcW w:w="529" w:type="pct"/>
          </w:tcPr>
          <w:p w14:paraId="1DF70E78">
            <w:pPr>
              <w:spacing w:line="500" w:lineRule="exact"/>
              <w:rPr>
                <w:rFonts w:asciiTheme="minorEastAsia" w:hAnsiTheme="minorEastAsia"/>
                <w:b/>
                <w:bCs/>
                <w:sz w:val="22"/>
                <w:highlight w:val="none"/>
              </w:rPr>
            </w:pPr>
            <w:r>
              <w:rPr>
                <w:rFonts w:hint="eastAsia" w:asciiTheme="minorEastAsia" w:hAnsiTheme="minorEastAsia"/>
                <w:b/>
                <w:bCs/>
                <w:sz w:val="22"/>
                <w:highlight w:val="none"/>
              </w:rPr>
              <w:t>实验凳</w:t>
            </w:r>
          </w:p>
        </w:tc>
        <w:tc>
          <w:tcPr>
            <w:tcW w:w="3123" w:type="pct"/>
          </w:tcPr>
          <w:p w14:paraId="23611A0F">
            <w:pPr>
              <w:widowControl/>
              <w:numPr>
                <w:ilvl w:val="0"/>
                <w:numId w:val="0"/>
              </w:numPr>
              <w:spacing w:after="240"/>
              <w:jc w:val="left"/>
              <w:rPr>
                <w:rFonts w:hint="eastAsia"/>
                <w:sz w:val="22"/>
                <w:highlight w:val="none"/>
              </w:rPr>
            </w:pPr>
            <w:r>
              <w:rPr>
                <w:rFonts w:hint="eastAsia" w:ascii="Calibri" w:hAnsi="Calibri" w:eastAsia="宋体" w:cs="Times New Roman"/>
                <w:kern w:val="2"/>
                <w:sz w:val="22"/>
                <w:szCs w:val="24"/>
                <w:highlight w:val="none"/>
                <w:lang w:val="en-US" w:eastAsia="zh-CN" w:bidi="ar-SA"/>
              </w:rPr>
              <w:t>1.</w:t>
            </w:r>
            <w:r>
              <w:rPr>
                <w:rFonts w:hint="eastAsia"/>
                <w:sz w:val="22"/>
                <w:highlight w:val="none"/>
              </w:rPr>
              <w:t>座垫常规直径：凳面直径约320mm；</w:t>
            </w:r>
          </w:p>
          <w:p w14:paraId="1412600D">
            <w:pPr>
              <w:widowControl/>
              <w:numPr>
                <w:ilvl w:val="0"/>
                <w:numId w:val="0"/>
              </w:numPr>
              <w:spacing w:after="240"/>
              <w:jc w:val="left"/>
              <w:rPr>
                <w:color w:val="000000"/>
                <w:sz w:val="22"/>
                <w:highlight w:val="none"/>
              </w:rPr>
            </w:pPr>
            <w:r>
              <w:rPr>
                <w:rFonts w:hint="eastAsia"/>
                <w:sz w:val="22"/>
                <w:highlight w:val="none"/>
              </w:rPr>
              <w:t xml:space="preserve">2.所使用原料中不含S、Pb、Hg等有害物质，对人体无害。 </w:t>
            </w:r>
            <w:r>
              <w:rPr>
                <w:rFonts w:hint="eastAsia"/>
                <w:sz w:val="22"/>
                <w:highlight w:val="none"/>
              </w:rPr>
              <w:br w:type="textWrapping"/>
            </w:r>
            <w:r>
              <w:rPr>
                <w:rFonts w:hint="eastAsia"/>
                <w:sz w:val="22"/>
                <w:highlight w:val="none"/>
              </w:rPr>
              <w:t>3</w:t>
            </w:r>
            <w:r>
              <w:rPr>
                <w:rFonts w:hint="eastAsia"/>
                <w:sz w:val="22"/>
                <w:highlight w:val="none"/>
                <w:lang w:val="en-US" w:eastAsia="zh-CN"/>
              </w:rPr>
              <w:t>.</w:t>
            </w:r>
            <w:r>
              <w:rPr>
                <w:rFonts w:hint="eastAsia"/>
                <w:sz w:val="22"/>
                <w:highlight w:val="none"/>
              </w:rPr>
              <w:t>通过无油气动杆调节高度</w:t>
            </w:r>
            <w:r>
              <w:rPr>
                <w:rFonts w:hint="eastAsia"/>
                <w:sz w:val="22"/>
                <w:highlight w:val="none"/>
                <w:lang w:eastAsia="zh-CN"/>
              </w:rPr>
              <w:t>，</w:t>
            </w:r>
            <w:r>
              <w:rPr>
                <w:rFonts w:hint="eastAsia"/>
                <w:sz w:val="22"/>
                <w:highlight w:val="none"/>
              </w:rPr>
              <w:t xml:space="preserve">气动或螺旋杆 常规升降高度440-580mm </w:t>
            </w:r>
            <w:r>
              <w:rPr>
                <w:rFonts w:hint="eastAsia"/>
                <w:sz w:val="22"/>
                <w:highlight w:val="none"/>
              </w:rPr>
              <w:br w:type="textWrapping"/>
            </w:r>
            <w:r>
              <w:rPr>
                <w:rFonts w:hint="eastAsia"/>
                <w:sz w:val="22"/>
                <w:highlight w:val="none"/>
              </w:rPr>
              <w:t xml:space="preserve">4.使用过程中重心倾斜偏离中心线30°不会摔倒。 </w:t>
            </w:r>
          </w:p>
        </w:tc>
        <w:tc>
          <w:tcPr>
            <w:tcW w:w="256" w:type="pct"/>
            <w:vAlign w:val="center"/>
          </w:tcPr>
          <w:p w14:paraId="4B5ED03D">
            <w:pPr>
              <w:spacing w:line="500" w:lineRule="exact"/>
              <w:rPr>
                <w:rFonts w:asciiTheme="minorEastAsia" w:hAnsiTheme="minorEastAsia"/>
                <w:sz w:val="22"/>
                <w:highlight w:val="none"/>
              </w:rPr>
            </w:pPr>
            <w:r>
              <w:rPr>
                <w:rFonts w:hint="eastAsia" w:asciiTheme="minorEastAsia" w:hAnsiTheme="minorEastAsia"/>
                <w:sz w:val="22"/>
                <w:highlight w:val="none"/>
              </w:rPr>
              <w:t>台</w:t>
            </w:r>
          </w:p>
        </w:tc>
        <w:tc>
          <w:tcPr>
            <w:tcW w:w="320" w:type="pct"/>
            <w:vAlign w:val="center"/>
          </w:tcPr>
          <w:p w14:paraId="14FE7A9D">
            <w:pPr>
              <w:spacing w:line="500" w:lineRule="exact"/>
              <w:jc w:val="center"/>
              <w:rPr>
                <w:rFonts w:asciiTheme="minorEastAsia" w:hAnsiTheme="minorEastAsia"/>
                <w:sz w:val="22"/>
                <w:highlight w:val="none"/>
              </w:rPr>
            </w:pPr>
            <w:r>
              <w:rPr>
                <w:rFonts w:hint="eastAsia" w:asciiTheme="minorEastAsia" w:hAnsiTheme="minorEastAsia"/>
                <w:sz w:val="22"/>
                <w:highlight w:val="none"/>
              </w:rPr>
              <w:t>600</w:t>
            </w:r>
          </w:p>
        </w:tc>
        <w:tc>
          <w:tcPr>
            <w:tcW w:w="256" w:type="pct"/>
            <w:vAlign w:val="center"/>
          </w:tcPr>
          <w:p w14:paraId="2CCA5FA0">
            <w:pPr>
              <w:spacing w:line="500" w:lineRule="exact"/>
              <w:rPr>
                <w:rFonts w:asciiTheme="minorEastAsia" w:hAnsiTheme="minorEastAsia"/>
                <w:sz w:val="22"/>
                <w:highlight w:val="none"/>
              </w:rPr>
            </w:pPr>
          </w:p>
        </w:tc>
        <w:tc>
          <w:tcPr>
            <w:tcW w:w="257" w:type="pct"/>
            <w:vAlign w:val="center"/>
          </w:tcPr>
          <w:p w14:paraId="0036CECB">
            <w:pPr>
              <w:spacing w:line="500" w:lineRule="exact"/>
              <w:rPr>
                <w:rFonts w:asciiTheme="minorEastAsia" w:hAnsiTheme="minorEastAsia"/>
                <w:sz w:val="22"/>
                <w:highlight w:val="none"/>
              </w:rPr>
            </w:pPr>
          </w:p>
        </w:tc>
      </w:tr>
      <w:tr w14:paraId="134EC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tcPr>
          <w:p w14:paraId="552B1499">
            <w:pPr>
              <w:spacing w:line="500" w:lineRule="exact"/>
              <w:rPr>
                <w:rFonts w:hint="eastAsia" w:asciiTheme="minorEastAsia" w:hAnsiTheme="minorEastAsia" w:eastAsiaTheme="minorEastAsia"/>
                <w:sz w:val="22"/>
                <w:highlight w:val="none"/>
                <w:lang w:val="en-US" w:eastAsia="zh-CN"/>
              </w:rPr>
            </w:pPr>
            <w:r>
              <w:rPr>
                <w:rFonts w:hint="eastAsia" w:asciiTheme="minorEastAsia" w:hAnsiTheme="minorEastAsia"/>
                <w:sz w:val="22"/>
                <w:highlight w:val="none"/>
              </w:rPr>
              <w:t>2</w:t>
            </w:r>
            <w:r>
              <w:rPr>
                <w:rFonts w:hint="eastAsia" w:asciiTheme="minorEastAsia" w:hAnsiTheme="minorEastAsia"/>
                <w:sz w:val="22"/>
                <w:highlight w:val="none"/>
                <w:lang w:val="en-US" w:eastAsia="zh-CN"/>
              </w:rPr>
              <w:t>0</w:t>
            </w:r>
          </w:p>
        </w:tc>
        <w:tc>
          <w:tcPr>
            <w:tcW w:w="529" w:type="pct"/>
          </w:tcPr>
          <w:p w14:paraId="3F8D2E4D">
            <w:pPr>
              <w:spacing w:line="500" w:lineRule="exact"/>
              <w:rPr>
                <w:rFonts w:asciiTheme="minorEastAsia" w:hAnsiTheme="minorEastAsia"/>
                <w:b/>
                <w:bCs/>
                <w:sz w:val="22"/>
                <w:highlight w:val="none"/>
              </w:rPr>
            </w:pPr>
            <w:r>
              <w:rPr>
                <w:rFonts w:hint="eastAsia" w:asciiTheme="minorEastAsia" w:hAnsiTheme="minorEastAsia"/>
                <w:b/>
                <w:bCs/>
                <w:sz w:val="22"/>
                <w:highlight w:val="none"/>
              </w:rPr>
              <w:t>水平电泳槽</w:t>
            </w:r>
          </w:p>
        </w:tc>
        <w:tc>
          <w:tcPr>
            <w:tcW w:w="3123" w:type="pct"/>
          </w:tcPr>
          <w:p w14:paraId="77596070">
            <w:pPr>
              <w:jc w:val="left"/>
              <w:rPr>
                <w:rFonts w:asciiTheme="minorEastAsia" w:hAnsiTheme="minorEastAsia"/>
                <w:sz w:val="22"/>
                <w:highlight w:val="none"/>
              </w:rPr>
            </w:pPr>
            <w:r>
              <w:rPr>
                <w:rFonts w:hint="eastAsia" w:asciiTheme="minorEastAsia" w:hAnsiTheme="minorEastAsia"/>
                <w:sz w:val="22"/>
                <w:highlight w:val="none"/>
              </w:rPr>
              <w:t>1.透明材料注塑成型</w:t>
            </w:r>
          </w:p>
          <w:p w14:paraId="2356B946">
            <w:pPr>
              <w:jc w:val="left"/>
              <w:rPr>
                <w:highlight w:val="none"/>
              </w:rPr>
            </w:pPr>
            <w:r>
              <w:rPr>
                <w:rFonts w:hint="eastAsia" w:asciiTheme="minorEastAsia" w:hAnsiTheme="minorEastAsia"/>
                <w:sz w:val="22"/>
                <w:highlight w:val="none"/>
              </w:rPr>
              <w:t>2.可制作四种不规格凝胶，配有专用制胶槽</w:t>
            </w:r>
          </w:p>
          <w:p w14:paraId="0A12B90B">
            <w:pPr>
              <w:jc w:val="left"/>
              <w:rPr>
                <w:rFonts w:asciiTheme="minorEastAsia" w:hAnsiTheme="minorEastAsia"/>
                <w:strike/>
                <w:sz w:val="22"/>
                <w:highlight w:val="none"/>
              </w:rPr>
            </w:pPr>
            <w:r>
              <w:rPr>
                <w:rFonts w:hint="eastAsia" w:asciiTheme="minorEastAsia" w:hAnsiTheme="minorEastAsia"/>
                <w:sz w:val="22"/>
                <w:highlight w:val="none"/>
              </w:rPr>
              <w:t>3.托盘底带有荧光标尺</w:t>
            </w:r>
          </w:p>
          <w:p w14:paraId="6639C65F">
            <w:pPr>
              <w:jc w:val="left"/>
              <w:rPr>
                <w:rFonts w:asciiTheme="minorEastAsia" w:hAnsiTheme="minorEastAsia"/>
                <w:strike/>
                <w:sz w:val="22"/>
                <w:highlight w:val="none"/>
              </w:rPr>
            </w:pPr>
            <w:r>
              <w:rPr>
                <w:rFonts w:hint="eastAsia" w:asciiTheme="minorEastAsia" w:hAnsiTheme="minorEastAsia"/>
                <w:sz w:val="22"/>
                <w:highlight w:val="none"/>
              </w:rPr>
              <w:t>4.具有限位功能</w:t>
            </w:r>
          </w:p>
          <w:p w14:paraId="7BCEB55A">
            <w:pPr>
              <w:jc w:val="left"/>
              <w:rPr>
                <w:rFonts w:asciiTheme="minorEastAsia" w:hAnsiTheme="minorEastAsia"/>
                <w:strike/>
                <w:sz w:val="22"/>
                <w:highlight w:val="none"/>
              </w:rPr>
            </w:pPr>
            <w:r>
              <w:rPr>
                <w:rFonts w:hint="eastAsia" w:asciiTheme="minorEastAsia" w:hAnsiTheme="minorEastAsia"/>
                <w:sz w:val="22"/>
                <w:highlight w:val="none"/>
              </w:rPr>
              <w:t>5.可拆卸电极</w:t>
            </w:r>
          </w:p>
          <w:p w14:paraId="23C53FC5">
            <w:pPr>
              <w:rPr>
                <w:highlight w:val="none"/>
              </w:rPr>
            </w:pPr>
            <w:r>
              <w:rPr>
                <w:rFonts w:hint="eastAsia" w:asciiTheme="minorEastAsia" w:hAnsiTheme="minorEastAsia"/>
                <w:sz w:val="22"/>
                <w:highlight w:val="none"/>
              </w:rPr>
              <w:t>6.分体制胶器大胶可以同时用二排加样梳，一次最多可电泳50个样品</w:t>
            </w:r>
          </w:p>
          <w:p w14:paraId="33022D12">
            <w:pPr>
              <w:jc w:val="left"/>
              <w:rPr>
                <w:rFonts w:asciiTheme="minorEastAsia" w:hAnsiTheme="minorEastAsia"/>
                <w:sz w:val="22"/>
                <w:highlight w:val="none"/>
              </w:rPr>
            </w:pPr>
            <w:r>
              <w:rPr>
                <w:rFonts w:hint="eastAsia" w:asciiTheme="minorEastAsia" w:hAnsiTheme="minorEastAsia"/>
                <w:sz w:val="22"/>
                <w:highlight w:val="none"/>
              </w:rPr>
              <w:t>开盖断电</w:t>
            </w:r>
          </w:p>
          <w:p w14:paraId="5A6376FC">
            <w:pPr>
              <w:rPr>
                <w:rFonts w:asciiTheme="minorEastAsia" w:hAnsiTheme="minorEastAsia"/>
                <w:strike/>
                <w:sz w:val="22"/>
                <w:highlight w:val="none"/>
              </w:rPr>
            </w:pPr>
            <w:r>
              <w:rPr>
                <w:rFonts w:hint="eastAsia" w:asciiTheme="minorEastAsia" w:hAnsiTheme="minorEastAsia"/>
                <w:sz w:val="22"/>
                <w:highlight w:val="none"/>
              </w:rPr>
              <w:t>99.99%高纯铂电极</w:t>
            </w:r>
          </w:p>
          <w:p w14:paraId="433C1261">
            <w:pPr>
              <w:jc w:val="left"/>
              <w:rPr>
                <w:rFonts w:asciiTheme="minorEastAsia" w:hAnsiTheme="minorEastAsia"/>
                <w:sz w:val="22"/>
                <w:highlight w:val="none"/>
              </w:rPr>
            </w:pPr>
            <w:r>
              <w:rPr>
                <w:rFonts w:hint="eastAsia" w:asciiTheme="minorEastAsia" w:hAnsiTheme="minorEastAsia"/>
                <w:sz w:val="22"/>
                <w:highlight w:val="none"/>
              </w:rPr>
              <w:t>凝胶面积：大胶120×120㎜；宽胶120×60㎜</w:t>
            </w:r>
          </w:p>
          <w:p w14:paraId="1AB0BA8E">
            <w:pPr>
              <w:jc w:val="left"/>
              <w:rPr>
                <w:rFonts w:asciiTheme="minorEastAsia" w:hAnsiTheme="minorEastAsia"/>
                <w:sz w:val="22"/>
                <w:highlight w:val="none"/>
              </w:rPr>
            </w:pPr>
            <w:r>
              <w:rPr>
                <w:rFonts w:hint="eastAsia" w:asciiTheme="minorEastAsia" w:hAnsiTheme="minorEastAsia"/>
                <w:sz w:val="22"/>
                <w:highlight w:val="none"/>
              </w:rPr>
              <w:t xml:space="preserve">长胶60×120㎜； </w:t>
            </w:r>
          </w:p>
          <w:p w14:paraId="521BF6A3">
            <w:pPr>
              <w:jc w:val="left"/>
              <w:rPr>
                <w:rFonts w:asciiTheme="minorEastAsia" w:hAnsiTheme="minorEastAsia"/>
                <w:sz w:val="22"/>
                <w:highlight w:val="none"/>
              </w:rPr>
            </w:pPr>
            <w:r>
              <w:rPr>
                <w:rFonts w:hint="eastAsia" w:asciiTheme="minorEastAsia" w:hAnsiTheme="minorEastAsia"/>
                <w:sz w:val="22"/>
                <w:highlight w:val="none"/>
              </w:rPr>
              <w:t>小胶60×60㎜</w:t>
            </w:r>
          </w:p>
          <w:p w14:paraId="0E0EFE18">
            <w:pPr>
              <w:jc w:val="left"/>
              <w:rPr>
                <w:rFonts w:asciiTheme="minorEastAsia" w:hAnsiTheme="minorEastAsia"/>
                <w:sz w:val="22"/>
                <w:highlight w:val="none"/>
              </w:rPr>
            </w:pPr>
            <w:r>
              <w:rPr>
                <w:rFonts w:hint="eastAsia" w:asciiTheme="minorEastAsia" w:hAnsiTheme="minorEastAsia"/>
                <w:sz w:val="22"/>
                <w:highlight w:val="none"/>
              </w:rPr>
              <w:t>样品梳齿数：2、3、6、8、11、13、18、25</w:t>
            </w:r>
          </w:p>
          <w:p w14:paraId="29B186C2">
            <w:pPr>
              <w:jc w:val="left"/>
              <w:rPr>
                <w:color w:val="000000"/>
                <w:sz w:val="22"/>
                <w:highlight w:val="none"/>
              </w:rPr>
            </w:pPr>
            <w:r>
              <w:rPr>
                <w:rFonts w:hint="eastAsia" w:asciiTheme="minorEastAsia" w:hAnsiTheme="minorEastAsia"/>
                <w:sz w:val="22"/>
                <w:highlight w:val="none"/>
              </w:rPr>
              <w:t>缓冲液容积：约700mL</w:t>
            </w:r>
          </w:p>
        </w:tc>
        <w:tc>
          <w:tcPr>
            <w:tcW w:w="256" w:type="pct"/>
            <w:vAlign w:val="center"/>
          </w:tcPr>
          <w:p w14:paraId="677225FB">
            <w:pPr>
              <w:spacing w:line="500" w:lineRule="exact"/>
              <w:rPr>
                <w:rFonts w:asciiTheme="minorEastAsia" w:hAnsiTheme="minorEastAsia"/>
                <w:sz w:val="22"/>
                <w:highlight w:val="none"/>
              </w:rPr>
            </w:pPr>
            <w:r>
              <w:rPr>
                <w:rFonts w:hint="eastAsia" w:asciiTheme="minorEastAsia" w:hAnsiTheme="minorEastAsia"/>
                <w:sz w:val="22"/>
                <w:highlight w:val="none"/>
              </w:rPr>
              <w:t>个</w:t>
            </w:r>
          </w:p>
        </w:tc>
        <w:tc>
          <w:tcPr>
            <w:tcW w:w="320" w:type="pct"/>
            <w:vAlign w:val="center"/>
          </w:tcPr>
          <w:p w14:paraId="494C960A">
            <w:pPr>
              <w:spacing w:line="500" w:lineRule="exact"/>
              <w:jc w:val="center"/>
              <w:rPr>
                <w:rFonts w:asciiTheme="minorEastAsia" w:hAnsiTheme="minorEastAsia"/>
                <w:sz w:val="22"/>
                <w:highlight w:val="none"/>
              </w:rPr>
            </w:pPr>
            <w:r>
              <w:rPr>
                <w:rFonts w:hint="eastAsia" w:asciiTheme="minorEastAsia" w:hAnsiTheme="minorEastAsia"/>
                <w:sz w:val="22"/>
                <w:highlight w:val="none"/>
              </w:rPr>
              <w:t>4</w:t>
            </w:r>
          </w:p>
        </w:tc>
        <w:tc>
          <w:tcPr>
            <w:tcW w:w="256" w:type="pct"/>
            <w:vAlign w:val="center"/>
          </w:tcPr>
          <w:p w14:paraId="5148AA16">
            <w:pPr>
              <w:spacing w:line="500" w:lineRule="exact"/>
              <w:jc w:val="center"/>
              <w:rPr>
                <w:rFonts w:asciiTheme="minorEastAsia" w:hAnsiTheme="minorEastAsia"/>
                <w:sz w:val="22"/>
                <w:highlight w:val="none"/>
              </w:rPr>
            </w:pPr>
          </w:p>
        </w:tc>
        <w:tc>
          <w:tcPr>
            <w:tcW w:w="257" w:type="pct"/>
            <w:vAlign w:val="center"/>
          </w:tcPr>
          <w:p w14:paraId="4841F496">
            <w:pPr>
              <w:spacing w:line="500" w:lineRule="exact"/>
              <w:jc w:val="center"/>
              <w:rPr>
                <w:rFonts w:asciiTheme="minorEastAsia" w:hAnsiTheme="minorEastAsia"/>
                <w:sz w:val="22"/>
                <w:highlight w:val="none"/>
              </w:rPr>
            </w:pPr>
          </w:p>
        </w:tc>
      </w:tr>
      <w:tr w14:paraId="799EF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tcPr>
          <w:p w14:paraId="51C81707">
            <w:pPr>
              <w:spacing w:line="500" w:lineRule="exact"/>
              <w:rPr>
                <w:rFonts w:hint="default" w:asciiTheme="minorEastAsia" w:hAnsiTheme="minorEastAsia" w:eastAsiaTheme="minorEastAsia"/>
                <w:sz w:val="22"/>
                <w:highlight w:val="none"/>
                <w:lang w:val="en-US" w:eastAsia="zh-CN"/>
              </w:rPr>
            </w:pPr>
            <w:r>
              <w:rPr>
                <w:rFonts w:hint="eastAsia" w:asciiTheme="minorEastAsia" w:hAnsiTheme="minorEastAsia"/>
                <w:sz w:val="22"/>
                <w:highlight w:val="none"/>
                <w:lang w:val="en-US" w:eastAsia="zh-CN"/>
              </w:rPr>
              <w:t>21</w:t>
            </w:r>
          </w:p>
        </w:tc>
        <w:tc>
          <w:tcPr>
            <w:tcW w:w="529" w:type="pct"/>
          </w:tcPr>
          <w:p w14:paraId="0CB72746">
            <w:pPr>
              <w:spacing w:line="500" w:lineRule="exact"/>
              <w:rPr>
                <w:rFonts w:asciiTheme="minorEastAsia" w:hAnsiTheme="minorEastAsia"/>
                <w:b/>
                <w:bCs/>
                <w:sz w:val="22"/>
                <w:highlight w:val="none"/>
              </w:rPr>
            </w:pPr>
            <w:r>
              <w:rPr>
                <w:rFonts w:hint="eastAsia" w:asciiTheme="minorEastAsia" w:hAnsiTheme="minorEastAsia"/>
                <w:b/>
                <w:bCs/>
                <w:sz w:val="22"/>
                <w:highlight w:val="none"/>
              </w:rPr>
              <w:t>全自动孵化机</w:t>
            </w:r>
          </w:p>
        </w:tc>
        <w:tc>
          <w:tcPr>
            <w:tcW w:w="3123" w:type="pct"/>
          </w:tcPr>
          <w:p w14:paraId="1ACDF16B">
            <w:pPr>
              <w:jc w:val="left"/>
              <w:rPr>
                <w:rFonts w:asciiTheme="minorEastAsia" w:hAnsiTheme="minorEastAsia"/>
                <w:sz w:val="22"/>
                <w:highlight w:val="none"/>
              </w:rPr>
            </w:pPr>
            <w:r>
              <w:rPr>
                <w:rFonts w:hint="eastAsia" w:asciiTheme="minorEastAsia" w:hAnsiTheme="minorEastAsia"/>
                <w:sz w:val="22"/>
                <w:highlight w:val="none"/>
              </w:rPr>
              <w:t xml:space="preserve">体积(立方米)：≥1.0               </w:t>
            </w:r>
          </w:p>
          <w:p w14:paraId="7A7EA818">
            <w:pPr>
              <w:jc w:val="left"/>
              <w:rPr>
                <w:rFonts w:asciiTheme="minorEastAsia" w:hAnsiTheme="minorEastAsia"/>
                <w:sz w:val="22"/>
                <w:highlight w:val="none"/>
              </w:rPr>
            </w:pPr>
            <w:r>
              <w:rPr>
                <w:rFonts w:hint="eastAsia" w:asciiTheme="minorEastAsia" w:hAnsiTheme="minorEastAsia"/>
                <w:sz w:val="22"/>
                <w:highlight w:val="none"/>
              </w:rPr>
              <w:t>温度显示范围：5～50℃</w:t>
            </w:r>
          </w:p>
          <w:p w14:paraId="0919E21D">
            <w:pPr>
              <w:jc w:val="left"/>
              <w:rPr>
                <w:rFonts w:asciiTheme="minorEastAsia" w:hAnsiTheme="minorEastAsia"/>
                <w:sz w:val="22"/>
                <w:highlight w:val="none"/>
              </w:rPr>
            </w:pPr>
            <w:r>
              <w:rPr>
                <w:rFonts w:hint="eastAsia" w:asciiTheme="minorEastAsia" w:hAnsiTheme="minorEastAsia"/>
                <w:sz w:val="22"/>
                <w:highlight w:val="none"/>
              </w:rPr>
              <w:t>温度测量精度：±0.1℃</w:t>
            </w:r>
          </w:p>
          <w:p w14:paraId="4A2F3E56">
            <w:pPr>
              <w:jc w:val="left"/>
              <w:rPr>
                <w:rFonts w:asciiTheme="minorEastAsia" w:hAnsiTheme="minorEastAsia"/>
                <w:sz w:val="22"/>
                <w:highlight w:val="none"/>
              </w:rPr>
            </w:pPr>
            <w:r>
              <w:rPr>
                <w:rFonts w:hint="eastAsia" w:asciiTheme="minorEastAsia" w:hAnsiTheme="minorEastAsia"/>
                <w:sz w:val="22"/>
                <w:highlight w:val="none"/>
              </w:rPr>
              <w:t>湿度显示范围：0—99%RH</w:t>
            </w:r>
          </w:p>
          <w:p w14:paraId="602D25BE">
            <w:pPr>
              <w:jc w:val="left"/>
              <w:rPr>
                <w:rFonts w:asciiTheme="minorEastAsia" w:hAnsiTheme="minorEastAsia"/>
                <w:sz w:val="22"/>
                <w:highlight w:val="none"/>
              </w:rPr>
            </w:pPr>
            <w:r>
              <w:rPr>
                <w:rFonts w:hint="eastAsia" w:asciiTheme="minorEastAsia" w:hAnsiTheme="minorEastAsia"/>
                <w:sz w:val="22"/>
                <w:highlight w:val="none"/>
              </w:rPr>
              <w:t>控湿精度：±5%RH</w:t>
            </w:r>
          </w:p>
          <w:p w14:paraId="2818A2C6">
            <w:pPr>
              <w:jc w:val="left"/>
              <w:rPr>
                <w:rFonts w:asciiTheme="minorEastAsia" w:hAnsiTheme="minorEastAsia"/>
                <w:strike/>
                <w:sz w:val="22"/>
                <w:highlight w:val="none"/>
              </w:rPr>
            </w:pPr>
            <w:r>
              <w:rPr>
                <w:rFonts w:hint="eastAsia" w:asciiTheme="minorEastAsia" w:hAnsiTheme="minorEastAsia"/>
                <w:sz w:val="22"/>
                <w:highlight w:val="none"/>
              </w:rPr>
              <w:t>输出路数：≥7路</w:t>
            </w:r>
          </w:p>
          <w:p w14:paraId="65252682">
            <w:pPr>
              <w:jc w:val="left"/>
              <w:rPr>
                <w:rFonts w:asciiTheme="minorEastAsia" w:hAnsiTheme="minorEastAsia"/>
                <w:sz w:val="22"/>
                <w:highlight w:val="none"/>
              </w:rPr>
            </w:pPr>
            <w:r>
              <w:rPr>
                <w:rFonts w:hint="eastAsia" w:asciiTheme="minorEastAsia" w:hAnsiTheme="minorEastAsia"/>
                <w:sz w:val="22"/>
                <w:highlight w:val="none"/>
              </w:rPr>
              <w:t>翻蛋次数：最大可记录999次</w:t>
            </w:r>
          </w:p>
          <w:p w14:paraId="40CEC2DF">
            <w:pPr>
              <w:jc w:val="left"/>
              <w:rPr>
                <w:rFonts w:asciiTheme="minorEastAsia" w:hAnsiTheme="minorEastAsia"/>
                <w:sz w:val="22"/>
                <w:highlight w:val="none"/>
              </w:rPr>
            </w:pPr>
            <w:r>
              <w:rPr>
                <w:rFonts w:hint="eastAsia" w:asciiTheme="minorEastAsia" w:hAnsiTheme="minorEastAsia"/>
                <w:sz w:val="22"/>
                <w:highlight w:val="none"/>
              </w:rPr>
              <w:t>翻蛋周期：0.1～99.9小时</w:t>
            </w:r>
          </w:p>
          <w:p w14:paraId="64E0EF8D">
            <w:pPr>
              <w:rPr>
                <w:color w:val="000000"/>
                <w:sz w:val="22"/>
                <w:highlight w:val="none"/>
              </w:rPr>
            </w:pPr>
            <w:r>
              <w:rPr>
                <w:rFonts w:hint="eastAsia" w:asciiTheme="minorEastAsia" w:hAnsiTheme="minorEastAsia"/>
                <w:sz w:val="22"/>
                <w:highlight w:val="none"/>
              </w:rPr>
              <w:t>翻蛋时间：1～255秒可调</w:t>
            </w:r>
          </w:p>
        </w:tc>
        <w:tc>
          <w:tcPr>
            <w:tcW w:w="256" w:type="pct"/>
            <w:vAlign w:val="center"/>
          </w:tcPr>
          <w:p w14:paraId="0185A018">
            <w:pPr>
              <w:spacing w:line="500" w:lineRule="exact"/>
              <w:rPr>
                <w:rFonts w:asciiTheme="minorEastAsia" w:hAnsiTheme="minorEastAsia"/>
                <w:sz w:val="22"/>
                <w:highlight w:val="none"/>
              </w:rPr>
            </w:pPr>
            <w:r>
              <w:rPr>
                <w:rFonts w:hint="eastAsia" w:asciiTheme="minorEastAsia" w:hAnsiTheme="minorEastAsia"/>
                <w:sz w:val="22"/>
                <w:highlight w:val="none"/>
              </w:rPr>
              <w:t>台</w:t>
            </w:r>
          </w:p>
        </w:tc>
        <w:tc>
          <w:tcPr>
            <w:tcW w:w="320" w:type="pct"/>
            <w:vAlign w:val="center"/>
          </w:tcPr>
          <w:p w14:paraId="7A4228AE">
            <w:pPr>
              <w:spacing w:line="500" w:lineRule="exact"/>
              <w:jc w:val="center"/>
              <w:rPr>
                <w:rFonts w:asciiTheme="minorEastAsia" w:hAnsiTheme="minorEastAsia"/>
                <w:sz w:val="22"/>
                <w:highlight w:val="none"/>
              </w:rPr>
            </w:pPr>
            <w:r>
              <w:rPr>
                <w:rFonts w:hint="eastAsia" w:asciiTheme="minorEastAsia" w:hAnsiTheme="minorEastAsia"/>
                <w:sz w:val="22"/>
                <w:highlight w:val="none"/>
              </w:rPr>
              <w:t>1</w:t>
            </w:r>
          </w:p>
        </w:tc>
        <w:tc>
          <w:tcPr>
            <w:tcW w:w="256" w:type="pct"/>
            <w:vAlign w:val="center"/>
          </w:tcPr>
          <w:p w14:paraId="19E8E3B7">
            <w:pPr>
              <w:spacing w:line="500" w:lineRule="exact"/>
              <w:jc w:val="center"/>
              <w:rPr>
                <w:rFonts w:asciiTheme="minorEastAsia" w:hAnsiTheme="minorEastAsia"/>
                <w:sz w:val="22"/>
                <w:highlight w:val="none"/>
              </w:rPr>
            </w:pPr>
          </w:p>
        </w:tc>
        <w:tc>
          <w:tcPr>
            <w:tcW w:w="257" w:type="pct"/>
            <w:vAlign w:val="center"/>
          </w:tcPr>
          <w:p w14:paraId="74BE3B55">
            <w:pPr>
              <w:spacing w:line="500" w:lineRule="exact"/>
              <w:jc w:val="center"/>
              <w:rPr>
                <w:rFonts w:asciiTheme="minorEastAsia" w:hAnsiTheme="minorEastAsia"/>
                <w:sz w:val="22"/>
                <w:highlight w:val="none"/>
              </w:rPr>
            </w:pPr>
          </w:p>
        </w:tc>
      </w:tr>
      <w:tr w14:paraId="516E1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tcPr>
          <w:p w14:paraId="113D203F">
            <w:pPr>
              <w:spacing w:line="500" w:lineRule="exact"/>
              <w:rPr>
                <w:rFonts w:hint="default" w:asciiTheme="minorEastAsia" w:hAnsiTheme="minorEastAsia" w:eastAsiaTheme="minorEastAsia"/>
                <w:sz w:val="22"/>
                <w:highlight w:val="none"/>
                <w:lang w:val="en-US" w:eastAsia="zh-CN"/>
              </w:rPr>
            </w:pPr>
            <w:r>
              <w:rPr>
                <w:rFonts w:hint="eastAsia" w:asciiTheme="minorEastAsia" w:hAnsiTheme="minorEastAsia"/>
                <w:sz w:val="22"/>
                <w:highlight w:val="none"/>
                <w:lang w:val="en-US" w:eastAsia="zh-CN"/>
              </w:rPr>
              <w:t>22</w:t>
            </w:r>
          </w:p>
        </w:tc>
        <w:tc>
          <w:tcPr>
            <w:tcW w:w="529" w:type="pct"/>
          </w:tcPr>
          <w:p w14:paraId="79434A7E">
            <w:pPr>
              <w:spacing w:line="500" w:lineRule="exact"/>
              <w:rPr>
                <w:rFonts w:asciiTheme="minorEastAsia" w:hAnsiTheme="minorEastAsia"/>
                <w:b/>
                <w:bCs/>
                <w:sz w:val="22"/>
                <w:highlight w:val="none"/>
              </w:rPr>
            </w:pPr>
            <w:r>
              <w:rPr>
                <w:rFonts w:hint="eastAsia" w:asciiTheme="minorEastAsia" w:hAnsiTheme="minorEastAsia"/>
                <w:b/>
                <w:bCs/>
                <w:sz w:val="22"/>
                <w:highlight w:val="none"/>
              </w:rPr>
              <w:t>低速离心机</w:t>
            </w:r>
          </w:p>
        </w:tc>
        <w:tc>
          <w:tcPr>
            <w:tcW w:w="3123" w:type="pct"/>
          </w:tcPr>
          <w:p w14:paraId="532AE4EC">
            <w:pPr>
              <w:jc w:val="left"/>
              <w:rPr>
                <w:rFonts w:asciiTheme="minorEastAsia" w:hAnsiTheme="minorEastAsia"/>
                <w:sz w:val="22"/>
                <w:highlight w:val="none"/>
              </w:rPr>
            </w:pPr>
            <w:r>
              <w:rPr>
                <w:rFonts w:hint="eastAsia" w:asciiTheme="minorEastAsia" w:hAnsiTheme="minorEastAsia"/>
                <w:sz w:val="22"/>
                <w:highlight w:val="none"/>
              </w:rPr>
              <w:t>最大容量：4X100 ml</w:t>
            </w:r>
          </w:p>
          <w:p w14:paraId="7485F295">
            <w:pPr>
              <w:jc w:val="left"/>
              <w:rPr>
                <w:rFonts w:asciiTheme="minorEastAsia" w:hAnsiTheme="minorEastAsia"/>
                <w:sz w:val="22"/>
                <w:highlight w:val="none"/>
              </w:rPr>
            </w:pPr>
            <w:r>
              <w:rPr>
                <w:rFonts w:hint="eastAsia" w:asciiTheme="minorEastAsia" w:hAnsiTheme="minorEastAsia"/>
                <w:sz w:val="22"/>
                <w:highlight w:val="none"/>
              </w:rPr>
              <w:t>最高转速（r/min）：≥5000</w:t>
            </w:r>
          </w:p>
          <w:p w14:paraId="168A01E8">
            <w:pPr>
              <w:jc w:val="left"/>
              <w:rPr>
                <w:rFonts w:asciiTheme="minorEastAsia" w:hAnsiTheme="minorEastAsia"/>
                <w:sz w:val="22"/>
                <w:highlight w:val="none"/>
              </w:rPr>
            </w:pPr>
            <w:r>
              <w:rPr>
                <w:rFonts w:hint="eastAsia" w:asciiTheme="minorEastAsia" w:hAnsiTheme="minorEastAsia"/>
                <w:sz w:val="22"/>
                <w:highlight w:val="none"/>
              </w:rPr>
              <w:t>最大离心力（×g）：≥4600</w:t>
            </w:r>
          </w:p>
          <w:p w14:paraId="3037AF08">
            <w:pPr>
              <w:jc w:val="left"/>
              <w:rPr>
                <w:rFonts w:asciiTheme="minorEastAsia" w:hAnsiTheme="minorEastAsia"/>
                <w:sz w:val="22"/>
                <w:highlight w:val="none"/>
              </w:rPr>
            </w:pPr>
            <w:r>
              <w:rPr>
                <w:rFonts w:hint="eastAsia" w:asciiTheme="minorEastAsia" w:hAnsiTheme="minorEastAsia"/>
                <w:sz w:val="22"/>
                <w:highlight w:val="none"/>
              </w:rPr>
              <w:t>转速精度：±50r/min</w:t>
            </w:r>
          </w:p>
          <w:p w14:paraId="09B60323">
            <w:pPr>
              <w:jc w:val="left"/>
              <w:rPr>
                <w:rFonts w:asciiTheme="minorEastAsia" w:hAnsiTheme="minorEastAsia"/>
                <w:sz w:val="22"/>
                <w:highlight w:val="none"/>
              </w:rPr>
            </w:pPr>
            <w:r>
              <w:rPr>
                <w:rFonts w:hint="eastAsia" w:asciiTheme="minorEastAsia" w:hAnsiTheme="minorEastAsia"/>
                <w:sz w:val="22"/>
                <w:highlight w:val="none"/>
              </w:rPr>
              <w:t>定时范围：0-99h59min</w:t>
            </w:r>
          </w:p>
          <w:p w14:paraId="4696B64C">
            <w:pPr>
              <w:jc w:val="left"/>
              <w:rPr>
                <w:rFonts w:asciiTheme="minorEastAsia" w:hAnsiTheme="minorEastAsia"/>
                <w:sz w:val="22"/>
                <w:highlight w:val="none"/>
              </w:rPr>
            </w:pPr>
            <w:r>
              <w:rPr>
                <w:rFonts w:hint="eastAsia" w:asciiTheme="minorEastAsia" w:hAnsiTheme="minorEastAsia"/>
                <w:sz w:val="22"/>
                <w:highlight w:val="none"/>
              </w:rPr>
              <w:t>运行程序：≥20个</w:t>
            </w:r>
          </w:p>
          <w:p w14:paraId="629A3CCF">
            <w:pPr>
              <w:jc w:val="left"/>
              <w:rPr>
                <w:highlight w:val="none"/>
              </w:rPr>
            </w:pPr>
            <w:r>
              <w:rPr>
                <w:rFonts w:hint="eastAsia" w:asciiTheme="minorEastAsia" w:hAnsiTheme="minorEastAsia"/>
                <w:sz w:val="22"/>
                <w:highlight w:val="none"/>
              </w:rPr>
              <w:t>控制及驱动系统：交流变频电机，微机控制，直接驱动</w:t>
            </w:r>
          </w:p>
          <w:p w14:paraId="2726F954">
            <w:pPr>
              <w:jc w:val="left"/>
              <w:rPr>
                <w:color w:val="000000"/>
                <w:sz w:val="22"/>
                <w:highlight w:val="none"/>
              </w:rPr>
            </w:pPr>
            <w:r>
              <w:rPr>
                <w:rFonts w:hint="eastAsia" w:asciiTheme="minorEastAsia" w:hAnsiTheme="minorEastAsia"/>
                <w:sz w:val="22"/>
                <w:highlight w:val="none"/>
              </w:rPr>
              <w:t>配8*50ml转子</w:t>
            </w:r>
          </w:p>
        </w:tc>
        <w:tc>
          <w:tcPr>
            <w:tcW w:w="256" w:type="pct"/>
            <w:vAlign w:val="center"/>
          </w:tcPr>
          <w:p w14:paraId="1C84A1D9">
            <w:pPr>
              <w:spacing w:line="500" w:lineRule="exact"/>
              <w:rPr>
                <w:rFonts w:asciiTheme="minorEastAsia" w:hAnsiTheme="minorEastAsia"/>
                <w:sz w:val="22"/>
                <w:highlight w:val="none"/>
              </w:rPr>
            </w:pPr>
            <w:r>
              <w:rPr>
                <w:rFonts w:hint="eastAsia" w:asciiTheme="minorEastAsia" w:hAnsiTheme="minorEastAsia"/>
                <w:sz w:val="22"/>
                <w:highlight w:val="none"/>
              </w:rPr>
              <w:t>台</w:t>
            </w:r>
          </w:p>
        </w:tc>
        <w:tc>
          <w:tcPr>
            <w:tcW w:w="320" w:type="pct"/>
            <w:vAlign w:val="center"/>
          </w:tcPr>
          <w:p w14:paraId="24BE949D">
            <w:pPr>
              <w:spacing w:line="500" w:lineRule="exact"/>
              <w:jc w:val="center"/>
              <w:rPr>
                <w:rFonts w:asciiTheme="minorEastAsia" w:hAnsiTheme="minorEastAsia"/>
                <w:sz w:val="22"/>
                <w:highlight w:val="none"/>
              </w:rPr>
            </w:pPr>
            <w:r>
              <w:rPr>
                <w:rFonts w:hint="eastAsia" w:asciiTheme="minorEastAsia" w:hAnsiTheme="minorEastAsia"/>
                <w:sz w:val="22"/>
                <w:highlight w:val="none"/>
              </w:rPr>
              <w:t>2</w:t>
            </w:r>
          </w:p>
        </w:tc>
        <w:tc>
          <w:tcPr>
            <w:tcW w:w="256" w:type="pct"/>
            <w:vAlign w:val="center"/>
          </w:tcPr>
          <w:p w14:paraId="3A642709">
            <w:pPr>
              <w:spacing w:line="500" w:lineRule="exact"/>
              <w:jc w:val="center"/>
              <w:rPr>
                <w:rFonts w:asciiTheme="minorEastAsia" w:hAnsiTheme="minorEastAsia"/>
                <w:sz w:val="22"/>
                <w:highlight w:val="none"/>
              </w:rPr>
            </w:pPr>
          </w:p>
        </w:tc>
        <w:tc>
          <w:tcPr>
            <w:tcW w:w="257" w:type="pct"/>
            <w:vAlign w:val="center"/>
          </w:tcPr>
          <w:p w14:paraId="5201C076">
            <w:pPr>
              <w:spacing w:line="500" w:lineRule="exact"/>
              <w:jc w:val="center"/>
              <w:rPr>
                <w:rFonts w:asciiTheme="minorEastAsia" w:hAnsiTheme="minorEastAsia"/>
                <w:sz w:val="22"/>
                <w:highlight w:val="none"/>
              </w:rPr>
            </w:pPr>
          </w:p>
        </w:tc>
      </w:tr>
      <w:tr w14:paraId="1F359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tcPr>
          <w:p w14:paraId="2432F139">
            <w:pPr>
              <w:spacing w:line="500" w:lineRule="exact"/>
              <w:rPr>
                <w:rFonts w:hint="default" w:asciiTheme="minorEastAsia" w:hAnsiTheme="minorEastAsia" w:eastAsiaTheme="minorEastAsia"/>
                <w:sz w:val="22"/>
                <w:highlight w:val="none"/>
                <w:lang w:val="en-US" w:eastAsia="zh-CN"/>
              </w:rPr>
            </w:pPr>
            <w:r>
              <w:rPr>
                <w:rFonts w:hint="eastAsia" w:asciiTheme="minorEastAsia" w:hAnsiTheme="minorEastAsia"/>
                <w:sz w:val="22"/>
                <w:highlight w:val="none"/>
                <w:lang w:val="en-US" w:eastAsia="zh-CN"/>
              </w:rPr>
              <w:t>23</w:t>
            </w:r>
          </w:p>
        </w:tc>
        <w:tc>
          <w:tcPr>
            <w:tcW w:w="529" w:type="pct"/>
          </w:tcPr>
          <w:p w14:paraId="73598FC1">
            <w:pPr>
              <w:spacing w:line="500" w:lineRule="exact"/>
              <w:rPr>
                <w:rFonts w:asciiTheme="minorEastAsia" w:hAnsiTheme="minorEastAsia"/>
                <w:b/>
                <w:bCs/>
                <w:sz w:val="22"/>
                <w:highlight w:val="none"/>
              </w:rPr>
            </w:pPr>
            <w:r>
              <w:rPr>
                <w:rFonts w:hint="eastAsia" w:asciiTheme="minorEastAsia" w:hAnsiTheme="minorEastAsia"/>
                <w:b/>
                <w:bCs/>
                <w:sz w:val="22"/>
                <w:highlight w:val="none"/>
              </w:rPr>
              <w:t>蓝光切胶仪</w:t>
            </w:r>
          </w:p>
        </w:tc>
        <w:tc>
          <w:tcPr>
            <w:tcW w:w="3123" w:type="pct"/>
          </w:tcPr>
          <w:p w14:paraId="65116B2F">
            <w:pPr>
              <w:jc w:val="left"/>
              <w:rPr>
                <w:highlight w:val="none"/>
              </w:rPr>
            </w:pPr>
            <w:r>
              <w:rPr>
                <w:rFonts w:hint="eastAsia" w:asciiTheme="minorEastAsia" w:hAnsiTheme="minorEastAsia"/>
                <w:sz w:val="22"/>
                <w:highlight w:val="none"/>
              </w:rPr>
              <w:t>电源：DC 24 V，1 A电源适配器</w:t>
            </w:r>
          </w:p>
          <w:p w14:paraId="1EA0106E">
            <w:pPr>
              <w:jc w:val="left"/>
              <w:rPr>
                <w:rFonts w:asciiTheme="minorEastAsia" w:hAnsiTheme="minorEastAsia"/>
                <w:sz w:val="22"/>
                <w:highlight w:val="none"/>
              </w:rPr>
            </w:pPr>
            <w:r>
              <w:rPr>
                <w:rFonts w:hint="eastAsia" w:asciiTheme="minorEastAsia" w:hAnsiTheme="minorEastAsia"/>
                <w:sz w:val="22"/>
                <w:highlight w:val="none"/>
              </w:rPr>
              <w:t>光源： 蓝色LED灯，波长470 nm</w:t>
            </w:r>
          </w:p>
          <w:p w14:paraId="607FCBE7">
            <w:pPr>
              <w:jc w:val="left"/>
              <w:rPr>
                <w:rFonts w:asciiTheme="minorEastAsia" w:hAnsiTheme="minorEastAsia"/>
                <w:sz w:val="22"/>
                <w:highlight w:val="none"/>
              </w:rPr>
            </w:pPr>
            <w:r>
              <w:rPr>
                <w:rFonts w:hint="eastAsia" w:asciiTheme="minorEastAsia" w:hAnsiTheme="minorEastAsia"/>
                <w:sz w:val="22"/>
                <w:highlight w:val="none"/>
              </w:rPr>
              <w:t>光源照射方式： 底面均匀照射</w:t>
            </w:r>
          </w:p>
          <w:p w14:paraId="5EEC9EEE">
            <w:pPr>
              <w:jc w:val="left"/>
              <w:rPr>
                <w:rFonts w:asciiTheme="minorEastAsia" w:hAnsiTheme="minorEastAsia"/>
                <w:sz w:val="22"/>
                <w:highlight w:val="none"/>
              </w:rPr>
            </w:pPr>
            <w:r>
              <w:rPr>
                <w:rFonts w:hint="eastAsia" w:asciiTheme="minorEastAsia" w:hAnsiTheme="minorEastAsia"/>
                <w:sz w:val="22"/>
                <w:highlight w:val="none"/>
              </w:rPr>
              <w:t>灵敏度：≤0.5 ng dsDNA</w:t>
            </w:r>
          </w:p>
          <w:p w14:paraId="7DAF2177">
            <w:pPr>
              <w:rPr>
                <w:color w:val="000000"/>
                <w:sz w:val="22"/>
                <w:highlight w:val="none"/>
              </w:rPr>
            </w:pPr>
            <w:r>
              <w:rPr>
                <w:rFonts w:hint="eastAsia" w:asciiTheme="minorEastAsia" w:hAnsiTheme="minorEastAsia"/>
                <w:sz w:val="22"/>
                <w:highlight w:val="none"/>
              </w:rPr>
              <w:t>切胶面积：L x W</w:t>
            </w:r>
            <w:r>
              <w:rPr>
                <w:rFonts w:hint="eastAsia"/>
                <w:color w:val="000000"/>
                <w:sz w:val="22"/>
                <w:highlight w:val="none"/>
              </w:rPr>
              <w:t>≥</w:t>
            </w:r>
            <w:r>
              <w:rPr>
                <w:rFonts w:hint="eastAsia" w:asciiTheme="minorEastAsia" w:hAnsiTheme="minorEastAsia"/>
                <w:sz w:val="22"/>
                <w:highlight w:val="none"/>
              </w:rPr>
              <w:t>14.5 x 11.5 cm</w:t>
            </w:r>
          </w:p>
        </w:tc>
        <w:tc>
          <w:tcPr>
            <w:tcW w:w="256" w:type="pct"/>
            <w:vAlign w:val="center"/>
          </w:tcPr>
          <w:p w14:paraId="480ADC41">
            <w:pPr>
              <w:spacing w:line="500" w:lineRule="exact"/>
              <w:rPr>
                <w:rFonts w:asciiTheme="minorEastAsia" w:hAnsiTheme="minorEastAsia"/>
                <w:sz w:val="22"/>
                <w:highlight w:val="none"/>
              </w:rPr>
            </w:pPr>
            <w:r>
              <w:rPr>
                <w:rFonts w:hint="eastAsia" w:asciiTheme="minorEastAsia" w:hAnsiTheme="minorEastAsia"/>
                <w:sz w:val="22"/>
                <w:highlight w:val="none"/>
              </w:rPr>
              <w:t>台</w:t>
            </w:r>
          </w:p>
        </w:tc>
        <w:tc>
          <w:tcPr>
            <w:tcW w:w="320" w:type="pct"/>
            <w:vAlign w:val="center"/>
          </w:tcPr>
          <w:p w14:paraId="061A73A9">
            <w:pPr>
              <w:spacing w:line="500" w:lineRule="exact"/>
              <w:jc w:val="center"/>
              <w:rPr>
                <w:rFonts w:asciiTheme="minorEastAsia" w:hAnsiTheme="minorEastAsia"/>
                <w:sz w:val="22"/>
                <w:highlight w:val="none"/>
              </w:rPr>
            </w:pPr>
            <w:r>
              <w:rPr>
                <w:rFonts w:hint="eastAsia" w:asciiTheme="minorEastAsia" w:hAnsiTheme="minorEastAsia"/>
                <w:sz w:val="22"/>
                <w:highlight w:val="none"/>
              </w:rPr>
              <w:t>1</w:t>
            </w:r>
          </w:p>
        </w:tc>
        <w:tc>
          <w:tcPr>
            <w:tcW w:w="256" w:type="pct"/>
            <w:vAlign w:val="center"/>
          </w:tcPr>
          <w:p w14:paraId="63F3BA89">
            <w:pPr>
              <w:spacing w:line="500" w:lineRule="exact"/>
              <w:jc w:val="center"/>
              <w:rPr>
                <w:rFonts w:asciiTheme="minorEastAsia" w:hAnsiTheme="minorEastAsia"/>
                <w:sz w:val="22"/>
                <w:highlight w:val="none"/>
              </w:rPr>
            </w:pPr>
          </w:p>
        </w:tc>
        <w:tc>
          <w:tcPr>
            <w:tcW w:w="257" w:type="pct"/>
            <w:vAlign w:val="center"/>
          </w:tcPr>
          <w:p w14:paraId="1B8FD989">
            <w:pPr>
              <w:spacing w:line="500" w:lineRule="exact"/>
              <w:jc w:val="center"/>
              <w:rPr>
                <w:rFonts w:asciiTheme="minorEastAsia" w:hAnsiTheme="minorEastAsia"/>
                <w:sz w:val="22"/>
                <w:highlight w:val="none"/>
              </w:rPr>
            </w:pPr>
          </w:p>
        </w:tc>
      </w:tr>
      <w:tr w14:paraId="0FCF8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tcPr>
          <w:p w14:paraId="1ACBE21E">
            <w:pPr>
              <w:spacing w:line="500" w:lineRule="exact"/>
              <w:rPr>
                <w:rFonts w:hint="default" w:asciiTheme="minorEastAsia" w:hAnsiTheme="minorEastAsia" w:eastAsiaTheme="minorEastAsia"/>
                <w:sz w:val="22"/>
                <w:highlight w:val="none"/>
                <w:lang w:val="en-US" w:eastAsia="zh-CN"/>
              </w:rPr>
            </w:pPr>
            <w:r>
              <w:rPr>
                <w:rFonts w:hint="eastAsia" w:asciiTheme="minorEastAsia" w:hAnsiTheme="minorEastAsia"/>
                <w:sz w:val="22"/>
                <w:highlight w:val="none"/>
                <w:lang w:val="en-US" w:eastAsia="zh-CN"/>
              </w:rPr>
              <w:t>24</w:t>
            </w:r>
          </w:p>
        </w:tc>
        <w:tc>
          <w:tcPr>
            <w:tcW w:w="529" w:type="pct"/>
          </w:tcPr>
          <w:p w14:paraId="73B6C8A6">
            <w:pPr>
              <w:spacing w:line="500" w:lineRule="exact"/>
              <w:rPr>
                <w:rFonts w:asciiTheme="minorEastAsia" w:hAnsiTheme="minorEastAsia"/>
                <w:b/>
                <w:bCs/>
                <w:sz w:val="22"/>
                <w:highlight w:val="none"/>
              </w:rPr>
            </w:pPr>
            <w:r>
              <w:rPr>
                <w:rFonts w:hint="eastAsia" w:asciiTheme="minorEastAsia" w:hAnsiTheme="minorEastAsia"/>
                <w:b/>
                <w:bCs/>
                <w:sz w:val="22"/>
                <w:highlight w:val="none"/>
              </w:rPr>
              <w:t>台式微量高速离心机</w:t>
            </w:r>
          </w:p>
        </w:tc>
        <w:tc>
          <w:tcPr>
            <w:tcW w:w="3123" w:type="pct"/>
          </w:tcPr>
          <w:p w14:paraId="09DD0575">
            <w:pPr>
              <w:widowControl/>
              <w:jc w:val="left"/>
              <w:rPr>
                <w:color w:val="000000"/>
                <w:sz w:val="22"/>
                <w:highlight w:val="none"/>
              </w:rPr>
            </w:pPr>
            <w:r>
              <w:rPr>
                <w:rFonts w:hint="eastAsia"/>
                <w:color w:val="000000"/>
                <w:sz w:val="22"/>
                <w:highlight w:val="none"/>
              </w:rPr>
              <w:t>最高转速：≥16500r/min</w:t>
            </w:r>
            <w:r>
              <w:rPr>
                <w:rFonts w:hint="eastAsia"/>
                <w:color w:val="000000"/>
                <w:sz w:val="22"/>
                <w:highlight w:val="none"/>
              </w:rPr>
              <w:br w:type="textWrapping"/>
            </w:r>
            <w:r>
              <w:rPr>
                <w:rFonts w:hint="eastAsia"/>
                <w:color w:val="000000"/>
                <w:sz w:val="22"/>
                <w:highlight w:val="none"/>
              </w:rPr>
              <w:t>最大相对离心力： ≥18000×g</w:t>
            </w:r>
            <w:r>
              <w:rPr>
                <w:rFonts w:hint="eastAsia"/>
                <w:color w:val="000000"/>
                <w:sz w:val="22"/>
                <w:highlight w:val="none"/>
              </w:rPr>
              <w:br w:type="textWrapping"/>
            </w:r>
            <w:r>
              <w:rPr>
                <w:rFonts w:hint="eastAsia"/>
                <w:color w:val="000000"/>
                <w:sz w:val="22"/>
                <w:highlight w:val="none"/>
              </w:rPr>
              <w:t>最大容量：12×5mL</w:t>
            </w:r>
            <w:r>
              <w:rPr>
                <w:rFonts w:hint="eastAsia"/>
                <w:color w:val="000000"/>
                <w:sz w:val="22"/>
                <w:highlight w:val="none"/>
              </w:rPr>
              <w:br w:type="textWrapping"/>
            </w:r>
            <w:r>
              <w:rPr>
                <w:rFonts w:hint="eastAsia"/>
                <w:color w:val="000000"/>
                <w:sz w:val="22"/>
                <w:highlight w:val="none"/>
              </w:rPr>
              <w:t>转速精度： ±30r/min</w:t>
            </w:r>
            <w:r>
              <w:rPr>
                <w:rFonts w:hint="eastAsia"/>
                <w:color w:val="000000"/>
                <w:sz w:val="22"/>
                <w:highlight w:val="none"/>
              </w:rPr>
              <w:br w:type="textWrapping"/>
            </w:r>
            <w:r>
              <w:rPr>
                <w:rFonts w:hint="eastAsia"/>
                <w:color w:val="000000"/>
                <w:sz w:val="22"/>
                <w:highlight w:val="none"/>
              </w:rPr>
              <w:t>定时范围： 1min～99 min</w:t>
            </w:r>
            <w:r>
              <w:rPr>
                <w:rFonts w:hint="eastAsia"/>
                <w:strike/>
                <w:color w:val="000000"/>
                <w:sz w:val="22"/>
                <w:highlight w:val="none"/>
              </w:rPr>
              <w:br w:type="textWrapping"/>
            </w:r>
            <w:r>
              <w:rPr>
                <w:rFonts w:hint="eastAsia"/>
                <w:color w:val="000000"/>
                <w:sz w:val="22"/>
                <w:highlight w:val="none"/>
              </w:rPr>
              <w:t>配12*1.5ml转子</w:t>
            </w:r>
          </w:p>
        </w:tc>
        <w:tc>
          <w:tcPr>
            <w:tcW w:w="256" w:type="pct"/>
            <w:vAlign w:val="center"/>
          </w:tcPr>
          <w:p w14:paraId="46D41699">
            <w:pPr>
              <w:spacing w:line="500" w:lineRule="exact"/>
              <w:rPr>
                <w:rFonts w:asciiTheme="minorEastAsia" w:hAnsiTheme="minorEastAsia"/>
                <w:sz w:val="22"/>
                <w:highlight w:val="none"/>
              </w:rPr>
            </w:pPr>
            <w:r>
              <w:rPr>
                <w:rFonts w:hint="eastAsia" w:asciiTheme="minorEastAsia" w:hAnsiTheme="minorEastAsia"/>
                <w:sz w:val="22"/>
                <w:highlight w:val="none"/>
              </w:rPr>
              <w:t>台</w:t>
            </w:r>
          </w:p>
        </w:tc>
        <w:tc>
          <w:tcPr>
            <w:tcW w:w="320" w:type="pct"/>
            <w:vAlign w:val="center"/>
          </w:tcPr>
          <w:p w14:paraId="489096FE">
            <w:pPr>
              <w:spacing w:line="500" w:lineRule="exact"/>
              <w:jc w:val="center"/>
              <w:rPr>
                <w:rFonts w:asciiTheme="minorEastAsia" w:hAnsiTheme="minorEastAsia"/>
                <w:sz w:val="22"/>
                <w:highlight w:val="none"/>
              </w:rPr>
            </w:pPr>
            <w:r>
              <w:rPr>
                <w:rFonts w:hint="eastAsia" w:asciiTheme="minorEastAsia" w:hAnsiTheme="minorEastAsia"/>
                <w:sz w:val="22"/>
                <w:highlight w:val="none"/>
              </w:rPr>
              <w:t>1</w:t>
            </w:r>
          </w:p>
        </w:tc>
        <w:tc>
          <w:tcPr>
            <w:tcW w:w="256" w:type="pct"/>
            <w:vAlign w:val="center"/>
          </w:tcPr>
          <w:p w14:paraId="77EDA57F">
            <w:pPr>
              <w:spacing w:line="500" w:lineRule="exact"/>
              <w:jc w:val="center"/>
              <w:rPr>
                <w:rFonts w:asciiTheme="minorEastAsia" w:hAnsiTheme="minorEastAsia"/>
                <w:sz w:val="22"/>
                <w:highlight w:val="none"/>
              </w:rPr>
            </w:pPr>
          </w:p>
        </w:tc>
        <w:tc>
          <w:tcPr>
            <w:tcW w:w="257" w:type="pct"/>
            <w:vAlign w:val="center"/>
          </w:tcPr>
          <w:p w14:paraId="533576AE">
            <w:pPr>
              <w:spacing w:line="500" w:lineRule="exact"/>
              <w:jc w:val="center"/>
              <w:rPr>
                <w:rFonts w:asciiTheme="minorEastAsia" w:hAnsiTheme="minorEastAsia"/>
                <w:sz w:val="22"/>
                <w:highlight w:val="none"/>
              </w:rPr>
            </w:pPr>
          </w:p>
        </w:tc>
      </w:tr>
      <w:bookmarkEnd w:id="299"/>
      <w:bookmarkEnd w:id="300"/>
      <w:bookmarkEnd w:id="301"/>
      <w:bookmarkEnd w:id="302"/>
      <w:bookmarkEnd w:id="303"/>
      <w:bookmarkEnd w:id="304"/>
      <w:bookmarkEnd w:id="305"/>
      <w:bookmarkEnd w:id="306"/>
      <w:bookmarkEnd w:id="307"/>
      <w:bookmarkEnd w:id="308"/>
      <w:bookmarkEnd w:id="309"/>
    </w:tbl>
    <w:p w14:paraId="445A5840">
      <w:pPr>
        <w:rPr>
          <w:rFonts w:hint="eastAsia" w:ascii="仿宋" w:hAnsi="仿宋" w:eastAsia="仿宋" w:cs="仿宋"/>
          <w:color w:val="auto"/>
          <w:highlight w:val="none"/>
        </w:rPr>
      </w:pPr>
      <w:bookmarkStart w:id="310" w:name="_Toc9688"/>
      <w:r>
        <w:rPr>
          <w:rFonts w:hint="eastAsia" w:ascii="仿宋" w:hAnsi="仿宋" w:eastAsia="仿宋" w:cs="仿宋"/>
          <w:color w:val="auto"/>
          <w:highlight w:val="none"/>
        </w:rPr>
        <w:br w:type="page"/>
      </w:r>
    </w:p>
    <w:p w14:paraId="592E42A6">
      <w:pPr>
        <w:pStyle w:val="2"/>
        <w:tabs>
          <w:tab w:val="left" w:pos="0"/>
        </w:tabs>
        <w:spacing w:before="0" w:after="0" w:line="240" w:lineRule="atLeast"/>
        <w:rPr>
          <w:rFonts w:hint="eastAsia" w:ascii="仿宋" w:hAnsi="仿宋" w:eastAsia="仿宋" w:cs="仿宋"/>
          <w:color w:val="auto"/>
          <w:highlight w:val="none"/>
        </w:rPr>
      </w:pPr>
      <w:r>
        <w:rPr>
          <w:rFonts w:hint="eastAsia" w:ascii="仿宋" w:hAnsi="仿宋" w:eastAsia="仿宋" w:cs="仿宋"/>
          <w:color w:val="auto"/>
          <w:highlight w:val="none"/>
        </w:rPr>
        <w:t>第5章  评审方法和标准</w:t>
      </w:r>
      <w:bookmarkEnd w:id="310"/>
    </w:p>
    <w:p w14:paraId="3EE5F76A">
      <w:pPr>
        <w:spacing w:line="360" w:lineRule="auto"/>
        <w:ind w:firstLine="424" w:firstLineChars="177"/>
        <w:rPr>
          <w:rFonts w:hint="eastAsia" w:ascii="仿宋" w:hAnsi="仿宋" w:eastAsia="仿宋" w:cs="仿宋"/>
          <w:color w:val="auto"/>
          <w:sz w:val="24"/>
          <w:highlight w:val="none"/>
        </w:rPr>
      </w:pPr>
      <w:r>
        <w:rPr>
          <w:rFonts w:hint="eastAsia" w:ascii="仿宋" w:hAnsi="仿宋" w:eastAsia="仿宋" w:cs="仿宋"/>
          <w:color w:val="auto"/>
          <w:sz w:val="24"/>
          <w:highlight w:val="none"/>
        </w:rPr>
        <w:t>本项目将按照竞争性磋商文件第一章供应商须知中“五 提交响应文件截止及磋商”、“六 确定成交”及本章的规定评审。</w:t>
      </w:r>
    </w:p>
    <w:p w14:paraId="60EE3A4D">
      <w:pPr>
        <w:spacing w:line="360" w:lineRule="auto"/>
        <w:ind w:firstLine="424" w:firstLineChars="177"/>
        <w:rPr>
          <w:rFonts w:hint="eastAsia" w:ascii="仿宋" w:hAnsi="仿宋" w:eastAsia="仿宋" w:cs="仿宋"/>
          <w:color w:val="auto"/>
          <w:sz w:val="24"/>
          <w:highlight w:val="none"/>
        </w:rPr>
      </w:pPr>
      <w:r>
        <w:rPr>
          <w:rFonts w:hint="eastAsia" w:ascii="仿宋" w:hAnsi="仿宋" w:eastAsia="仿宋" w:cs="仿宋"/>
          <w:color w:val="auto"/>
          <w:sz w:val="24"/>
          <w:highlight w:val="none"/>
        </w:rPr>
        <w:t>一、评审方法</w:t>
      </w:r>
    </w:p>
    <w:p w14:paraId="0420264B">
      <w:pPr>
        <w:pStyle w:val="8"/>
        <w:tabs>
          <w:tab w:val="clear" w:pos="567"/>
        </w:tabs>
        <w:spacing w:before="0" w:line="360" w:lineRule="auto"/>
        <w:ind w:firstLine="540" w:firstLineChars="225"/>
        <w:rPr>
          <w:rFonts w:hint="eastAsia" w:ascii="仿宋" w:hAnsi="仿宋" w:eastAsia="仿宋" w:cs="仿宋"/>
          <w:color w:val="auto"/>
          <w:highlight w:val="none"/>
        </w:rPr>
      </w:pPr>
      <w:r>
        <w:rPr>
          <w:rFonts w:hint="eastAsia" w:ascii="仿宋" w:hAnsi="仿宋" w:eastAsia="仿宋" w:cs="仿宋"/>
          <w:color w:val="auto"/>
          <w:highlight w:val="none"/>
        </w:rPr>
        <w:t>本次评审采用综合评分法，将依据供应商响应文件对其资信、业绩、产品质量、服务、技术方案、价格等各项因素进行评价，综合评选出最佳报价方案。每一供应商的最终得分为所有评委评分的算术平均值。评审结果按评审得分由高到低顺序排列。得分相同的，按最后报价由低到高顺序排列。得分且最后报价相同的，按技术指标优劣由高到低顺序排列。</w:t>
      </w:r>
      <w:bookmarkStart w:id="311" w:name="percentDesc"/>
      <w:bookmarkEnd w:id="311"/>
    </w:p>
    <w:p w14:paraId="10641189">
      <w:pPr>
        <w:spacing w:line="240" w:lineRule="atLeast"/>
        <w:ind w:firstLine="424" w:firstLineChars="177"/>
        <w:rPr>
          <w:rFonts w:hint="eastAsia" w:ascii="仿宋" w:hAnsi="仿宋" w:eastAsia="仿宋" w:cs="仿宋"/>
          <w:color w:val="auto"/>
          <w:sz w:val="24"/>
          <w:highlight w:val="none"/>
        </w:rPr>
      </w:pPr>
      <w:r>
        <w:rPr>
          <w:rFonts w:hint="eastAsia" w:ascii="仿宋" w:hAnsi="仿宋" w:eastAsia="仿宋" w:cs="仿宋"/>
          <w:color w:val="auto"/>
          <w:sz w:val="24"/>
          <w:highlight w:val="none"/>
        </w:rPr>
        <w:t>二、评审标准</w:t>
      </w:r>
    </w:p>
    <w:p w14:paraId="169BC6B2">
      <w:pPr>
        <w:rPr>
          <w:rFonts w:hint="eastAsia" w:ascii="仿宋" w:hAnsi="仿宋" w:eastAsia="仿宋" w:cs="仿宋"/>
          <w:color w:val="auto"/>
          <w:highlight w:val="none"/>
        </w:rPr>
      </w:pPr>
      <w:bookmarkStart w:id="312" w:name="_Toc45562497"/>
      <w:bookmarkStart w:id="313" w:name="_Toc46238261"/>
      <w:bookmarkStart w:id="314" w:name="_Toc46136844"/>
      <w:r>
        <w:rPr>
          <w:rFonts w:hint="eastAsia" w:ascii="仿宋" w:hAnsi="仿宋" w:eastAsia="仿宋" w:cs="仿宋"/>
          <w:color w:val="auto"/>
          <w:highlight w:val="none"/>
        </w:rPr>
        <w:t>（一）初步评审</w:t>
      </w:r>
      <w:bookmarkEnd w:id="312"/>
      <w:bookmarkEnd w:id="313"/>
      <w:bookmarkEnd w:id="314"/>
    </w:p>
    <w:p w14:paraId="0A3ECD2C">
      <w:pPr>
        <w:spacing w:before="2" w:line="110" w:lineRule="exact"/>
        <w:jc w:val="left"/>
        <w:rPr>
          <w:rFonts w:hint="eastAsia" w:ascii="仿宋" w:hAnsi="仿宋" w:eastAsia="仿宋" w:cs="仿宋"/>
          <w:color w:val="auto"/>
          <w:kern w:val="0"/>
          <w:sz w:val="11"/>
          <w:szCs w:val="11"/>
          <w:highlight w:val="none"/>
        </w:rPr>
      </w:pPr>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16"/>
        <w:gridCol w:w="710"/>
        <w:gridCol w:w="5256"/>
        <w:gridCol w:w="1840"/>
      </w:tblGrid>
      <w:tr w14:paraId="6E9B4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Align w:val="center"/>
          </w:tcPr>
          <w:p w14:paraId="7021FCA4">
            <w:pPr>
              <w:spacing w:line="240" w:lineRule="exact"/>
              <w:ind w:right="-20"/>
              <w:jc w:val="left"/>
              <w:rPr>
                <w:rFonts w:hint="eastAsia" w:ascii="仿宋" w:hAnsi="仿宋" w:eastAsia="仿宋" w:cs="仿宋"/>
                <w:color w:val="auto"/>
                <w:kern w:val="0"/>
                <w:sz w:val="24"/>
                <w:highlight w:val="none"/>
                <w:lang w:eastAsia="en-US"/>
              </w:rPr>
            </w:pPr>
            <w:bookmarkStart w:id="315" w:name="_Hlk99720507"/>
            <w:r>
              <w:rPr>
                <w:rFonts w:hint="eastAsia" w:ascii="仿宋" w:hAnsi="仿宋" w:eastAsia="仿宋" w:cs="仿宋"/>
                <w:color w:val="auto"/>
                <w:kern w:val="0"/>
                <w:position w:val="-2"/>
                <w:sz w:val="24"/>
                <w:highlight w:val="none"/>
                <w:lang w:eastAsia="en-US"/>
              </w:rPr>
              <w:t>评审</w:t>
            </w:r>
            <w:r>
              <w:rPr>
                <w:rFonts w:hint="eastAsia" w:ascii="仿宋" w:hAnsi="仿宋" w:eastAsia="仿宋" w:cs="仿宋"/>
                <w:color w:val="auto"/>
                <w:kern w:val="0"/>
                <w:position w:val="-3"/>
                <w:sz w:val="24"/>
                <w:highlight w:val="none"/>
                <w:lang w:eastAsia="en-US"/>
              </w:rPr>
              <w:t>方式</w:t>
            </w:r>
          </w:p>
        </w:tc>
        <w:tc>
          <w:tcPr>
            <w:tcW w:w="710" w:type="dxa"/>
            <w:vAlign w:val="center"/>
          </w:tcPr>
          <w:p w14:paraId="17019E61">
            <w:pPr>
              <w:spacing w:line="240" w:lineRule="exact"/>
              <w:ind w:left="155" w:right="-20"/>
              <w:jc w:val="left"/>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序</w:t>
            </w:r>
            <w:r>
              <w:rPr>
                <w:rFonts w:hint="eastAsia" w:ascii="仿宋" w:hAnsi="仿宋" w:eastAsia="仿宋" w:cs="仿宋"/>
                <w:color w:val="auto"/>
                <w:kern w:val="0"/>
                <w:position w:val="-3"/>
                <w:sz w:val="24"/>
                <w:highlight w:val="none"/>
                <w:lang w:eastAsia="en-US"/>
              </w:rPr>
              <w:t>号</w:t>
            </w:r>
          </w:p>
        </w:tc>
        <w:tc>
          <w:tcPr>
            <w:tcW w:w="5256" w:type="dxa"/>
            <w:vAlign w:val="center"/>
          </w:tcPr>
          <w:p w14:paraId="77B5F6A7">
            <w:pPr>
              <w:spacing w:before="67"/>
              <w:ind w:right="2635"/>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sz w:val="24"/>
                <w:highlight w:val="none"/>
                <w:lang w:eastAsia="en-US"/>
              </w:rPr>
              <w:t>评审因素</w:t>
            </w:r>
          </w:p>
        </w:tc>
        <w:tc>
          <w:tcPr>
            <w:tcW w:w="1840" w:type="dxa"/>
            <w:vAlign w:val="center"/>
          </w:tcPr>
          <w:p w14:paraId="7C08145A">
            <w:pPr>
              <w:spacing w:line="240" w:lineRule="exact"/>
              <w:ind w:right="9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评审标</w:t>
            </w:r>
            <w:r>
              <w:rPr>
                <w:rFonts w:hint="eastAsia" w:ascii="仿宋" w:hAnsi="仿宋" w:eastAsia="仿宋" w:cs="仿宋"/>
                <w:color w:val="auto"/>
                <w:kern w:val="0"/>
                <w:position w:val="-3"/>
                <w:sz w:val="24"/>
                <w:highlight w:val="none"/>
                <w:lang w:eastAsia="en-US"/>
              </w:rPr>
              <w:t>准</w:t>
            </w:r>
          </w:p>
        </w:tc>
      </w:tr>
      <w:tr w14:paraId="3F9D1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restart"/>
            <w:vAlign w:val="center"/>
          </w:tcPr>
          <w:p w14:paraId="671BD805">
            <w:pPr>
              <w:spacing w:line="200" w:lineRule="exact"/>
              <w:jc w:val="left"/>
              <w:rPr>
                <w:rFonts w:hint="eastAsia" w:ascii="仿宋" w:hAnsi="仿宋" w:eastAsia="仿宋" w:cs="仿宋"/>
                <w:color w:val="auto"/>
                <w:kern w:val="0"/>
                <w:sz w:val="24"/>
                <w:highlight w:val="none"/>
                <w:lang w:eastAsia="en-US"/>
              </w:rPr>
            </w:pPr>
          </w:p>
          <w:p w14:paraId="66D957F7">
            <w:pPr>
              <w:spacing w:line="200" w:lineRule="exact"/>
              <w:jc w:val="left"/>
              <w:rPr>
                <w:rFonts w:hint="eastAsia" w:ascii="仿宋" w:hAnsi="仿宋" w:eastAsia="仿宋" w:cs="仿宋"/>
                <w:color w:val="auto"/>
                <w:kern w:val="0"/>
                <w:sz w:val="24"/>
                <w:highlight w:val="none"/>
                <w:lang w:eastAsia="en-US"/>
              </w:rPr>
            </w:pPr>
          </w:p>
          <w:p w14:paraId="3FE5FA00">
            <w:pPr>
              <w:spacing w:line="200" w:lineRule="exact"/>
              <w:jc w:val="left"/>
              <w:rPr>
                <w:rFonts w:hint="eastAsia" w:ascii="仿宋" w:hAnsi="仿宋" w:eastAsia="仿宋" w:cs="仿宋"/>
                <w:color w:val="auto"/>
                <w:kern w:val="0"/>
                <w:sz w:val="24"/>
                <w:highlight w:val="none"/>
                <w:lang w:eastAsia="en-US"/>
              </w:rPr>
            </w:pPr>
          </w:p>
          <w:p w14:paraId="1A1D61F9">
            <w:pPr>
              <w:spacing w:line="200" w:lineRule="exact"/>
              <w:jc w:val="left"/>
              <w:rPr>
                <w:rFonts w:hint="eastAsia" w:ascii="仿宋" w:hAnsi="仿宋" w:eastAsia="仿宋" w:cs="仿宋"/>
                <w:color w:val="auto"/>
                <w:kern w:val="0"/>
                <w:sz w:val="24"/>
                <w:highlight w:val="none"/>
                <w:lang w:eastAsia="en-US"/>
              </w:rPr>
            </w:pPr>
          </w:p>
          <w:p w14:paraId="299C82FA">
            <w:pPr>
              <w:spacing w:line="200" w:lineRule="exact"/>
              <w:jc w:val="left"/>
              <w:rPr>
                <w:rFonts w:hint="eastAsia" w:ascii="仿宋" w:hAnsi="仿宋" w:eastAsia="仿宋" w:cs="仿宋"/>
                <w:color w:val="auto"/>
                <w:kern w:val="0"/>
                <w:sz w:val="24"/>
                <w:highlight w:val="none"/>
                <w:lang w:eastAsia="en-US"/>
              </w:rPr>
            </w:pPr>
          </w:p>
          <w:p w14:paraId="3B22A627">
            <w:pPr>
              <w:spacing w:before="1" w:line="240" w:lineRule="exact"/>
              <w:jc w:val="left"/>
              <w:rPr>
                <w:rFonts w:hint="eastAsia" w:ascii="仿宋" w:hAnsi="仿宋" w:eastAsia="仿宋" w:cs="仿宋"/>
                <w:color w:val="auto"/>
                <w:kern w:val="0"/>
                <w:sz w:val="24"/>
                <w:highlight w:val="none"/>
                <w:lang w:eastAsia="en-US"/>
              </w:rPr>
            </w:pPr>
          </w:p>
          <w:p w14:paraId="24270A40">
            <w:pPr>
              <w:spacing w:line="274" w:lineRule="exact"/>
              <w:ind w:left="198" w:right="132"/>
              <w:jc w:val="left"/>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sz w:val="24"/>
                <w:highlight w:val="none"/>
                <w:lang w:eastAsia="en-US"/>
              </w:rPr>
              <w:t>资格</w:t>
            </w:r>
            <w:r>
              <w:rPr>
                <w:rFonts w:hint="eastAsia" w:ascii="仿宋" w:hAnsi="仿宋" w:eastAsia="仿宋" w:cs="仿宋"/>
                <w:color w:val="auto"/>
                <w:kern w:val="0"/>
                <w:sz w:val="24"/>
                <w:highlight w:val="none"/>
              </w:rPr>
              <w:t>性审查</w:t>
            </w:r>
          </w:p>
        </w:tc>
        <w:tc>
          <w:tcPr>
            <w:tcW w:w="710" w:type="dxa"/>
            <w:vAlign w:val="center"/>
          </w:tcPr>
          <w:p w14:paraId="6D3DD28E">
            <w:pPr>
              <w:spacing w:line="240" w:lineRule="exact"/>
              <w:ind w:left="172" w:right="15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1</w:t>
            </w:r>
          </w:p>
        </w:tc>
        <w:tc>
          <w:tcPr>
            <w:tcW w:w="5256" w:type="dxa"/>
            <w:vAlign w:val="center"/>
          </w:tcPr>
          <w:p w14:paraId="54B86C69">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法人或者其他组织的营业执照或事业单位法人证副本或社会团体法人登记证副本或自然人的身份证明等证明文件</w:t>
            </w:r>
          </w:p>
        </w:tc>
        <w:tc>
          <w:tcPr>
            <w:tcW w:w="1840" w:type="dxa"/>
            <w:vAlign w:val="center"/>
          </w:tcPr>
          <w:p w14:paraId="73B76C1B">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050E3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4793FEB0">
            <w:pPr>
              <w:spacing w:line="240" w:lineRule="exact"/>
              <w:ind w:right="-20"/>
              <w:jc w:val="left"/>
              <w:rPr>
                <w:rFonts w:hint="eastAsia" w:ascii="仿宋" w:hAnsi="仿宋" w:eastAsia="仿宋" w:cs="仿宋"/>
                <w:color w:val="auto"/>
                <w:sz w:val="24"/>
                <w:highlight w:val="none"/>
                <w:shd w:val="clear" w:color="auto" w:fill="FFFFFF"/>
              </w:rPr>
            </w:pPr>
          </w:p>
        </w:tc>
        <w:tc>
          <w:tcPr>
            <w:tcW w:w="710" w:type="dxa"/>
            <w:vAlign w:val="center"/>
          </w:tcPr>
          <w:p w14:paraId="2712A25D">
            <w:pPr>
              <w:spacing w:line="240" w:lineRule="exact"/>
              <w:ind w:right="-20"/>
              <w:jc w:val="center"/>
              <w:rPr>
                <w:rFonts w:hint="eastAsia" w:ascii="仿宋" w:hAnsi="仿宋" w:eastAsia="仿宋" w:cs="仿宋"/>
                <w:color w:val="auto"/>
                <w:sz w:val="24"/>
                <w:highlight w:val="none"/>
                <w:shd w:val="clear" w:color="auto" w:fill="FFFFFF"/>
                <w:lang w:eastAsia="en-US"/>
              </w:rPr>
            </w:pPr>
            <w:r>
              <w:rPr>
                <w:rFonts w:hint="eastAsia" w:ascii="仿宋" w:hAnsi="仿宋" w:eastAsia="仿宋" w:cs="仿宋"/>
                <w:color w:val="auto"/>
                <w:sz w:val="24"/>
                <w:highlight w:val="none"/>
                <w:shd w:val="clear" w:color="auto" w:fill="FFFFFF"/>
                <w:lang w:eastAsia="en-US"/>
              </w:rPr>
              <w:t>2</w:t>
            </w:r>
          </w:p>
        </w:tc>
        <w:tc>
          <w:tcPr>
            <w:tcW w:w="5256" w:type="dxa"/>
            <w:vAlign w:val="center"/>
          </w:tcPr>
          <w:p w14:paraId="1FF9B8EA">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sz w:val="24"/>
                <w:highlight w:val="none"/>
                <w:shd w:val="clear" w:color="auto" w:fill="FFFFFF"/>
              </w:rPr>
              <w:t>法定代表人/负责人身份证明书或法定代表人/负责人授权委托书</w:t>
            </w:r>
            <w:r>
              <w:rPr>
                <w:rFonts w:hint="eastAsia" w:ascii="仿宋" w:hAnsi="仿宋" w:eastAsia="仿宋" w:cs="仿宋"/>
                <w:sz w:val="24"/>
                <w:highlight w:val="none"/>
                <w:shd w:val="clear" w:color="auto" w:fill="FFFFFF"/>
                <w:lang w:eastAsia="zh-CN"/>
              </w:rPr>
              <w:t>，</w:t>
            </w:r>
            <w:r>
              <w:rPr>
                <w:rFonts w:hint="eastAsia" w:ascii="仿宋" w:hAnsi="仿宋" w:eastAsia="仿宋" w:cs="仿宋"/>
                <w:color w:val="auto"/>
                <w:sz w:val="24"/>
                <w:highlight w:val="none"/>
                <w:lang w:val="en-US" w:eastAsia="zh-CN"/>
              </w:rPr>
              <w:t>委托代理人须为投标单位正式员工，并出具该员工投标前6个月内任意3个月的社保证明。若为新公司成立不足3个月，可提供成立以来的社保即可。若该项目有项目实施负责人或经理，也要求为单位正式员工，并出具该员工投标前6个月内任意3个月的社保证明。</w:t>
            </w:r>
          </w:p>
        </w:tc>
        <w:tc>
          <w:tcPr>
            <w:tcW w:w="1840" w:type="dxa"/>
            <w:vAlign w:val="center"/>
          </w:tcPr>
          <w:p w14:paraId="7D05603B">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5A703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016" w:type="dxa"/>
            <w:vMerge w:val="continue"/>
            <w:vAlign w:val="center"/>
          </w:tcPr>
          <w:p w14:paraId="55BE0024">
            <w:pPr>
              <w:spacing w:line="240" w:lineRule="exact"/>
              <w:ind w:right="-20"/>
              <w:jc w:val="left"/>
              <w:rPr>
                <w:rFonts w:hint="eastAsia" w:ascii="仿宋" w:hAnsi="仿宋" w:eastAsia="仿宋" w:cs="仿宋"/>
                <w:color w:val="auto"/>
                <w:sz w:val="24"/>
                <w:highlight w:val="none"/>
                <w:shd w:val="clear" w:color="auto" w:fill="FFFFFF"/>
              </w:rPr>
            </w:pPr>
          </w:p>
        </w:tc>
        <w:tc>
          <w:tcPr>
            <w:tcW w:w="710" w:type="dxa"/>
            <w:vAlign w:val="center"/>
          </w:tcPr>
          <w:p w14:paraId="4CE93802">
            <w:pPr>
              <w:spacing w:line="240" w:lineRule="exact"/>
              <w:ind w:right="-20"/>
              <w:jc w:val="center"/>
              <w:rPr>
                <w:rFonts w:hint="eastAsia" w:ascii="仿宋" w:hAnsi="仿宋" w:eastAsia="仿宋" w:cs="仿宋"/>
                <w:color w:val="auto"/>
                <w:sz w:val="24"/>
                <w:highlight w:val="none"/>
                <w:shd w:val="clear" w:color="auto" w:fill="FFFFFF"/>
                <w:lang w:eastAsia="en-US"/>
              </w:rPr>
            </w:pPr>
            <w:r>
              <w:rPr>
                <w:rFonts w:hint="eastAsia" w:ascii="仿宋" w:hAnsi="仿宋" w:eastAsia="仿宋" w:cs="仿宋"/>
                <w:color w:val="auto"/>
                <w:sz w:val="24"/>
                <w:highlight w:val="none"/>
                <w:shd w:val="clear" w:color="auto" w:fill="FFFFFF"/>
                <w:lang w:eastAsia="en-US"/>
              </w:rPr>
              <w:t>3</w:t>
            </w:r>
          </w:p>
        </w:tc>
        <w:tc>
          <w:tcPr>
            <w:tcW w:w="5256" w:type="dxa"/>
            <w:vAlign w:val="center"/>
          </w:tcPr>
          <w:p w14:paraId="68D315A6">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提供近两年度任意一年审计报告或在投标截止时间前三个月内银行出具的证明文件</w:t>
            </w:r>
          </w:p>
        </w:tc>
        <w:tc>
          <w:tcPr>
            <w:tcW w:w="1840" w:type="dxa"/>
            <w:vAlign w:val="center"/>
          </w:tcPr>
          <w:p w14:paraId="728AC2C1">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4C190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13AF70FE">
            <w:pPr>
              <w:spacing w:line="240" w:lineRule="exact"/>
              <w:ind w:right="-20"/>
              <w:jc w:val="left"/>
              <w:rPr>
                <w:rFonts w:hint="eastAsia" w:ascii="仿宋" w:hAnsi="仿宋" w:eastAsia="仿宋" w:cs="仿宋"/>
                <w:color w:val="auto"/>
                <w:sz w:val="24"/>
                <w:highlight w:val="none"/>
                <w:shd w:val="clear" w:color="auto" w:fill="FFFFFF"/>
              </w:rPr>
            </w:pPr>
          </w:p>
        </w:tc>
        <w:tc>
          <w:tcPr>
            <w:tcW w:w="710" w:type="dxa"/>
            <w:vAlign w:val="center"/>
          </w:tcPr>
          <w:p w14:paraId="07121DCB">
            <w:pPr>
              <w:spacing w:line="240" w:lineRule="exact"/>
              <w:ind w:right="-20"/>
              <w:jc w:val="center"/>
              <w:rPr>
                <w:rFonts w:hint="eastAsia" w:ascii="仿宋" w:hAnsi="仿宋" w:eastAsia="仿宋" w:cs="仿宋"/>
                <w:color w:val="auto"/>
                <w:sz w:val="24"/>
                <w:highlight w:val="none"/>
                <w:shd w:val="clear" w:color="auto" w:fill="FFFFFF"/>
                <w:lang w:eastAsia="en-US"/>
              </w:rPr>
            </w:pPr>
            <w:r>
              <w:rPr>
                <w:rFonts w:hint="eastAsia" w:ascii="仿宋" w:hAnsi="仿宋" w:eastAsia="仿宋" w:cs="仿宋"/>
                <w:color w:val="auto"/>
                <w:sz w:val="24"/>
                <w:highlight w:val="none"/>
                <w:shd w:val="clear" w:color="auto" w:fill="FFFFFF"/>
                <w:lang w:eastAsia="en-US"/>
              </w:rPr>
              <w:t>4</w:t>
            </w:r>
          </w:p>
        </w:tc>
        <w:tc>
          <w:tcPr>
            <w:tcW w:w="5256" w:type="dxa"/>
            <w:vAlign w:val="center"/>
          </w:tcPr>
          <w:p w14:paraId="06CBF2FE">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提供当年度任意一月的依法纳税的证明材料、依法缴纳社会保障资金的证明材料或《依法缴纳税收和社会保障资金承诺函》</w:t>
            </w:r>
          </w:p>
        </w:tc>
        <w:tc>
          <w:tcPr>
            <w:tcW w:w="1840" w:type="dxa"/>
            <w:vAlign w:val="center"/>
          </w:tcPr>
          <w:p w14:paraId="67829B90">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70D2A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19A68C3B">
            <w:pPr>
              <w:spacing w:line="240" w:lineRule="exact"/>
              <w:ind w:right="-20"/>
              <w:jc w:val="left"/>
              <w:rPr>
                <w:rFonts w:hint="eastAsia" w:ascii="仿宋" w:hAnsi="仿宋" w:eastAsia="仿宋" w:cs="仿宋"/>
                <w:color w:val="auto"/>
                <w:sz w:val="24"/>
                <w:highlight w:val="none"/>
                <w:shd w:val="clear" w:color="auto" w:fill="FFFFFF"/>
              </w:rPr>
            </w:pPr>
          </w:p>
        </w:tc>
        <w:tc>
          <w:tcPr>
            <w:tcW w:w="710" w:type="dxa"/>
            <w:vAlign w:val="center"/>
          </w:tcPr>
          <w:p w14:paraId="02B84273">
            <w:pPr>
              <w:spacing w:line="240" w:lineRule="exact"/>
              <w:ind w:right="-20"/>
              <w:jc w:val="center"/>
              <w:rPr>
                <w:rFonts w:hint="eastAsia" w:ascii="仿宋" w:hAnsi="仿宋" w:eastAsia="仿宋" w:cs="仿宋"/>
                <w:color w:val="auto"/>
                <w:sz w:val="24"/>
                <w:highlight w:val="none"/>
                <w:shd w:val="clear" w:color="auto" w:fill="FFFFFF"/>
                <w:lang w:eastAsia="en-US"/>
              </w:rPr>
            </w:pPr>
            <w:r>
              <w:rPr>
                <w:rFonts w:hint="eastAsia" w:ascii="仿宋" w:hAnsi="仿宋" w:eastAsia="仿宋" w:cs="仿宋"/>
                <w:color w:val="auto"/>
                <w:sz w:val="24"/>
                <w:highlight w:val="none"/>
                <w:shd w:val="clear" w:color="auto" w:fill="FFFFFF"/>
                <w:lang w:eastAsia="en-US"/>
              </w:rPr>
              <w:t>5</w:t>
            </w:r>
          </w:p>
        </w:tc>
        <w:tc>
          <w:tcPr>
            <w:tcW w:w="5256" w:type="dxa"/>
            <w:vAlign w:val="center"/>
          </w:tcPr>
          <w:p w14:paraId="02C117A0">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参加政府采购活动前3年内在经营活动中没有重大违法记录的书面声明</w:t>
            </w:r>
          </w:p>
        </w:tc>
        <w:tc>
          <w:tcPr>
            <w:tcW w:w="1840" w:type="dxa"/>
            <w:vAlign w:val="center"/>
          </w:tcPr>
          <w:p w14:paraId="22031A4F">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74205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0C98CB94">
            <w:pPr>
              <w:spacing w:line="240" w:lineRule="exact"/>
              <w:ind w:right="-20"/>
              <w:jc w:val="left"/>
              <w:rPr>
                <w:rFonts w:hint="eastAsia" w:ascii="仿宋" w:hAnsi="仿宋" w:eastAsia="仿宋" w:cs="仿宋"/>
                <w:color w:val="auto"/>
                <w:sz w:val="24"/>
                <w:highlight w:val="none"/>
                <w:shd w:val="clear" w:color="auto" w:fill="FFFFFF"/>
              </w:rPr>
            </w:pPr>
          </w:p>
        </w:tc>
        <w:tc>
          <w:tcPr>
            <w:tcW w:w="710" w:type="dxa"/>
            <w:vAlign w:val="center"/>
          </w:tcPr>
          <w:p w14:paraId="28BE82DE">
            <w:pPr>
              <w:spacing w:line="240" w:lineRule="exact"/>
              <w:ind w:right="-2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p>
        </w:tc>
        <w:tc>
          <w:tcPr>
            <w:tcW w:w="5256" w:type="dxa"/>
            <w:vAlign w:val="center"/>
          </w:tcPr>
          <w:p w14:paraId="34611E00">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具有履行合同所必需的设备和专业技术能力</w:t>
            </w:r>
          </w:p>
        </w:tc>
        <w:tc>
          <w:tcPr>
            <w:tcW w:w="1840" w:type="dxa"/>
            <w:vAlign w:val="center"/>
          </w:tcPr>
          <w:p w14:paraId="7CD4AC88">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15F9C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290954EE">
            <w:pPr>
              <w:widowControl/>
              <w:jc w:val="left"/>
              <w:rPr>
                <w:rFonts w:hint="eastAsia" w:ascii="仿宋" w:hAnsi="仿宋" w:eastAsia="仿宋" w:cs="仿宋"/>
                <w:color w:val="auto"/>
                <w:kern w:val="0"/>
                <w:sz w:val="24"/>
                <w:highlight w:val="none"/>
              </w:rPr>
            </w:pPr>
          </w:p>
        </w:tc>
        <w:tc>
          <w:tcPr>
            <w:tcW w:w="710" w:type="dxa"/>
            <w:vAlign w:val="center"/>
          </w:tcPr>
          <w:p w14:paraId="26AE362D">
            <w:pPr>
              <w:spacing w:line="240" w:lineRule="exact"/>
              <w:ind w:right="-2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p>
        </w:tc>
        <w:tc>
          <w:tcPr>
            <w:tcW w:w="5256" w:type="dxa"/>
            <w:vAlign w:val="center"/>
          </w:tcPr>
          <w:p w14:paraId="149E8237">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供应商信用信息查询记录</w:t>
            </w:r>
          </w:p>
        </w:tc>
        <w:tc>
          <w:tcPr>
            <w:tcW w:w="1840" w:type="dxa"/>
            <w:vAlign w:val="center"/>
          </w:tcPr>
          <w:p w14:paraId="78A77751">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00D4F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32C9B8D2">
            <w:pPr>
              <w:widowControl/>
              <w:jc w:val="left"/>
              <w:rPr>
                <w:rFonts w:hint="eastAsia" w:ascii="仿宋" w:hAnsi="仿宋" w:eastAsia="仿宋" w:cs="仿宋"/>
                <w:color w:val="auto"/>
                <w:kern w:val="0"/>
                <w:sz w:val="24"/>
                <w:highlight w:val="none"/>
              </w:rPr>
            </w:pPr>
          </w:p>
        </w:tc>
        <w:tc>
          <w:tcPr>
            <w:tcW w:w="710" w:type="dxa"/>
            <w:vAlign w:val="center"/>
          </w:tcPr>
          <w:p w14:paraId="6A0F8C06">
            <w:pPr>
              <w:spacing w:line="240" w:lineRule="exact"/>
              <w:ind w:right="-2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w:t>
            </w:r>
          </w:p>
        </w:tc>
        <w:tc>
          <w:tcPr>
            <w:tcW w:w="5256" w:type="dxa"/>
            <w:vAlign w:val="center"/>
          </w:tcPr>
          <w:p w14:paraId="1C090A8F">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响应文件须知资料表要求的其他资格证明文件</w:t>
            </w:r>
          </w:p>
        </w:tc>
        <w:tc>
          <w:tcPr>
            <w:tcW w:w="1840" w:type="dxa"/>
            <w:vAlign w:val="center"/>
          </w:tcPr>
          <w:p w14:paraId="72C383A1">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45800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restart"/>
            <w:vAlign w:val="center"/>
          </w:tcPr>
          <w:p w14:paraId="359CEAF5">
            <w:pPr>
              <w:spacing w:before="1" w:line="180" w:lineRule="exact"/>
              <w:jc w:val="left"/>
              <w:rPr>
                <w:rFonts w:hint="eastAsia" w:ascii="仿宋" w:hAnsi="仿宋" w:eastAsia="仿宋" w:cs="仿宋"/>
                <w:color w:val="auto"/>
                <w:kern w:val="0"/>
                <w:sz w:val="24"/>
                <w:highlight w:val="none"/>
              </w:rPr>
            </w:pPr>
          </w:p>
          <w:p w14:paraId="5464A56E">
            <w:pPr>
              <w:spacing w:line="200" w:lineRule="exact"/>
              <w:jc w:val="left"/>
              <w:rPr>
                <w:rFonts w:hint="eastAsia" w:ascii="仿宋" w:hAnsi="仿宋" w:eastAsia="仿宋" w:cs="仿宋"/>
                <w:color w:val="auto"/>
                <w:kern w:val="0"/>
                <w:sz w:val="24"/>
                <w:highlight w:val="none"/>
              </w:rPr>
            </w:pPr>
          </w:p>
          <w:p w14:paraId="32C07FA8">
            <w:pPr>
              <w:spacing w:line="200" w:lineRule="exact"/>
              <w:jc w:val="left"/>
              <w:rPr>
                <w:rFonts w:hint="eastAsia" w:ascii="仿宋" w:hAnsi="仿宋" w:eastAsia="仿宋" w:cs="仿宋"/>
                <w:color w:val="auto"/>
                <w:kern w:val="0"/>
                <w:sz w:val="24"/>
                <w:highlight w:val="none"/>
              </w:rPr>
            </w:pPr>
          </w:p>
          <w:p w14:paraId="297FE620">
            <w:pPr>
              <w:spacing w:line="200" w:lineRule="exact"/>
              <w:jc w:val="left"/>
              <w:rPr>
                <w:rFonts w:hint="eastAsia" w:ascii="仿宋" w:hAnsi="仿宋" w:eastAsia="仿宋" w:cs="仿宋"/>
                <w:color w:val="auto"/>
                <w:kern w:val="0"/>
                <w:sz w:val="24"/>
                <w:highlight w:val="none"/>
              </w:rPr>
            </w:pPr>
          </w:p>
          <w:p w14:paraId="6DE1C35B">
            <w:pPr>
              <w:spacing w:line="200" w:lineRule="exact"/>
              <w:jc w:val="left"/>
              <w:rPr>
                <w:rFonts w:hint="eastAsia" w:ascii="仿宋" w:hAnsi="仿宋" w:eastAsia="仿宋" w:cs="仿宋"/>
                <w:color w:val="auto"/>
                <w:kern w:val="0"/>
                <w:sz w:val="24"/>
                <w:highlight w:val="none"/>
              </w:rPr>
            </w:pPr>
          </w:p>
          <w:p w14:paraId="00144EE8">
            <w:pPr>
              <w:spacing w:line="208" w:lineRule="auto"/>
              <w:ind w:left="175" w:right="155"/>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符合性审查</w:t>
            </w:r>
          </w:p>
        </w:tc>
        <w:tc>
          <w:tcPr>
            <w:tcW w:w="710" w:type="dxa"/>
            <w:vAlign w:val="center"/>
          </w:tcPr>
          <w:p w14:paraId="76DC7B1A">
            <w:pPr>
              <w:spacing w:line="240" w:lineRule="exact"/>
              <w:ind w:left="172" w:right="15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1</w:t>
            </w:r>
          </w:p>
        </w:tc>
        <w:tc>
          <w:tcPr>
            <w:tcW w:w="5256" w:type="dxa"/>
            <w:vAlign w:val="center"/>
          </w:tcPr>
          <w:p w14:paraId="0E2D82EC">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未按照磋商文件规定要求签署、盖章的</w:t>
            </w:r>
          </w:p>
        </w:tc>
        <w:tc>
          <w:tcPr>
            <w:tcW w:w="1840" w:type="dxa"/>
            <w:vAlign w:val="center"/>
          </w:tcPr>
          <w:p w14:paraId="70259964">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575C3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3668F89B">
            <w:pPr>
              <w:widowControl/>
              <w:jc w:val="left"/>
              <w:rPr>
                <w:rFonts w:hint="eastAsia" w:ascii="仿宋" w:hAnsi="仿宋" w:eastAsia="仿宋" w:cs="仿宋"/>
                <w:color w:val="auto"/>
                <w:kern w:val="0"/>
                <w:sz w:val="24"/>
                <w:highlight w:val="none"/>
              </w:rPr>
            </w:pPr>
          </w:p>
        </w:tc>
        <w:tc>
          <w:tcPr>
            <w:tcW w:w="710" w:type="dxa"/>
            <w:vAlign w:val="center"/>
          </w:tcPr>
          <w:p w14:paraId="308A5C63">
            <w:pPr>
              <w:spacing w:before="67"/>
              <w:ind w:left="172" w:right="15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sz w:val="24"/>
                <w:highlight w:val="none"/>
                <w:lang w:eastAsia="en-US"/>
              </w:rPr>
              <w:t>2</w:t>
            </w:r>
          </w:p>
        </w:tc>
        <w:tc>
          <w:tcPr>
            <w:tcW w:w="5256" w:type="dxa"/>
            <w:vAlign w:val="center"/>
          </w:tcPr>
          <w:p w14:paraId="55130EEF">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未按规定提供强制节能产品</w:t>
            </w:r>
          </w:p>
        </w:tc>
        <w:tc>
          <w:tcPr>
            <w:tcW w:w="1840" w:type="dxa"/>
            <w:vAlign w:val="center"/>
          </w:tcPr>
          <w:p w14:paraId="5299C46E">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504A1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2A6B9D40">
            <w:pPr>
              <w:widowControl/>
              <w:jc w:val="left"/>
              <w:rPr>
                <w:rFonts w:hint="eastAsia" w:ascii="仿宋" w:hAnsi="仿宋" w:eastAsia="仿宋" w:cs="仿宋"/>
                <w:color w:val="auto"/>
                <w:kern w:val="0"/>
                <w:sz w:val="24"/>
                <w:highlight w:val="none"/>
              </w:rPr>
            </w:pPr>
          </w:p>
        </w:tc>
        <w:tc>
          <w:tcPr>
            <w:tcW w:w="710" w:type="dxa"/>
            <w:vAlign w:val="center"/>
          </w:tcPr>
          <w:p w14:paraId="530FB4EF">
            <w:pPr>
              <w:spacing w:line="240" w:lineRule="exact"/>
              <w:ind w:left="172" w:right="15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3</w:t>
            </w:r>
          </w:p>
        </w:tc>
        <w:tc>
          <w:tcPr>
            <w:tcW w:w="5256" w:type="dxa"/>
            <w:vAlign w:val="center"/>
          </w:tcPr>
          <w:p w14:paraId="4C748D13">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未全部响应磋商文件实质性要求条款情况</w:t>
            </w:r>
          </w:p>
        </w:tc>
        <w:tc>
          <w:tcPr>
            <w:tcW w:w="1840" w:type="dxa"/>
            <w:vAlign w:val="center"/>
          </w:tcPr>
          <w:p w14:paraId="229EED8B">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1D36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2AF0BF51">
            <w:pPr>
              <w:widowControl/>
              <w:jc w:val="left"/>
              <w:rPr>
                <w:rFonts w:hint="eastAsia" w:ascii="仿宋" w:hAnsi="仿宋" w:eastAsia="仿宋" w:cs="仿宋"/>
                <w:color w:val="auto"/>
                <w:kern w:val="0"/>
                <w:sz w:val="24"/>
                <w:highlight w:val="none"/>
              </w:rPr>
            </w:pPr>
          </w:p>
        </w:tc>
        <w:tc>
          <w:tcPr>
            <w:tcW w:w="710" w:type="dxa"/>
            <w:vAlign w:val="center"/>
          </w:tcPr>
          <w:p w14:paraId="129AD897">
            <w:pPr>
              <w:spacing w:line="242" w:lineRule="exact"/>
              <w:ind w:left="172" w:right="15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4</w:t>
            </w:r>
          </w:p>
        </w:tc>
        <w:tc>
          <w:tcPr>
            <w:tcW w:w="5256" w:type="dxa"/>
            <w:vAlign w:val="center"/>
          </w:tcPr>
          <w:p w14:paraId="7EF6FDED">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报价超过项目预算或最高限价的</w:t>
            </w:r>
          </w:p>
        </w:tc>
        <w:tc>
          <w:tcPr>
            <w:tcW w:w="1840" w:type="dxa"/>
            <w:vAlign w:val="center"/>
          </w:tcPr>
          <w:p w14:paraId="1A901EBA">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343CD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2E0A491E">
            <w:pPr>
              <w:widowControl/>
              <w:jc w:val="left"/>
              <w:rPr>
                <w:rFonts w:hint="eastAsia" w:ascii="仿宋" w:hAnsi="仿宋" w:eastAsia="仿宋" w:cs="仿宋"/>
                <w:color w:val="auto"/>
                <w:kern w:val="0"/>
                <w:sz w:val="24"/>
                <w:highlight w:val="none"/>
              </w:rPr>
            </w:pPr>
          </w:p>
        </w:tc>
        <w:tc>
          <w:tcPr>
            <w:tcW w:w="710" w:type="dxa"/>
            <w:vAlign w:val="center"/>
          </w:tcPr>
          <w:p w14:paraId="1600A900">
            <w:pPr>
              <w:spacing w:line="240" w:lineRule="exact"/>
              <w:ind w:left="172" w:right="15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5</w:t>
            </w:r>
          </w:p>
        </w:tc>
        <w:tc>
          <w:tcPr>
            <w:tcW w:w="5256" w:type="dxa"/>
            <w:vAlign w:val="center"/>
          </w:tcPr>
          <w:p w14:paraId="23A9CAF6">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响应文件有效期不足的</w:t>
            </w:r>
          </w:p>
        </w:tc>
        <w:tc>
          <w:tcPr>
            <w:tcW w:w="1840" w:type="dxa"/>
            <w:vAlign w:val="center"/>
          </w:tcPr>
          <w:p w14:paraId="6AF0488B">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5A932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464C5449">
            <w:pPr>
              <w:widowControl/>
              <w:jc w:val="left"/>
              <w:rPr>
                <w:rFonts w:hint="eastAsia" w:ascii="仿宋" w:hAnsi="仿宋" w:eastAsia="仿宋" w:cs="仿宋"/>
                <w:color w:val="auto"/>
                <w:kern w:val="0"/>
                <w:sz w:val="24"/>
                <w:highlight w:val="none"/>
              </w:rPr>
            </w:pPr>
          </w:p>
        </w:tc>
        <w:tc>
          <w:tcPr>
            <w:tcW w:w="710" w:type="dxa"/>
            <w:vAlign w:val="center"/>
          </w:tcPr>
          <w:p w14:paraId="29D6857E">
            <w:pPr>
              <w:spacing w:line="240" w:lineRule="exact"/>
              <w:ind w:left="172" w:right="15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6</w:t>
            </w:r>
          </w:p>
        </w:tc>
        <w:tc>
          <w:tcPr>
            <w:tcW w:w="5256" w:type="dxa"/>
            <w:vAlign w:val="center"/>
          </w:tcPr>
          <w:p w14:paraId="40FF696A">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联合体响应文件未附联合体协议书的</w:t>
            </w:r>
          </w:p>
        </w:tc>
        <w:tc>
          <w:tcPr>
            <w:tcW w:w="1840" w:type="dxa"/>
            <w:vAlign w:val="center"/>
          </w:tcPr>
          <w:p w14:paraId="195A26F9">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13DE1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737F5AB0">
            <w:pPr>
              <w:widowControl/>
              <w:jc w:val="left"/>
              <w:rPr>
                <w:rFonts w:hint="eastAsia" w:ascii="仿宋" w:hAnsi="仿宋" w:eastAsia="仿宋" w:cs="仿宋"/>
                <w:color w:val="auto"/>
                <w:kern w:val="0"/>
                <w:sz w:val="24"/>
                <w:highlight w:val="none"/>
              </w:rPr>
            </w:pPr>
          </w:p>
        </w:tc>
        <w:tc>
          <w:tcPr>
            <w:tcW w:w="710" w:type="dxa"/>
            <w:vAlign w:val="center"/>
          </w:tcPr>
          <w:p w14:paraId="1A696FC0">
            <w:pPr>
              <w:spacing w:line="240" w:lineRule="exact"/>
              <w:ind w:left="172" w:right="15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7</w:t>
            </w:r>
          </w:p>
        </w:tc>
        <w:tc>
          <w:tcPr>
            <w:tcW w:w="5256" w:type="dxa"/>
            <w:vAlign w:val="center"/>
          </w:tcPr>
          <w:p w14:paraId="57E47FF8">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不符合磋商文件中有关分包规定的</w:t>
            </w:r>
          </w:p>
        </w:tc>
        <w:tc>
          <w:tcPr>
            <w:tcW w:w="1840" w:type="dxa"/>
            <w:vAlign w:val="center"/>
          </w:tcPr>
          <w:p w14:paraId="0FC3DDA6">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4AF10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00B9DAEB">
            <w:pPr>
              <w:widowControl/>
              <w:jc w:val="left"/>
              <w:rPr>
                <w:rFonts w:hint="eastAsia" w:ascii="仿宋" w:hAnsi="仿宋" w:eastAsia="仿宋" w:cs="仿宋"/>
                <w:color w:val="auto"/>
                <w:kern w:val="0"/>
                <w:sz w:val="24"/>
                <w:highlight w:val="none"/>
              </w:rPr>
            </w:pPr>
          </w:p>
        </w:tc>
        <w:tc>
          <w:tcPr>
            <w:tcW w:w="710" w:type="dxa"/>
            <w:vAlign w:val="center"/>
          </w:tcPr>
          <w:p w14:paraId="3B8995CB">
            <w:pPr>
              <w:spacing w:line="240" w:lineRule="exact"/>
              <w:ind w:left="172" w:right="15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8</w:t>
            </w:r>
          </w:p>
        </w:tc>
        <w:tc>
          <w:tcPr>
            <w:tcW w:w="5256" w:type="dxa"/>
            <w:vAlign w:val="center"/>
          </w:tcPr>
          <w:p w14:paraId="2BA4ACA3">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属于串通响应文件，或者依法被视为串通响应文件</w:t>
            </w:r>
          </w:p>
        </w:tc>
        <w:tc>
          <w:tcPr>
            <w:tcW w:w="1840" w:type="dxa"/>
            <w:vAlign w:val="center"/>
          </w:tcPr>
          <w:p w14:paraId="577B1E3C">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2C5E4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78392950">
            <w:pPr>
              <w:widowControl/>
              <w:jc w:val="left"/>
              <w:rPr>
                <w:rFonts w:hint="eastAsia" w:ascii="仿宋" w:hAnsi="仿宋" w:eastAsia="仿宋" w:cs="仿宋"/>
                <w:color w:val="auto"/>
                <w:kern w:val="0"/>
                <w:sz w:val="24"/>
                <w:highlight w:val="none"/>
              </w:rPr>
            </w:pPr>
          </w:p>
        </w:tc>
        <w:tc>
          <w:tcPr>
            <w:tcW w:w="710" w:type="dxa"/>
            <w:vAlign w:val="center"/>
          </w:tcPr>
          <w:p w14:paraId="3D4AF625">
            <w:pPr>
              <w:spacing w:line="240" w:lineRule="exact"/>
              <w:ind w:left="172" w:right="152"/>
              <w:jc w:val="center"/>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9</w:t>
            </w:r>
          </w:p>
        </w:tc>
        <w:tc>
          <w:tcPr>
            <w:tcW w:w="5256" w:type="dxa"/>
            <w:vAlign w:val="center"/>
          </w:tcPr>
          <w:p w14:paraId="610C653E">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响应文件含有采购人不能接受的附加条件的</w:t>
            </w:r>
          </w:p>
        </w:tc>
        <w:tc>
          <w:tcPr>
            <w:tcW w:w="1840" w:type="dxa"/>
            <w:vAlign w:val="center"/>
          </w:tcPr>
          <w:p w14:paraId="14BEA180">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7C164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1016" w:type="dxa"/>
            <w:vMerge w:val="continue"/>
            <w:vAlign w:val="center"/>
          </w:tcPr>
          <w:p w14:paraId="5B191528">
            <w:pPr>
              <w:widowControl/>
              <w:jc w:val="left"/>
              <w:rPr>
                <w:rFonts w:hint="eastAsia" w:ascii="仿宋" w:hAnsi="仿宋" w:eastAsia="仿宋" w:cs="仿宋"/>
                <w:color w:val="auto"/>
                <w:kern w:val="0"/>
                <w:sz w:val="24"/>
                <w:highlight w:val="none"/>
              </w:rPr>
            </w:pPr>
          </w:p>
        </w:tc>
        <w:tc>
          <w:tcPr>
            <w:tcW w:w="710" w:type="dxa"/>
            <w:vAlign w:val="center"/>
          </w:tcPr>
          <w:p w14:paraId="12387B9F">
            <w:pPr>
              <w:spacing w:line="240" w:lineRule="exact"/>
              <w:ind w:left="155" w:right="-20"/>
              <w:jc w:val="left"/>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10</w:t>
            </w:r>
          </w:p>
        </w:tc>
        <w:tc>
          <w:tcPr>
            <w:tcW w:w="5256" w:type="dxa"/>
            <w:vAlign w:val="center"/>
          </w:tcPr>
          <w:p w14:paraId="64B041F7">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属于磋商文件规定的其他无效响应情形</w:t>
            </w:r>
          </w:p>
        </w:tc>
        <w:tc>
          <w:tcPr>
            <w:tcW w:w="1840" w:type="dxa"/>
            <w:vAlign w:val="center"/>
          </w:tcPr>
          <w:p w14:paraId="0785423C">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049EE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4" w:hRule="atLeast"/>
        </w:trPr>
        <w:tc>
          <w:tcPr>
            <w:tcW w:w="1016" w:type="dxa"/>
            <w:vMerge w:val="continue"/>
            <w:vAlign w:val="center"/>
          </w:tcPr>
          <w:p w14:paraId="16DA28B3">
            <w:pPr>
              <w:widowControl/>
              <w:jc w:val="left"/>
              <w:rPr>
                <w:rFonts w:hint="eastAsia" w:ascii="仿宋" w:hAnsi="仿宋" w:eastAsia="仿宋" w:cs="仿宋"/>
                <w:color w:val="auto"/>
                <w:kern w:val="0"/>
                <w:sz w:val="24"/>
                <w:highlight w:val="none"/>
              </w:rPr>
            </w:pPr>
          </w:p>
        </w:tc>
        <w:tc>
          <w:tcPr>
            <w:tcW w:w="710" w:type="dxa"/>
            <w:vAlign w:val="center"/>
          </w:tcPr>
          <w:p w14:paraId="16357976">
            <w:pPr>
              <w:spacing w:line="240" w:lineRule="exact"/>
              <w:ind w:left="155" w:right="-20"/>
              <w:jc w:val="left"/>
              <w:rPr>
                <w:rFonts w:hint="eastAsia" w:ascii="仿宋" w:hAnsi="仿宋" w:eastAsia="仿宋" w:cs="仿宋"/>
                <w:color w:val="auto"/>
                <w:kern w:val="0"/>
                <w:sz w:val="24"/>
                <w:highlight w:val="none"/>
                <w:lang w:eastAsia="en-US"/>
              </w:rPr>
            </w:pPr>
            <w:r>
              <w:rPr>
                <w:rFonts w:hint="eastAsia" w:ascii="仿宋" w:hAnsi="仿宋" w:eastAsia="仿宋" w:cs="仿宋"/>
                <w:color w:val="auto"/>
                <w:kern w:val="0"/>
                <w:position w:val="-2"/>
                <w:sz w:val="24"/>
                <w:highlight w:val="none"/>
                <w:lang w:eastAsia="en-US"/>
              </w:rPr>
              <w:t>11</w:t>
            </w:r>
          </w:p>
        </w:tc>
        <w:tc>
          <w:tcPr>
            <w:tcW w:w="5256" w:type="dxa"/>
            <w:vAlign w:val="center"/>
          </w:tcPr>
          <w:p w14:paraId="2828F8B9">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不符合法规和磋商文件中规定的其他实质性要求的</w:t>
            </w:r>
          </w:p>
        </w:tc>
        <w:tc>
          <w:tcPr>
            <w:tcW w:w="1840" w:type="dxa"/>
            <w:vAlign w:val="center"/>
          </w:tcPr>
          <w:p w14:paraId="3D824B2B">
            <w:pPr>
              <w:spacing w:line="360" w:lineRule="auto"/>
              <w:ind w:right="-20"/>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shd w:val="clear" w:color="auto" w:fill="FFFFFF"/>
              </w:rPr>
              <w:t>合格/不合格</w:t>
            </w:r>
          </w:p>
        </w:tc>
      </w:tr>
      <w:tr w14:paraId="791A7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8822" w:type="dxa"/>
            <w:gridSpan w:val="4"/>
            <w:vAlign w:val="center"/>
          </w:tcPr>
          <w:p w14:paraId="25EFAB69">
            <w:pPr>
              <w:spacing w:after="200" w:line="276" w:lineRule="auto"/>
              <w:jc w:val="left"/>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备注：以上有一项不合格，则供应商不能通过资格性审查或符合性检查，该响应文件将被拒绝，不再进入下一阶段的评审打分；只有全部通过上述内容评审的响应文件，才可进入下一阶段的评审。</w:t>
            </w:r>
          </w:p>
        </w:tc>
      </w:tr>
      <w:bookmarkEnd w:id="315"/>
    </w:tbl>
    <w:p w14:paraId="70F639FA">
      <w:pPr>
        <w:widowControl/>
        <w:spacing w:beforeAutospacing="1" w:afterAutospacing="1" w:line="276" w:lineRule="auto"/>
        <w:jc w:val="left"/>
        <w:rPr>
          <w:rFonts w:hint="eastAsia" w:ascii="仿宋" w:hAnsi="仿宋" w:eastAsia="仿宋" w:cs="仿宋"/>
          <w:color w:val="auto"/>
          <w:kern w:val="0"/>
          <w:sz w:val="24"/>
          <w:szCs w:val="22"/>
          <w:highlight w:val="none"/>
        </w:rPr>
        <w:sectPr>
          <w:pgSz w:w="11920" w:h="16840"/>
          <w:pgMar w:top="1560" w:right="1580" w:bottom="280" w:left="1580" w:header="720" w:footer="720" w:gutter="0"/>
          <w:cols w:space="720" w:num="1"/>
        </w:sectPr>
      </w:pPr>
    </w:p>
    <w:p w14:paraId="45AC87E6">
      <w:pPr>
        <w:rPr>
          <w:rFonts w:hint="eastAsia" w:ascii="仿宋" w:hAnsi="仿宋" w:eastAsia="仿宋" w:cs="仿宋"/>
          <w:color w:val="auto"/>
          <w:sz w:val="24"/>
          <w:highlight w:val="none"/>
        </w:rPr>
      </w:pPr>
      <w:bookmarkStart w:id="316" w:name="_Toc46238262"/>
      <w:bookmarkStart w:id="317" w:name="_Toc45562498"/>
      <w:bookmarkStart w:id="318" w:name="_Toc46136845"/>
      <w:r>
        <w:rPr>
          <w:rFonts w:hint="eastAsia" w:ascii="仿宋" w:hAnsi="仿宋" w:eastAsia="仿宋" w:cs="仿宋"/>
          <w:color w:val="auto"/>
          <w:sz w:val="24"/>
          <w:highlight w:val="none"/>
        </w:rPr>
        <w:t>（二）</w:t>
      </w:r>
      <w:bookmarkEnd w:id="316"/>
      <w:bookmarkEnd w:id="317"/>
      <w:bookmarkEnd w:id="318"/>
      <w:r>
        <w:rPr>
          <w:rFonts w:hint="eastAsia" w:ascii="仿宋" w:hAnsi="仿宋" w:eastAsia="仿宋" w:cs="仿宋"/>
          <w:color w:val="auto"/>
          <w:sz w:val="24"/>
          <w:highlight w:val="none"/>
        </w:rPr>
        <w:t>评分细则</w:t>
      </w:r>
    </w:p>
    <w:tbl>
      <w:tblPr>
        <w:tblStyle w:val="34"/>
        <w:tblpPr w:leftFromText="180" w:rightFromText="180" w:vertAnchor="text" w:horzAnchor="page" w:tblpX="1123" w:tblpY="291"/>
        <w:tblOverlap w:val="never"/>
        <w:tblW w:w="552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789"/>
        <w:gridCol w:w="7608"/>
        <w:gridCol w:w="576"/>
      </w:tblGrid>
      <w:tr w14:paraId="78888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0" w:type="pct"/>
            <w:gridSpan w:val="2"/>
            <w:vAlign w:val="center"/>
          </w:tcPr>
          <w:p w14:paraId="562AFD8C">
            <w:pPr>
              <w:spacing w:line="380" w:lineRule="exact"/>
              <w:rPr>
                <w:rFonts w:ascii="仿宋" w:hAnsi="仿宋" w:eastAsia="仿宋" w:cs="仿宋"/>
                <w:sz w:val="24"/>
                <w:szCs w:val="24"/>
                <w:highlight w:val="none"/>
              </w:rPr>
            </w:pPr>
            <w:bookmarkStart w:id="319" w:name="_Toc28706"/>
            <w:bookmarkStart w:id="320" w:name="_Toc30380"/>
            <w:bookmarkStart w:id="321" w:name="_Toc14890"/>
            <w:bookmarkStart w:id="322" w:name="_Toc27847"/>
            <w:bookmarkStart w:id="323" w:name="_Toc19923"/>
            <w:bookmarkStart w:id="324" w:name="_Toc2134"/>
            <w:bookmarkStart w:id="325" w:name="_Toc10502"/>
            <w:bookmarkStart w:id="326" w:name="_Toc10147"/>
            <w:bookmarkStart w:id="327" w:name="_Toc518923106"/>
            <w:bookmarkStart w:id="328" w:name="_Toc216582812"/>
            <w:bookmarkStart w:id="329" w:name="_Toc46235126"/>
            <w:r>
              <w:rPr>
                <w:rFonts w:hint="eastAsia" w:ascii="仿宋" w:hAnsi="仿宋" w:eastAsia="仿宋" w:cs="仿宋"/>
                <w:sz w:val="24"/>
                <w:szCs w:val="24"/>
                <w:highlight w:val="none"/>
              </w:rPr>
              <w:t>评分因素</w:t>
            </w:r>
          </w:p>
        </w:tc>
        <w:tc>
          <w:tcPr>
            <w:tcW w:w="4033" w:type="pct"/>
            <w:vAlign w:val="center"/>
          </w:tcPr>
          <w:p w14:paraId="317B164F">
            <w:pPr>
              <w:spacing w:line="380" w:lineRule="exact"/>
              <w:ind w:firstLine="480"/>
              <w:jc w:val="center"/>
              <w:rPr>
                <w:rFonts w:ascii="仿宋" w:hAnsi="仿宋" w:eastAsia="仿宋" w:cs="仿宋"/>
                <w:sz w:val="24"/>
                <w:szCs w:val="24"/>
                <w:highlight w:val="none"/>
              </w:rPr>
            </w:pPr>
            <w:r>
              <w:rPr>
                <w:rFonts w:hint="eastAsia" w:ascii="仿宋" w:hAnsi="仿宋" w:eastAsia="仿宋" w:cs="仿宋"/>
                <w:sz w:val="24"/>
                <w:szCs w:val="24"/>
                <w:highlight w:val="none"/>
              </w:rPr>
              <w:t>评分内容</w:t>
            </w:r>
          </w:p>
        </w:tc>
        <w:tc>
          <w:tcPr>
            <w:tcW w:w="305" w:type="pct"/>
            <w:vAlign w:val="center"/>
          </w:tcPr>
          <w:p w14:paraId="30F16CEC">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满分</w:t>
            </w:r>
          </w:p>
        </w:tc>
      </w:tr>
      <w:tr w14:paraId="7CA97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pct"/>
            <w:gridSpan w:val="2"/>
            <w:vAlign w:val="center"/>
          </w:tcPr>
          <w:p w14:paraId="1FFD08C7">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价格部分30分</w:t>
            </w:r>
          </w:p>
        </w:tc>
        <w:tc>
          <w:tcPr>
            <w:tcW w:w="4033" w:type="pct"/>
            <w:vAlign w:val="center"/>
          </w:tcPr>
          <w:p w14:paraId="6830D956">
            <w:pPr>
              <w:spacing w:line="360" w:lineRule="exact"/>
              <w:rPr>
                <w:rFonts w:ascii="仿宋" w:hAnsi="仿宋" w:eastAsia="仿宋" w:cs="仿宋"/>
                <w:sz w:val="24"/>
                <w:szCs w:val="24"/>
                <w:highlight w:val="none"/>
              </w:rPr>
            </w:pPr>
            <w:r>
              <w:rPr>
                <w:rFonts w:hint="eastAsia" w:ascii="仿宋" w:hAnsi="仿宋" w:eastAsia="仿宋" w:cs="仿宋"/>
                <w:sz w:val="24"/>
                <w:szCs w:val="24"/>
                <w:highlight w:val="none"/>
              </w:rPr>
              <w:t>满足磋商文件要求且最终报价最低为磋商基准价，其价格分为满分（30分）。其他供应商的价格分统一按照下列公式计算：最终报价得分＝（磋商基准价／最终报价</w:t>
            </w:r>
            <w:r>
              <w:rPr>
                <w:rFonts w:ascii="仿宋" w:hAnsi="仿宋" w:eastAsia="仿宋" w:cs="仿宋"/>
                <w:sz w:val="24"/>
                <w:szCs w:val="24"/>
                <w:highlight w:val="none"/>
              </w:rPr>
              <w:t>)</w:t>
            </w:r>
            <w:r>
              <w:rPr>
                <w:rFonts w:hint="eastAsia" w:ascii="仿宋" w:hAnsi="仿宋" w:eastAsia="仿宋" w:cs="仿宋"/>
                <w:sz w:val="24"/>
                <w:szCs w:val="24"/>
                <w:highlight w:val="none"/>
              </w:rPr>
              <w:t>×30</w:t>
            </w:r>
            <w:r>
              <w:rPr>
                <w:rFonts w:ascii="仿宋" w:hAnsi="仿宋" w:eastAsia="仿宋" w:cs="仿宋"/>
                <w:sz w:val="24"/>
                <w:szCs w:val="24"/>
                <w:highlight w:val="none"/>
              </w:rPr>
              <w:t>%</w:t>
            </w:r>
            <w:r>
              <w:rPr>
                <w:rFonts w:hint="eastAsia" w:ascii="仿宋" w:hAnsi="仿宋" w:eastAsia="仿宋" w:cs="仿宋"/>
                <w:sz w:val="24"/>
                <w:szCs w:val="24"/>
                <w:highlight w:val="none"/>
              </w:rPr>
              <w:t>×</w:t>
            </w:r>
            <w:r>
              <w:rPr>
                <w:rFonts w:ascii="仿宋" w:hAnsi="仿宋" w:eastAsia="仿宋" w:cs="仿宋"/>
                <w:sz w:val="24"/>
                <w:szCs w:val="24"/>
                <w:highlight w:val="none"/>
              </w:rPr>
              <w:t>100</w:t>
            </w:r>
            <w:r>
              <w:rPr>
                <w:rFonts w:hint="eastAsia" w:ascii="仿宋" w:hAnsi="仿宋" w:eastAsia="仿宋" w:cs="仿宋"/>
                <w:sz w:val="24"/>
                <w:szCs w:val="24"/>
                <w:highlight w:val="none"/>
              </w:rPr>
              <w:t>。</w:t>
            </w:r>
          </w:p>
        </w:tc>
        <w:tc>
          <w:tcPr>
            <w:tcW w:w="305" w:type="pct"/>
            <w:vAlign w:val="center"/>
          </w:tcPr>
          <w:p w14:paraId="3AB13B3D">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30</w:t>
            </w:r>
          </w:p>
        </w:tc>
      </w:tr>
      <w:tr w14:paraId="1BB57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241" w:type="pct"/>
            <w:vMerge w:val="restart"/>
            <w:vAlign w:val="center"/>
          </w:tcPr>
          <w:p w14:paraId="4A267A2E">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技术</w:t>
            </w:r>
          </w:p>
          <w:p w14:paraId="62E10023">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部分</w:t>
            </w:r>
          </w:p>
          <w:p w14:paraId="4041052E">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53分</w:t>
            </w:r>
          </w:p>
        </w:tc>
        <w:tc>
          <w:tcPr>
            <w:tcW w:w="418" w:type="pct"/>
            <w:vAlign w:val="center"/>
          </w:tcPr>
          <w:p w14:paraId="0084F767">
            <w:pPr>
              <w:rPr>
                <w:rFonts w:ascii="仿宋" w:hAnsi="仿宋" w:eastAsia="仿宋" w:cs="仿宋"/>
                <w:sz w:val="24"/>
                <w:szCs w:val="24"/>
                <w:highlight w:val="none"/>
              </w:rPr>
            </w:pPr>
            <w:r>
              <w:rPr>
                <w:rFonts w:hint="eastAsia" w:ascii="仿宋" w:hAnsi="仿宋" w:eastAsia="仿宋" w:cs="仿宋"/>
                <w:sz w:val="24"/>
                <w:szCs w:val="24"/>
                <w:highlight w:val="none"/>
              </w:rPr>
              <w:t>产品技术</w:t>
            </w:r>
          </w:p>
          <w:p w14:paraId="7834B4D8">
            <w:pPr>
              <w:rPr>
                <w:rFonts w:ascii="仿宋" w:hAnsi="仿宋" w:eastAsia="仿宋" w:cs="仿宋"/>
                <w:sz w:val="24"/>
                <w:szCs w:val="24"/>
                <w:highlight w:val="none"/>
              </w:rPr>
            </w:pPr>
            <w:r>
              <w:rPr>
                <w:rFonts w:hint="eastAsia" w:ascii="仿宋" w:hAnsi="仿宋" w:eastAsia="仿宋" w:cs="仿宋"/>
                <w:sz w:val="24"/>
                <w:szCs w:val="24"/>
                <w:highlight w:val="none"/>
              </w:rPr>
              <w:t>响应25分</w:t>
            </w:r>
          </w:p>
        </w:tc>
        <w:tc>
          <w:tcPr>
            <w:tcW w:w="4033" w:type="pct"/>
            <w:vAlign w:val="center"/>
          </w:tcPr>
          <w:p w14:paraId="29F17600">
            <w:pPr>
              <w:rPr>
                <w:rFonts w:ascii="仿宋" w:hAnsi="仿宋" w:eastAsia="仿宋" w:cs="仿宋"/>
                <w:sz w:val="24"/>
                <w:szCs w:val="24"/>
                <w:highlight w:val="none"/>
              </w:rPr>
            </w:pPr>
            <w:r>
              <w:rPr>
                <w:rFonts w:hint="eastAsia" w:ascii="仿宋" w:hAnsi="仿宋" w:eastAsia="仿宋" w:cs="仿宋"/>
                <w:sz w:val="24"/>
                <w:szCs w:val="24"/>
                <w:highlight w:val="none"/>
              </w:rPr>
              <w:t>根据所报产品技术指标、功能、性能及配置对采购要求的实际响应情况进行评分，完全满足采购要求得基本分25分；所投产品技术指标中每存在一条负偏离扣1分，扣完为止。（同一条中有多项指标出现偏离只计算一次。）</w:t>
            </w:r>
          </w:p>
        </w:tc>
        <w:tc>
          <w:tcPr>
            <w:tcW w:w="305" w:type="pct"/>
            <w:vAlign w:val="center"/>
          </w:tcPr>
          <w:p w14:paraId="26BBDE65">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25</w:t>
            </w:r>
          </w:p>
        </w:tc>
      </w:tr>
      <w:tr w14:paraId="5243A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41" w:type="pct"/>
            <w:vMerge w:val="continue"/>
            <w:vAlign w:val="center"/>
          </w:tcPr>
          <w:p w14:paraId="70CC958E">
            <w:pPr>
              <w:spacing w:line="380" w:lineRule="exact"/>
              <w:ind w:firstLine="480"/>
              <w:jc w:val="center"/>
              <w:rPr>
                <w:rFonts w:ascii="仿宋" w:hAnsi="仿宋" w:eastAsia="仿宋" w:cs="仿宋"/>
                <w:sz w:val="24"/>
                <w:szCs w:val="24"/>
                <w:highlight w:val="none"/>
              </w:rPr>
            </w:pPr>
          </w:p>
        </w:tc>
        <w:tc>
          <w:tcPr>
            <w:tcW w:w="418" w:type="pct"/>
            <w:vAlign w:val="center"/>
          </w:tcPr>
          <w:p w14:paraId="0161F747">
            <w:pPr>
              <w:rPr>
                <w:rFonts w:ascii="仿宋" w:hAnsi="仿宋" w:eastAsia="仿宋" w:cs="仿宋"/>
                <w:sz w:val="24"/>
                <w:szCs w:val="24"/>
                <w:highlight w:val="none"/>
              </w:rPr>
            </w:pPr>
            <w:r>
              <w:rPr>
                <w:rFonts w:hint="eastAsia" w:ascii="仿宋" w:hAnsi="仿宋" w:eastAsia="仿宋" w:cs="仿宋"/>
                <w:sz w:val="24"/>
                <w:szCs w:val="24"/>
                <w:highlight w:val="none"/>
              </w:rPr>
              <w:t>产品整体</w:t>
            </w:r>
          </w:p>
          <w:p w14:paraId="138542AA">
            <w:pPr>
              <w:rPr>
                <w:rFonts w:ascii="仿宋" w:hAnsi="仿宋" w:eastAsia="仿宋" w:cs="仿宋"/>
                <w:sz w:val="24"/>
                <w:szCs w:val="24"/>
                <w:highlight w:val="none"/>
              </w:rPr>
            </w:pPr>
            <w:r>
              <w:rPr>
                <w:rFonts w:hint="eastAsia" w:ascii="仿宋" w:hAnsi="仿宋" w:eastAsia="仿宋" w:cs="仿宋"/>
                <w:sz w:val="24"/>
                <w:szCs w:val="24"/>
                <w:highlight w:val="none"/>
              </w:rPr>
              <w:t>设计6分</w:t>
            </w:r>
          </w:p>
        </w:tc>
        <w:tc>
          <w:tcPr>
            <w:tcW w:w="4033" w:type="pct"/>
            <w:vAlign w:val="center"/>
          </w:tcPr>
          <w:p w14:paraId="7EEA7073">
            <w:pPr>
              <w:spacing w:line="360" w:lineRule="exact"/>
              <w:rPr>
                <w:rFonts w:ascii="仿宋" w:hAnsi="仿宋" w:eastAsia="仿宋" w:cs="仿宋"/>
                <w:sz w:val="24"/>
                <w:szCs w:val="24"/>
                <w:highlight w:val="none"/>
              </w:rPr>
            </w:pPr>
            <w:r>
              <w:rPr>
                <w:rFonts w:hint="eastAsia" w:ascii="仿宋" w:hAnsi="仿宋" w:eastAsia="仿宋" w:cs="仿宋"/>
                <w:sz w:val="24"/>
                <w:szCs w:val="24"/>
                <w:highlight w:val="none"/>
              </w:rPr>
              <w:t>根据所报产品的技术选用、整体设计、兼容性和升级扩展能力进行评分，最高得6分，每存在一处表述不清晰、不完善或瑕疵扣1分，扣完为止。</w:t>
            </w:r>
          </w:p>
        </w:tc>
        <w:tc>
          <w:tcPr>
            <w:tcW w:w="305" w:type="pct"/>
            <w:vAlign w:val="center"/>
          </w:tcPr>
          <w:p w14:paraId="331FC1D4">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6</w:t>
            </w:r>
          </w:p>
        </w:tc>
      </w:tr>
      <w:tr w14:paraId="4C63E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241" w:type="pct"/>
            <w:vMerge w:val="continue"/>
            <w:vAlign w:val="center"/>
          </w:tcPr>
          <w:p w14:paraId="62999505">
            <w:pPr>
              <w:spacing w:line="380" w:lineRule="exact"/>
              <w:ind w:firstLine="480"/>
              <w:jc w:val="center"/>
              <w:rPr>
                <w:rFonts w:ascii="仿宋" w:hAnsi="仿宋" w:eastAsia="仿宋" w:cs="仿宋"/>
                <w:sz w:val="24"/>
                <w:szCs w:val="24"/>
                <w:highlight w:val="none"/>
              </w:rPr>
            </w:pPr>
          </w:p>
        </w:tc>
        <w:tc>
          <w:tcPr>
            <w:tcW w:w="418" w:type="pct"/>
            <w:vAlign w:val="center"/>
          </w:tcPr>
          <w:p w14:paraId="11490519">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产品性能</w:t>
            </w:r>
          </w:p>
          <w:p w14:paraId="108F8E26">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14分</w:t>
            </w:r>
          </w:p>
        </w:tc>
        <w:tc>
          <w:tcPr>
            <w:tcW w:w="4033" w:type="pct"/>
            <w:vAlign w:val="center"/>
          </w:tcPr>
          <w:p w14:paraId="5B896C20">
            <w:pPr>
              <w:spacing w:line="360" w:lineRule="exact"/>
              <w:rPr>
                <w:rFonts w:ascii="仿宋" w:hAnsi="仿宋" w:eastAsia="仿宋" w:cs="仿宋"/>
                <w:sz w:val="24"/>
                <w:szCs w:val="24"/>
                <w:highlight w:val="none"/>
              </w:rPr>
            </w:pPr>
            <w:r>
              <w:rPr>
                <w:rFonts w:hint="eastAsia" w:ascii="仿宋" w:hAnsi="仿宋" w:eastAsia="仿宋" w:cs="仿宋"/>
                <w:sz w:val="24"/>
                <w:szCs w:val="24"/>
                <w:highlight w:val="none"/>
              </w:rPr>
              <w:t>根据所报产品整体技术性能是否符合采购需求、后期使用成本高低、产品使用是否稳定、可靠，是否易于升级和维护进行评分，最高得14分，每存在一处表述不清晰、不完善或无相关内容的扣1分，扣完为止。</w:t>
            </w:r>
          </w:p>
        </w:tc>
        <w:tc>
          <w:tcPr>
            <w:tcW w:w="305" w:type="pct"/>
            <w:vAlign w:val="center"/>
          </w:tcPr>
          <w:p w14:paraId="7708D351">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14</w:t>
            </w:r>
          </w:p>
        </w:tc>
      </w:tr>
      <w:tr w14:paraId="1C46D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41" w:type="pct"/>
            <w:vMerge w:val="continue"/>
            <w:vAlign w:val="center"/>
          </w:tcPr>
          <w:p w14:paraId="0221B5C5">
            <w:pPr>
              <w:spacing w:line="380" w:lineRule="exact"/>
              <w:ind w:firstLine="480"/>
              <w:jc w:val="center"/>
              <w:rPr>
                <w:rFonts w:ascii="仿宋" w:hAnsi="仿宋" w:eastAsia="仿宋" w:cs="仿宋"/>
                <w:sz w:val="24"/>
                <w:szCs w:val="24"/>
                <w:highlight w:val="none"/>
              </w:rPr>
            </w:pPr>
          </w:p>
        </w:tc>
        <w:tc>
          <w:tcPr>
            <w:tcW w:w="418" w:type="pct"/>
            <w:vAlign w:val="center"/>
          </w:tcPr>
          <w:p w14:paraId="3D07AD8C">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实施方案</w:t>
            </w:r>
          </w:p>
          <w:p w14:paraId="61A90800">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8分</w:t>
            </w:r>
          </w:p>
        </w:tc>
        <w:tc>
          <w:tcPr>
            <w:tcW w:w="4033" w:type="pct"/>
            <w:vAlign w:val="center"/>
          </w:tcPr>
          <w:p w14:paraId="7C8F769D">
            <w:pPr>
              <w:spacing w:line="360" w:lineRule="exact"/>
              <w:rPr>
                <w:rFonts w:ascii="仿宋" w:hAnsi="仿宋" w:eastAsia="仿宋" w:cs="仿宋"/>
                <w:sz w:val="24"/>
                <w:szCs w:val="24"/>
                <w:highlight w:val="none"/>
              </w:rPr>
            </w:pPr>
            <w:r>
              <w:rPr>
                <w:rFonts w:hint="eastAsia" w:ascii="仿宋" w:hAnsi="仿宋" w:eastAsia="仿宋" w:cs="仿宋"/>
                <w:sz w:val="24"/>
                <w:szCs w:val="24"/>
                <w:highlight w:val="none"/>
              </w:rPr>
              <w:t>对提供的项目实施方案进行评分，包括（1）供货组织方案、产品部署方案等（2）技术力量、质量保障机制等（3）实施进度（4）应急方案，本项最多得8分，每存在一处表述不清晰、不完善或瑕疵扣1分，扣完为止。</w:t>
            </w:r>
          </w:p>
        </w:tc>
        <w:tc>
          <w:tcPr>
            <w:tcW w:w="305" w:type="pct"/>
            <w:vAlign w:val="center"/>
          </w:tcPr>
          <w:p w14:paraId="59116DAA">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8</w:t>
            </w:r>
          </w:p>
        </w:tc>
      </w:tr>
      <w:tr w14:paraId="5BB0C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241" w:type="pct"/>
            <w:vMerge w:val="restart"/>
            <w:vAlign w:val="center"/>
          </w:tcPr>
          <w:p w14:paraId="64E8B155">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商务</w:t>
            </w:r>
          </w:p>
          <w:p w14:paraId="6714A5A2">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部分</w:t>
            </w:r>
          </w:p>
          <w:p w14:paraId="52856448">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17分</w:t>
            </w:r>
          </w:p>
        </w:tc>
        <w:tc>
          <w:tcPr>
            <w:tcW w:w="418" w:type="pct"/>
            <w:vAlign w:val="center"/>
          </w:tcPr>
          <w:p w14:paraId="37590958">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服务支持</w:t>
            </w:r>
          </w:p>
          <w:p w14:paraId="32E69AED">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10分</w:t>
            </w:r>
          </w:p>
        </w:tc>
        <w:tc>
          <w:tcPr>
            <w:tcW w:w="4033" w:type="pct"/>
            <w:vAlign w:val="center"/>
          </w:tcPr>
          <w:p w14:paraId="2BD77D27">
            <w:pPr>
              <w:spacing w:line="360" w:lineRule="exact"/>
              <w:rPr>
                <w:rFonts w:ascii="仿宋" w:hAnsi="仿宋" w:eastAsia="仿宋" w:cs="仿宋"/>
                <w:sz w:val="24"/>
                <w:szCs w:val="24"/>
                <w:highlight w:val="none"/>
              </w:rPr>
            </w:pPr>
            <w:r>
              <w:rPr>
                <w:rFonts w:hint="eastAsia" w:ascii="仿宋" w:hAnsi="仿宋" w:eastAsia="仿宋" w:cs="仿宋"/>
                <w:sz w:val="24"/>
                <w:szCs w:val="24"/>
                <w:highlight w:val="none"/>
              </w:rPr>
              <w:t>对供应商提供的服务保障体系、服务内容、服务响应时间、培训方案进行评分，最高得10分，每存在一处表述不清晰、不完善或瑕疵扣1分，扣完为止。</w:t>
            </w:r>
          </w:p>
        </w:tc>
        <w:tc>
          <w:tcPr>
            <w:tcW w:w="305" w:type="pct"/>
            <w:vAlign w:val="center"/>
          </w:tcPr>
          <w:p w14:paraId="3267289F">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10</w:t>
            </w:r>
          </w:p>
        </w:tc>
      </w:tr>
      <w:tr w14:paraId="4AB76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241" w:type="pct"/>
            <w:vMerge w:val="continue"/>
            <w:vAlign w:val="center"/>
          </w:tcPr>
          <w:p w14:paraId="3D737CEA">
            <w:pPr>
              <w:spacing w:line="380" w:lineRule="exact"/>
              <w:ind w:firstLine="480"/>
              <w:jc w:val="center"/>
              <w:rPr>
                <w:rFonts w:ascii="仿宋" w:hAnsi="仿宋" w:eastAsia="仿宋" w:cs="仿宋"/>
                <w:sz w:val="24"/>
                <w:szCs w:val="24"/>
                <w:highlight w:val="none"/>
              </w:rPr>
            </w:pPr>
          </w:p>
        </w:tc>
        <w:tc>
          <w:tcPr>
            <w:tcW w:w="418" w:type="pct"/>
            <w:vAlign w:val="center"/>
          </w:tcPr>
          <w:p w14:paraId="25A2B183">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业绩</w:t>
            </w:r>
          </w:p>
          <w:p w14:paraId="6A564686">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5分</w:t>
            </w:r>
          </w:p>
        </w:tc>
        <w:tc>
          <w:tcPr>
            <w:tcW w:w="4033" w:type="pct"/>
            <w:vAlign w:val="center"/>
          </w:tcPr>
          <w:p w14:paraId="10632C9D">
            <w:pPr>
              <w:spacing w:line="360" w:lineRule="exact"/>
              <w:rPr>
                <w:rFonts w:ascii="仿宋" w:hAnsi="仿宋" w:eastAsia="仿宋" w:cs="仿宋"/>
                <w:sz w:val="24"/>
                <w:szCs w:val="24"/>
                <w:highlight w:val="none"/>
              </w:rPr>
            </w:pPr>
            <w:r>
              <w:rPr>
                <w:rFonts w:hint="eastAsia" w:ascii="仿宋" w:hAnsi="仿宋" w:eastAsia="仿宋" w:cs="仿宋"/>
                <w:sz w:val="24"/>
                <w:szCs w:val="24"/>
                <w:highlight w:val="none"/>
              </w:rPr>
              <w:t>自2022年07月01日签订的（以合同签订时间为准）类似项目的合同案例，每提供一个得1分，最多得5分。</w:t>
            </w:r>
            <w:r>
              <w:rPr>
                <w:rFonts w:hint="eastAsia" w:ascii="仿宋" w:hAnsi="仿宋" w:eastAsia="仿宋" w:cs="仿宋"/>
                <w:kern w:val="0"/>
                <w:sz w:val="24"/>
                <w:szCs w:val="24"/>
                <w:highlight w:val="none"/>
              </w:rPr>
              <w:t>（须提供成交通知书和完整的合同复印件装订于响应文件中并加盖公章，不提供不得分。）</w:t>
            </w:r>
          </w:p>
          <w:p w14:paraId="68D2DF2B">
            <w:pPr>
              <w:spacing w:line="360" w:lineRule="exact"/>
              <w:rPr>
                <w:rFonts w:ascii="仿宋" w:hAnsi="仿宋" w:eastAsia="仿宋" w:cs="仿宋"/>
                <w:sz w:val="24"/>
                <w:szCs w:val="24"/>
                <w:highlight w:val="none"/>
              </w:rPr>
            </w:pPr>
            <w:r>
              <w:rPr>
                <w:rFonts w:ascii="Times New Roman" w:hAnsi="Times New Roman"/>
                <w:b/>
                <w:highlight w:val="none"/>
              </w:rPr>
              <w:t>注：供应商需在响应文件中提供</w:t>
            </w:r>
            <w:r>
              <w:rPr>
                <w:rFonts w:ascii="Times New Roman" w:hAnsi="Times New Roman"/>
                <w:b/>
                <w:bCs/>
                <w:highlight w:val="none"/>
              </w:rPr>
              <w:t>成交通知书和</w:t>
            </w:r>
            <w:r>
              <w:rPr>
                <w:rFonts w:ascii="Times New Roman" w:hAnsi="Times New Roman"/>
                <w:b/>
                <w:highlight w:val="none"/>
              </w:rPr>
              <w:t>完整合同复印件并加盖供应商公章，同时在报价时递交成交通知书和合同原件核验，未按上述要求提供的业绩均不予认可。</w:t>
            </w:r>
          </w:p>
        </w:tc>
        <w:tc>
          <w:tcPr>
            <w:tcW w:w="305" w:type="pct"/>
            <w:vAlign w:val="center"/>
          </w:tcPr>
          <w:p w14:paraId="03BF5A4B">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5</w:t>
            </w:r>
          </w:p>
        </w:tc>
      </w:tr>
      <w:tr w14:paraId="61D07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241" w:type="pct"/>
            <w:vMerge w:val="continue"/>
            <w:vAlign w:val="center"/>
          </w:tcPr>
          <w:p w14:paraId="5DD1F08D">
            <w:pPr>
              <w:spacing w:line="380" w:lineRule="exact"/>
              <w:ind w:firstLine="480"/>
              <w:jc w:val="center"/>
              <w:rPr>
                <w:rFonts w:ascii="仿宋" w:hAnsi="仿宋" w:eastAsia="仿宋" w:cs="仿宋"/>
                <w:sz w:val="24"/>
                <w:szCs w:val="24"/>
                <w:highlight w:val="none"/>
              </w:rPr>
            </w:pPr>
          </w:p>
        </w:tc>
        <w:tc>
          <w:tcPr>
            <w:tcW w:w="418" w:type="pct"/>
            <w:vAlign w:val="center"/>
          </w:tcPr>
          <w:p w14:paraId="01C4648A">
            <w:pPr>
              <w:widowControl/>
              <w:jc w:val="left"/>
              <w:rPr>
                <w:rFonts w:ascii="仿宋" w:hAnsi="仿宋" w:eastAsia="仿宋" w:cs="仿宋"/>
                <w:sz w:val="24"/>
                <w:szCs w:val="24"/>
                <w:highlight w:val="none"/>
              </w:rPr>
            </w:pPr>
            <w:r>
              <w:rPr>
                <w:rFonts w:hint="eastAsia" w:ascii="仿宋" w:hAnsi="仿宋" w:eastAsia="仿宋" w:cs="仿宋"/>
                <w:sz w:val="24"/>
                <w:szCs w:val="24"/>
                <w:highlight w:val="none"/>
              </w:rPr>
              <w:t xml:space="preserve">质保期限 </w:t>
            </w:r>
          </w:p>
          <w:p w14:paraId="6A703B52">
            <w:pPr>
              <w:widowControl/>
              <w:jc w:val="left"/>
              <w:rPr>
                <w:rFonts w:ascii="仿宋" w:hAnsi="仿宋" w:eastAsia="仿宋" w:cs="仿宋"/>
                <w:sz w:val="24"/>
                <w:szCs w:val="24"/>
                <w:highlight w:val="none"/>
              </w:rPr>
            </w:pPr>
            <w:r>
              <w:rPr>
                <w:rFonts w:hint="eastAsia" w:ascii="仿宋" w:hAnsi="仿宋" w:eastAsia="仿宋" w:cs="仿宋"/>
                <w:sz w:val="24"/>
                <w:szCs w:val="24"/>
                <w:highlight w:val="none"/>
              </w:rPr>
              <w:t xml:space="preserve">2分 </w:t>
            </w:r>
          </w:p>
        </w:tc>
        <w:tc>
          <w:tcPr>
            <w:tcW w:w="4033" w:type="pct"/>
            <w:vAlign w:val="center"/>
          </w:tcPr>
          <w:p w14:paraId="196B2A05">
            <w:pPr>
              <w:rPr>
                <w:rFonts w:ascii="仿宋" w:hAnsi="仿宋" w:eastAsia="仿宋" w:cs="仿宋"/>
                <w:sz w:val="24"/>
                <w:szCs w:val="24"/>
                <w:highlight w:val="none"/>
              </w:rPr>
            </w:pPr>
            <w:r>
              <w:rPr>
                <w:rFonts w:hint="eastAsia" w:ascii="仿宋" w:hAnsi="仿宋" w:eastAsia="仿宋" w:cs="仿宋"/>
                <w:sz w:val="24"/>
                <w:szCs w:val="24"/>
                <w:highlight w:val="none"/>
              </w:rPr>
              <w:t xml:space="preserve">所投设备在磋商文件要求的质保期基础上，供应商承诺整体质保期每延长1年，得1分，本项最多得2分（质保期延长不足1年或部分产品延长的，不得分）。 </w:t>
            </w:r>
          </w:p>
        </w:tc>
        <w:tc>
          <w:tcPr>
            <w:tcW w:w="305" w:type="pct"/>
            <w:vAlign w:val="center"/>
          </w:tcPr>
          <w:p w14:paraId="1921A851">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2</w:t>
            </w:r>
          </w:p>
        </w:tc>
      </w:tr>
      <w:tr w14:paraId="4C858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694" w:type="pct"/>
            <w:gridSpan w:val="3"/>
            <w:vAlign w:val="center"/>
          </w:tcPr>
          <w:p w14:paraId="09EC9551">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合计</w:t>
            </w:r>
          </w:p>
        </w:tc>
        <w:tc>
          <w:tcPr>
            <w:tcW w:w="305" w:type="pct"/>
            <w:vAlign w:val="center"/>
          </w:tcPr>
          <w:p w14:paraId="22FBA624">
            <w:pPr>
              <w:spacing w:line="380" w:lineRule="exact"/>
              <w:rPr>
                <w:rFonts w:ascii="仿宋" w:hAnsi="仿宋" w:eastAsia="仿宋" w:cs="仿宋"/>
                <w:sz w:val="24"/>
                <w:szCs w:val="24"/>
                <w:highlight w:val="none"/>
              </w:rPr>
            </w:pPr>
            <w:r>
              <w:rPr>
                <w:rFonts w:hint="eastAsia" w:ascii="仿宋" w:hAnsi="仿宋" w:eastAsia="仿宋" w:cs="仿宋"/>
                <w:sz w:val="24"/>
                <w:szCs w:val="24"/>
                <w:highlight w:val="none"/>
              </w:rPr>
              <w:t>100</w:t>
            </w:r>
          </w:p>
        </w:tc>
      </w:tr>
      <w:bookmarkEnd w:id="319"/>
      <w:bookmarkEnd w:id="320"/>
      <w:bookmarkEnd w:id="321"/>
    </w:tbl>
    <w:p w14:paraId="55C64CF0">
      <w:pPr>
        <w:rPr>
          <w:rFonts w:hint="eastAsia"/>
          <w:color w:val="auto"/>
          <w:kern w:val="0"/>
          <w:sz w:val="24"/>
          <w:highlight w:val="none"/>
          <w:u w:val="none"/>
          <w:lang w:val="en-US"/>
        </w:rPr>
      </w:pPr>
      <w:r>
        <w:rPr>
          <w:rFonts w:hint="eastAsia"/>
          <w:color w:val="auto"/>
          <w:kern w:val="0"/>
          <w:sz w:val="24"/>
          <w:highlight w:val="none"/>
          <w:u w:val="none"/>
          <w:lang w:val="en-US"/>
        </w:rPr>
        <w:br w:type="page"/>
      </w:r>
    </w:p>
    <w:p w14:paraId="4378B6A8">
      <w:pPr>
        <w:pStyle w:val="83"/>
        <w:tabs>
          <w:tab w:val="left" w:pos="0"/>
        </w:tabs>
        <w:autoSpaceDE w:val="0"/>
        <w:autoSpaceDN w:val="0"/>
        <w:spacing w:line="360" w:lineRule="auto"/>
        <w:ind w:left="0" w:firstLine="480" w:firstLineChars="200"/>
        <w:jc w:val="left"/>
        <w:rPr>
          <w:rFonts w:hint="eastAsia"/>
          <w:color w:val="auto"/>
          <w:kern w:val="0"/>
          <w:sz w:val="24"/>
          <w:highlight w:val="none"/>
          <w:lang w:val="en-US"/>
        </w:rPr>
      </w:pPr>
      <w:r>
        <w:rPr>
          <w:rFonts w:hint="eastAsia"/>
          <w:color w:val="auto"/>
          <w:kern w:val="0"/>
          <w:sz w:val="24"/>
          <w:highlight w:val="none"/>
          <w:u w:val="none"/>
          <w:lang w:val="en-US"/>
        </w:rPr>
        <w:t>备注:</w:t>
      </w:r>
      <w:r>
        <w:rPr>
          <w:rFonts w:hint="eastAsia"/>
          <w:color w:val="auto"/>
          <w:kern w:val="0"/>
          <w:sz w:val="24"/>
          <w:highlight w:val="none"/>
          <w:u w:val="none"/>
        </w:rPr>
        <w:t>一、根据《政府采购促进中小企业发展管理办法》财库〔2020〕46号、《财政部 司法部关于政府采购支持监狱企业发展有关问题的通知》（财库〔2014〕68 号）和《三部门联合发布关于促进残疾人就业政府采购政策的通知》（财库〔2017〕141 号）的规定，对满足价格扣除条件且在响应文件中提交了《中小企业声明函》、《残疾人福利性单位声明函》或省级以上监狱管理局、戒毒管理局（含新疆生产建设兵团）出具的属于监狱企业的证明文件的供应商，其投标报价扣除10%（工程类5%）后参与评审。对于同时属于小微企业、监狱企业或残疾人福利性单位的，不重复进行投标报价扣除。专门面向中小企业采购的采购项目,不再给予价格扣除。</w:t>
      </w:r>
    </w:p>
    <w:p w14:paraId="02AE1F2A">
      <w:pPr>
        <w:pStyle w:val="83"/>
        <w:tabs>
          <w:tab w:val="left" w:pos="0"/>
        </w:tabs>
        <w:autoSpaceDE w:val="0"/>
        <w:autoSpaceDN w:val="0"/>
        <w:spacing w:line="360" w:lineRule="auto"/>
        <w:ind w:left="0" w:firstLine="480" w:firstLineChars="200"/>
        <w:jc w:val="left"/>
        <w:rPr>
          <w:rFonts w:hint="eastAsia"/>
          <w:color w:val="auto"/>
          <w:kern w:val="0"/>
          <w:sz w:val="24"/>
          <w:highlight w:val="none"/>
          <w:u w:val="none"/>
        </w:rPr>
      </w:pPr>
      <w:r>
        <w:rPr>
          <w:rFonts w:hint="eastAsia"/>
          <w:color w:val="auto"/>
          <w:kern w:val="0"/>
          <w:sz w:val="24"/>
          <w:highlight w:val="none"/>
          <w:u w:val="none"/>
        </w:rPr>
        <w:t>接受大中型企业与小微企业组成联合体或者允许大中型企业向一家或者多家小微企业分包的采购包，对于联合协议或者分包意向协议约定小微企业的合同份额占到合同总金额30%以上的，对联合体或者大中型企业的报价给予4%（工程1%）的扣除，用扣除后的价格参加评审。</w:t>
      </w:r>
    </w:p>
    <w:p w14:paraId="04695A4D">
      <w:pPr>
        <w:widowControl/>
        <w:tabs>
          <w:tab w:val="left" w:pos="567"/>
        </w:tabs>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二、优先采购节能环保产品：</w:t>
      </w:r>
    </w:p>
    <w:p w14:paraId="68952256">
      <w:pPr>
        <w:widowControl/>
        <w:tabs>
          <w:tab w:val="left" w:pos="1156"/>
        </w:tabs>
        <w:spacing w:line="360" w:lineRule="auto"/>
        <w:ind w:firstLine="508"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spacing w:val="7"/>
          <w:kern w:val="0"/>
          <w:sz w:val="24"/>
          <w:highlight w:val="none"/>
        </w:rPr>
        <w:t>（1）属于政府强制采购节能产品的，必须按照强制采购节能产品清单填报，否则按无</w:t>
      </w:r>
      <w:r>
        <w:rPr>
          <w:rFonts w:hint="eastAsia" w:ascii="仿宋" w:hAnsi="仿宋" w:eastAsia="仿宋" w:cs="仿宋"/>
          <w:color w:val="auto"/>
          <w:spacing w:val="10"/>
          <w:kern w:val="0"/>
          <w:sz w:val="24"/>
          <w:highlight w:val="none"/>
        </w:rPr>
        <w:t>效报价处理。</w:t>
      </w:r>
    </w:p>
    <w:p w14:paraId="7B9E0BB1">
      <w:pPr>
        <w:widowControl/>
        <w:tabs>
          <w:tab w:val="left" w:pos="1156"/>
        </w:tabs>
        <w:spacing w:line="360" w:lineRule="auto"/>
        <w:ind w:firstLine="528"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spacing w:val="12"/>
          <w:kern w:val="0"/>
          <w:sz w:val="24"/>
          <w:highlight w:val="none"/>
        </w:rPr>
        <w:t>（2）响应文件须列出节能、环保产品明细表（见附件）</w:t>
      </w:r>
      <w:r>
        <w:rPr>
          <w:rFonts w:hint="eastAsia" w:ascii="仿宋" w:hAnsi="仿宋" w:eastAsia="仿宋" w:cs="仿宋"/>
          <w:color w:val="auto"/>
          <w:spacing w:val="10"/>
          <w:kern w:val="0"/>
          <w:sz w:val="24"/>
          <w:highlight w:val="none"/>
        </w:rPr>
        <w:t>，并符合制表要求。</w:t>
      </w:r>
    </w:p>
    <w:p w14:paraId="10436C9F">
      <w:pPr>
        <w:widowControl/>
        <w:tabs>
          <w:tab w:val="left" w:pos="1156"/>
        </w:tabs>
        <w:spacing w:line="360" w:lineRule="auto"/>
        <w:ind w:firstLine="500" w:firstLineChars="200"/>
        <w:rPr>
          <w:rFonts w:hint="eastAsia" w:ascii="仿宋" w:hAnsi="仿宋" w:eastAsia="仿宋" w:cs="仿宋"/>
          <w:color w:val="auto"/>
          <w:kern w:val="0"/>
          <w:sz w:val="24"/>
          <w:highlight w:val="none"/>
        </w:rPr>
      </w:pPr>
      <w:r>
        <w:rPr>
          <w:rFonts w:hint="eastAsia" w:ascii="仿宋" w:hAnsi="仿宋" w:eastAsia="仿宋" w:cs="仿宋"/>
          <w:color w:val="auto"/>
          <w:spacing w:val="5"/>
          <w:kern w:val="0"/>
          <w:sz w:val="24"/>
          <w:highlight w:val="none"/>
        </w:rPr>
        <w:t>（3）本办法所称节能、环保产品，是指列入财政部、国家发展改革委制定的最新《节</w:t>
      </w:r>
      <w:r>
        <w:rPr>
          <w:rFonts w:hint="eastAsia" w:ascii="仿宋" w:hAnsi="仿宋" w:eastAsia="仿宋" w:cs="仿宋"/>
          <w:color w:val="auto"/>
          <w:spacing w:val="11"/>
          <w:kern w:val="0"/>
          <w:sz w:val="24"/>
          <w:highlight w:val="none"/>
        </w:rPr>
        <w:t>能产品政府采购品目清单的通知》里的“节能产品政府采购品目清单”内和财政部、生态环境部制定的最新《关于印发环境标志产品政府采购品目清单的通知》“环境标志产</w:t>
      </w:r>
      <w:r>
        <w:rPr>
          <w:rFonts w:hint="eastAsia" w:ascii="仿宋" w:hAnsi="仿宋" w:eastAsia="仿宋" w:cs="仿宋"/>
          <w:color w:val="auto"/>
          <w:spacing w:val="5"/>
          <w:kern w:val="0"/>
          <w:sz w:val="24"/>
          <w:highlight w:val="none"/>
        </w:rPr>
        <w:t>品政府采购品目清单”内的产品,具有《中国节能产品认证证书》和《中国环境标志产品</w:t>
      </w:r>
      <w:r>
        <w:rPr>
          <w:rFonts w:hint="eastAsia" w:ascii="仿宋" w:hAnsi="仿宋" w:eastAsia="仿宋" w:cs="仿宋"/>
          <w:color w:val="auto"/>
          <w:spacing w:val="11"/>
          <w:kern w:val="0"/>
          <w:sz w:val="24"/>
          <w:highlight w:val="none"/>
        </w:rPr>
        <w:t>认证证书》，且证书在有效期之内。</w:t>
      </w:r>
    </w:p>
    <w:p w14:paraId="510C3A16">
      <w:pPr>
        <w:widowControl/>
        <w:tabs>
          <w:tab w:val="left" w:pos="567"/>
          <w:tab w:val="left" w:pos="8190"/>
        </w:tabs>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（4）优采政策加分方法：</w:t>
      </w:r>
    </w:p>
    <w:p w14:paraId="7C0B1B4F">
      <w:pPr>
        <w:widowControl/>
        <w:tabs>
          <w:tab w:val="left" w:pos="567"/>
          <w:tab w:val="left" w:pos="8190"/>
        </w:tabs>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供应商提供的产品属于品目清单范围的，应当提供经国家确定的认证机构出具的且处于有效期之内的节能产品、环境标志产品认证证书复印件并加盖公章及认证机构和获证产品在市场监管总局组织建立节能产品、环境标志产品认证结果信息发布平台网站截图并加盖公章，否则视为不响应优先采购或强制采购政策不予加分。</w:t>
      </w:r>
    </w:p>
    <w:p w14:paraId="4320478C">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1、节能产品优惠办法 </w:t>
      </w:r>
    </w:p>
    <w:p w14:paraId="237E610B">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（1）本项目磋商小组在综合评审时将给予所属节能产品在满足基本技术条件的前提下，对技术和价格项目按下列规则给予一定幅度的加分。 </w:t>
      </w:r>
    </w:p>
    <w:p w14:paraId="01F16639">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在价格评审项中，对节能产品分别给予价格评审总分值的5％的加分； </w:t>
      </w:r>
    </w:p>
    <w:p w14:paraId="69D62DC3">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具体计算方式为：节能产品的价格评审分值=报价得分分值+报价总分值*（节能产品报价/报价*加分比例）； </w:t>
      </w:r>
    </w:p>
    <w:p w14:paraId="1196767D">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在技术评审项中，可以对节能产品分别给予技术评审总分值的5％的加分； </w:t>
      </w:r>
    </w:p>
    <w:p w14:paraId="16045A1D">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具体计算方式为：节能产品的技术评审分值=技术评审得分分值+技术评审总分值*（节能产品报价/报价*加分比例）； </w:t>
      </w:r>
    </w:p>
    <w:p w14:paraId="2FB6690D">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2）供应商所投产品如列入财政部、发展改革委、生态环境部等部门制定的《节能产品政府采购品目清单》，且经过国家确定的认证机构出具的、处于有效期之内的节能产品认证证书内的节能产品，请列明节能产品并提供认证证书；未按要求列明的，将不给予加分的政策优惠；属于政府强制采购节能产品的，必须按要求填报在节能产品明细表中，否则按无效报价处理。 </w:t>
      </w:r>
    </w:p>
    <w:p w14:paraId="236DC2AB">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（3）如发现供应商不如实填写、列明的，如成交将取消成交资格；同时采购人及代理机构有权向行政监督部门申请将其列入不诚信供应商名单并停止其参与一定期限的政府采购活动。 </w:t>
      </w:r>
    </w:p>
    <w:p w14:paraId="5D2C0B51">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（4）评审价格仅为评定价格，不作为最终的成交价格。 </w:t>
      </w:r>
    </w:p>
    <w:p w14:paraId="321E7987">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2、环境标志产品优惠办法 </w:t>
      </w:r>
    </w:p>
    <w:p w14:paraId="0D101FD3">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（1）本项目磋商小组在综合评审时将给予所属环境标志产品在满足基本技术条件的前提下，对技术和价格项目按下列规则给予一定幅度的加分。 </w:t>
      </w:r>
    </w:p>
    <w:p w14:paraId="49D1846B">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在价格评审项中，对环保产品分别给予价格评审总分值的5％的加分； </w:t>
      </w:r>
    </w:p>
    <w:p w14:paraId="5EA3A4B2">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具体计算方式为：环保产品的价格评审分值=报价得分分值+报价总分值*（环保产品报价/报价*加分比例）； </w:t>
      </w:r>
    </w:p>
    <w:p w14:paraId="4C54EF46">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在技术评审项中，可以对环保产品分别给予技术评审总分值的5％的加分。 </w:t>
      </w:r>
    </w:p>
    <w:p w14:paraId="5B4ED6C3">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具体计算方式为：环保产品的技术评审分值=技术评审得分分值+技术评审总分值*（环保产品报价/报价*加分比例）； </w:t>
      </w:r>
    </w:p>
    <w:p w14:paraId="08F376DD">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2）供应商所投产品如列入财政部、发展改革委、生态环境部等部门制定的《环境标志产品政府采购品目清单》，且经过国家确定的认证机构出具的、处于有效期之内的环境标志产品认证证书内的环境标志产品，请列明环境标志产品并提供认证证书；未按要求列明的，将不给予加分的政策优惠； </w:t>
      </w:r>
    </w:p>
    <w:p w14:paraId="41033A66">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 xml:space="preserve">（3）如发现供应商不如实填写、列明的，如成交将取消成交资格；同时采购人及代理机构有权向行政监督部门申请将其列入不诚信供应商名单并停止其参与一定期限的政府采购活动。 </w:t>
      </w:r>
    </w:p>
    <w:p w14:paraId="00AAF1E0">
      <w:pPr>
        <w:widowControl/>
        <w:tabs>
          <w:tab w:val="left" w:pos="1156"/>
        </w:tabs>
        <w:spacing w:line="360" w:lineRule="auto"/>
        <w:ind w:firstLine="524" w:firstLineChars="200"/>
        <w:jc w:val="left"/>
        <w:rPr>
          <w:rFonts w:hint="eastAsia" w:ascii="仿宋" w:hAnsi="仿宋" w:eastAsia="仿宋" w:cs="仿宋"/>
          <w:color w:val="auto"/>
          <w:spacing w:val="11"/>
          <w:kern w:val="0"/>
          <w:sz w:val="24"/>
          <w:highlight w:val="none"/>
        </w:rPr>
      </w:pPr>
      <w:r>
        <w:rPr>
          <w:rFonts w:hint="eastAsia" w:ascii="仿宋" w:hAnsi="仿宋" w:eastAsia="仿宋" w:cs="仿宋"/>
          <w:color w:val="auto"/>
          <w:spacing w:val="11"/>
          <w:kern w:val="0"/>
          <w:sz w:val="24"/>
          <w:highlight w:val="none"/>
        </w:rPr>
        <w:t>（4）评审价格仅为评定价格，不作为最终的成交价格。</w:t>
      </w:r>
    </w:p>
    <w:bookmarkEnd w:id="322"/>
    <w:bookmarkEnd w:id="323"/>
    <w:bookmarkEnd w:id="324"/>
    <w:bookmarkEnd w:id="325"/>
    <w:bookmarkEnd w:id="326"/>
    <w:p w14:paraId="432F4621">
      <w:pPr>
        <w:spacing w:line="360" w:lineRule="auto"/>
        <w:jc w:val="left"/>
        <w:rPr>
          <w:rFonts w:hint="eastAsia" w:ascii="仿宋" w:hAnsi="仿宋" w:eastAsia="仿宋" w:cs="仿宋"/>
          <w:color w:val="auto"/>
          <w:sz w:val="24"/>
          <w:highlight w:val="none"/>
        </w:rPr>
      </w:pPr>
    </w:p>
    <w:p w14:paraId="70669EF4">
      <w:pPr>
        <w:pStyle w:val="2"/>
        <w:rPr>
          <w:rFonts w:hint="eastAsia" w:ascii="仿宋" w:hAnsi="仿宋" w:eastAsia="仿宋" w:cs="仿宋"/>
          <w:color w:val="auto"/>
          <w:highlight w:val="none"/>
        </w:rPr>
      </w:pPr>
      <w:r>
        <w:rPr>
          <w:rStyle w:val="47"/>
          <w:rFonts w:hint="eastAsia" w:ascii="仿宋" w:hAnsi="仿宋" w:eastAsia="仿宋" w:cs="仿宋"/>
          <w:b/>
          <w:bCs/>
          <w:color w:val="auto"/>
          <w:highlight w:val="none"/>
        </w:rPr>
        <w:br w:type="page"/>
      </w:r>
      <w:bookmarkStart w:id="330" w:name="_Toc11598"/>
      <w:r>
        <w:rPr>
          <w:rFonts w:hint="eastAsia" w:ascii="仿宋" w:hAnsi="仿宋" w:eastAsia="仿宋" w:cs="仿宋"/>
          <w:color w:val="auto"/>
          <w:highlight w:val="none"/>
        </w:rPr>
        <w:t>第6章 响应文件格式</w:t>
      </w:r>
      <w:bookmarkEnd w:id="327"/>
      <w:bookmarkEnd w:id="328"/>
      <w:bookmarkEnd w:id="329"/>
      <w:bookmarkEnd w:id="330"/>
    </w:p>
    <w:p w14:paraId="04870D45">
      <w:pPr>
        <w:pStyle w:val="3"/>
        <w:ind w:left="774" w:hanging="771" w:hangingChars="257"/>
        <w:rPr>
          <w:rFonts w:hint="eastAsia" w:ascii="仿宋" w:hAnsi="仿宋" w:eastAsia="仿宋" w:cs="仿宋"/>
          <w:color w:val="auto"/>
          <w:highlight w:val="none"/>
        </w:rPr>
      </w:pPr>
      <w:bookmarkStart w:id="331" w:name="_Toc46235127"/>
      <w:bookmarkStart w:id="332" w:name="_Toc6668"/>
      <w:r>
        <w:rPr>
          <w:rFonts w:hint="eastAsia" w:ascii="仿宋" w:hAnsi="仿宋" w:eastAsia="仿宋" w:cs="仿宋"/>
          <w:color w:val="auto"/>
          <w:highlight w:val="none"/>
        </w:rPr>
        <w:t>一、封面格式</w:t>
      </w:r>
      <w:bookmarkEnd w:id="331"/>
      <w:bookmarkEnd w:id="332"/>
    </w:p>
    <w:tbl>
      <w:tblPr>
        <w:tblStyle w:val="34"/>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2379C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tcPr>
          <w:p w14:paraId="362D7399">
            <w:pPr>
              <w:jc w:val="center"/>
              <w:rPr>
                <w:rFonts w:hint="eastAsia" w:ascii="仿宋" w:hAnsi="仿宋" w:eastAsia="仿宋" w:cs="仿宋"/>
                <w:color w:val="auto"/>
                <w:highlight w:val="none"/>
              </w:rPr>
            </w:pPr>
          </w:p>
          <w:p w14:paraId="6C2E15DB">
            <w:pPr>
              <w:spacing w:line="600" w:lineRule="exact"/>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响应文件(正、副)/开标一览表/响应文件电子版</w:t>
            </w:r>
          </w:p>
          <w:p w14:paraId="502F2A0C">
            <w:pPr>
              <w:jc w:val="center"/>
              <w:rPr>
                <w:rFonts w:hint="eastAsia" w:ascii="仿宋" w:hAnsi="仿宋" w:eastAsia="仿宋" w:cs="仿宋"/>
                <w:b/>
                <w:color w:val="auto"/>
                <w:sz w:val="30"/>
                <w:szCs w:val="30"/>
                <w:highlight w:val="none"/>
              </w:rPr>
            </w:pPr>
          </w:p>
          <w:p w14:paraId="1EDB5279">
            <w:pPr>
              <w:spacing w:line="360" w:lineRule="auto"/>
              <w:jc w:val="center"/>
              <w:rPr>
                <w:rFonts w:hint="eastAsia" w:ascii="仿宋" w:hAnsi="仿宋" w:eastAsia="仿宋" w:cs="仿宋"/>
                <w:b/>
                <w:color w:val="auto"/>
                <w:sz w:val="24"/>
                <w:highlight w:val="none"/>
              </w:rPr>
            </w:pPr>
          </w:p>
          <w:p w14:paraId="7DB9593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项目编号：</w:t>
            </w:r>
          </w:p>
          <w:p w14:paraId="0648430E">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项目名称：</w:t>
            </w:r>
          </w:p>
          <w:p w14:paraId="108A9617">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所投包号：</w:t>
            </w:r>
          </w:p>
          <w:p w14:paraId="737377FD">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供应商名称（公章）：</w:t>
            </w:r>
          </w:p>
          <w:p w14:paraId="174941D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p>
          <w:p w14:paraId="2B72AC9A">
            <w:pPr>
              <w:rPr>
                <w:rFonts w:hint="eastAsia" w:ascii="仿宋" w:hAnsi="仿宋" w:eastAsia="仿宋" w:cs="仿宋"/>
                <w:color w:val="auto"/>
                <w:highlight w:val="none"/>
              </w:rPr>
            </w:pPr>
          </w:p>
        </w:tc>
      </w:tr>
    </w:tbl>
    <w:p w14:paraId="4747BDB5">
      <w:pPr>
        <w:rPr>
          <w:rFonts w:hint="eastAsia" w:ascii="仿宋" w:hAnsi="仿宋" w:eastAsia="仿宋" w:cs="仿宋"/>
          <w:color w:val="auto"/>
          <w:highlight w:val="none"/>
        </w:rPr>
      </w:pPr>
      <w:bookmarkStart w:id="333" w:name="_Toc46235128"/>
      <w:bookmarkStart w:id="334" w:name="_Toc518923108"/>
      <w:r>
        <w:rPr>
          <w:rFonts w:hint="eastAsia" w:ascii="仿宋" w:hAnsi="仿宋" w:eastAsia="仿宋" w:cs="仿宋"/>
          <w:color w:val="auto"/>
          <w:highlight w:val="none"/>
        </w:rPr>
        <w:br w:type="page"/>
      </w:r>
    </w:p>
    <w:p w14:paraId="7E156CC7">
      <w:pPr>
        <w:pStyle w:val="3"/>
        <w:ind w:left="774" w:hanging="771" w:hangingChars="257"/>
        <w:rPr>
          <w:rFonts w:hint="eastAsia" w:ascii="仿宋" w:hAnsi="仿宋" w:eastAsia="仿宋" w:cs="仿宋"/>
          <w:color w:val="auto"/>
          <w:highlight w:val="none"/>
        </w:rPr>
      </w:pPr>
      <w:bookmarkStart w:id="335" w:name="_Toc30434"/>
      <w:r>
        <w:rPr>
          <w:rFonts w:hint="eastAsia" w:ascii="仿宋" w:hAnsi="仿宋" w:eastAsia="仿宋" w:cs="仿宋"/>
          <w:color w:val="auto"/>
          <w:highlight w:val="none"/>
        </w:rPr>
        <w:t>二、报价一览表</w:t>
      </w:r>
      <w:bookmarkEnd w:id="333"/>
      <w:bookmarkEnd w:id="334"/>
      <w:bookmarkEnd w:id="335"/>
    </w:p>
    <w:p w14:paraId="1978A596">
      <w:pPr>
        <w:tabs>
          <w:tab w:val="left" w:pos="5580"/>
        </w:tabs>
        <w:spacing w:line="320" w:lineRule="exact"/>
        <w:ind w:left="268" w:leftChars="128"/>
        <w:rPr>
          <w:rFonts w:hint="eastAsia" w:ascii="仿宋" w:hAnsi="仿宋" w:eastAsia="仿宋" w:cs="仿宋"/>
          <w:b/>
          <w:bCs/>
          <w:color w:val="auto"/>
          <w:sz w:val="36"/>
          <w:highlight w:val="none"/>
        </w:rPr>
      </w:pPr>
    </w:p>
    <w:p w14:paraId="63339E2A">
      <w:pPr>
        <w:rPr>
          <w:rFonts w:hint="eastAsia" w:ascii="仿宋" w:hAnsi="仿宋" w:eastAsia="仿宋" w:cs="仿宋"/>
          <w:b/>
          <w:bCs/>
          <w:color w:val="auto"/>
          <w:sz w:val="28"/>
          <w:szCs w:val="36"/>
          <w:highlight w:val="none"/>
        </w:rPr>
      </w:pPr>
      <w:bookmarkStart w:id="336" w:name="_Hlt520356241"/>
      <w:bookmarkEnd w:id="336"/>
      <w:bookmarkStart w:id="337" w:name="_Toc46235129"/>
      <w:bookmarkStart w:id="338" w:name="_Toc494296984"/>
      <w:bookmarkStart w:id="339" w:name="_Ref467988698"/>
      <w:bookmarkStart w:id="340" w:name="_Toc480942349"/>
      <w:bookmarkStart w:id="341" w:name="_Toc520356217"/>
      <w:bookmarkStart w:id="342" w:name="_Toc216582813"/>
      <w:r>
        <w:rPr>
          <w:rFonts w:hint="eastAsia" w:ascii="仿宋" w:hAnsi="仿宋" w:eastAsia="仿宋" w:cs="仿宋"/>
          <w:b/>
          <w:bCs/>
          <w:color w:val="auto"/>
          <w:sz w:val="24"/>
          <w:szCs w:val="20"/>
          <w:highlight w:val="none"/>
        </w:rPr>
        <w:t>1.报价一览表</w:t>
      </w:r>
      <w:bookmarkEnd w:id="337"/>
      <w:bookmarkEnd w:id="338"/>
      <w:r>
        <w:rPr>
          <w:rFonts w:hint="eastAsia" w:ascii="仿宋" w:hAnsi="仿宋" w:eastAsia="仿宋" w:cs="仿宋"/>
          <w:b/>
          <w:bCs/>
          <w:color w:val="auto"/>
          <w:sz w:val="28"/>
          <w:szCs w:val="36"/>
          <w:highlight w:val="none"/>
        </w:rPr>
        <w:cr/>
      </w:r>
    </w:p>
    <w:p w14:paraId="55D41F53">
      <w:pPr>
        <w:tabs>
          <w:tab w:val="left" w:pos="1800"/>
          <w:tab w:val="left" w:pos="5580"/>
        </w:tabs>
        <w:spacing w:line="360" w:lineRule="auto"/>
        <w:ind w:right="-867" w:rightChars="-413"/>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供应商名称（公章）：</w:t>
      </w:r>
    </w:p>
    <w:p w14:paraId="05113C6A">
      <w:pPr>
        <w:spacing w:line="360" w:lineRule="auto"/>
        <w:ind w:right="-1"/>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项目编号、所投包号：    </w:t>
      </w:r>
    </w:p>
    <w:p w14:paraId="3C4BEB0D">
      <w:pPr>
        <w:spacing w:line="360" w:lineRule="auto"/>
        <w:ind w:right="-1"/>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法定代表人或授权代理人签字或盖章：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单位：元（人民币）</w:t>
      </w:r>
    </w:p>
    <w:tbl>
      <w:tblPr>
        <w:tblStyle w:val="34"/>
        <w:tblW w:w="50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2"/>
        <w:gridCol w:w="2371"/>
        <w:gridCol w:w="1596"/>
        <w:gridCol w:w="1603"/>
      </w:tblGrid>
      <w:tr w14:paraId="53649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jc w:val="center"/>
        </w:trPr>
        <w:tc>
          <w:tcPr>
            <w:tcW w:w="1773" w:type="pct"/>
            <w:tcBorders>
              <w:bottom w:val="single" w:color="auto" w:sz="4" w:space="0"/>
            </w:tcBorders>
            <w:vAlign w:val="center"/>
          </w:tcPr>
          <w:p w14:paraId="4BFD8780">
            <w:pPr>
              <w:tabs>
                <w:tab w:val="left" w:pos="1337"/>
              </w:tabs>
              <w:ind w:right="-1"/>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磋商前基础报价</w:t>
            </w:r>
          </w:p>
        </w:tc>
        <w:tc>
          <w:tcPr>
            <w:tcW w:w="1373" w:type="pct"/>
            <w:tcBorders>
              <w:bottom w:val="single" w:color="auto" w:sz="4" w:space="0"/>
            </w:tcBorders>
            <w:vAlign w:val="center"/>
          </w:tcPr>
          <w:p w14:paraId="1EECE0ED">
            <w:pPr>
              <w:tabs>
                <w:tab w:val="left" w:pos="1337"/>
              </w:tabs>
              <w:ind w:right="-1"/>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交付时间</w:t>
            </w:r>
          </w:p>
        </w:tc>
        <w:tc>
          <w:tcPr>
            <w:tcW w:w="924" w:type="pct"/>
            <w:tcBorders>
              <w:bottom w:val="single" w:color="auto" w:sz="4" w:space="0"/>
            </w:tcBorders>
            <w:vAlign w:val="center"/>
          </w:tcPr>
          <w:p w14:paraId="691581F5">
            <w:pPr>
              <w:tabs>
                <w:tab w:val="left" w:pos="1337"/>
              </w:tabs>
              <w:ind w:right="-1"/>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质保期</w:t>
            </w:r>
          </w:p>
        </w:tc>
        <w:tc>
          <w:tcPr>
            <w:tcW w:w="928" w:type="pct"/>
            <w:tcBorders>
              <w:bottom w:val="single" w:color="auto" w:sz="4" w:space="0"/>
            </w:tcBorders>
            <w:vAlign w:val="center"/>
          </w:tcPr>
          <w:p w14:paraId="0C2C3AF8">
            <w:pPr>
              <w:tabs>
                <w:tab w:val="left" w:pos="1337"/>
              </w:tabs>
              <w:ind w:right="-1"/>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tc>
      </w:tr>
      <w:tr w14:paraId="693CF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2" w:hRule="atLeast"/>
          <w:jc w:val="center"/>
        </w:trPr>
        <w:tc>
          <w:tcPr>
            <w:tcW w:w="1773" w:type="pct"/>
            <w:vAlign w:val="center"/>
          </w:tcPr>
          <w:p w14:paraId="16AE71FD">
            <w:pPr>
              <w:tabs>
                <w:tab w:val="left" w:pos="1337"/>
              </w:tabs>
              <w:ind w:right="-1"/>
              <w:rPr>
                <w:rFonts w:hint="eastAsia" w:ascii="仿宋" w:hAnsi="仿宋" w:eastAsia="仿宋" w:cs="仿宋"/>
                <w:color w:val="auto"/>
                <w:sz w:val="24"/>
                <w:highlight w:val="none"/>
              </w:rPr>
            </w:pPr>
            <w:r>
              <w:rPr>
                <w:rFonts w:hint="eastAsia" w:ascii="仿宋" w:hAnsi="仿宋" w:eastAsia="仿宋" w:cs="仿宋"/>
                <w:color w:val="auto"/>
                <w:sz w:val="24"/>
                <w:highlight w:val="none"/>
              </w:rPr>
              <w:t>小写：（人民币）</w:t>
            </w:r>
          </w:p>
          <w:p w14:paraId="39275351">
            <w:pPr>
              <w:tabs>
                <w:tab w:val="left" w:pos="1337"/>
              </w:tabs>
              <w:ind w:right="-1"/>
              <w:rPr>
                <w:rFonts w:hint="eastAsia" w:ascii="仿宋" w:hAnsi="仿宋" w:eastAsia="仿宋" w:cs="仿宋"/>
                <w:color w:val="auto"/>
                <w:sz w:val="24"/>
                <w:highlight w:val="none"/>
              </w:rPr>
            </w:pPr>
            <w:r>
              <w:rPr>
                <w:rFonts w:hint="eastAsia" w:ascii="仿宋" w:hAnsi="仿宋" w:eastAsia="仿宋" w:cs="仿宋"/>
                <w:color w:val="auto"/>
                <w:sz w:val="24"/>
                <w:highlight w:val="none"/>
              </w:rPr>
              <w:t>大写：（人民币）</w:t>
            </w:r>
          </w:p>
        </w:tc>
        <w:tc>
          <w:tcPr>
            <w:tcW w:w="1373" w:type="pct"/>
            <w:vAlign w:val="center"/>
          </w:tcPr>
          <w:p w14:paraId="108360D4">
            <w:pPr>
              <w:tabs>
                <w:tab w:val="left" w:pos="1337"/>
              </w:tabs>
              <w:ind w:right="-1"/>
              <w:jc w:val="center"/>
              <w:rPr>
                <w:rFonts w:hint="eastAsia" w:ascii="仿宋" w:hAnsi="仿宋" w:eastAsia="仿宋" w:cs="仿宋"/>
                <w:color w:val="auto"/>
                <w:sz w:val="24"/>
                <w:highlight w:val="none"/>
              </w:rPr>
            </w:pPr>
          </w:p>
        </w:tc>
        <w:tc>
          <w:tcPr>
            <w:tcW w:w="924" w:type="pct"/>
            <w:vAlign w:val="center"/>
          </w:tcPr>
          <w:p w14:paraId="4BE3F4EF">
            <w:pPr>
              <w:tabs>
                <w:tab w:val="left" w:pos="1337"/>
              </w:tabs>
              <w:ind w:right="-1"/>
              <w:jc w:val="center"/>
              <w:rPr>
                <w:rFonts w:hint="eastAsia" w:ascii="仿宋" w:hAnsi="仿宋" w:eastAsia="仿宋" w:cs="仿宋"/>
                <w:color w:val="auto"/>
                <w:sz w:val="24"/>
                <w:highlight w:val="none"/>
              </w:rPr>
            </w:pPr>
          </w:p>
        </w:tc>
        <w:tc>
          <w:tcPr>
            <w:tcW w:w="928" w:type="pct"/>
            <w:vAlign w:val="center"/>
          </w:tcPr>
          <w:p w14:paraId="3C1552DA">
            <w:pPr>
              <w:tabs>
                <w:tab w:val="left" w:pos="1337"/>
              </w:tabs>
              <w:ind w:right="-1"/>
              <w:jc w:val="center"/>
              <w:rPr>
                <w:rFonts w:hint="eastAsia" w:ascii="仿宋" w:hAnsi="仿宋" w:eastAsia="仿宋" w:cs="仿宋"/>
                <w:color w:val="auto"/>
                <w:sz w:val="24"/>
                <w:highlight w:val="none"/>
              </w:rPr>
            </w:pPr>
          </w:p>
        </w:tc>
      </w:tr>
    </w:tbl>
    <w:p w14:paraId="042FF396">
      <w:pPr>
        <w:tabs>
          <w:tab w:val="left" w:pos="567"/>
          <w:tab w:val="left" w:pos="1146"/>
          <w:tab w:val="left" w:pos="1719"/>
          <w:tab w:val="left" w:pos="2483"/>
        </w:tabs>
        <w:spacing w:before="120" w:line="320" w:lineRule="exact"/>
        <w:ind w:leftChars="-135" w:hanging="283" w:hangingChars="118"/>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说明：1、报价一览表中“总价”是指提供服务及货物的全部费用的报价。</w:t>
      </w:r>
    </w:p>
    <w:p w14:paraId="3856692C">
      <w:pPr>
        <w:tabs>
          <w:tab w:val="left" w:pos="567"/>
          <w:tab w:val="left" w:pos="1146"/>
          <w:tab w:val="left" w:pos="1719"/>
          <w:tab w:val="left" w:pos="2483"/>
        </w:tabs>
        <w:spacing w:before="120" w:line="320" w:lineRule="exact"/>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2、</w:t>
      </w:r>
      <w:r>
        <w:rPr>
          <w:rFonts w:hint="eastAsia" w:ascii="仿宋" w:hAnsi="仿宋" w:eastAsia="仿宋" w:cs="仿宋"/>
          <w:color w:val="auto"/>
          <w:sz w:val="24"/>
          <w:highlight w:val="none"/>
        </w:rPr>
        <w:t>总价应和分项报价表的合计总价相一致。</w:t>
      </w:r>
    </w:p>
    <w:p w14:paraId="56B6948A">
      <w:pPr>
        <w:tabs>
          <w:tab w:val="left" w:pos="567"/>
          <w:tab w:val="left" w:pos="1146"/>
          <w:tab w:val="left" w:pos="1719"/>
          <w:tab w:val="left" w:pos="2483"/>
        </w:tabs>
        <w:spacing w:before="120" w:line="320" w:lineRule="exact"/>
        <w:ind w:left="376" w:leftChars="46" w:hanging="280" w:hangingChars="117"/>
        <w:rPr>
          <w:rFonts w:hint="eastAsia" w:ascii="仿宋" w:hAnsi="仿宋" w:eastAsia="仿宋" w:cs="仿宋"/>
          <w:color w:val="auto"/>
          <w:sz w:val="24"/>
          <w:szCs w:val="21"/>
          <w:highlight w:val="none"/>
        </w:rPr>
      </w:pPr>
    </w:p>
    <w:p w14:paraId="494FCE87">
      <w:pPr>
        <w:tabs>
          <w:tab w:val="left" w:pos="567"/>
          <w:tab w:val="left" w:pos="1146"/>
          <w:tab w:val="left" w:pos="1719"/>
          <w:tab w:val="left" w:pos="2483"/>
        </w:tabs>
        <w:spacing w:before="120" w:line="320" w:lineRule="exact"/>
        <w:ind w:left="376" w:leftChars="46" w:hanging="280" w:hangingChars="117"/>
        <w:rPr>
          <w:rFonts w:hint="eastAsia" w:ascii="仿宋" w:hAnsi="仿宋" w:eastAsia="仿宋" w:cs="仿宋"/>
          <w:color w:val="auto"/>
          <w:sz w:val="24"/>
          <w:szCs w:val="21"/>
          <w:highlight w:val="none"/>
        </w:rPr>
      </w:pPr>
    </w:p>
    <w:p w14:paraId="3FF16083">
      <w:pPr>
        <w:tabs>
          <w:tab w:val="left" w:pos="567"/>
          <w:tab w:val="left" w:pos="1146"/>
          <w:tab w:val="left" w:pos="1719"/>
          <w:tab w:val="left" w:pos="2483"/>
        </w:tabs>
        <w:spacing w:before="120" w:line="320" w:lineRule="exact"/>
        <w:ind w:left="376" w:leftChars="46" w:hanging="280" w:hangingChars="117"/>
        <w:rPr>
          <w:rFonts w:hint="eastAsia" w:ascii="仿宋" w:hAnsi="仿宋" w:eastAsia="仿宋" w:cs="仿宋"/>
          <w:color w:val="auto"/>
          <w:sz w:val="24"/>
          <w:szCs w:val="21"/>
          <w:highlight w:val="none"/>
        </w:rPr>
      </w:pPr>
    </w:p>
    <w:p w14:paraId="23C33399">
      <w:pPr>
        <w:tabs>
          <w:tab w:val="left" w:pos="567"/>
          <w:tab w:val="left" w:pos="1146"/>
          <w:tab w:val="left" w:pos="1719"/>
          <w:tab w:val="left" w:pos="2483"/>
        </w:tabs>
        <w:spacing w:before="120" w:line="320" w:lineRule="exact"/>
        <w:ind w:left="376" w:leftChars="46" w:hanging="280" w:hangingChars="117"/>
        <w:rPr>
          <w:rFonts w:hint="eastAsia" w:ascii="仿宋" w:hAnsi="仿宋" w:eastAsia="仿宋" w:cs="仿宋"/>
          <w:color w:val="auto"/>
          <w:sz w:val="24"/>
          <w:szCs w:val="21"/>
          <w:highlight w:val="none"/>
        </w:rPr>
      </w:pPr>
    </w:p>
    <w:p w14:paraId="79853286">
      <w:pPr>
        <w:rPr>
          <w:rFonts w:hint="eastAsia" w:ascii="仿宋" w:hAnsi="仿宋" w:eastAsia="仿宋" w:cs="仿宋"/>
          <w:color w:val="auto"/>
          <w:highlight w:val="none"/>
        </w:rPr>
      </w:pPr>
      <w:bookmarkStart w:id="343" w:name="_Toc45562505"/>
      <w:bookmarkStart w:id="344" w:name="_Toc46235130"/>
      <w:r>
        <w:rPr>
          <w:rFonts w:hint="eastAsia" w:ascii="仿宋" w:hAnsi="仿宋" w:eastAsia="仿宋" w:cs="仿宋"/>
          <w:color w:val="auto"/>
          <w:highlight w:val="none"/>
        </w:rPr>
        <w:br w:type="page"/>
      </w:r>
    </w:p>
    <w:p w14:paraId="5AD688DB">
      <w:pPr>
        <w:pStyle w:val="3"/>
        <w:ind w:left="774" w:hanging="771" w:hangingChars="257"/>
        <w:rPr>
          <w:rFonts w:hint="eastAsia" w:ascii="仿宋" w:hAnsi="仿宋" w:eastAsia="仿宋" w:cs="仿宋"/>
          <w:color w:val="auto"/>
          <w:sz w:val="24"/>
          <w:highlight w:val="none"/>
        </w:rPr>
      </w:pPr>
      <w:bookmarkStart w:id="345" w:name="_Toc12772"/>
      <w:r>
        <w:rPr>
          <w:rFonts w:hint="eastAsia" w:ascii="仿宋" w:hAnsi="仿宋" w:eastAsia="仿宋" w:cs="仿宋"/>
          <w:color w:val="auto"/>
          <w:highlight w:val="none"/>
        </w:rPr>
        <w:t>三、资格证明文件</w:t>
      </w:r>
      <w:bookmarkEnd w:id="343"/>
      <w:bookmarkEnd w:id="344"/>
      <w:bookmarkEnd w:id="345"/>
    </w:p>
    <w:p w14:paraId="1BAA7C1E">
      <w:pPr>
        <w:spacing w:line="600" w:lineRule="exact"/>
        <w:rPr>
          <w:rFonts w:hint="eastAsia" w:ascii="仿宋" w:hAnsi="仿宋" w:eastAsia="仿宋" w:cs="仿宋"/>
          <w:b/>
          <w:bCs/>
          <w:color w:val="auto"/>
          <w:sz w:val="24"/>
          <w:szCs w:val="32"/>
          <w:highlight w:val="none"/>
        </w:rPr>
      </w:pPr>
      <w:bookmarkStart w:id="346" w:name="_Toc46235131"/>
      <w:bookmarkStart w:id="347" w:name="_Toc518923109"/>
      <w:bookmarkStart w:id="348" w:name="_Toc7097"/>
      <w:bookmarkStart w:id="349" w:name="_Toc3759"/>
      <w:bookmarkStart w:id="350" w:name="_Toc32137"/>
      <w:bookmarkStart w:id="351" w:name="_Toc20487"/>
      <w:bookmarkStart w:id="352" w:name="_Toc518923115"/>
      <w:r>
        <w:rPr>
          <w:rFonts w:hint="eastAsia" w:ascii="仿宋" w:hAnsi="仿宋" w:eastAsia="仿宋" w:cs="仿宋"/>
          <w:b/>
          <w:bCs/>
          <w:color w:val="auto"/>
          <w:sz w:val="24"/>
          <w:szCs w:val="32"/>
          <w:highlight w:val="none"/>
        </w:rPr>
        <w:t>2.</w:t>
      </w:r>
      <w:bookmarkEnd w:id="346"/>
      <w:bookmarkEnd w:id="347"/>
      <w:r>
        <w:rPr>
          <w:rFonts w:hint="eastAsia" w:ascii="仿宋" w:hAnsi="仿宋" w:eastAsia="仿宋" w:cs="仿宋"/>
          <w:b/>
          <w:bCs/>
          <w:color w:val="auto"/>
          <w:sz w:val="24"/>
          <w:szCs w:val="32"/>
          <w:highlight w:val="none"/>
        </w:rPr>
        <w:t>法人或者其他组织的营业执照或事业单位法人证副本或社会团体法人登记证副本或自然人的身份证明等证明文件</w:t>
      </w:r>
      <w:bookmarkEnd w:id="348"/>
      <w:bookmarkEnd w:id="349"/>
      <w:bookmarkEnd w:id="350"/>
      <w:bookmarkEnd w:id="351"/>
    </w:p>
    <w:p w14:paraId="11730FB0">
      <w:pPr>
        <w:spacing w:line="600" w:lineRule="exact"/>
        <w:ind w:firstLine="480" w:firstLineChars="200"/>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要求：（1）供应商是企业（包括合伙企业）的，应提供其在市场监督管理部门注册的有效“企业法人营业执照”或“营业执照”的复印件；</w:t>
      </w:r>
    </w:p>
    <w:p w14:paraId="3FACCBDD">
      <w:pPr>
        <w:spacing w:line="600" w:lineRule="exac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（2）供应商是事业单位的，应提供其有效的“事业单位法人证书”复印件；</w:t>
      </w:r>
    </w:p>
    <w:p w14:paraId="3068D33A">
      <w:pPr>
        <w:spacing w:line="600" w:lineRule="exac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（3）供应商是非企业专业服务机构的，应提供其有效的“执业许可证”复印件；</w:t>
      </w:r>
    </w:p>
    <w:p w14:paraId="346E1278">
      <w:pPr>
        <w:spacing w:line="600" w:lineRule="exac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（4）供应商是个体工商户的，应提供其有效的“个体工商户营业执照”复印件；</w:t>
      </w:r>
    </w:p>
    <w:p w14:paraId="04EF12E4">
      <w:pPr>
        <w:spacing w:line="600" w:lineRule="exac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（5）供应商是自然人的，应提供其有效的自然人身份证明。</w:t>
      </w:r>
    </w:p>
    <w:p w14:paraId="2B6E080A">
      <w:pPr>
        <w:spacing w:line="600" w:lineRule="exac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（6）联合体响应文件应提供联合体各方满足以上要求的证明文件。</w:t>
      </w:r>
    </w:p>
    <w:p w14:paraId="613E0D33">
      <w:pPr>
        <w:spacing w:line="600" w:lineRule="exact"/>
        <w:rPr>
          <w:rFonts w:hint="eastAsia"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 xml:space="preserve">3.法定代表人或负责人身份证明书 </w:t>
      </w:r>
    </w:p>
    <w:p w14:paraId="2EF5B3AA">
      <w:pPr>
        <w:pStyle w:val="5"/>
        <w:rPr>
          <w:rFonts w:hint="eastAsia" w:ascii="仿宋" w:hAnsi="仿宋" w:eastAsia="仿宋" w:cs="仿宋"/>
          <w:color w:val="auto"/>
          <w:highlight w:val="none"/>
        </w:rPr>
      </w:pPr>
    </w:p>
    <w:p w14:paraId="424766D9">
      <w:pPr>
        <w:tabs>
          <w:tab w:val="left" w:pos="5580"/>
        </w:tabs>
        <w:spacing w:line="360" w:lineRule="auto"/>
        <w:ind w:left="1101" w:leftChars="-29" w:hanging="1161"/>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致山东卓舜招标咨询有限公司</w:t>
      </w:r>
      <w:r>
        <w:rPr>
          <w:rFonts w:hint="eastAsia" w:ascii="仿宋" w:hAnsi="仿宋" w:eastAsia="仿宋" w:cs="仿宋"/>
          <w:color w:val="auto"/>
          <w:sz w:val="24"/>
          <w:highlight w:val="none"/>
        </w:rPr>
        <w:t>：</w:t>
      </w:r>
    </w:p>
    <w:p w14:paraId="33900BDC">
      <w:pPr>
        <w:tabs>
          <w:tab w:val="left" w:pos="5580"/>
        </w:tabs>
        <w:spacing w:line="360" w:lineRule="auto"/>
        <w:ind w:left="-113" w:leftChars="-54"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（姓名、性别、年龄、身份证号码）</w:t>
      </w:r>
      <w:r>
        <w:rPr>
          <w:rFonts w:hint="eastAsia" w:ascii="仿宋" w:hAnsi="仿宋" w:eastAsia="仿宋" w:cs="仿宋"/>
          <w:color w:val="auto"/>
          <w:sz w:val="24"/>
          <w:highlight w:val="none"/>
        </w:rPr>
        <w:t>在我单位任</w:t>
      </w:r>
      <w:r>
        <w:rPr>
          <w:rFonts w:hint="eastAsia" w:ascii="仿宋" w:hAnsi="仿宋" w:eastAsia="仿宋" w:cs="仿宋"/>
          <w:color w:val="auto"/>
          <w:sz w:val="24"/>
          <w:highlight w:val="none"/>
          <w:u w:val="single"/>
        </w:rPr>
        <w:t>（董事长、总经理等）</w:t>
      </w:r>
      <w:r>
        <w:rPr>
          <w:rFonts w:hint="eastAsia" w:ascii="仿宋" w:hAnsi="仿宋" w:eastAsia="仿宋" w:cs="仿宋"/>
          <w:color w:val="auto"/>
          <w:sz w:val="24"/>
          <w:highlight w:val="none"/>
        </w:rPr>
        <w:t>职务，是我单位的法定代表人/负责人。</w:t>
      </w:r>
    </w:p>
    <w:p w14:paraId="517E352E">
      <w:pPr>
        <w:tabs>
          <w:tab w:val="left" w:pos="5580"/>
        </w:tabs>
        <w:spacing w:line="360" w:lineRule="auto"/>
        <w:ind w:left="1079"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mc:AlternateContent>
          <mc:Choice Requires="wps">
            <w:drawing>
              <wp:anchor distT="0" distB="0" distL="114300" distR="114300" simplePos="0" relativeHeight="251662336" behindDoc="0" locked="0" layoutInCell="1" allowOverlap="1">
                <wp:simplePos x="0" y="0"/>
                <wp:positionH relativeFrom="column">
                  <wp:posOffset>558165</wp:posOffset>
                </wp:positionH>
                <wp:positionV relativeFrom="paragraph">
                  <wp:posOffset>109220</wp:posOffset>
                </wp:positionV>
                <wp:extent cx="3423285" cy="1252855"/>
                <wp:effectExtent l="4445" t="4445" r="20320" b="19050"/>
                <wp:wrapNone/>
                <wp:docPr id="6" name="文本框 6"/>
                <wp:cNvGraphicFramePr/>
                <a:graphic xmlns:a="http://schemas.openxmlformats.org/drawingml/2006/main">
                  <a:graphicData uri="http://schemas.microsoft.com/office/word/2010/wordprocessingShape">
                    <wps:wsp>
                      <wps:cNvSpPr txBox="1"/>
                      <wps:spPr>
                        <a:xfrm>
                          <a:off x="3890645" y="4171950"/>
                          <a:ext cx="3423285" cy="12528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BE7608E">
                            <w:pPr>
                              <w:jc w:val="center"/>
                            </w:pPr>
                          </w:p>
                          <w:p w14:paraId="4C9CA940">
                            <w:pPr>
                              <w:jc w:val="center"/>
                            </w:pPr>
                            <w:r>
                              <w:rPr>
                                <w:rFonts w:hint="eastAsia" w:ascii="宋体" w:hAnsi="宋体"/>
                                <w:sz w:val="24"/>
                              </w:rPr>
                              <w:t>法定代表人/负责人身份证正反面复印件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95pt;margin-top:8.6pt;height:98.65pt;width:269.55pt;z-index:251662336;mso-width-relative:page;mso-height-relative:page;" fillcolor="#FFFFFF [3201]" filled="t" stroked="t" coordsize="21600,21600" o:gfxdata="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XvVUN1gAAAAkBAAAPAAAAAAAAAAEAIAAAACIAAABkcnMvZG93bnJldi54bWxQSwECFAAUAAAA&#10;CACHTuJA5H3OTGICAADEBAAADgAAAAAAAAABACAAAAAlAQAAZHJzL2Uyb0RvYy54bWxQSwUGAAAA&#10;AAYABgBZAQAA+QUAAAAA&#10;">
                <v:fill on="t" focussize="0,0"/>
                <v:stroke weight="0.5pt" color="#000000 [3204]" joinstyle="round"/>
                <v:imagedata o:title=""/>
                <o:lock v:ext="edit" aspectratio="f"/>
                <v:textbox>
                  <w:txbxContent>
                    <w:p w14:paraId="5BE7608E">
                      <w:pPr>
                        <w:jc w:val="center"/>
                      </w:pPr>
                    </w:p>
                    <w:p w14:paraId="4C9CA940">
                      <w:pPr>
                        <w:jc w:val="center"/>
                      </w:pPr>
                      <w:r>
                        <w:rPr>
                          <w:rFonts w:hint="eastAsia" w:ascii="宋体" w:hAnsi="宋体"/>
                          <w:sz w:val="24"/>
                        </w:rPr>
                        <w:t>法定代表人/负责人身份证正反面复印件</w:t>
                      </w:r>
                    </w:p>
                  </w:txbxContent>
                </v:textbox>
              </v:shape>
            </w:pict>
          </mc:Fallback>
        </mc:AlternateContent>
      </w:r>
    </w:p>
    <w:p w14:paraId="0EA06ABF">
      <w:pPr>
        <w:tabs>
          <w:tab w:val="left" w:pos="5580"/>
        </w:tabs>
        <w:spacing w:line="360" w:lineRule="auto"/>
        <w:ind w:firstLine="480" w:firstLineChars="200"/>
        <w:rPr>
          <w:rFonts w:hint="eastAsia" w:ascii="仿宋" w:hAnsi="仿宋" w:eastAsia="仿宋" w:cs="仿宋"/>
          <w:color w:val="auto"/>
          <w:sz w:val="24"/>
          <w:highlight w:val="none"/>
        </w:rPr>
      </w:pPr>
    </w:p>
    <w:p w14:paraId="62D80336">
      <w:pPr>
        <w:tabs>
          <w:tab w:val="left" w:pos="5580"/>
        </w:tabs>
        <w:spacing w:line="360" w:lineRule="auto"/>
        <w:ind w:firstLine="480" w:firstLineChars="200"/>
        <w:rPr>
          <w:rFonts w:hint="eastAsia" w:ascii="仿宋" w:hAnsi="仿宋" w:eastAsia="仿宋" w:cs="仿宋"/>
          <w:color w:val="auto"/>
          <w:sz w:val="24"/>
          <w:highlight w:val="none"/>
        </w:rPr>
      </w:pPr>
    </w:p>
    <w:p w14:paraId="07998A35">
      <w:pPr>
        <w:tabs>
          <w:tab w:val="left" w:pos="5580"/>
        </w:tabs>
        <w:spacing w:line="360" w:lineRule="auto"/>
        <w:ind w:firstLine="480" w:firstLineChars="200"/>
        <w:rPr>
          <w:rFonts w:hint="eastAsia" w:ascii="仿宋" w:hAnsi="仿宋" w:eastAsia="仿宋" w:cs="仿宋"/>
          <w:color w:val="auto"/>
          <w:sz w:val="24"/>
          <w:highlight w:val="none"/>
        </w:rPr>
      </w:pPr>
    </w:p>
    <w:p w14:paraId="094CAD3C">
      <w:pPr>
        <w:tabs>
          <w:tab w:val="left" w:pos="5580"/>
        </w:tabs>
        <w:spacing w:line="360" w:lineRule="auto"/>
        <w:ind w:firstLine="480" w:firstLineChars="200"/>
        <w:rPr>
          <w:rFonts w:hint="eastAsia" w:ascii="仿宋" w:hAnsi="仿宋" w:eastAsia="仿宋" w:cs="仿宋"/>
          <w:color w:val="auto"/>
          <w:sz w:val="24"/>
          <w:highlight w:val="none"/>
        </w:rPr>
      </w:pPr>
    </w:p>
    <w:p w14:paraId="7C4E1103">
      <w:pPr>
        <w:tabs>
          <w:tab w:val="left" w:pos="5580"/>
        </w:tabs>
        <w:spacing w:line="360" w:lineRule="auto"/>
        <w:ind w:firstLine="480" w:firstLineChars="200"/>
        <w:rPr>
          <w:rFonts w:hint="eastAsia" w:ascii="仿宋" w:hAnsi="仿宋" w:eastAsia="仿宋" w:cs="仿宋"/>
          <w:color w:val="auto"/>
          <w:sz w:val="24"/>
          <w:highlight w:val="none"/>
        </w:rPr>
      </w:pPr>
    </w:p>
    <w:p w14:paraId="65F8448F">
      <w:pPr>
        <w:tabs>
          <w:tab w:val="left" w:pos="5580"/>
        </w:tabs>
        <w:spacing w:line="360" w:lineRule="auto"/>
        <w:rPr>
          <w:rFonts w:hint="eastAsia" w:ascii="仿宋" w:hAnsi="仿宋" w:eastAsia="仿宋" w:cs="仿宋"/>
          <w:color w:val="auto"/>
          <w:sz w:val="24"/>
          <w:highlight w:val="none"/>
        </w:rPr>
      </w:pPr>
    </w:p>
    <w:p w14:paraId="1FE0D033">
      <w:pPr>
        <w:tabs>
          <w:tab w:val="left" w:pos="55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p w14:paraId="04D5A75F">
      <w:pPr>
        <w:tabs>
          <w:tab w:val="left" w:pos="55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供应商名称（盖公章）：</w:t>
      </w:r>
    </w:p>
    <w:p w14:paraId="10A8462D">
      <w:pPr>
        <w:tabs>
          <w:tab w:val="left" w:pos="5580"/>
        </w:tabs>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sz w:val="24"/>
          <w:highlight w:val="none"/>
        </w:rPr>
        <w:t>注：自然人响应文件的无需提供</w:t>
      </w:r>
      <w:bookmarkStart w:id="353" w:name="_Toc30674"/>
      <w:bookmarkStart w:id="354" w:name="_Toc46235133"/>
    </w:p>
    <w:p w14:paraId="27C6493F">
      <w:pPr>
        <w:rPr>
          <w:rFonts w:hint="eastAsia" w:ascii="仿宋" w:hAnsi="仿宋" w:eastAsia="仿宋" w:cs="仿宋"/>
          <w:color w:val="auto"/>
          <w:highlight w:val="none"/>
        </w:rPr>
      </w:pPr>
    </w:p>
    <w:p w14:paraId="4CF06DAF">
      <w:pPr>
        <w:rPr>
          <w:rFonts w:hint="eastAsia" w:ascii="仿宋" w:hAnsi="仿宋" w:eastAsia="仿宋" w:cs="仿宋"/>
          <w:color w:val="auto"/>
          <w:highlight w:val="none"/>
        </w:rPr>
        <w:sectPr>
          <w:footerReference r:id="rId9" w:type="first"/>
          <w:footerReference r:id="rId7" w:type="default"/>
          <w:footerReference r:id="rId8" w:type="even"/>
          <w:pgSz w:w="11906" w:h="16838"/>
          <w:pgMar w:top="1440" w:right="1797" w:bottom="1440" w:left="1797" w:header="851" w:footer="992" w:gutter="0"/>
          <w:cols w:space="720" w:num="1"/>
          <w:docGrid w:type="linesAndChars" w:linePitch="312" w:charSpace="0"/>
        </w:sectPr>
      </w:pPr>
    </w:p>
    <w:p w14:paraId="7259774F">
      <w:pPr>
        <w:rPr>
          <w:rFonts w:hint="eastAsia" w:ascii="仿宋" w:hAnsi="仿宋" w:eastAsia="仿宋" w:cs="仿宋"/>
          <w:color w:val="auto"/>
          <w:highlight w:val="none"/>
        </w:rPr>
      </w:pPr>
      <w:bookmarkStart w:id="355" w:name="_Toc99722683"/>
      <w:r>
        <w:rPr>
          <w:rFonts w:hint="eastAsia" w:ascii="仿宋" w:hAnsi="仿宋" w:eastAsia="仿宋" w:cs="仿宋"/>
          <w:b/>
          <w:bCs/>
          <w:color w:val="auto"/>
          <w:sz w:val="24"/>
          <w:szCs w:val="32"/>
          <w:highlight w:val="none"/>
        </w:rPr>
        <w:t>4.法定代表人或负责人授权书</w:t>
      </w:r>
      <w:bookmarkEnd w:id="353"/>
      <w:bookmarkEnd w:id="354"/>
      <w:bookmarkEnd w:id="355"/>
      <w:r>
        <w:rPr>
          <w:rFonts w:hint="eastAsia" w:ascii="仿宋" w:hAnsi="仿宋" w:eastAsia="仿宋" w:cs="仿宋"/>
          <w:b/>
          <w:bCs/>
          <w:color w:val="auto"/>
          <w:sz w:val="24"/>
          <w:szCs w:val="32"/>
          <w:highlight w:val="none"/>
        </w:rPr>
        <w:t xml:space="preserve"> </w:t>
      </w:r>
      <w:r>
        <w:rPr>
          <w:rFonts w:hint="eastAsia" w:ascii="仿宋" w:hAnsi="仿宋" w:eastAsia="仿宋" w:cs="仿宋"/>
          <w:color w:val="auto"/>
          <w:highlight w:val="none"/>
        </w:rPr>
        <w:cr/>
      </w:r>
    </w:p>
    <w:p w14:paraId="5224D4AF">
      <w:pPr>
        <w:tabs>
          <w:tab w:val="left" w:pos="5580"/>
        </w:tabs>
        <w:spacing w:line="360" w:lineRule="auto"/>
        <w:ind w:firstLine="480"/>
        <w:rPr>
          <w:rFonts w:hint="eastAsia" w:ascii="仿宋" w:hAnsi="仿宋" w:eastAsia="仿宋" w:cs="仿宋"/>
          <w:color w:val="auto"/>
          <w:sz w:val="24"/>
          <w:szCs w:val="20"/>
          <w:highlight w:val="none"/>
        </w:rPr>
      </w:pPr>
      <w:r>
        <w:rPr>
          <w:rFonts w:hint="eastAsia" w:ascii="仿宋" w:hAnsi="仿宋" w:eastAsia="仿宋" w:cs="仿宋"/>
          <w:color w:val="auto"/>
          <w:sz w:val="24"/>
          <w:highlight w:val="none"/>
        </w:rPr>
        <mc:AlternateContent>
          <mc:Choice Requires="wps">
            <w:drawing>
              <wp:anchor distT="0" distB="0" distL="114300" distR="114300" simplePos="0" relativeHeight="251663360" behindDoc="0" locked="0" layoutInCell="1" allowOverlap="1">
                <wp:simplePos x="0" y="0"/>
                <wp:positionH relativeFrom="column">
                  <wp:posOffset>361315</wp:posOffset>
                </wp:positionH>
                <wp:positionV relativeFrom="paragraph">
                  <wp:posOffset>1304290</wp:posOffset>
                </wp:positionV>
                <wp:extent cx="3850640" cy="1059180"/>
                <wp:effectExtent l="4445" t="5080" r="12065" b="21590"/>
                <wp:wrapNone/>
                <wp:docPr id="7" name="文本框 7"/>
                <wp:cNvGraphicFramePr/>
                <a:graphic xmlns:a="http://schemas.openxmlformats.org/drawingml/2006/main">
                  <a:graphicData uri="http://schemas.microsoft.com/office/word/2010/wordprocessingShape">
                    <wps:wsp>
                      <wps:cNvSpPr txBox="1"/>
                      <wps:spPr>
                        <a:xfrm>
                          <a:off x="1423670" y="2828290"/>
                          <a:ext cx="3850640" cy="10591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751F630">
                            <w:pPr>
                              <w:rPr>
                                <w:rFonts w:hint="eastAsia" w:ascii="宋体" w:hAnsi="宋体"/>
                                <w:sz w:val="24"/>
                              </w:rPr>
                            </w:pPr>
                          </w:p>
                          <w:p w14:paraId="78E52CC8">
                            <w:pPr>
                              <w:rPr>
                                <w:rFonts w:hint="eastAsia" w:ascii="宋体" w:hAnsi="宋体"/>
                                <w:sz w:val="24"/>
                              </w:rPr>
                            </w:pPr>
                          </w:p>
                          <w:p w14:paraId="6C130393">
                            <w:pPr>
                              <w:jc w:val="center"/>
                              <w:rPr>
                                <w:sz w:val="21"/>
                                <w:szCs w:val="24"/>
                              </w:rPr>
                            </w:pPr>
                            <w:r>
                              <w:rPr>
                                <w:rFonts w:hint="eastAsia" w:ascii="宋体" w:hAnsi="宋体" w:cs="宋体"/>
                                <w:sz w:val="24"/>
                                <w:szCs w:val="20"/>
                              </w:rPr>
                              <w:t>（附法定代表人及</w:t>
                            </w:r>
                            <w:r>
                              <w:rPr>
                                <w:rFonts w:hint="eastAsia" w:hAnsi="宋体" w:cs="宋体"/>
                                <w:sz w:val="24"/>
                                <w:szCs w:val="24"/>
                              </w:rPr>
                              <w:t>委托代理人</w:t>
                            </w:r>
                            <w:r>
                              <w:rPr>
                                <w:rFonts w:hint="eastAsia" w:ascii="宋体" w:hAnsi="宋体" w:cs="宋体"/>
                                <w:sz w:val="24"/>
                                <w:szCs w:val="20"/>
                              </w:rPr>
                              <w:t>身份证明正反面复印件）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8.45pt;margin-top:102.7pt;height:83.4pt;width:303.2pt;z-index:251663360;mso-width-relative:page;mso-height-relative:page;" fillcolor="#FFFFFF [3201]" filled="t" stroked="t" coordsize="21600,21600" o:gfxdata="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FcVSe7XAAAACgEAAA8AAAAAAAAAAQAgAAAAIgAAAGRycy9kb3ducmV2LnhtbFBLAQIU&#10;ABQAAAAIAIdO4kCH4BIUZgIAAMQEAAAOAAAAAAAAAAEAIAAAACYBAABkcnMvZTJvRG9jLnhtbFBL&#10;BQYAAAAABgAGAFkBAAD+BQAAAAA=&#10;">
                <v:fill on="t" focussize="0,0"/>
                <v:stroke weight="0.5pt" color="#000000 [3204]" joinstyle="round"/>
                <v:imagedata o:title=""/>
                <o:lock v:ext="edit" aspectratio="f"/>
                <v:textbox>
                  <w:txbxContent>
                    <w:p w14:paraId="6751F630">
                      <w:pPr>
                        <w:rPr>
                          <w:rFonts w:hint="eastAsia" w:ascii="宋体" w:hAnsi="宋体"/>
                          <w:sz w:val="24"/>
                        </w:rPr>
                      </w:pPr>
                    </w:p>
                    <w:p w14:paraId="78E52CC8">
                      <w:pPr>
                        <w:rPr>
                          <w:rFonts w:hint="eastAsia" w:ascii="宋体" w:hAnsi="宋体"/>
                          <w:sz w:val="24"/>
                        </w:rPr>
                      </w:pPr>
                    </w:p>
                    <w:p w14:paraId="6C130393">
                      <w:pPr>
                        <w:jc w:val="center"/>
                        <w:rPr>
                          <w:sz w:val="21"/>
                          <w:szCs w:val="24"/>
                        </w:rPr>
                      </w:pPr>
                      <w:r>
                        <w:rPr>
                          <w:rFonts w:hint="eastAsia" w:ascii="宋体" w:hAnsi="宋体" w:cs="宋体"/>
                          <w:sz w:val="24"/>
                          <w:szCs w:val="20"/>
                        </w:rPr>
                        <w:t>（附法定代表人及</w:t>
                      </w:r>
                      <w:r>
                        <w:rPr>
                          <w:rFonts w:hint="eastAsia" w:hAnsi="宋体" w:cs="宋体"/>
                          <w:sz w:val="24"/>
                          <w:szCs w:val="24"/>
                        </w:rPr>
                        <w:t>委托代理人</w:t>
                      </w:r>
                      <w:r>
                        <w:rPr>
                          <w:rFonts w:hint="eastAsia" w:ascii="宋体" w:hAnsi="宋体" w:cs="宋体"/>
                          <w:sz w:val="24"/>
                          <w:szCs w:val="20"/>
                        </w:rPr>
                        <w:t>身份证明正反面复印件）</w:t>
                      </w:r>
                    </w:p>
                  </w:txbxContent>
                </v:textbox>
              </v:shape>
            </w:pict>
          </mc:Fallback>
        </mc:AlternateContent>
      </w:r>
      <w:r>
        <w:rPr>
          <w:rFonts w:hint="eastAsia" w:ascii="仿宋" w:hAnsi="仿宋" w:eastAsia="仿宋" w:cs="仿宋"/>
          <w:color w:val="auto"/>
          <w:sz w:val="24"/>
          <w:szCs w:val="20"/>
          <w:highlight w:val="none"/>
        </w:rPr>
        <w:t>本授权书声明：注册于</w:t>
      </w:r>
      <w:r>
        <w:rPr>
          <w:rFonts w:hint="eastAsia" w:ascii="仿宋" w:hAnsi="仿宋" w:eastAsia="仿宋" w:cs="仿宋"/>
          <w:color w:val="auto"/>
          <w:sz w:val="24"/>
          <w:szCs w:val="20"/>
          <w:highlight w:val="none"/>
          <w:u w:val="single"/>
        </w:rPr>
        <w:t xml:space="preserve">  （国家或地区的名称）</w:t>
      </w:r>
      <w:r>
        <w:rPr>
          <w:rFonts w:hint="eastAsia" w:ascii="仿宋" w:hAnsi="仿宋" w:eastAsia="仿宋" w:cs="仿宋"/>
          <w:color w:val="auto"/>
          <w:sz w:val="24"/>
          <w:szCs w:val="20"/>
          <w:highlight w:val="none"/>
        </w:rPr>
        <w:t>的（</w:t>
      </w:r>
      <w:r>
        <w:rPr>
          <w:rFonts w:hint="eastAsia" w:ascii="仿宋" w:hAnsi="仿宋" w:eastAsia="仿宋" w:cs="仿宋"/>
          <w:iCs/>
          <w:color w:val="auto"/>
          <w:sz w:val="24"/>
          <w:szCs w:val="20"/>
          <w:highlight w:val="none"/>
          <w:u w:val="single"/>
        </w:rPr>
        <w:t>供应商名称</w:t>
      </w:r>
      <w:r>
        <w:rPr>
          <w:rFonts w:hint="eastAsia" w:ascii="仿宋" w:hAnsi="仿宋" w:eastAsia="仿宋" w:cs="仿宋"/>
          <w:iCs/>
          <w:color w:val="auto"/>
          <w:sz w:val="24"/>
          <w:szCs w:val="20"/>
          <w:highlight w:val="none"/>
        </w:rPr>
        <w:t>）的在下面签字的（</w:t>
      </w:r>
      <w:r>
        <w:rPr>
          <w:rFonts w:hint="eastAsia" w:ascii="仿宋" w:hAnsi="仿宋" w:eastAsia="仿宋" w:cs="仿宋"/>
          <w:iCs/>
          <w:color w:val="auto"/>
          <w:sz w:val="24"/>
          <w:szCs w:val="20"/>
          <w:highlight w:val="none"/>
          <w:u w:val="single"/>
        </w:rPr>
        <w:t>法定代表人/负责人姓名、职务</w:t>
      </w:r>
      <w:r>
        <w:rPr>
          <w:rFonts w:hint="eastAsia" w:ascii="仿宋" w:hAnsi="仿宋" w:eastAsia="仿宋" w:cs="仿宋"/>
          <w:iCs/>
          <w:color w:val="auto"/>
          <w:sz w:val="24"/>
          <w:szCs w:val="20"/>
          <w:highlight w:val="none"/>
        </w:rPr>
        <w:t>）代表我单位授权（</w:t>
      </w:r>
      <w:r>
        <w:rPr>
          <w:rFonts w:hint="eastAsia" w:ascii="仿宋" w:hAnsi="仿宋" w:eastAsia="仿宋" w:cs="仿宋"/>
          <w:iCs/>
          <w:color w:val="auto"/>
          <w:sz w:val="24"/>
          <w:szCs w:val="20"/>
          <w:highlight w:val="none"/>
          <w:u w:val="single"/>
        </w:rPr>
        <w:t>单位名称</w:t>
      </w:r>
      <w:r>
        <w:rPr>
          <w:rFonts w:hint="eastAsia" w:ascii="仿宋" w:hAnsi="仿宋" w:eastAsia="仿宋" w:cs="仿宋"/>
          <w:iCs/>
          <w:color w:val="auto"/>
          <w:sz w:val="24"/>
          <w:szCs w:val="20"/>
          <w:highlight w:val="none"/>
        </w:rPr>
        <w:t>）的在下面签字的（</w:t>
      </w:r>
      <w:r>
        <w:rPr>
          <w:rFonts w:hint="eastAsia" w:ascii="仿宋" w:hAnsi="仿宋" w:eastAsia="仿宋" w:cs="仿宋"/>
          <w:iCs/>
          <w:color w:val="auto"/>
          <w:sz w:val="24"/>
          <w:szCs w:val="20"/>
          <w:highlight w:val="none"/>
          <w:u w:val="single"/>
        </w:rPr>
        <w:t>被授权人的姓名、职务</w:t>
      </w:r>
      <w:r>
        <w:rPr>
          <w:rFonts w:hint="eastAsia" w:ascii="仿宋" w:hAnsi="仿宋" w:eastAsia="仿宋" w:cs="仿宋"/>
          <w:iCs/>
          <w:color w:val="auto"/>
          <w:sz w:val="24"/>
          <w:szCs w:val="20"/>
          <w:highlight w:val="none"/>
        </w:rPr>
        <w:t>）为我单位的合法代理人，就（</w:t>
      </w:r>
      <w:r>
        <w:rPr>
          <w:rFonts w:hint="eastAsia" w:ascii="仿宋" w:hAnsi="仿宋" w:eastAsia="仿宋" w:cs="仿宋"/>
          <w:iCs/>
          <w:color w:val="auto"/>
          <w:sz w:val="24"/>
          <w:szCs w:val="20"/>
          <w:highlight w:val="none"/>
          <w:u w:val="single"/>
        </w:rPr>
        <w:t>项目名称</w:t>
      </w:r>
      <w:r>
        <w:rPr>
          <w:rFonts w:hint="eastAsia" w:ascii="仿宋" w:hAnsi="仿宋" w:eastAsia="仿宋" w:cs="仿宋"/>
          <w:iCs/>
          <w:color w:val="auto"/>
          <w:sz w:val="24"/>
          <w:szCs w:val="20"/>
          <w:highlight w:val="none"/>
        </w:rPr>
        <w:t>）</w:t>
      </w:r>
      <w:r>
        <w:rPr>
          <w:rFonts w:hint="eastAsia" w:ascii="仿宋" w:hAnsi="仿宋" w:eastAsia="仿宋" w:cs="仿宋"/>
          <w:color w:val="auto"/>
          <w:sz w:val="24"/>
          <w:szCs w:val="20"/>
          <w:highlight w:val="none"/>
        </w:rPr>
        <w:t>的响应文件，以我单位名义处理一切与之有关的事务。</w:t>
      </w:r>
      <w:r>
        <w:rPr>
          <w:rFonts w:hint="eastAsia" w:ascii="仿宋" w:hAnsi="仿宋" w:eastAsia="仿宋" w:cs="仿宋"/>
          <w:color w:val="auto"/>
          <w:sz w:val="24"/>
          <w:szCs w:val="20"/>
          <w:highlight w:val="none"/>
        </w:rPr>
        <w:cr/>
      </w:r>
      <w:r>
        <w:rPr>
          <w:rFonts w:hint="eastAsia" w:ascii="仿宋" w:hAnsi="仿宋" w:eastAsia="仿宋" w:cs="仿宋"/>
          <w:color w:val="auto"/>
          <w:sz w:val="24"/>
          <w:szCs w:val="20"/>
          <w:highlight w:val="none"/>
        </w:rPr>
        <w:t>　　</w:t>
      </w:r>
    </w:p>
    <w:p w14:paraId="2DEAC55C">
      <w:pPr>
        <w:tabs>
          <w:tab w:val="left" w:pos="5580"/>
        </w:tabs>
        <w:spacing w:line="360" w:lineRule="auto"/>
        <w:ind w:left="-540" w:leftChars="-257" w:firstLine="900" w:firstLineChars="375"/>
        <w:rPr>
          <w:rFonts w:hint="eastAsia" w:ascii="仿宋" w:hAnsi="仿宋" w:eastAsia="仿宋" w:cs="仿宋"/>
          <w:color w:val="auto"/>
          <w:sz w:val="24"/>
          <w:szCs w:val="20"/>
          <w:highlight w:val="none"/>
        </w:rPr>
      </w:pPr>
    </w:p>
    <w:p w14:paraId="4E64D822">
      <w:pPr>
        <w:tabs>
          <w:tab w:val="left" w:pos="5580"/>
        </w:tabs>
        <w:spacing w:line="360" w:lineRule="auto"/>
        <w:ind w:left="-540" w:leftChars="-257" w:firstLine="900" w:firstLineChars="375"/>
        <w:rPr>
          <w:rFonts w:hint="eastAsia" w:ascii="仿宋" w:hAnsi="仿宋" w:eastAsia="仿宋" w:cs="仿宋"/>
          <w:color w:val="auto"/>
          <w:sz w:val="24"/>
          <w:szCs w:val="20"/>
          <w:highlight w:val="none"/>
        </w:rPr>
      </w:pPr>
    </w:p>
    <w:p w14:paraId="72956BFA">
      <w:pPr>
        <w:tabs>
          <w:tab w:val="left" w:pos="5580"/>
        </w:tabs>
        <w:spacing w:line="360" w:lineRule="auto"/>
        <w:ind w:left="-540" w:leftChars="-257" w:firstLine="900" w:firstLineChars="375"/>
        <w:rPr>
          <w:rFonts w:hint="eastAsia" w:ascii="仿宋" w:hAnsi="仿宋" w:eastAsia="仿宋" w:cs="仿宋"/>
          <w:color w:val="auto"/>
          <w:sz w:val="24"/>
          <w:szCs w:val="20"/>
          <w:highlight w:val="none"/>
        </w:rPr>
      </w:pPr>
    </w:p>
    <w:p w14:paraId="45702373">
      <w:pPr>
        <w:tabs>
          <w:tab w:val="left" w:pos="5580"/>
        </w:tabs>
        <w:spacing w:line="360" w:lineRule="auto"/>
        <w:ind w:left="-540" w:leftChars="-257" w:firstLine="900" w:firstLineChars="375"/>
        <w:rPr>
          <w:rFonts w:hint="eastAsia" w:ascii="仿宋" w:hAnsi="仿宋" w:eastAsia="仿宋" w:cs="仿宋"/>
          <w:color w:val="auto"/>
          <w:sz w:val="24"/>
          <w:szCs w:val="20"/>
          <w:highlight w:val="none"/>
        </w:rPr>
      </w:pPr>
    </w:p>
    <w:p w14:paraId="3606CC4A">
      <w:pPr>
        <w:tabs>
          <w:tab w:val="left" w:pos="5580"/>
        </w:tabs>
        <w:spacing w:line="360" w:lineRule="auto"/>
        <w:ind w:left="-540" w:leftChars="-257" w:firstLine="900" w:firstLineChars="375"/>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本授权书于</w:t>
      </w:r>
      <w:r>
        <w:rPr>
          <w:rFonts w:hint="eastAsia" w:ascii="仿宋" w:hAnsi="仿宋" w:eastAsia="仿宋" w:cs="仿宋"/>
          <w:color w:val="auto"/>
          <w:sz w:val="24"/>
          <w:szCs w:val="20"/>
          <w:highlight w:val="none"/>
          <w:u w:val="single"/>
        </w:rPr>
        <w:t xml:space="preserve">  </w:t>
      </w:r>
      <w:r>
        <w:rPr>
          <w:rFonts w:hint="eastAsia" w:ascii="仿宋" w:hAnsi="仿宋" w:eastAsia="仿宋" w:cs="仿宋"/>
          <w:color w:val="auto"/>
          <w:sz w:val="24"/>
          <w:szCs w:val="20"/>
          <w:highlight w:val="none"/>
        </w:rPr>
        <w:t>年</w:t>
      </w:r>
      <w:r>
        <w:rPr>
          <w:rFonts w:hint="eastAsia" w:ascii="仿宋" w:hAnsi="仿宋" w:eastAsia="仿宋" w:cs="仿宋"/>
          <w:color w:val="auto"/>
          <w:sz w:val="24"/>
          <w:szCs w:val="20"/>
          <w:highlight w:val="none"/>
          <w:u w:val="single"/>
        </w:rPr>
        <w:t xml:space="preserve">  </w:t>
      </w:r>
      <w:r>
        <w:rPr>
          <w:rFonts w:hint="eastAsia" w:ascii="仿宋" w:hAnsi="仿宋" w:eastAsia="仿宋" w:cs="仿宋"/>
          <w:color w:val="auto"/>
          <w:sz w:val="24"/>
          <w:szCs w:val="20"/>
          <w:highlight w:val="none"/>
        </w:rPr>
        <w:t>月</w:t>
      </w:r>
      <w:r>
        <w:rPr>
          <w:rFonts w:hint="eastAsia" w:ascii="仿宋" w:hAnsi="仿宋" w:eastAsia="仿宋" w:cs="仿宋"/>
          <w:color w:val="auto"/>
          <w:sz w:val="24"/>
          <w:szCs w:val="20"/>
          <w:highlight w:val="none"/>
          <w:u w:val="single"/>
        </w:rPr>
        <w:t xml:space="preserve">  </w:t>
      </w:r>
      <w:r>
        <w:rPr>
          <w:rFonts w:hint="eastAsia" w:ascii="仿宋" w:hAnsi="仿宋" w:eastAsia="仿宋" w:cs="仿宋"/>
          <w:color w:val="auto"/>
          <w:sz w:val="24"/>
          <w:szCs w:val="20"/>
          <w:highlight w:val="none"/>
        </w:rPr>
        <w:t>日签字生效,特此声明。</w:t>
      </w:r>
    </w:p>
    <w:p w14:paraId="4D6F8693">
      <w:pPr>
        <w:tabs>
          <w:tab w:val="left" w:pos="5580"/>
        </w:tabs>
        <w:spacing w:line="360" w:lineRule="auto"/>
        <w:ind w:left="-540" w:leftChars="-257" w:firstLine="900" w:firstLineChars="375"/>
        <w:rPr>
          <w:rFonts w:hint="eastAsia" w:ascii="仿宋" w:hAnsi="仿宋" w:eastAsia="仿宋" w:cs="仿宋"/>
          <w:color w:val="auto"/>
          <w:sz w:val="24"/>
          <w:szCs w:val="20"/>
          <w:highlight w:val="none"/>
          <w:u w:val="single"/>
        </w:rPr>
      </w:pPr>
      <w:r>
        <w:rPr>
          <w:rFonts w:hint="eastAsia" w:ascii="仿宋" w:hAnsi="仿宋" w:eastAsia="仿宋" w:cs="仿宋"/>
          <w:color w:val="auto"/>
          <w:sz w:val="24"/>
          <w:szCs w:val="20"/>
          <w:highlight w:val="none"/>
        </w:rPr>
        <w:t>供应商（盖单位公章）：</w:t>
      </w:r>
      <w:r>
        <w:rPr>
          <w:rFonts w:hint="eastAsia" w:ascii="仿宋" w:hAnsi="仿宋" w:eastAsia="仿宋" w:cs="仿宋"/>
          <w:color w:val="auto"/>
          <w:sz w:val="24"/>
          <w:szCs w:val="20"/>
          <w:highlight w:val="none"/>
          <w:u w:val="single"/>
        </w:rPr>
        <w:t xml:space="preserve">                                </w:t>
      </w:r>
    </w:p>
    <w:p w14:paraId="4805AA78">
      <w:pPr>
        <w:tabs>
          <w:tab w:val="left" w:pos="5580"/>
        </w:tabs>
        <w:spacing w:line="360" w:lineRule="auto"/>
        <w:ind w:left="-540" w:leftChars="-257" w:firstLine="900" w:firstLineChars="375"/>
        <w:rPr>
          <w:rFonts w:hint="eastAsia" w:ascii="仿宋" w:hAnsi="仿宋" w:eastAsia="仿宋" w:cs="仿宋"/>
          <w:color w:val="auto"/>
          <w:sz w:val="24"/>
          <w:szCs w:val="20"/>
          <w:highlight w:val="none"/>
          <w:u w:val="single"/>
        </w:rPr>
      </w:pPr>
      <w:r>
        <w:rPr>
          <w:rFonts w:hint="eastAsia" w:ascii="仿宋" w:hAnsi="仿宋" w:eastAsia="仿宋" w:cs="仿宋"/>
          <w:color w:val="auto"/>
          <w:sz w:val="24"/>
          <w:szCs w:val="20"/>
          <w:highlight w:val="none"/>
        </w:rPr>
        <w:t>法定代表人/负责人(签字或盖章)：</w:t>
      </w:r>
      <w:r>
        <w:rPr>
          <w:rFonts w:hint="eastAsia" w:ascii="仿宋" w:hAnsi="仿宋" w:eastAsia="仿宋" w:cs="仿宋"/>
          <w:color w:val="auto"/>
          <w:sz w:val="24"/>
          <w:szCs w:val="20"/>
          <w:highlight w:val="none"/>
          <w:u w:val="single"/>
        </w:rPr>
        <w:t xml:space="preserve">                                    </w:t>
      </w:r>
    </w:p>
    <w:p w14:paraId="49BAF574">
      <w:pPr>
        <w:tabs>
          <w:tab w:val="left" w:pos="5580"/>
        </w:tabs>
        <w:spacing w:line="360" w:lineRule="auto"/>
        <w:ind w:left="-540" w:leftChars="-257" w:firstLine="900" w:firstLineChars="375"/>
        <w:rPr>
          <w:rFonts w:hint="eastAsia" w:ascii="仿宋" w:hAnsi="仿宋" w:eastAsia="仿宋" w:cs="仿宋"/>
          <w:color w:val="auto"/>
          <w:sz w:val="24"/>
          <w:szCs w:val="20"/>
          <w:highlight w:val="none"/>
          <w:u w:val="single"/>
        </w:rPr>
      </w:pPr>
      <w:r>
        <w:rPr>
          <w:rFonts w:hint="eastAsia" w:ascii="仿宋" w:hAnsi="仿宋" w:eastAsia="仿宋" w:cs="仿宋"/>
          <w:color w:val="auto"/>
          <w:sz w:val="24"/>
          <w:szCs w:val="20"/>
          <w:highlight w:val="none"/>
        </w:rPr>
        <w:t>法定代表人/负责人身份证号码：</w:t>
      </w:r>
      <w:r>
        <w:rPr>
          <w:rFonts w:hint="eastAsia" w:ascii="仿宋" w:hAnsi="仿宋" w:eastAsia="仿宋" w:cs="仿宋"/>
          <w:color w:val="auto"/>
          <w:sz w:val="24"/>
          <w:szCs w:val="20"/>
          <w:highlight w:val="none"/>
          <w:u w:val="single"/>
        </w:rPr>
        <w:t xml:space="preserve">                                    </w:t>
      </w:r>
    </w:p>
    <w:p w14:paraId="2458C422">
      <w:pPr>
        <w:pStyle w:val="18"/>
        <w:tabs>
          <w:tab w:val="left" w:pos="5580"/>
        </w:tabs>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委托代理人（签字或盖章）：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7877C339">
      <w:pPr>
        <w:pStyle w:val="18"/>
        <w:tabs>
          <w:tab w:val="left" w:pos="5580"/>
        </w:tabs>
        <w:spacing w:line="360" w:lineRule="auto"/>
        <w:ind w:firstLine="360" w:firstLineChars="15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委托代理人身份证号码：</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67FFD2FD">
      <w:pPr>
        <w:pStyle w:val="18"/>
        <w:tabs>
          <w:tab w:val="left" w:pos="5580"/>
        </w:tabs>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详细通讯地址：</w:t>
      </w:r>
      <w:r>
        <w:rPr>
          <w:rFonts w:hint="eastAsia" w:ascii="仿宋" w:hAnsi="仿宋" w:eastAsia="仿宋" w:cs="仿宋"/>
          <w:color w:val="auto"/>
          <w:sz w:val="24"/>
          <w:highlight w:val="none"/>
          <w:u w:val="single"/>
        </w:rPr>
        <w:t xml:space="preserve">                                </w:t>
      </w:r>
    </w:p>
    <w:p w14:paraId="7418D719">
      <w:pPr>
        <w:pStyle w:val="18"/>
        <w:tabs>
          <w:tab w:val="left" w:pos="5580"/>
        </w:tabs>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邮 政 编 码 ：</w:t>
      </w:r>
      <w:r>
        <w:rPr>
          <w:rFonts w:hint="eastAsia" w:ascii="仿宋" w:hAnsi="仿宋" w:eastAsia="仿宋" w:cs="仿宋"/>
          <w:color w:val="auto"/>
          <w:sz w:val="24"/>
          <w:highlight w:val="none"/>
          <w:u w:val="single"/>
        </w:rPr>
        <w:t xml:space="preserve">                                </w:t>
      </w:r>
    </w:p>
    <w:p w14:paraId="689D73F6">
      <w:pPr>
        <w:pStyle w:val="18"/>
        <w:tabs>
          <w:tab w:val="left" w:pos="5580"/>
        </w:tabs>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传　　　　真：</w:t>
      </w:r>
      <w:r>
        <w:rPr>
          <w:rFonts w:hint="eastAsia" w:ascii="仿宋" w:hAnsi="仿宋" w:eastAsia="仿宋" w:cs="仿宋"/>
          <w:color w:val="auto"/>
          <w:sz w:val="24"/>
          <w:highlight w:val="none"/>
          <w:u w:val="single"/>
        </w:rPr>
        <w:t xml:space="preserve">                                </w:t>
      </w:r>
    </w:p>
    <w:p w14:paraId="370D66BD">
      <w:pPr>
        <w:pStyle w:val="18"/>
        <w:tabs>
          <w:tab w:val="left" w:pos="5580"/>
        </w:tabs>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电　　　　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kern w:val="0"/>
          <w:position w:val="-3"/>
          <w:sz w:val="24"/>
          <w:highlight w:val="none"/>
        </w:rPr>
        <w:t xml:space="preserve"> </w:t>
      </w:r>
    </w:p>
    <w:p w14:paraId="3E99A0C0">
      <w:pPr>
        <w:spacing w:line="360" w:lineRule="auto"/>
        <w:ind w:left="120" w:leftChars="57" w:right="-20" w:firstLine="240" w:firstLineChars="100"/>
        <w:jc w:val="left"/>
        <w:rPr>
          <w:rFonts w:hint="eastAsia" w:ascii="仿宋" w:hAnsi="仿宋" w:eastAsia="仿宋" w:cs="仿宋"/>
          <w:color w:val="auto"/>
          <w:kern w:val="0"/>
          <w:sz w:val="24"/>
          <w:highlight w:val="none"/>
        </w:rPr>
      </w:pPr>
      <w:r>
        <w:rPr>
          <w:rFonts w:hint="eastAsia" w:ascii="仿宋" w:hAnsi="仿宋" w:eastAsia="仿宋" w:cs="仿宋"/>
          <w:color w:val="auto"/>
          <w:kern w:val="0"/>
          <w:position w:val="-3"/>
          <w:sz w:val="24"/>
          <w:highlight w:val="none"/>
        </w:rPr>
        <w:t>注：自然人投标的无需提供</w:t>
      </w:r>
    </w:p>
    <w:p w14:paraId="7D242C5B">
      <w:pPr>
        <w:tabs>
          <w:tab w:val="left" w:pos="5580"/>
        </w:tabs>
        <w:spacing w:line="360" w:lineRule="auto"/>
        <w:ind w:firstLine="361" w:firstLineChars="150"/>
        <w:rPr>
          <w:rFonts w:hint="eastAsia" w:ascii="仿宋" w:hAnsi="仿宋" w:eastAsia="仿宋" w:cs="仿宋"/>
          <w:b/>
          <w:color w:val="auto"/>
          <w:kern w:val="0"/>
          <w:sz w:val="24"/>
          <w:szCs w:val="20"/>
          <w:highlight w:val="none"/>
        </w:rPr>
      </w:pPr>
      <w:r>
        <w:rPr>
          <w:rFonts w:hint="eastAsia" w:ascii="仿宋" w:hAnsi="仿宋" w:eastAsia="仿宋" w:cs="仿宋"/>
          <w:b/>
          <w:color w:val="auto"/>
          <w:kern w:val="0"/>
          <w:sz w:val="24"/>
          <w:szCs w:val="20"/>
          <w:highlight w:val="none"/>
        </w:rPr>
        <w:br w:type="page"/>
      </w:r>
    </w:p>
    <w:p w14:paraId="7FB58CF9">
      <w:pPr>
        <w:spacing w:line="360" w:lineRule="auto"/>
        <w:rPr>
          <w:rFonts w:hint="eastAsia" w:ascii="仿宋" w:hAnsi="仿宋" w:eastAsia="仿宋" w:cs="仿宋"/>
          <w:b/>
          <w:color w:val="auto"/>
          <w:kern w:val="0"/>
          <w:sz w:val="24"/>
          <w:szCs w:val="20"/>
          <w:highlight w:val="none"/>
        </w:rPr>
      </w:pPr>
      <w:bookmarkStart w:id="356" w:name="_Toc7966"/>
      <w:bookmarkStart w:id="357" w:name="_Toc46235134"/>
      <w:bookmarkStart w:id="358" w:name="_Toc99722684"/>
      <w:r>
        <w:rPr>
          <w:rFonts w:hint="eastAsia" w:ascii="仿宋" w:hAnsi="仿宋" w:eastAsia="仿宋" w:cs="仿宋"/>
          <w:b/>
          <w:color w:val="auto"/>
          <w:kern w:val="0"/>
          <w:sz w:val="24"/>
          <w:szCs w:val="20"/>
          <w:highlight w:val="none"/>
        </w:rPr>
        <w:t>5.</w:t>
      </w:r>
      <w:bookmarkEnd w:id="356"/>
      <w:bookmarkEnd w:id="357"/>
      <w:bookmarkEnd w:id="358"/>
      <w:bookmarkStart w:id="359" w:name="_Toc518923111"/>
      <w:r>
        <w:rPr>
          <w:rFonts w:hint="eastAsia" w:ascii="仿宋" w:hAnsi="仿宋" w:eastAsia="仿宋" w:cs="仿宋"/>
          <w:b/>
          <w:color w:val="auto"/>
          <w:kern w:val="0"/>
          <w:sz w:val="24"/>
          <w:szCs w:val="20"/>
          <w:highlight w:val="none"/>
        </w:rPr>
        <w:t>提供近两年度任意一年审计报告或在投标截止时间前三个月内银行出具的证明文件</w:t>
      </w:r>
    </w:p>
    <w:p w14:paraId="2241EB51">
      <w:pPr>
        <w:tabs>
          <w:tab w:val="left" w:pos="5580"/>
        </w:tabs>
        <w:spacing w:line="360" w:lineRule="auto"/>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p w14:paraId="7E2F91ED">
      <w:pPr>
        <w:tabs>
          <w:tab w:val="left" w:pos="5580"/>
        </w:tabs>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color w:val="auto"/>
          <w:sz w:val="24"/>
          <w:highlight w:val="none"/>
        </w:rPr>
        <w:t>1.如提供本单位近两年度任意一年审计报告复印件，须加盖</w:t>
      </w:r>
      <w:r>
        <w:rPr>
          <w:rFonts w:hint="eastAsia" w:ascii="仿宋" w:hAnsi="仿宋" w:eastAsia="仿宋" w:cs="仿宋"/>
          <w:bCs/>
          <w:color w:val="auto"/>
          <w:sz w:val="24"/>
          <w:highlight w:val="none"/>
        </w:rPr>
        <w:t>本单位</w:t>
      </w:r>
      <w:r>
        <w:rPr>
          <w:rFonts w:hint="eastAsia" w:ascii="仿宋" w:hAnsi="仿宋" w:eastAsia="仿宋" w:cs="仿宋"/>
          <w:bCs/>
          <w:color w:val="auto"/>
          <w:sz w:val="24"/>
          <w:highlight w:val="none"/>
          <w:lang w:eastAsia="zh-CN"/>
        </w:rPr>
        <w:t>公</w:t>
      </w:r>
      <w:r>
        <w:rPr>
          <w:rFonts w:hint="eastAsia" w:ascii="仿宋" w:hAnsi="仿宋" w:eastAsia="仿宋" w:cs="仿宋"/>
          <w:bCs/>
          <w:color w:val="auto"/>
          <w:sz w:val="24"/>
          <w:highlight w:val="none"/>
        </w:rPr>
        <w:t>章。</w:t>
      </w:r>
    </w:p>
    <w:p w14:paraId="5A0B67FB">
      <w:pPr>
        <w:tabs>
          <w:tab w:val="left" w:pos="55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2.如提供银行出具的证明文件。银行证明文件可提供原件，也可提供银行在</w:t>
      </w:r>
      <w:r>
        <w:rPr>
          <w:rFonts w:hint="eastAsia" w:ascii="仿宋" w:hAnsi="仿宋" w:eastAsia="仿宋" w:cs="仿宋"/>
          <w:b/>
          <w:bCs/>
          <w:color w:val="auto"/>
          <w:sz w:val="24"/>
          <w:szCs w:val="20"/>
          <w:highlight w:val="none"/>
        </w:rPr>
        <w:t>投标截止时间</w:t>
      </w:r>
      <w:r>
        <w:rPr>
          <w:rFonts w:hint="eastAsia" w:ascii="仿宋" w:hAnsi="仿宋" w:eastAsia="仿宋" w:cs="仿宋"/>
          <w:color w:val="auto"/>
          <w:sz w:val="24"/>
          <w:highlight w:val="none"/>
        </w:rPr>
        <w:t>前三个月内开具证明文件的复印件。若提供的是复印件，采购人或采购代理机构保留审核原件的权利。银行出具的证明文件应能说明该供应商与银行之间业务往来正常，企业信誉良好等。</w:t>
      </w:r>
    </w:p>
    <w:p w14:paraId="731B2543">
      <w:pPr>
        <w:tabs>
          <w:tab w:val="left" w:pos="55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3.如果是联合体响应文件，联合体各方均需提供上述证明。</w:t>
      </w:r>
    </w:p>
    <w:p w14:paraId="7FACD504">
      <w:pPr>
        <w:tabs>
          <w:tab w:val="left" w:pos="55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4.如采用合格的投标担保函的，可提供投标担保函复印件替代。</w:t>
      </w:r>
    </w:p>
    <w:p w14:paraId="12E6D716">
      <w:pPr>
        <w:tabs>
          <w:tab w:val="left" w:pos="55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5.供应商是自然人的，应提供银行出具的针对本项目资信证明。</w:t>
      </w:r>
    </w:p>
    <w:p w14:paraId="6B3D3262">
      <w:pPr>
        <w:spacing w:line="320" w:lineRule="exact"/>
        <w:ind w:left="482"/>
        <w:rPr>
          <w:rFonts w:hint="eastAsia" w:ascii="仿宋" w:hAnsi="仿宋" w:eastAsia="仿宋" w:cs="仿宋"/>
          <w:color w:val="auto"/>
          <w:sz w:val="24"/>
          <w:highlight w:val="none"/>
        </w:rPr>
      </w:pPr>
    </w:p>
    <w:p w14:paraId="6AD08369">
      <w:pPr>
        <w:rPr>
          <w:rFonts w:hint="eastAsia" w:ascii="仿宋" w:hAnsi="仿宋" w:eastAsia="仿宋" w:cs="仿宋"/>
          <w:color w:val="auto"/>
          <w:highlight w:val="none"/>
        </w:rPr>
      </w:pPr>
      <w:bookmarkStart w:id="360" w:name="_Toc19414"/>
      <w:bookmarkStart w:id="361" w:name="_Toc46235135"/>
    </w:p>
    <w:p w14:paraId="268F8A26">
      <w:pPr>
        <w:spacing w:line="360" w:lineRule="auto"/>
        <w:rPr>
          <w:rFonts w:hint="eastAsia" w:ascii="仿宋" w:hAnsi="仿宋" w:eastAsia="仿宋" w:cs="仿宋"/>
          <w:b/>
          <w:color w:val="auto"/>
          <w:kern w:val="0"/>
          <w:sz w:val="24"/>
          <w:szCs w:val="20"/>
          <w:highlight w:val="none"/>
        </w:rPr>
      </w:pPr>
      <w:bookmarkStart w:id="362" w:name="_Toc99722685"/>
      <w:r>
        <w:rPr>
          <w:rFonts w:hint="eastAsia" w:ascii="仿宋" w:hAnsi="仿宋" w:eastAsia="仿宋" w:cs="仿宋"/>
          <w:b/>
          <w:color w:val="auto"/>
          <w:kern w:val="0"/>
          <w:sz w:val="24"/>
          <w:szCs w:val="20"/>
          <w:highlight w:val="none"/>
        </w:rPr>
        <w:t>6.</w:t>
      </w:r>
      <w:bookmarkEnd w:id="360"/>
      <w:bookmarkEnd w:id="361"/>
      <w:bookmarkEnd w:id="362"/>
      <w:r>
        <w:rPr>
          <w:rFonts w:hint="eastAsia" w:ascii="仿宋" w:hAnsi="仿宋" w:eastAsia="仿宋" w:cs="仿宋"/>
          <w:b/>
          <w:color w:val="auto"/>
          <w:kern w:val="0"/>
          <w:sz w:val="24"/>
          <w:szCs w:val="20"/>
          <w:highlight w:val="none"/>
        </w:rPr>
        <w:t>提供当年度任意一月的依法纳税的证明材料、依法缴纳社会保障资金</w:t>
      </w:r>
      <w:r>
        <w:rPr>
          <w:rFonts w:hint="eastAsia" w:ascii="仿宋" w:hAnsi="仿宋" w:eastAsia="仿宋" w:cs="仿宋"/>
          <w:b/>
          <w:color w:val="auto"/>
          <w:kern w:val="0"/>
          <w:sz w:val="24"/>
          <w:szCs w:val="20"/>
          <w:highlight w:val="none"/>
          <w:lang w:eastAsia="zh-CN"/>
        </w:rPr>
        <w:t>的证明材料</w:t>
      </w:r>
      <w:r>
        <w:rPr>
          <w:rFonts w:hint="eastAsia" w:ascii="仿宋" w:hAnsi="仿宋" w:eastAsia="仿宋" w:cs="仿宋"/>
          <w:b/>
          <w:color w:val="auto"/>
          <w:kern w:val="0"/>
          <w:sz w:val="24"/>
          <w:szCs w:val="20"/>
          <w:highlight w:val="none"/>
        </w:rPr>
        <w:t>或《依法缴纳税收和社会保障资金承诺函》（格式见附件）</w:t>
      </w:r>
    </w:p>
    <w:p w14:paraId="1C4B7730">
      <w:pPr>
        <w:pStyle w:val="31"/>
        <w:widowControl/>
        <w:spacing w:line="360" w:lineRule="auto"/>
        <w:jc w:val="center"/>
        <w:rPr>
          <w:rFonts w:hint="eastAsia" w:ascii="仿宋" w:hAnsi="仿宋" w:eastAsia="仿宋" w:cs="仿宋"/>
          <w:b/>
          <w:color w:val="auto"/>
          <w:spacing w:val="6"/>
          <w:highlight w:val="none"/>
        </w:rPr>
      </w:pPr>
      <w:bookmarkStart w:id="363" w:name="_Toc3025"/>
    </w:p>
    <w:p w14:paraId="50C9BD79">
      <w:pPr>
        <w:pStyle w:val="31"/>
        <w:widowControl/>
        <w:spacing w:line="360" w:lineRule="auto"/>
        <w:jc w:val="center"/>
        <w:rPr>
          <w:rFonts w:hint="eastAsia" w:ascii="仿宋" w:hAnsi="仿宋" w:eastAsia="仿宋" w:cs="仿宋"/>
          <w:b/>
          <w:color w:val="auto"/>
          <w:spacing w:val="6"/>
          <w:highlight w:val="none"/>
        </w:rPr>
      </w:pPr>
      <w:r>
        <w:rPr>
          <w:rFonts w:hint="eastAsia" w:ascii="仿宋" w:hAnsi="仿宋" w:eastAsia="仿宋" w:cs="仿宋"/>
          <w:b/>
          <w:color w:val="auto"/>
          <w:spacing w:val="6"/>
          <w:highlight w:val="none"/>
        </w:rPr>
        <w:t>依法缴纳税收和社会保障资金承诺函</w:t>
      </w:r>
      <w:bookmarkEnd w:id="363"/>
    </w:p>
    <w:p w14:paraId="53D35E6D">
      <w:pPr>
        <w:pStyle w:val="31"/>
        <w:widowControl/>
        <w:spacing w:before="210" w:beforeAutospacing="0" w:afterAutospacing="0" w:line="360" w:lineRule="auto"/>
        <w:rPr>
          <w:rFonts w:hint="eastAsia" w:ascii="仿宋" w:hAnsi="仿宋" w:eastAsia="仿宋" w:cs="仿宋"/>
          <w:color w:val="auto"/>
          <w:highlight w:val="non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采购代理机构</w:t>
      </w:r>
      <w:r>
        <w:rPr>
          <w:rFonts w:hint="eastAsia" w:ascii="仿宋" w:hAnsi="仿宋" w:eastAsia="仿宋" w:cs="仿宋"/>
          <w:color w:val="auto"/>
          <w:highlight w:val="none"/>
        </w:rPr>
        <w:t>:</w:t>
      </w:r>
    </w:p>
    <w:p w14:paraId="79F1188C">
      <w:pPr>
        <w:pStyle w:val="31"/>
        <w:widowControl/>
        <w:spacing w:before="210" w:beforeAutospacing="0" w:afterAutospacing="0" w:line="360" w:lineRule="auto"/>
        <w:ind w:firstLine="684" w:firstLineChars="285"/>
        <w:rPr>
          <w:rFonts w:hint="eastAsia" w:ascii="仿宋" w:hAnsi="仿宋" w:eastAsia="仿宋" w:cs="仿宋"/>
          <w:color w:val="auto"/>
          <w:highlight w:val="none"/>
        </w:rPr>
      </w:pPr>
      <w:r>
        <w:rPr>
          <w:rFonts w:hint="eastAsia" w:ascii="仿宋" w:hAnsi="仿宋" w:eastAsia="仿宋" w:cs="仿宋"/>
          <w:color w:val="auto"/>
          <w:highlight w:val="none"/>
        </w:rPr>
        <w:t>我方在参加</w:t>
      </w:r>
      <w:r>
        <w:rPr>
          <w:rFonts w:hint="eastAsia" w:ascii="仿宋" w:hAnsi="仿宋" w:eastAsia="仿宋" w:cs="仿宋"/>
          <w:color w:val="auto"/>
          <w:highlight w:val="none"/>
          <w:u w:val="single"/>
        </w:rPr>
        <w:t xml:space="preserve"> 项目名称(项目编号、包号：) </w:t>
      </w:r>
      <w:r>
        <w:rPr>
          <w:rFonts w:hint="eastAsia" w:ascii="仿宋" w:hAnsi="仿宋" w:eastAsia="仿宋" w:cs="仿宋"/>
          <w:color w:val="auto"/>
          <w:highlight w:val="none"/>
        </w:rPr>
        <w:t>政府采购活动前，已依法缴纳税收和社会保障资金，符合《中华人民共和国政府采购法实施条例》第十七条第一款第二项规定和采购文件关于缴纳税收和社会保障资金的资格要求。</w:t>
      </w:r>
    </w:p>
    <w:p w14:paraId="1101D5C5">
      <w:pPr>
        <w:pStyle w:val="31"/>
        <w:widowControl/>
        <w:spacing w:before="210" w:beforeAutospacing="0" w:afterAutospacing="0" w:line="360" w:lineRule="auto"/>
        <w:ind w:firstLine="684" w:firstLineChars="285"/>
        <w:rPr>
          <w:rFonts w:hint="eastAsia" w:ascii="仿宋" w:hAnsi="仿宋" w:eastAsia="仿宋" w:cs="仿宋"/>
          <w:color w:val="auto"/>
          <w:highlight w:val="none"/>
        </w:rPr>
      </w:pPr>
      <w:r>
        <w:rPr>
          <w:rFonts w:hint="eastAsia" w:ascii="仿宋" w:hAnsi="仿宋" w:eastAsia="仿宋" w:cs="仿宋"/>
          <w:color w:val="auto"/>
          <w:highlight w:val="none"/>
        </w:rPr>
        <w:t>特此承诺。</w:t>
      </w:r>
    </w:p>
    <w:p w14:paraId="6E53EE08">
      <w:pPr>
        <w:pStyle w:val="31"/>
        <w:widowControl/>
        <w:spacing w:before="210" w:beforeAutospacing="0" w:afterAutospacing="0" w:line="360" w:lineRule="auto"/>
        <w:ind w:firstLine="684" w:firstLineChars="285"/>
        <w:rPr>
          <w:rFonts w:hint="eastAsia" w:ascii="仿宋" w:hAnsi="仿宋" w:eastAsia="仿宋" w:cs="仿宋"/>
          <w:color w:val="auto"/>
          <w:highlight w:val="none"/>
        </w:rPr>
      </w:pPr>
      <w:r>
        <w:rPr>
          <w:rFonts w:hint="eastAsia" w:ascii="仿宋" w:hAnsi="仿宋" w:eastAsia="仿宋" w:cs="仿宋"/>
          <w:color w:val="auto"/>
          <w:highlight w:val="none"/>
        </w:rPr>
        <w:t>我方对上述承诺真实性、合法性、有效性负责，如有虚假承诺，依法承担相应责任并接受处罚。</w:t>
      </w:r>
    </w:p>
    <w:p w14:paraId="27E7FAD8">
      <w:pPr>
        <w:pStyle w:val="31"/>
        <w:widowControl/>
        <w:spacing w:before="210" w:beforeAutospacing="0" w:afterAutospacing="0" w:line="360" w:lineRule="auto"/>
        <w:ind w:firstLine="684" w:firstLineChars="285"/>
        <w:jc w:val="right"/>
        <w:rPr>
          <w:rFonts w:hint="eastAsia" w:ascii="仿宋" w:hAnsi="仿宋" w:eastAsia="仿宋" w:cs="仿宋"/>
          <w:color w:val="auto"/>
          <w:highlight w:val="none"/>
        </w:rPr>
      </w:pPr>
      <w:r>
        <w:rPr>
          <w:rFonts w:hint="eastAsia" w:ascii="仿宋" w:hAnsi="仿宋" w:eastAsia="仿宋" w:cs="仿宋"/>
          <w:color w:val="auto"/>
          <w:highlight w:val="none"/>
        </w:rPr>
        <w:t>供应商全称：  (盖公司公章)</w:t>
      </w:r>
    </w:p>
    <w:p w14:paraId="1A064051">
      <w:pPr>
        <w:pStyle w:val="31"/>
        <w:widowControl/>
        <w:spacing w:before="210" w:beforeAutospacing="0" w:afterAutospacing="0" w:line="360" w:lineRule="auto"/>
        <w:ind w:firstLine="684" w:firstLineChars="285"/>
        <w:jc w:val="right"/>
        <w:rPr>
          <w:rFonts w:hint="eastAsia" w:ascii="仿宋" w:hAnsi="仿宋" w:eastAsia="仿宋" w:cs="仿宋"/>
          <w:color w:val="auto"/>
          <w:highlight w:val="none"/>
        </w:rPr>
      </w:pPr>
      <w:r>
        <w:rPr>
          <w:rFonts w:hint="eastAsia" w:ascii="仿宋" w:hAnsi="仿宋" w:eastAsia="仿宋" w:cs="仿宋"/>
          <w:color w:val="auto"/>
          <w:highlight w:val="none"/>
        </w:rPr>
        <w:t xml:space="preserve"> 年 月 日</w:t>
      </w:r>
    </w:p>
    <w:p w14:paraId="1AD6C7DC">
      <w:pPr>
        <w:spacing w:line="360" w:lineRule="auto"/>
        <w:rPr>
          <w:rFonts w:hint="eastAsia" w:ascii="仿宋" w:hAnsi="仿宋" w:eastAsia="仿宋" w:cs="仿宋"/>
          <w:color w:val="auto"/>
          <w:sz w:val="24"/>
          <w:highlight w:val="none"/>
        </w:rPr>
      </w:pPr>
      <w:bookmarkStart w:id="364" w:name="_Toc518923112"/>
      <w:bookmarkStart w:id="365" w:name="_Toc46235136"/>
      <w:bookmarkStart w:id="366" w:name="_Toc20615"/>
    </w:p>
    <w:p w14:paraId="52DDBF0C">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p w14:paraId="0DDFA4BF">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1.在山东省境内注册的供应商参与本项目，且可通过“中国山东政府采购网”查询缴纳税收和社会保障资金信息的，可在响应文件中提供《依法缴纳税收和社会保障资金承诺函》。</w:t>
      </w:r>
    </w:p>
    <w:p w14:paraId="7C462ED1">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2.以下情形不适用提供《依法缴纳税收和社会保障资金承诺函》，应按照磋商文件要求提供相关证明材料。</w:t>
      </w:r>
    </w:p>
    <w:p w14:paraId="0B4CD5F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1）供应商登录“中国山东政府采购网”未查询到</w:t>
      </w:r>
      <w:r>
        <w:rPr>
          <w:rFonts w:hint="eastAsia" w:ascii="仿宋" w:hAnsi="仿宋" w:eastAsia="仿宋" w:cs="仿宋"/>
          <w:b/>
          <w:bCs/>
          <w:color w:val="auto"/>
          <w:sz w:val="24"/>
          <w:highlight w:val="none"/>
        </w:rPr>
        <w:t>当年度任意一月</w:t>
      </w:r>
      <w:r>
        <w:rPr>
          <w:rFonts w:hint="eastAsia" w:ascii="仿宋" w:hAnsi="仿宋" w:eastAsia="仿宋" w:cs="仿宋"/>
          <w:color w:val="auto"/>
          <w:sz w:val="24"/>
          <w:highlight w:val="none"/>
        </w:rPr>
        <w:t>缴纳税收和社会保障资金信息的。</w:t>
      </w:r>
    </w:p>
    <w:p w14:paraId="0BA7E9EE">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2）依法免税或不需要缴纳社会保障资金的。</w:t>
      </w:r>
    </w:p>
    <w:p w14:paraId="55A2C24C">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3）未在山东省内缴纳税收和社会保障资金的供应商。</w:t>
      </w:r>
    </w:p>
    <w:p w14:paraId="0A4705C1">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4）其他不适用依法缴纳税收和社会保障资金承诺制的情形。</w:t>
      </w:r>
    </w:p>
    <w:bookmarkEnd w:id="359"/>
    <w:bookmarkEnd w:id="364"/>
    <w:bookmarkEnd w:id="365"/>
    <w:bookmarkEnd w:id="366"/>
    <w:p w14:paraId="15EC2B05">
      <w:pPr>
        <w:rPr>
          <w:rFonts w:hint="eastAsia" w:ascii="仿宋" w:hAnsi="仿宋" w:eastAsia="仿宋" w:cs="仿宋"/>
          <w:b/>
          <w:color w:val="auto"/>
          <w:kern w:val="0"/>
          <w:sz w:val="24"/>
          <w:szCs w:val="20"/>
          <w:highlight w:val="none"/>
        </w:rPr>
      </w:pPr>
      <w:bookmarkStart w:id="367" w:name="_Toc25527"/>
      <w:bookmarkStart w:id="368" w:name="_Toc99722687"/>
      <w:bookmarkStart w:id="369" w:name="_Toc46235137"/>
    </w:p>
    <w:p w14:paraId="283BDD49">
      <w:pPr>
        <w:rPr>
          <w:rFonts w:hint="eastAsia" w:ascii="仿宋" w:hAnsi="仿宋" w:eastAsia="仿宋" w:cs="仿宋"/>
          <w:b/>
          <w:color w:val="auto"/>
          <w:kern w:val="0"/>
          <w:sz w:val="24"/>
          <w:szCs w:val="20"/>
          <w:highlight w:val="none"/>
        </w:rPr>
      </w:pPr>
      <w:r>
        <w:rPr>
          <w:rFonts w:hint="eastAsia" w:ascii="仿宋" w:hAnsi="仿宋" w:eastAsia="仿宋" w:cs="仿宋"/>
          <w:b/>
          <w:color w:val="auto"/>
          <w:kern w:val="0"/>
          <w:sz w:val="24"/>
          <w:szCs w:val="20"/>
          <w:highlight w:val="none"/>
        </w:rPr>
        <w:t>7.参加政府采购活动前3年内</w:t>
      </w:r>
      <w:bookmarkStart w:id="370" w:name="_Toc518923113"/>
      <w:r>
        <w:rPr>
          <w:rFonts w:hint="eastAsia" w:ascii="仿宋" w:hAnsi="仿宋" w:eastAsia="仿宋" w:cs="仿宋"/>
          <w:b/>
          <w:color w:val="auto"/>
          <w:kern w:val="0"/>
          <w:sz w:val="24"/>
          <w:szCs w:val="20"/>
          <w:highlight w:val="none"/>
        </w:rPr>
        <w:t>在经营活动中没有重大违法记录的</w:t>
      </w:r>
      <w:bookmarkEnd w:id="370"/>
      <w:r>
        <w:rPr>
          <w:rFonts w:hint="eastAsia" w:ascii="仿宋" w:hAnsi="仿宋" w:eastAsia="仿宋" w:cs="仿宋"/>
          <w:b/>
          <w:color w:val="auto"/>
          <w:kern w:val="0"/>
          <w:sz w:val="24"/>
          <w:szCs w:val="20"/>
          <w:highlight w:val="none"/>
        </w:rPr>
        <w:t>书面声明</w:t>
      </w:r>
    </w:p>
    <w:p w14:paraId="3566B3B2">
      <w:pPr>
        <w:tabs>
          <w:tab w:val="left" w:pos="5580"/>
        </w:tabs>
        <w:spacing w:line="360" w:lineRule="auto"/>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本单位郑重声明：</w:t>
      </w:r>
    </w:p>
    <w:p w14:paraId="72BB336F">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自本项目开标之日起向前追溯三年，我单位没有以下重大违法记录：因违法经营受到刑事处罚或者责令停产停业、吊销许可证或者执照、较大数额罚款等行政处罚。</w:t>
      </w:r>
    </w:p>
    <w:p w14:paraId="2474FC81">
      <w:pPr>
        <w:tabs>
          <w:tab w:val="left" w:pos="5580"/>
        </w:tabs>
        <w:spacing w:line="360" w:lineRule="auto"/>
        <w:ind w:left="1080" w:leftChars="257" w:hanging="540"/>
        <w:rPr>
          <w:rFonts w:hint="eastAsia" w:ascii="仿宋" w:hAnsi="仿宋" w:eastAsia="仿宋" w:cs="仿宋"/>
          <w:color w:val="auto"/>
          <w:sz w:val="24"/>
          <w:szCs w:val="20"/>
          <w:highlight w:val="none"/>
        </w:rPr>
      </w:pPr>
    </w:p>
    <w:p w14:paraId="5C6663DA">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特此声明！</w:t>
      </w:r>
    </w:p>
    <w:p w14:paraId="589E9A99">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供应商名称(公章)：______________</w:t>
      </w:r>
    </w:p>
    <w:p w14:paraId="550F44E5">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法定代表人或负责人或其授权代表(签字或盖章)：______________</w:t>
      </w:r>
    </w:p>
    <w:p w14:paraId="430E0EE5">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日期：______年____月____日</w:t>
      </w:r>
    </w:p>
    <w:p w14:paraId="05F64660">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说明：（1）供应商应按照相关法规规定如实作出说明。</w:t>
      </w:r>
    </w:p>
    <w:p w14:paraId="45B40D0E">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 xml:space="preserve">（2）按照磋商文件的规定加盖本单位章（自然人参与的无需盖章，需要签字）。 </w:t>
      </w:r>
    </w:p>
    <w:p w14:paraId="68E79425">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（3）如果是联合体参与，联合体各方均需提供上述证明。</w:t>
      </w:r>
    </w:p>
    <w:p w14:paraId="0AAF25A4">
      <w:pPr>
        <w:tabs>
          <w:tab w:val="left" w:pos="5580"/>
        </w:tabs>
        <w:spacing w:line="360" w:lineRule="auto"/>
        <w:ind w:left="1080" w:leftChars="257" w:hanging="540"/>
        <w:rPr>
          <w:rFonts w:hint="eastAsia"/>
          <w:highlight w:val="none"/>
        </w:rPr>
      </w:pPr>
      <w:r>
        <w:rPr>
          <w:rFonts w:hint="eastAsia" w:ascii="仿宋" w:hAnsi="仿宋" w:eastAsia="仿宋" w:cs="仿宋"/>
          <w:color w:val="auto"/>
          <w:sz w:val="24"/>
          <w:szCs w:val="20"/>
          <w:highlight w:val="none"/>
        </w:rPr>
        <w:t>（4）供应商应对其所声明内容的真实性负责，如供应商所声明内容不真实，则应承担相应的法律责任，如不提供本声明函，将作无效报价处理。</w:t>
      </w:r>
    </w:p>
    <w:p w14:paraId="7B8DDC9D">
      <w:pPr>
        <w:spacing w:line="360" w:lineRule="auto"/>
        <w:jc w:val="center"/>
        <w:rPr>
          <w:rFonts w:hint="eastAsia" w:ascii="仿宋" w:hAnsi="仿宋" w:eastAsia="仿宋" w:cs="仿宋"/>
          <w:b/>
          <w:bCs/>
          <w:color w:val="auto"/>
          <w:sz w:val="24"/>
          <w:szCs w:val="20"/>
          <w:highlight w:val="none"/>
        </w:rPr>
      </w:pPr>
    </w:p>
    <w:p w14:paraId="0D5A1FBC">
      <w:pPr>
        <w:spacing w:line="360" w:lineRule="auto"/>
        <w:jc w:val="center"/>
        <w:rPr>
          <w:rFonts w:hint="eastAsia" w:ascii="仿宋" w:hAnsi="仿宋" w:eastAsia="仿宋" w:cs="仿宋"/>
          <w:b/>
          <w:bCs/>
          <w:color w:val="auto"/>
          <w:sz w:val="24"/>
          <w:szCs w:val="20"/>
          <w:highlight w:val="none"/>
        </w:rPr>
      </w:pPr>
    </w:p>
    <w:p w14:paraId="7F61B983">
      <w:pPr>
        <w:spacing w:line="360" w:lineRule="auto"/>
        <w:jc w:val="center"/>
        <w:rPr>
          <w:rFonts w:hint="eastAsia" w:ascii="仿宋" w:hAnsi="仿宋" w:eastAsia="仿宋" w:cs="仿宋"/>
          <w:b/>
          <w:bCs/>
          <w:color w:val="auto"/>
          <w:sz w:val="24"/>
          <w:szCs w:val="20"/>
          <w:highlight w:val="none"/>
        </w:rPr>
      </w:pPr>
    </w:p>
    <w:p w14:paraId="1D4D11F9">
      <w:pPr>
        <w:spacing w:line="360" w:lineRule="auto"/>
        <w:jc w:val="center"/>
        <w:rPr>
          <w:rFonts w:hint="eastAsia" w:ascii="仿宋" w:hAnsi="仿宋" w:eastAsia="仿宋" w:cs="仿宋"/>
          <w:b/>
          <w:bCs/>
          <w:color w:val="auto"/>
          <w:sz w:val="24"/>
          <w:szCs w:val="20"/>
          <w:highlight w:val="none"/>
        </w:rPr>
      </w:pPr>
      <w:r>
        <w:rPr>
          <w:rFonts w:hint="eastAsia" w:ascii="仿宋" w:hAnsi="仿宋" w:eastAsia="仿宋" w:cs="仿宋"/>
          <w:b/>
          <w:bCs/>
          <w:color w:val="auto"/>
          <w:sz w:val="24"/>
          <w:szCs w:val="20"/>
          <w:highlight w:val="none"/>
        </w:rPr>
        <w:t>书面声明函</w:t>
      </w:r>
    </w:p>
    <w:p w14:paraId="3837BE24">
      <w:pPr>
        <w:tabs>
          <w:tab w:val="left" w:pos="5580"/>
        </w:tabs>
        <w:spacing w:line="600" w:lineRule="exact"/>
        <w:ind w:left="168" w:leftChars="80" w:firstLine="1"/>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本单位郑重声明：</w:t>
      </w:r>
    </w:p>
    <w:p w14:paraId="15B9FD5D">
      <w:pPr>
        <w:tabs>
          <w:tab w:val="left" w:pos="5580"/>
        </w:tabs>
        <w:spacing w:line="600" w:lineRule="exact"/>
        <w:ind w:left="141" w:firstLine="48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1、我单位不存在单位负责人为同一人或者存在直接控股、管理关系的单位同时参加本项目同一合同项下（同一包号）的政府采购活动。</w:t>
      </w:r>
    </w:p>
    <w:p w14:paraId="1DFA4565">
      <w:pPr>
        <w:tabs>
          <w:tab w:val="left" w:pos="5580"/>
        </w:tabs>
        <w:spacing w:line="600" w:lineRule="exact"/>
        <w:ind w:left="141" w:firstLine="48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2、我单位不属于为本次采购项目提供过整体设计、规范编制或者项目管理、监理、检测等服务的供应商及其附属机构。</w:t>
      </w:r>
    </w:p>
    <w:p w14:paraId="7372AD0B">
      <w:pPr>
        <w:tabs>
          <w:tab w:val="left" w:pos="5580"/>
        </w:tabs>
        <w:spacing w:line="600" w:lineRule="exact"/>
        <w:ind w:left="168" w:leftChars="80" w:firstLine="1"/>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特此声明！</w:t>
      </w:r>
    </w:p>
    <w:p w14:paraId="3BF111F5">
      <w:pPr>
        <w:tabs>
          <w:tab w:val="left" w:pos="5580"/>
        </w:tabs>
        <w:spacing w:line="600" w:lineRule="exact"/>
        <w:ind w:left="168" w:leftChars="80" w:firstLine="1"/>
        <w:rPr>
          <w:rFonts w:hint="eastAsia" w:ascii="仿宋" w:hAnsi="仿宋" w:eastAsia="仿宋" w:cs="仿宋"/>
          <w:color w:val="auto"/>
          <w:sz w:val="24"/>
          <w:szCs w:val="20"/>
          <w:highlight w:val="none"/>
          <w:u w:val="single"/>
        </w:rPr>
      </w:pPr>
      <w:r>
        <w:rPr>
          <w:rFonts w:hint="eastAsia" w:ascii="仿宋" w:hAnsi="仿宋" w:eastAsia="仿宋" w:cs="仿宋"/>
          <w:color w:val="auto"/>
          <w:sz w:val="24"/>
          <w:szCs w:val="20"/>
          <w:highlight w:val="none"/>
        </w:rPr>
        <w:t>供应商单位全称(盖公章):</w:t>
      </w:r>
      <w:r>
        <w:rPr>
          <w:rFonts w:hint="eastAsia" w:ascii="仿宋" w:hAnsi="仿宋" w:eastAsia="仿宋" w:cs="仿宋"/>
          <w:color w:val="auto"/>
          <w:sz w:val="24"/>
          <w:szCs w:val="20"/>
          <w:highlight w:val="none"/>
          <w:u w:val="single"/>
        </w:rPr>
        <w:t xml:space="preserve">              </w:t>
      </w:r>
    </w:p>
    <w:p w14:paraId="69BF9ABA">
      <w:pPr>
        <w:tabs>
          <w:tab w:val="left" w:pos="5580"/>
        </w:tabs>
        <w:spacing w:line="600" w:lineRule="exact"/>
        <w:ind w:left="168" w:leftChars="80" w:firstLine="1"/>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法定代表人或负责人或其授权代表(签字或盖章)：______________</w:t>
      </w:r>
    </w:p>
    <w:p w14:paraId="7262EC41">
      <w:pPr>
        <w:tabs>
          <w:tab w:val="left" w:pos="5580"/>
        </w:tabs>
        <w:spacing w:line="600" w:lineRule="exact"/>
        <w:ind w:left="168" w:leftChars="80" w:firstLine="1"/>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日期：______年____月____日</w:t>
      </w:r>
    </w:p>
    <w:p w14:paraId="4A03FE40">
      <w:pPr>
        <w:pStyle w:val="18"/>
        <w:tabs>
          <w:tab w:val="left" w:pos="5580"/>
        </w:tabs>
        <w:spacing w:line="600" w:lineRule="exact"/>
        <w:ind w:firstLine="420" w:firstLine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说明：（1）供应商应按照相关法规规定如实作出说明。</w:t>
      </w:r>
    </w:p>
    <w:p w14:paraId="46332993">
      <w:pPr>
        <w:pStyle w:val="18"/>
        <w:tabs>
          <w:tab w:val="left" w:pos="5580"/>
        </w:tabs>
        <w:spacing w:line="600" w:lineRule="exact"/>
        <w:ind w:firstLine="420" w:firstLine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（2）按照磋商文件的规定加盖本单位章（自然人无需盖章，需要签字）。 </w:t>
      </w:r>
    </w:p>
    <w:p w14:paraId="40992952">
      <w:pPr>
        <w:pStyle w:val="18"/>
        <w:tabs>
          <w:tab w:val="left" w:pos="5580"/>
        </w:tabs>
        <w:spacing w:line="600" w:lineRule="exact"/>
        <w:ind w:firstLine="420" w:firstLine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（3）如果是联合体参与，联合体各方均需提供上述证明。</w:t>
      </w:r>
    </w:p>
    <w:p w14:paraId="7723E9CD">
      <w:pPr>
        <w:pStyle w:val="18"/>
        <w:tabs>
          <w:tab w:val="left" w:pos="5580"/>
        </w:tabs>
        <w:spacing w:line="600" w:lineRule="exact"/>
        <w:ind w:firstLine="420" w:firstLineChars="175"/>
        <w:rPr>
          <w:rFonts w:hint="eastAsia" w:ascii="仿宋" w:hAnsi="仿宋" w:eastAsia="仿宋" w:cs="仿宋"/>
          <w:color w:val="auto"/>
          <w:sz w:val="24"/>
          <w:highlight w:val="none"/>
        </w:rPr>
      </w:pPr>
      <w:r>
        <w:rPr>
          <w:rFonts w:hint="eastAsia" w:ascii="仿宋" w:hAnsi="仿宋" w:eastAsia="仿宋" w:cs="仿宋"/>
          <w:color w:val="auto"/>
          <w:sz w:val="24"/>
          <w:highlight w:val="none"/>
        </w:rPr>
        <w:t>（4）供应商应对其所声明内容的真实性负责，如供应商所声明内容不真实，则应承担相应的法律责任，如不提供本声明函，将作无效报价处理。</w:t>
      </w:r>
    </w:p>
    <w:p w14:paraId="10284D35">
      <w:pPr>
        <w:spacing w:line="360" w:lineRule="auto"/>
        <w:rPr>
          <w:rFonts w:hint="eastAsia" w:ascii="仿宋" w:hAnsi="仿宋" w:eastAsia="仿宋" w:cs="仿宋"/>
          <w:b/>
          <w:color w:val="auto"/>
          <w:kern w:val="0"/>
          <w:sz w:val="24"/>
          <w:szCs w:val="20"/>
          <w:highlight w:val="none"/>
        </w:rPr>
      </w:pPr>
    </w:p>
    <w:p w14:paraId="32B24DDB">
      <w:pPr>
        <w:spacing w:line="360" w:lineRule="auto"/>
        <w:rPr>
          <w:rFonts w:hint="eastAsia" w:ascii="仿宋" w:hAnsi="仿宋" w:eastAsia="仿宋" w:cs="仿宋"/>
          <w:b/>
          <w:color w:val="auto"/>
          <w:kern w:val="0"/>
          <w:sz w:val="24"/>
          <w:szCs w:val="20"/>
          <w:highlight w:val="none"/>
          <w:lang w:val="en-GB"/>
        </w:rPr>
      </w:pPr>
      <w:r>
        <w:rPr>
          <w:rFonts w:hint="eastAsia" w:ascii="仿宋" w:hAnsi="仿宋" w:eastAsia="仿宋" w:cs="仿宋"/>
          <w:b/>
          <w:color w:val="auto"/>
          <w:kern w:val="0"/>
          <w:sz w:val="24"/>
          <w:szCs w:val="20"/>
          <w:highlight w:val="none"/>
        </w:rPr>
        <w:t>8.</w:t>
      </w:r>
      <w:r>
        <w:rPr>
          <w:rFonts w:hint="eastAsia" w:ascii="仿宋" w:hAnsi="仿宋" w:eastAsia="仿宋" w:cs="仿宋"/>
          <w:b/>
          <w:color w:val="auto"/>
          <w:kern w:val="0"/>
          <w:sz w:val="24"/>
          <w:szCs w:val="20"/>
          <w:highlight w:val="none"/>
          <w:lang w:val="en-GB"/>
        </w:rPr>
        <w:t>具有履行合同所必需的设备和专业技术能力</w:t>
      </w:r>
      <w:bookmarkEnd w:id="367"/>
      <w:bookmarkEnd w:id="368"/>
    </w:p>
    <w:p w14:paraId="485AE6A2">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履行合同所必需的设备和专业技术能力的声明函</w:t>
      </w:r>
    </w:p>
    <w:p w14:paraId="66B628B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本单位郑重声明，根据《中华人民共和国政府采购法》第二十二条的规定，本单位参加______单位的______项目采购活动，本公司完全具备履行本项目合同所必需的设备和专业技术能力。</w:t>
      </w:r>
    </w:p>
    <w:p w14:paraId="197E4C87">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本单位对上述声明的真实性负责。如有虚假，将依法承担相应责任。</w:t>
      </w:r>
    </w:p>
    <w:p w14:paraId="01F57532">
      <w:pPr>
        <w:spacing w:line="360" w:lineRule="auto"/>
        <w:rPr>
          <w:rFonts w:hint="eastAsia" w:ascii="仿宋" w:hAnsi="仿宋" w:eastAsia="仿宋" w:cs="仿宋"/>
          <w:color w:val="auto"/>
          <w:sz w:val="24"/>
          <w:highlight w:val="none"/>
        </w:rPr>
      </w:pPr>
    </w:p>
    <w:p w14:paraId="069BEB98">
      <w:pPr>
        <w:spacing w:line="360" w:lineRule="auto"/>
        <w:ind w:firstLine="4560" w:firstLineChars="19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供应商名称（公章）：</w:t>
      </w:r>
    </w:p>
    <w:p w14:paraId="1261BE4B">
      <w:pPr>
        <w:pStyle w:val="5"/>
        <w:ind w:firstLine="0"/>
        <w:jc w:val="center"/>
        <w:rPr>
          <w:rFonts w:hint="eastAsia" w:ascii="仿宋" w:hAnsi="仿宋" w:eastAsia="仿宋" w:cs="仿宋"/>
          <w:color w:val="auto"/>
          <w:szCs w:val="22"/>
          <w:highlight w:val="none"/>
          <w:lang w:val="en-GB"/>
        </w:rPr>
      </w:pPr>
      <w:r>
        <w:rPr>
          <w:rFonts w:hint="eastAsia" w:ascii="仿宋" w:hAnsi="仿宋" w:eastAsia="仿宋" w:cs="仿宋"/>
          <w:color w:val="auto"/>
          <w:szCs w:val="24"/>
          <w:highlight w:val="none"/>
        </w:rPr>
        <w:t xml:space="preserve">              日 期：</w:t>
      </w:r>
      <w:bookmarkStart w:id="371" w:name="_Toc9373"/>
      <w:bookmarkStart w:id="372" w:name="_Toc99722688"/>
    </w:p>
    <w:p w14:paraId="255B749B">
      <w:pPr>
        <w:pStyle w:val="8"/>
        <w:spacing w:line="360" w:lineRule="auto"/>
        <w:rPr>
          <w:rFonts w:hint="eastAsia" w:ascii="仿宋" w:hAnsi="仿宋" w:eastAsia="仿宋" w:cs="仿宋"/>
          <w:color w:val="auto"/>
          <w:highlight w:val="none"/>
          <w:lang w:val="en-GB"/>
        </w:rPr>
      </w:pPr>
      <w:r>
        <w:rPr>
          <w:rFonts w:hint="eastAsia" w:ascii="仿宋" w:hAnsi="仿宋" w:eastAsia="仿宋" w:cs="仿宋"/>
          <w:b/>
          <w:color w:val="auto"/>
          <w:kern w:val="0"/>
          <w:szCs w:val="20"/>
          <w:highlight w:val="none"/>
          <w:lang w:val="en-GB"/>
        </w:rPr>
        <w:t>9.供应商信用信息查询记录。</w:t>
      </w:r>
      <w:r>
        <w:rPr>
          <w:rFonts w:hint="eastAsia" w:ascii="仿宋" w:hAnsi="仿宋" w:eastAsia="仿宋" w:cs="仿宋"/>
          <w:color w:val="auto"/>
          <w:highlight w:val="none"/>
          <w:lang w:val="en-GB"/>
        </w:rPr>
        <w:t>查询渠道：</w:t>
      </w:r>
      <w:r>
        <w:rPr>
          <w:rFonts w:hint="eastAsia" w:ascii="仿宋" w:hAnsi="仿宋" w:eastAsia="仿宋" w:cs="仿宋"/>
          <w:color w:val="auto"/>
          <w:highlight w:val="none"/>
        </w:rPr>
        <w:t>于投标截止时间查询在中国政府采购网（</w:t>
      </w:r>
      <w:r>
        <w:rPr>
          <w:color w:val="auto"/>
          <w:highlight w:val="none"/>
        </w:rPr>
        <w:fldChar w:fldCharType="begin"/>
      </w:r>
      <w:r>
        <w:rPr>
          <w:color w:val="auto"/>
          <w:highlight w:val="none"/>
        </w:rPr>
        <w:instrText xml:space="preserve"> HYPERLINK "http://www.ccgp.gov.cn" </w:instrText>
      </w:r>
      <w:r>
        <w:rPr>
          <w:color w:val="auto"/>
          <w:highlight w:val="none"/>
        </w:rPr>
        <w:fldChar w:fldCharType="separate"/>
      </w:r>
      <w:r>
        <w:rPr>
          <w:rFonts w:hint="eastAsia" w:ascii="仿宋" w:hAnsi="仿宋" w:eastAsia="仿宋" w:cs="仿宋"/>
          <w:color w:val="auto"/>
          <w:highlight w:val="none"/>
        </w:rPr>
        <w:t>www.ccgp.gov.cn</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t>）及“信用中国”网站（</w:t>
      </w:r>
      <w:r>
        <w:rPr>
          <w:color w:val="auto"/>
          <w:highlight w:val="none"/>
        </w:rPr>
        <w:fldChar w:fldCharType="begin"/>
      </w:r>
      <w:r>
        <w:rPr>
          <w:color w:val="auto"/>
          <w:highlight w:val="none"/>
        </w:rPr>
        <w:instrText xml:space="preserve"> HYPERLINK "http://www.creditchina.gov.cn" </w:instrText>
      </w:r>
      <w:r>
        <w:rPr>
          <w:color w:val="auto"/>
          <w:highlight w:val="none"/>
        </w:rPr>
        <w:fldChar w:fldCharType="separate"/>
      </w:r>
      <w:r>
        <w:rPr>
          <w:rFonts w:hint="eastAsia" w:ascii="仿宋" w:hAnsi="仿宋" w:eastAsia="仿宋" w:cs="仿宋"/>
          <w:color w:val="auto"/>
          <w:highlight w:val="none"/>
        </w:rPr>
        <w:t>www.creditchina.gov.cn</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t>）查询是否被列入失信被执行人、重大税收违法失信主体，以及存在《中华人民共和国政府采购法实施条例》第十九条规定的行政处罚记录，将信用截图加盖公章</w:t>
      </w:r>
      <w:r>
        <w:rPr>
          <w:rFonts w:hint="eastAsia" w:ascii="仿宋" w:hAnsi="仿宋" w:eastAsia="仿宋" w:cs="仿宋"/>
          <w:color w:val="auto"/>
          <w:highlight w:val="none"/>
          <w:lang w:val="en-GB"/>
        </w:rPr>
        <w:t>；供应商未提供的，招标人或采购代理机构应当通过</w:t>
      </w:r>
      <w:r>
        <w:rPr>
          <w:rFonts w:hint="eastAsia" w:ascii="仿宋" w:hAnsi="仿宋" w:eastAsia="仿宋" w:cs="仿宋"/>
          <w:color w:val="auto"/>
          <w:highlight w:val="none"/>
        </w:rPr>
        <w:t>中国政府采购网（</w:t>
      </w:r>
      <w:r>
        <w:rPr>
          <w:color w:val="auto"/>
          <w:highlight w:val="none"/>
        </w:rPr>
        <w:fldChar w:fldCharType="begin"/>
      </w:r>
      <w:r>
        <w:rPr>
          <w:color w:val="auto"/>
          <w:highlight w:val="none"/>
        </w:rPr>
        <w:instrText xml:space="preserve"> HYPERLINK "http://www.ccgp.gov.cn" </w:instrText>
      </w:r>
      <w:r>
        <w:rPr>
          <w:color w:val="auto"/>
          <w:highlight w:val="none"/>
        </w:rPr>
        <w:fldChar w:fldCharType="separate"/>
      </w:r>
      <w:r>
        <w:rPr>
          <w:rFonts w:hint="eastAsia" w:ascii="仿宋" w:hAnsi="仿宋" w:eastAsia="仿宋" w:cs="仿宋"/>
          <w:color w:val="auto"/>
          <w:highlight w:val="none"/>
        </w:rPr>
        <w:t>www.ccgp.gov.cn</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t>）及“信用中国”网站（</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"http://www.creditchina.gov.cn"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www.creditchina.gov.cn</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t>）查询供应商是否被列入失信被执行人、重大税收违法失信主体，以及是否存在《中华人民共和国政府采购法实施条例》第十九条规定的行政处罚记录</w:t>
      </w:r>
      <w:r>
        <w:rPr>
          <w:rFonts w:hint="eastAsia" w:ascii="仿宋" w:hAnsi="仿宋" w:eastAsia="仿宋" w:cs="仿宋"/>
          <w:color w:val="auto"/>
          <w:highlight w:val="none"/>
          <w:lang w:val="en-GB"/>
        </w:rPr>
        <w:t>。信用查询截止时点为投标截止时间。信息查询记录和证据留存并与其他采购文件一并保存。</w:t>
      </w:r>
    </w:p>
    <w:p w14:paraId="5D76933E">
      <w:pPr>
        <w:spacing w:line="360" w:lineRule="auto"/>
        <w:ind w:left="124" w:right="-20"/>
        <w:jc w:val="left"/>
        <w:rPr>
          <w:rFonts w:hint="eastAsia" w:ascii="仿宋" w:hAnsi="仿宋" w:eastAsia="仿宋" w:cs="仿宋"/>
          <w:color w:val="auto"/>
          <w:kern w:val="0"/>
          <w:sz w:val="24"/>
          <w:szCs w:val="22"/>
          <w:highlight w:val="none"/>
          <w:lang w:val="en-GB"/>
        </w:rPr>
      </w:pPr>
    </w:p>
    <w:p w14:paraId="45818ED0">
      <w:pPr>
        <w:spacing w:line="360" w:lineRule="auto"/>
        <w:ind w:left="124" w:right="-20"/>
        <w:jc w:val="left"/>
        <w:rPr>
          <w:rFonts w:hint="eastAsia" w:ascii="仿宋" w:hAnsi="仿宋" w:eastAsia="仿宋" w:cs="仿宋"/>
          <w:b/>
          <w:bCs/>
          <w:color w:val="auto"/>
          <w:kern w:val="0"/>
          <w:sz w:val="24"/>
          <w:szCs w:val="22"/>
          <w:highlight w:val="none"/>
        </w:rPr>
      </w:pPr>
    </w:p>
    <w:p w14:paraId="4A1CB763">
      <w:pPr>
        <w:spacing w:line="360" w:lineRule="auto"/>
        <w:ind w:left="124" w:right="-20"/>
        <w:jc w:val="left"/>
        <w:rPr>
          <w:rFonts w:hint="eastAsia" w:ascii="仿宋" w:hAnsi="仿宋" w:eastAsia="仿宋" w:cs="仿宋"/>
          <w:b/>
          <w:bCs/>
          <w:color w:val="auto"/>
          <w:kern w:val="0"/>
          <w:sz w:val="24"/>
          <w:szCs w:val="22"/>
          <w:highlight w:val="none"/>
          <w:lang w:val="en-GB"/>
        </w:rPr>
      </w:pPr>
      <w:r>
        <w:rPr>
          <w:rFonts w:hint="eastAsia" w:ascii="仿宋" w:hAnsi="仿宋" w:eastAsia="仿宋" w:cs="仿宋"/>
          <w:b/>
          <w:bCs/>
          <w:color w:val="auto"/>
          <w:kern w:val="0"/>
          <w:sz w:val="24"/>
          <w:szCs w:val="22"/>
          <w:highlight w:val="none"/>
        </w:rPr>
        <w:t>10.</w:t>
      </w:r>
      <w:r>
        <w:rPr>
          <w:rFonts w:hint="eastAsia" w:ascii="仿宋" w:hAnsi="仿宋" w:eastAsia="仿宋" w:cs="仿宋"/>
          <w:b/>
          <w:bCs/>
          <w:color w:val="auto"/>
          <w:kern w:val="0"/>
          <w:sz w:val="24"/>
          <w:szCs w:val="22"/>
          <w:highlight w:val="none"/>
          <w:lang w:val="en-GB"/>
        </w:rPr>
        <w:t>响应文件须知资料表要求的其他资格证明文件</w:t>
      </w:r>
      <w:bookmarkEnd w:id="369"/>
      <w:bookmarkEnd w:id="371"/>
      <w:bookmarkEnd w:id="372"/>
    </w:p>
    <w:p w14:paraId="2E8EC31B">
      <w:pPr>
        <w:tabs>
          <w:tab w:val="left" w:pos="5580"/>
        </w:tabs>
        <w:spacing w:line="360" w:lineRule="auto"/>
        <w:ind w:left="1396" w:leftChars="257" w:hanging="856" w:hangingChars="357"/>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说明：1.应提供</w:t>
      </w:r>
      <w:r>
        <w:rPr>
          <w:rFonts w:hint="eastAsia" w:ascii="仿宋" w:hAnsi="仿宋" w:eastAsia="仿宋" w:cs="仿宋"/>
          <w:color w:val="auto"/>
          <w:sz w:val="24"/>
          <w:szCs w:val="20"/>
          <w:highlight w:val="none"/>
          <w:u w:val="single"/>
        </w:rPr>
        <w:t>供应商须知资料表</w:t>
      </w:r>
      <w:r>
        <w:rPr>
          <w:rFonts w:hint="eastAsia" w:ascii="仿宋" w:hAnsi="仿宋" w:eastAsia="仿宋" w:cs="仿宋"/>
          <w:color w:val="auto"/>
          <w:sz w:val="24"/>
          <w:szCs w:val="20"/>
          <w:highlight w:val="none"/>
        </w:rPr>
        <w:t>要求的其他资格证明文件复印件，复印件上应加盖本单位章（自然人投标的无需盖章，需要签字）。</w:t>
      </w:r>
    </w:p>
    <w:p w14:paraId="22C2B7E5">
      <w:pPr>
        <w:tabs>
          <w:tab w:val="left" w:pos="5580"/>
        </w:tabs>
        <w:spacing w:line="360" w:lineRule="auto"/>
        <w:ind w:left="1260" w:leftChars="344" w:hanging="538"/>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 xml:space="preserve">    2. 如果是联合体响应文件，联合体各方需提供的满足竞争性磋商文件要求的其他资格证明文件。</w:t>
      </w:r>
    </w:p>
    <w:p w14:paraId="43F38744">
      <w:pPr>
        <w:spacing w:line="360" w:lineRule="auto"/>
        <w:ind w:left="124" w:right="-20"/>
        <w:jc w:val="left"/>
        <w:rPr>
          <w:rFonts w:hint="eastAsia" w:ascii="仿宋" w:hAnsi="仿宋" w:eastAsia="仿宋" w:cs="仿宋"/>
          <w:color w:val="auto"/>
          <w:kern w:val="0"/>
          <w:sz w:val="24"/>
          <w:szCs w:val="22"/>
          <w:highlight w:val="none"/>
          <w:lang w:val="en-GB"/>
        </w:rPr>
      </w:pPr>
      <w:bookmarkStart w:id="373" w:name="_Toc46235138"/>
      <w:bookmarkStart w:id="374" w:name="_Toc10808"/>
      <w:bookmarkStart w:id="375" w:name="_Toc99722689"/>
      <w:r>
        <w:rPr>
          <w:rFonts w:hint="eastAsia" w:ascii="仿宋" w:hAnsi="仿宋" w:eastAsia="仿宋" w:cs="仿宋"/>
          <w:b/>
          <w:bCs/>
          <w:color w:val="auto"/>
          <w:kern w:val="0"/>
          <w:sz w:val="24"/>
          <w:szCs w:val="22"/>
          <w:highlight w:val="none"/>
          <w:lang w:val="en-GB"/>
        </w:rPr>
        <w:t>1</w:t>
      </w:r>
      <w:r>
        <w:rPr>
          <w:rFonts w:hint="eastAsia" w:ascii="仿宋" w:hAnsi="仿宋" w:eastAsia="仿宋" w:cs="仿宋"/>
          <w:b/>
          <w:bCs/>
          <w:color w:val="auto"/>
          <w:kern w:val="0"/>
          <w:sz w:val="24"/>
          <w:szCs w:val="22"/>
          <w:highlight w:val="none"/>
        </w:rPr>
        <w:t>1</w:t>
      </w:r>
      <w:r>
        <w:rPr>
          <w:rFonts w:hint="eastAsia" w:ascii="仿宋" w:hAnsi="仿宋" w:eastAsia="仿宋" w:cs="仿宋"/>
          <w:b/>
          <w:bCs/>
          <w:color w:val="auto"/>
          <w:kern w:val="0"/>
          <w:sz w:val="24"/>
          <w:szCs w:val="22"/>
          <w:highlight w:val="none"/>
          <w:lang w:val="en-GB"/>
        </w:rPr>
        <w:t>.联合体协议书</w:t>
      </w:r>
      <w:bookmarkEnd w:id="373"/>
      <w:r>
        <w:rPr>
          <w:rFonts w:hint="eastAsia" w:ascii="仿宋" w:hAnsi="仿宋" w:eastAsia="仿宋" w:cs="仿宋"/>
          <w:b/>
          <w:bCs/>
          <w:color w:val="auto"/>
          <w:kern w:val="0"/>
          <w:sz w:val="24"/>
          <w:szCs w:val="22"/>
          <w:highlight w:val="none"/>
          <w:lang w:val="en-GB"/>
        </w:rPr>
        <w:t>（本项目不适用）</w:t>
      </w:r>
      <w:bookmarkEnd w:id="374"/>
      <w:bookmarkEnd w:id="375"/>
    </w:p>
    <w:p w14:paraId="5C1E6F12">
      <w:pPr>
        <w:pStyle w:val="8"/>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联合体协议书</w:t>
      </w:r>
    </w:p>
    <w:p w14:paraId="74F17875">
      <w:pPr>
        <w:pStyle w:val="8"/>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甲方：</w:t>
      </w:r>
    </w:p>
    <w:p w14:paraId="7351A169">
      <w:pPr>
        <w:pStyle w:val="8"/>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乙方：</w:t>
      </w:r>
    </w:p>
    <w:p w14:paraId="1C6C8C32">
      <w:pPr>
        <w:pStyle w:val="8"/>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（如果两个以上的自然人、法人或者其他组织组成一个联合体，可按照甲、乙、丙、丁…序列增加）</w:t>
      </w:r>
    </w:p>
    <w:p w14:paraId="5CF42083">
      <w:pPr>
        <w:pStyle w:val="8"/>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联合体各方经协商，就响应（采购人名称）组织实施（项目名称）（项目编号）的招标活动联合进行投标之事宜，达成如下协议：</w:t>
      </w:r>
    </w:p>
    <w:p w14:paraId="6256FCC9">
      <w:pPr>
        <w:pStyle w:val="8"/>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一、联合体各方一致决定，以</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为主办人进行投标，并按照磋商文件的规定分别提交资格文件。</w:t>
      </w:r>
    </w:p>
    <w:p w14:paraId="6872E6CE">
      <w:pPr>
        <w:pStyle w:val="8"/>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二、在本次投标过程中，主办人的法定代表人或者授权代理人根据磋商文件规定以及投标内容对采购人所作的任何合法承诺，包括书面澄清以及响应等对联合体各方均有约束力。如果成交并签订合同，则联合体各方将共同履行对采购人或者采购代理机构所负有的全部义务，并就采购合同约定的事项对采购人承担连带责任。</w:t>
      </w:r>
    </w:p>
    <w:p w14:paraId="232D3951">
      <w:pPr>
        <w:pStyle w:val="8"/>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三、联合体各方保证对主办人为响应本次招标而提供的产品和服务提供全部质量保证以及售后服务支持。</w:t>
      </w:r>
    </w:p>
    <w:p w14:paraId="203494EF">
      <w:pPr>
        <w:pStyle w:val="8"/>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四、本次联合投标中，联合体各方承担的工作和义务：</w:t>
      </w:r>
    </w:p>
    <w:p w14:paraId="45634DFF">
      <w:pPr>
        <w:pStyle w:val="8"/>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甲方承担的工作和义务为：</w:t>
      </w:r>
    </w:p>
    <w:p w14:paraId="02E736DD">
      <w:pPr>
        <w:pStyle w:val="8"/>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乙方承担的工作和义务为：</w:t>
      </w:r>
    </w:p>
    <w:p w14:paraId="2F418EDC">
      <w:pPr>
        <w:pStyle w:val="8"/>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五、有关本次联合投标的其他事宜：</w:t>
      </w:r>
    </w:p>
    <w:p w14:paraId="125D6B66">
      <w:pPr>
        <w:pStyle w:val="8"/>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六、本协议提交采购人或者采购代理机构后，联合体各方不得以任何形式对上述实质内容进行修改或者撤销。</w:t>
      </w:r>
    </w:p>
    <w:p w14:paraId="47162F2B">
      <w:pPr>
        <w:pStyle w:val="8"/>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七、本协议共</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份，联合体各方各持一份，并作为响应文件的一部分。</w:t>
      </w:r>
    </w:p>
    <w:p w14:paraId="133BC574">
      <w:pPr>
        <w:pStyle w:val="8"/>
        <w:spacing w:line="360" w:lineRule="auto"/>
        <w:rPr>
          <w:rFonts w:hint="eastAsia" w:ascii="仿宋" w:hAnsi="仿宋" w:eastAsia="仿宋" w:cs="仿宋"/>
          <w:color w:val="auto"/>
          <w:highlight w:val="none"/>
        </w:rPr>
      </w:pPr>
    </w:p>
    <w:p w14:paraId="3F92AEEC">
      <w:pPr>
        <w:pStyle w:val="8"/>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甲方名称：       （公章）               乙方名称：       （公章）</w:t>
      </w:r>
    </w:p>
    <w:p w14:paraId="700674AD">
      <w:pPr>
        <w:pStyle w:val="8"/>
        <w:spacing w:line="360" w:lineRule="auto"/>
        <w:rPr>
          <w:rFonts w:hint="eastAsia" w:ascii="仿宋" w:hAnsi="仿宋" w:eastAsia="仿宋" w:cs="仿宋"/>
          <w:color w:val="auto"/>
          <w:highlight w:val="none"/>
        </w:rPr>
      </w:pPr>
    </w:p>
    <w:p w14:paraId="0EADF5B3">
      <w:pPr>
        <w:pStyle w:val="8"/>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法定代表人：     （签字或盖章）        法定代表人： （签字或盖章）</w:t>
      </w:r>
    </w:p>
    <w:p w14:paraId="6DD8AE4F">
      <w:pPr>
        <w:pStyle w:val="8"/>
        <w:spacing w:line="360" w:lineRule="auto"/>
        <w:ind w:firstLine="480" w:firstLineChars="200"/>
        <w:rPr>
          <w:rFonts w:hint="eastAsia" w:ascii="仿宋" w:hAnsi="仿宋" w:eastAsia="仿宋" w:cs="仿宋"/>
          <w:color w:val="auto"/>
          <w:highlight w:val="none"/>
        </w:rPr>
      </w:pPr>
    </w:p>
    <w:p w14:paraId="1FE436B1">
      <w:pPr>
        <w:pStyle w:val="8"/>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 日期：年月日                                  日期：年月日</w:t>
      </w:r>
    </w:p>
    <w:p w14:paraId="3292962A">
      <w:pPr>
        <w:tabs>
          <w:tab w:val="left" w:pos="5580"/>
        </w:tabs>
        <w:spacing w:line="320" w:lineRule="exact"/>
        <w:ind w:left="1260" w:leftChars="344" w:hanging="538"/>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br w:type="page"/>
      </w:r>
    </w:p>
    <w:p w14:paraId="5D5A8073">
      <w:pPr>
        <w:pStyle w:val="2"/>
        <w:ind w:left="826" w:hanging="826" w:hangingChars="257"/>
        <w:rPr>
          <w:rFonts w:hint="eastAsia" w:ascii="仿宋" w:hAnsi="仿宋" w:eastAsia="仿宋" w:cs="仿宋"/>
          <w:color w:val="auto"/>
          <w:highlight w:val="none"/>
        </w:rPr>
      </w:pPr>
      <w:bookmarkStart w:id="376" w:name="_Toc46235139"/>
      <w:bookmarkStart w:id="377" w:name="_Toc7235"/>
      <w:r>
        <w:rPr>
          <w:rFonts w:hint="eastAsia" w:ascii="仿宋" w:hAnsi="仿宋" w:eastAsia="仿宋" w:cs="仿宋"/>
          <w:color w:val="auto"/>
          <w:highlight w:val="none"/>
        </w:rPr>
        <w:t>四、  商务及技术文件</w:t>
      </w:r>
      <w:bookmarkEnd w:id="352"/>
      <w:bookmarkEnd w:id="376"/>
      <w:bookmarkEnd w:id="377"/>
    </w:p>
    <w:p w14:paraId="6BACAF4C">
      <w:pPr>
        <w:pStyle w:val="8"/>
        <w:rPr>
          <w:rFonts w:hint="eastAsia" w:ascii="仿宋" w:hAnsi="仿宋" w:eastAsia="仿宋" w:cs="仿宋"/>
          <w:b/>
          <w:bCs/>
          <w:color w:val="auto"/>
          <w:highlight w:val="none"/>
        </w:rPr>
      </w:pPr>
      <w:bookmarkStart w:id="378" w:name="_Toc46235140"/>
      <w:bookmarkStart w:id="379" w:name="_Toc518923116"/>
      <w:r>
        <w:rPr>
          <w:rFonts w:hint="eastAsia" w:ascii="仿宋" w:hAnsi="仿宋" w:eastAsia="仿宋" w:cs="仿宋"/>
          <w:b/>
          <w:bCs/>
          <w:color w:val="auto"/>
          <w:highlight w:val="none"/>
        </w:rPr>
        <w:t>1</w:t>
      </w:r>
      <w:bookmarkStart w:id="380" w:name="_Hlt520355504"/>
      <w:bookmarkEnd w:id="380"/>
      <w:r>
        <w:rPr>
          <w:rFonts w:hint="eastAsia" w:ascii="仿宋" w:hAnsi="仿宋" w:eastAsia="仿宋" w:cs="仿宋"/>
          <w:b/>
          <w:bCs/>
          <w:color w:val="auto"/>
          <w:highlight w:val="none"/>
        </w:rPr>
        <w:t>2.响应文件</w:t>
      </w:r>
      <w:bookmarkEnd w:id="339"/>
      <w:bookmarkEnd w:id="340"/>
      <w:r>
        <w:rPr>
          <w:rFonts w:hint="eastAsia" w:ascii="仿宋" w:hAnsi="仿宋" w:eastAsia="仿宋" w:cs="仿宋"/>
          <w:b/>
          <w:bCs/>
          <w:color w:val="auto"/>
          <w:highlight w:val="none"/>
        </w:rPr>
        <w:t>书</w:t>
      </w:r>
      <w:bookmarkEnd w:id="341"/>
      <w:bookmarkEnd w:id="342"/>
      <w:bookmarkEnd w:id="378"/>
      <w:bookmarkEnd w:id="379"/>
    </w:p>
    <w:p w14:paraId="738790FE">
      <w:pPr>
        <w:tabs>
          <w:tab w:val="left" w:pos="5580"/>
        </w:tabs>
        <w:spacing w:line="320" w:lineRule="exact"/>
        <w:ind w:left="1080" w:leftChars="257" w:hanging="540"/>
        <w:rPr>
          <w:rFonts w:hint="eastAsia" w:ascii="仿宋" w:hAnsi="仿宋" w:eastAsia="仿宋" w:cs="仿宋"/>
          <w:color w:val="auto"/>
          <w:sz w:val="24"/>
          <w:highlight w:val="none"/>
        </w:rPr>
      </w:pPr>
    </w:p>
    <w:p w14:paraId="55D67F37">
      <w:pPr>
        <w:tabs>
          <w:tab w:val="left" w:pos="5580"/>
        </w:tabs>
        <w:spacing w:line="320" w:lineRule="exact"/>
        <w:ind w:left="1080" w:hanging="1080"/>
        <w:rPr>
          <w:rFonts w:hint="eastAsia" w:ascii="仿宋" w:hAnsi="仿宋" w:eastAsia="仿宋" w:cs="仿宋"/>
          <w:color w:val="auto"/>
          <w:sz w:val="24"/>
          <w:highlight w:val="none"/>
        </w:rPr>
      </w:pPr>
      <w:r>
        <w:rPr>
          <w:rFonts w:hint="eastAsia" w:ascii="仿宋" w:hAnsi="仿宋" w:eastAsia="仿宋" w:cs="仿宋"/>
          <w:color w:val="auto"/>
          <w:sz w:val="24"/>
          <w:highlight w:val="none"/>
        </w:rPr>
        <w:t>致：</w:t>
      </w:r>
      <w:r>
        <w:rPr>
          <w:rFonts w:hint="eastAsia" w:ascii="仿宋" w:hAnsi="仿宋" w:eastAsia="仿宋" w:cs="仿宋"/>
          <w:color w:val="auto"/>
          <w:sz w:val="24"/>
          <w:szCs w:val="20"/>
          <w:highlight w:val="none"/>
          <w:u w:val="single"/>
        </w:rPr>
        <w:t>山东卓舜招标咨询有限公司</w:t>
      </w:r>
    </w:p>
    <w:p w14:paraId="405511B0">
      <w:pPr>
        <w:tabs>
          <w:tab w:val="left" w:pos="5580"/>
        </w:tabs>
        <w:spacing w:line="320" w:lineRule="exact"/>
        <w:ind w:left="1080" w:leftChars="257" w:hanging="540"/>
        <w:rPr>
          <w:rFonts w:hint="eastAsia" w:ascii="仿宋" w:hAnsi="仿宋" w:eastAsia="仿宋" w:cs="仿宋"/>
          <w:color w:val="auto"/>
          <w:sz w:val="24"/>
          <w:szCs w:val="20"/>
          <w:highlight w:val="none"/>
        </w:rPr>
      </w:pPr>
    </w:p>
    <w:p w14:paraId="384DDAAE">
      <w:pPr>
        <w:tabs>
          <w:tab w:val="left" w:pos="5580"/>
        </w:tabs>
        <w:spacing w:line="360" w:lineRule="auto"/>
        <w:ind w:left="2" w:leftChars="1"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szCs w:val="20"/>
          <w:highlight w:val="none"/>
        </w:rPr>
        <w:t>根据贵方(</w:t>
      </w:r>
      <w:r>
        <w:rPr>
          <w:rFonts w:hint="eastAsia" w:ascii="仿宋" w:hAnsi="仿宋" w:eastAsia="仿宋" w:cs="仿宋"/>
          <w:color w:val="auto"/>
          <w:sz w:val="24"/>
          <w:szCs w:val="20"/>
          <w:highlight w:val="none"/>
          <w:u w:val="single"/>
        </w:rPr>
        <w:t>项目名称</w:t>
      </w:r>
      <w:r>
        <w:rPr>
          <w:rFonts w:hint="eastAsia" w:ascii="仿宋" w:hAnsi="仿宋" w:eastAsia="仿宋" w:cs="仿宋"/>
          <w:color w:val="auto"/>
          <w:sz w:val="24"/>
          <w:szCs w:val="20"/>
          <w:highlight w:val="none"/>
        </w:rPr>
        <w:t>)项目的响应文件邀请(</w:t>
      </w:r>
      <w:r>
        <w:rPr>
          <w:rFonts w:hint="eastAsia" w:ascii="仿宋" w:hAnsi="仿宋" w:eastAsia="仿宋" w:cs="仿宋"/>
          <w:color w:val="auto"/>
          <w:sz w:val="24"/>
          <w:szCs w:val="20"/>
          <w:highlight w:val="none"/>
          <w:u w:val="single"/>
        </w:rPr>
        <w:t>项目编号</w:t>
      </w:r>
      <w:r>
        <w:rPr>
          <w:rFonts w:hint="eastAsia" w:ascii="仿宋" w:hAnsi="仿宋" w:eastAsia="仿宋" w:cs="仿宋"/>
          <w:color w:val="auto"/>
          <w:sz w:val="24"/>
          <w:szCs w:val="20"/>
          <w:highlight w:val="none"/>
        </w:rPr>
        <w:t>),签字代表(</w:t>
      </w:r>
      <w:r>
        <w:rPr>
          <w:rFonts w:hint="eastAsia" w:ascii="仿宋" w:hAnsi="仿宋" w:eastAsia="仿宋" w:cs="仿宋"/>
          <w:color w:val="auto"/>
          <w:sz w:val="24"/>
          <w:szCs w:val="20"/>
          <w:highlight w:val="none"/>
          <w:u w:val="single"/>
        </w:rPr>
        <w:t>姓名、职务</w:t>
      </w:r>
      <w:r>
        <w:rPr>
          <w:rFonts w:hint="eastAsia" w:ascii="仿宋" w:hAnsi="仿宋" w:eastAsia="仿宋" w:cs="仿宋"/>
          <w:color w:val="auto"/>
          <w:sz w:val="24"/>
          <w:szCs w:val="20"/>
          <w:highlight w:val="none"/>
        </w:rPr>
        <w:t>)经正式授权并代表供应商（</w:t>
      </w:r>
      <w:r>
        <w:rPr>
          <w:rFonts w:hint="eastAsia" w:ascii="仿宋" w:hAnsi="仿宋" w:eastAsia="仿宋" w:cs="仿宋"/>
          <w:color w:val="auto"/>
          <w:sz w:val="24"/>
          <w:szCs w:val="20"/>
          <w:highlight w:val="none"/>
          <w:u w:val="single"/>
        </w:rPr>
        <w:t>名称、地址</w:t>
      </w:r>
      <w:r>
        <w:rPr>
          <w:rFonts w:hint="eastAsia" w:ascii="仿宋" w:hAnsi="仿宋" w:eastAsia="仿宋" w:cs="仿宋"/>
          <w:color w:val="auto"/>
          <w:sz w:val="24"/>
          <w:szCs w:val="20"/>
          <w:highlight w:val="none"/>
        </w:rPr>
        <w:t>）。</w:t>
      </w:r>
    </w:p>
    <w:p w14:paraId="5975D782">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据此，签字代表宣布同意如下：</w:t>
      </w:r>
    </w:p>
    <w:p w14:paraId="2385F410">
      <w:pPr>
        <w:pStyle w:val="18"/>
        <w:tabs>
          <w:tab w:val="left" w:pos="720"/>
          <w:tab w:val="left" w:pos="900"/>
        </w:tabs>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（1）附报价价格表中规定的应提供货物的总价详见报价一览表，</w:t>
      </w:r>
      <w:r>
        <w:rPr>
          <w:rFonts w:hint="eastAsia" w:ascii="仿宋" w:hAnsi="仿宋" w:eastAsia="仿宋" w:cs="仿宋"/>
          <w:color w:val="auto"/>
          <w:sz w:val="24"/>
          <w:highlight w:val="none"/>
          <w:u w:val="single"/>
        </w:rPr>
        <w:t>其中由小型和</w:t>
      </w:r>
      <w:r>
        <w:rPr>
          <w:rFonts w:hint="eastAsia" w:ascii="仿宋" w:hAnsi="仿宋" w:eastAsia="仿宋" w:cs="仿宋"/>
          <w:color w:val="auto"/>
          <w:sz w:val="24"/>
          <w:highlight w:val="none"/>
        </w:rPr>
        <w:t>微型企业制造产品的价格为</w:t>
      </w:r>
      <w:r>
        <w:rPr>
          <w:rFonts w:hint="eastAsia" w:ascii="仿宋" w:hAnsi="仿宋" w:eastAsia="仿宋" w:cs="仿宋"/>
          <w:color w:val="auto"/>
          <w:sz w:val="24"/>
          <w:highlight w:val="none"/>
          <w:u w:val="single"/>
        </w:rPr>
        <w:t>　　  （用文字和数字表示），占总价   %</w:t>
      </w:r>
      <w:r>
        <w:rPr>
          <w:rFonts w:hint="eastAsia" w:ascii="仿宋" w:hAnsi="仿宋" w:eastAsia="仿宋" w:cs="仿宋"/>
          <w:color w:val="auto"/>
          <w:sz w:val="24"/>
          <w:highlight w:val="none"/>
        </w:rPr>
        <w:t>。</w:t>
      </w:r>
    </w:p>
    <w:p w14:paraId="6CA26176">
      <w:pPr>
        <w:tabs>
          <w:tab w:val="left" w:pos="5580"/>
        </w:tabs>
        <w:spacing w:line="360" w:lineRule="auto"/>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（2）本响应文件有效期为自递交响应文件截止之日起</w:t>
      </w:r>
      <w:r>
        <w:rPr>
          <w:rFonts w:hint="eastAsia" w:ascii="仿宋" w:hAnsi="仿宋" w:eastAsia="仿宋" w:cs="仿宋"/>
          <w:color w:val="auto"/>
          <w:sz w:val="24"/>
          <w:szCs w:val="20"/>
          <w:highlight w:val="none"/>
          <w:u w:val="single"/>
        </w:rPr>
        <w:t>90</w:t>
      </w:r>
      <w:r>
        <w:rPr>
          <w:rFonts w:hint="eastAsia" w:ascii="仿宋" w:hAnsi="仿宋" w:eastAsia="仿宋" w:cs="仿宋"/>
          <w:color w:val="auto"/>
          <w:sz w:val="24"/>
          <w:szCs w:val="20"/>
          <w:highlight w:val="none"/>
        </w:rPr>
        <w:t>个日历日。</w:t>
      </w:r>
    </w:p>
    <w:p w14:paraId="3D08E1A7">
      <w:pPr>
        <w:tabs>
          <w:tab w:val="left" w:pos="5580"/>
        </w:tabs>
        <w:spacing w:line="360" w:lineRule="auto"/>
        <w:rPr>
          <w:rFonts w:hint="eastAsia" w:ascii="仿宋" w:hAnsi="仿宋" w:eastAsia="仿宋" w:cs="仿宋"/>
          <w:color w:val="auto"/>
          <w:sz w:val="24"/>
          <w:szCs w:val="20"/>
          <w:highlight w:val="none"/>
          <w:u w:val="single"/>
        </w:rPr>
      </w:pPr>
      <w:r>
        <w:rPr>
          <w:rFonts w:hint="eastAsia" w:ascii="仿宋" w:hAnsi="仿宋" w:eastAsia="仿宋" w:cs="仿宋"/>
          <w:color w:val="auto"/>
          <w:sz w:val="24"/>
          <w:szCs w:val="20"/>
          <w:highlight w:val="none"/>
        </w:rPr>
        <w:t>（3）联合体中的大中型企业和其他自然人、法人或者其他组织，与联合体中的小型、微型企业之间</w:t>
      </w:r>
      <w:r>
        <w:rPr>
          <w:rFonts w:hint="eastAsia" w:ascii="仿宋" w:hAnsi="仿宋" w:eastAsia="仿宋" w:cs="仿宋"/>
          <w:color w:val="auto"/>
          <w:sz w:val="24"/>
          <w:szCs w:val="20"/>
          <w:highlight w:val="none"/>
          <w:u w:val="single"/>
        </w:rPr>
        <w:t xml:space="preserve">     （</w:t>
      </w:r>
      <w:r>
        <w:rPr>
          <w:rFonts w:hint="eastAsia" w:ascii="仿宋" w:hAnsi="仿宋" w:eastAsia="仿宋" w:cs="仿宋"/>
          <w:color w:val="auto"/>
          <w:sz w:val="24"/>
          <w:szCs w:val="20"/>
          <w:highlight w:val="none"/>
        </w:rPr>
        <w:t>存在、不存在）投资关系（如果联合体的话）。</w:t>
      </w:r>
    </w:p>
    <w:p w14:paraId="3AF2E107">
      <w:pPr>
        <w:tabs>
          <w:tab w:val="left" w:pos="5580"/>
        </w:tabs>
        <w:spacing w:line="360" w:lineRule="auto"/>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（4）已详细审查全部竞争性磋商文件，包括所有补充通知（如果有的话），完全理解并同意放弃对这方面有不明、误解和质疑的权利。</w:t>
      </w:r>
    </w:p>
    <w:p w14:paraId="41805FA0">
      <w:pPr>
        <w:tabs>
          <w:tab w:val="left" w:pos="5580"/>
        </w:tabs>
        <w:spacing w:line="360" w:lineRule="auto"/>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（5）我方不是为本项目提供整体设计、规范编制或者项目管理、监理、检测等服务的供应商，我方不是采购代理机构的附属机构。</w:t>
      </w:r>
    </w:p>
    <w:p w14:paraId="3211141B">
      <w:pPr>
        <w:tabs>
          <w:tab w:val="left" w:pos="5580"/>
        </w:tabs>
        <w:spacing w:line="360" w:lineRule="auto"/>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（6）按照贵方可能要求，提供与其响应文件有关的一切数据或资料，完全理解贵方不一定接受最低价的响应文件或收到的任何响应文件。</w:t>
      </w:r>
    </w:p>
    <w:p w14:paraId="4D3F902E">
      <w:pPr>
        <w:tabs>
          <w:tab w:val="left" w:pos="5580"/>
        </w:tabs>
        <w:spacing w:line="360" w:lineRule="auto"/>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（7）我方保证所报货物均为原厂正品，否则，由此产生的一切法律责任由我方承担。</w:t>
      </w:r>
    </w:p>
    <w:p w14:paraId="6C7C2D56">
      <w:pPr>
        <w:tabs>
          <w:tab w:val="left" w:pos="5580"/>
        </w:tabs>
        <w:spacing w:line="360" w:lineRule="auto"/>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（8）在领取成交通知书的同时按磋商文件规定的形式，向贵方一次性支付成交服务费。</w:t>
      </w:r>
    </w:p>
    <w:p w14:paraId="69BF7700">
      <w:pPr>
        <w:tabs>
          <w:tab w:val="left" w:pos="5580"/>
        </w:tabs>
        <w:spacing w:line="360" w:lineRule="auto"/>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（9）按照竞争性磋商文件的规定履行合同责任和义务。</w:t>
      </w:r>
    </w:p>
    <w:p w14:paraId="5E3F01C2">
      <w:pPr>
        <w:tabs>
          <w:tab w:val="left" w:pos="5580"/>
        </w:tabs>
        <w:spacing w:line="360" w:lineRule="auto"/>
        <w:ind w:left="359" w:leftChars="68" w:hanging="216" w:hangingChars="9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与本响应文件有关的一切正式往来信函请寄：</w:t>
      </w:r>
    </w:p>
    <w:p w14:paraId="04333E2B">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 xml:space="preserve">地址：                       </w:t>
      </w:r>
    </w:p>
    <w:p w14:paraId="36821A2E">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传真：</w:t>
      </w:r>
    </w:p>
    <w:p w14:paraId="62C61388">
      <w:pPr>
        <w:tabs>
          <w:tab w:val="left" w:pos="5580"/>
        </w:tabs>
        <w:spacing w:line="360" w:lineRule="auto"/>
        <w:ind w:left="1080" w:leftChars="257" w:hanging="54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 xml:space="preserve">电话：                       </w:t>
      </w:r>
    </w:p>
    <w:p w14:paraId="2ED71476">
      <w:pPr>
        <w:tabs>
          <w:tab w:val="left" w:pos="5580"/>
        </w:tabs>
        <w:spacing w:line="360" w:lineRule="auto"/>
        <w:ind w:left="1080" w:leftChars="257" w:hanging="540"/>
        <w:rPr>
          <w:rFonts w:hint="eastAsia" w:ascii="仿宋" w:hAnsi="仿宋" w:eastAsia="仿宋" w:cs="仿宋"/>
          <w:b/>
          <w:color w:val="auto"/>
          <w:sz w:val="24"/>
          <w:szCs w:val="20"/>
          <w:highlight w:val="none"/>
        </w:rPr>
      </w:pPr>
      <w:r>
        <w:rPr>
          <w:rFonts w:hint="eastAsia" w:ascii="仿宋" w:hAnsi="仿宋" w:eastAsia="仿宋" w:cs="仿宋"/>
          <w:color w:val="auto"/>
          <w:sz w:val="24"/>
          <w:szCs w:val="20"/>
          <w:highlight w:val="none"/>
        </w:rPr>
        <w:t>电子函件：</w:t>
      </w:r>
    </w:p>
    <w:p w14:paraId="3EE163F1">
      <w:pPr>
        <w:pStyle w:val="18"/>
        <w:tabs>
          <w:tab w:val="left" w:pos="5580"/>
        </w:tabs>
        <w:spacing w:line="360" w:lineRule="auto"/>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法定代表人或其委托代理人签字或盖章：</w:t>
      </w:r>
    </w:p>
    <w:p w14:paraId="5ABD5994">
      <w:pPr>
        <w:pStyle w:val="18"/>
        <w:tabs>
          <w:tab w:val="left" w:pos="5580"/>
        </w:tabs>
        <w:spacing w:line="360" w:lineRule="auto"/>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供应商名称（全称）：</w:t>
      </w:r>
    </w:p>
    <w:p w14:paraId="06C22241">
      <w:pPr>
        <w:pStyle w:val="18"/>
        <w:tabs>
          <w:tab w:val="left" w:pos="5580"/>
        </w:tabs>
        <w:spacing w:line="360" w:lineRule="auto"/>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供应商开户银行（全称）：　　　　　　 </w:t>
      </w:r>
    </w:p>
    <w:p w14:paraId="616F4882">
      <w:pPr>
        <w:pStyle w:val="18"/>
        <w:tabs>
          <w:tab w:val="left" w:pos="5580"/>
        </w:tabs>
        <w:spacing w:line="360" w:lineRule="auto"/>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供应商银行账号：　　　　　　　　 　　</w:t>
      </w:r>
    </w:p>
    <w:p w14:paraId="209054D7">
      <w:pPr>
        <w:pStyle w:val="18"/>
        <w:tabs>
          <w:tab w:val="left" w:pos="5580"/>
        </w:tabs>
        <w:spacing w:line="360" w:lineRule="auto"/>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供应商单位章：                 </w:t>
      </w:r>
    </w:p>
    <w:p w14:paraId="1519E6DD">
      <w:pPr>
        <w:pStyle w:val="18"/>
        <w:tabs>
          <w:tab w:val="left" w:pos="5580"/>
        </w:tabs>
        <w:spacing w:line="360" w:lineRule="auto"/>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日期：</w:t>
      </w:r>
    </w:p>
    <w:p w14:paraId="2CCE773A">
      <w:pPr>
        <w:rPr>
          <w:rFonts w:hint="eastAsia" w:ascii="仿宋" w:hAnsi="仿宋" w:eastAsia="仿宋" w:cs="仿宋"/>
          <w:color w:val="auto"/>
          <w:highlight w:val="none"/>
        </w:rPr>
      </w:pPr>
      <w:bookmarkStart w:id="381" w:name="_Hlt520356243"/>
      <w:bookmarkEnd w:id="381"/>
      <w:bookmarkStart w:id="382" w:name="_Hlt520355938"/>
      <w:bookmarkEnd w:id="382"/>
      <w:bookmarkStart w:id="383" w:name="_Toc216582815"/>
      <w:r>
        <w:rPr>
          <w:rFonts w:hint="eastAsia" w:ascii="仿宋" w:hAnsi="仿宋" w:eastAsia="仿宋" w:cs="仿宋"/>
          <w:color w:val="auto"/>
          <w:sz w:val="30"/>
          <w:highlight w:val="none"/>
        </w:rPr>
        <w:br w:type="page"/>
      </w:r>
      <w:bookmarkStart w:id="384" w:name="_Toc45562518"/>
      <w:bookmarkStart w:id="385" w:name="_Toc46235141"/>
      <w:bookmarkStart w:id="386" w:name="_Toc518923119"/>
      <w:bookmarkStart w:id="387" w:name="_Toc216582818"/>
      <w:r>
        <w:rPr>
          <w:rFonts w:hint="eastAsia" w:ascii="仿宋" w:hAnsi="仿宋" w:eastAsia="仿宋" w:cs="仿宋"/>
          <w:b/>
          <w:bCs/>
          <w:color w:val="auto"/>
          <w:sz w:val="24"/>
          <w:highlight w:val="none"/>
        </w:rPr>
        <w:t>13.符合价格扣除条件的供应商需提供的资料</w:t>
      </w:r>
      <w:bookmarkEnd w:id="384"/>
      <w:bookmarkEnd w:id="385"/>
    </w:p>
    <w:p w14:paraId="52B50928">
      <w:pPr>
        <w:spacing w:line="320" w:lineRule="exact"/>
        <w:rPr>
          <w:rFonts w:hint="eastAsia" w:ascii="仿宋" w:hAnsi="仿宋" w:eastAsia="仿宋" w:cs="仿宋"/>
          <w:b/>
          <w:color w:val="auto"/>
          <w:kern w:val="0"/>
          <w:sz w:val="24"/>
          <w:szCs w:val="20"/>
          <w:highlight w:val="none"/>
        </w:rPr>
      </w:pPr>
    </w:p>
    <w:bookmarkEnd w:id="386"/>
    <w:bookmarkEnd w:id="387"/>
    <w:p w14:paraId="2D3AD006">
      <w:pPr>
        <w:spacing w:line="360" w:lineRule="auto"/>
        <w:jc w:val="center"/>
        <w:rPr>
          <w:rFonts w:hint="eastAsia" w:ascii="仿宋" w:hAnsi="仿宋" w:eastAsia="仿宋" w:cs="仿宋"/>
          <w:b/>
          <w:color w:val="auto"/>
          <w:kern w:val="0"/>
          <w:sz w:val="24"/>
          <w:szCs w:val="20"/>
          <w:highlight w:val="none"/>
        </w:rPr>
      </w:pPr>
      <w:r>
        <w:rPr>
          <w:rFonts w:hint="eastAsia" w:ascii="仿宋" w:hAnsi="仿宋" w:eastAsia="仿宋" w:cs="仿宋"/>
          <w:b/>
          <w:color w:val="auto"/>
          <w:kern w:val="0"/>
          <w:sz w:val="24"/>
          <w:szCs w:val="20"/>
          <w:highlight w:val="none"/>
        </w:rPr>
        <w:t xml:space="preserve">13.1中小企业声明函（货物） </w:t>
      </w:r>
    </w:p>
    <w:p w14:paraId="4B9C4292">
      <w:pPr>
        <w:widowControl/>
        <w:spacing w:line="360" w:lineRule="auto"/>
        <w:ind w:firstLine="720" w:firstLineChars="3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本公司（联合体）郑重声明，根据《政府采购促进中小 企业发展管理办法》（财库﹝2020﹞46 号）的规定，本公司 （联合体）参加</w:t>
      </w:r>
      <w:r>
        <w:rPr>
          <w:rFonts w:hint="eastAsia" w:ascii="仿宋" w:hAnsi="仿宋" w:eastAsia="仿宋" w:cs="仿宋"/>
          <w:color w:val="auto"/>
          <w:kern w:val="0"/>
          <w:sz w:val="24"/>
          <w:highlight w:val="none"/>
          <w:u w:val="single"/>
          <w:lang w:bidi="ar"/>
        </w:rPr>
        <w:t>（单位名称）</w:t>
      </w:r>
      <w:r>
        <w:rPr>
          <w:rFonts w:hint="eastAsia" w:ascii="仿宋" w:hAnsi="仿宋" w:eastAsia="仿宋" w:cs="仿宋"/>
          <w:color w:val="auto"/>
          <w:kern w:val="0"/>
          <w:sz w:val="24"/>
          <w:highlight w:val="none"/>
          <w:lang w:bidi="ar"/>
        </w:rPr>
        <w:t>的</w:t>
      </w:r>
      <w:r>
        <w:rPr>
          <w:rFonts w:hint="eastAsia" w:ascii="仿宋" w:hAnsi="仿宋" w:eastAsia="仿宋" w:cs="仿宋"/>
          <w:color w:val="auto"/>
          <w:kern w:val="0"/>
          <w:sz w:val="24"/>
          <w:highlight w:val="none"/>
          <w:u w:val="single"/>
          <w:lang w:bidi="ar"/>
        </w:rPr>
        <w:t>（项目名称）</w:t>
      </w:r>
      <w:r>
        <w:rPr>
          <w:rFonts w:hint="eastAsia" w:ascii="仿宋" w:hAnsi="仿宋" w:eastAsia="仿宋" w:cs="仿宋"/>
          <w:color w:val="auto"/>
          <w:kern w:val="0"/>
          <w:sz w:val="24"/>
          <w:highlight w:val="none"/>
          <w:lang w:bidi="ar"/>
        </w:rPr>
        <w:t xml:space="preserve">采购活动，提供的货物全部由符合政策要求的中小企业制造。相关企业 （含联合体中的中小企业、签订分包意向协议的中小企业） 的具体情况如下： </w:t>
      </w:r>
    </w:p>
    <w:p w14:paraId="4D3EFAA3">
      <w:pPr>
        <w:widowControl/>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 xml:space="preserve">1. </w:t>
      </w:r>
      <w:r>
        <w:rPr>
          <w:rFonts w:hint="eastAsia" w:ascii="仿宋" w:hAnsi="仿宋" w:eastAsia="仿宋" w:cs="仿宋"/>
          <w:color w:val="auto"/>
          <w:kern w:val="0"/>
          <w:sz w:val="24"/>
          <w:highlight w:val="none"/>
          <w:u w:val="single"/>
          <w:lang w:bidi="ar"/>
        </w:rPr>
        <w:t xml:space="preserve">（标的名称） </w:t>
      </w:r>
      <w:r>
        <w:rPr>
          <w:rFonts w:hint="eastAsia" w:ascii="仿宋" w:hAnsi="仿宋" w:eastAsia="仿宋" w:cs="仿宋"/>
          <w:color w:val="auto"/>
          <w:kern w:val="0"/>
          <w:sz w:val="24"/>
          <w:highlight w:val="none"/>
          <w:lang w:bidi="ar"/>
        </w:rPr>
        <w:t>，属于</w:t>
      </w:r>
      <w:r>
        <w:rPr>
          <w:rFonts w:hint="eastAsia" w:ascii="仿宋" w:hAnsi="仿宋" w:eastAsia="仿宋" w:cs="仿宋"/>
          <w:color w:val="auto"/>
          <w:kern w:val="0"/>
          <w:sz w:val="24"/>
          <w:highlight w:val="none"/>
          <w:u w:val="single"/>
          <w:lang w:bidi="ar"/>
        </w:rPr>
        <w:t xml:space="preserve">（采购文件中明确的所属行业） </w:t>
      </w:r>
      <w:r>
        <w:rPr>
          <w:rFonts w:hint="eastAsia" w:ascii="仿宋" w:hAnsi="仿宋" w:eastAsia="仿宋" w:cs="仿宋"/>
          <w:color w:val="auto"/>
          <w:kern w:val="0"/>
          <w:sz w:val="24"/>
          <w:highlight w:val="none"/>
          <w:lang w:bidi="ar"/>
        </w:rPr>
        <w:t>行业；制造商为</w:t>
      </w:r>
      <w:r>
        <w:rPr>
          <w:rFonts w:hint="eastAsia" w:ascii="仿宋" w:hAnsi="仿宋" w:eastAsia="仿宋" w:cs="仿宋"/>
          <w:color w:val="auto"/>
          <w:kern w:val="0"/>
          <w:sz w:val="24"/>
          <w:highlight w:val="none"/>
          <w:u w:val="single"/>
          <w:lang w:bidi="ar"/>
        </w:rPr>
        <w:t>（企业名称）</w:t>
      </w:r>
      <w:r>
        <w:rPr>
          <w:rFonts w:hint="eastAsia" w:ascii="仿宋" w:hAnsi="仿宋" w:eastAsia="仿宋" w:cs="仿宋"/>
          <w:color w:val="auto"/>
          <w:kern w:val="0"/>
          <w:sz w:val="24"/>
          <w:highlight w:val="none"/>
          <w:lang w:bidi="ar"/>
        </w:rPr>
        <w:t>，从业人员</w:t>
      </w:r>
      <w:r>
        <w:rPr>
          <w:rFonts w:hint="eastAsia" w:ascii="仿宋" w:hAnsi="仿宋" w:eastAsia="仿宋" w:cs="仿宋"/>
          <w:color w:val="auto"/>
          <w:kern w:val="0"/>
          <w:sz w:val="24"/>
          <w:highlight w:val="none"/>
          <w:u w:val="single"/>
          <w:lang w:bidi="ar"/>
        </w:rPr>
        <w:t xml:space="preserve">   </w:t>
      </w:r>
      <w:r>
        <w:rPr>
          <w:rFonts w:hint="eastAsia" w:ascii="仿宋" w:hAnsi="仿宋" w:eastAsia="仿宋" w:cs="仿宋"/>
          <w:color w:val="auto"/>
          <w:kern w:val="0"/>
          <w:sz w:val="24"/>
          <w:highlight w:val="none"/>
          <w:lang w:bidi="ar"/>
        </w:rPr>
        <w:t>人，营业收入为</w:t>
      </w:r>
      <w:r>
        <w:rPr>
          <w:rFonts w:hint="eastAsia" w:ascii="仿宋" w:hAnsi="仿宋" w:eastAsia="仿宋" w:cs="仿宋"/>
          <w:color w:val="auto"/>
          <w:kern w:val="0"/>
          <w:sz w:val="24"/>
          <w:highlight w:val="none"/>
          <w:u w:val="single"/>
          <w:lang w:bidi="ar"/>
        </w:rPr>
        <w:t xml:space="preserve">    </w:t>
      </w:r>
      <w:r>
        <w:rPr>
          <w:rFonts w:hint="eastAsia" w:ascii="仿宋" w:hAnsi="仿宋" w:eastAsia="仿宋" w:cs="仿宋"/>
          <w:color w:val="auto"/>
          <w:kern w:val="0"/>
          <w:sz w:val="24"/>
          <w:highlight w:val="none"/>
          <w:lang w:bidi="ar"/>
        </w:rPr>
        <w:t>万元，资产总额为</w:t>
      </w:r>
      <w:r>
        <w:rPr>
          <w:rFonts w:hint="eastAsia" w:ascii="仿宋" w:hAnsi="仿宋" w:eastAsia="仿宋" w:cs="仿宋"/>
          <w:color w:val="auto"/>
          <w:kern w:val="0"/>
          <w:sz w:val="24"/>
          <w:highlight w:val="none"/>
          <w:u w:val="single"/>
          <w:lang w:bidi="ar"/>
        </w:rPr>
        <w:t xml:space="preserve">   </w:t>
      </w:r>
      <w:r>
        <w:rPr>
          <w:rFonts w:hint="eastAsia" w:ascii="仿宋" w:hAnsi="仿宋" w:eastAsia="仿宋" w:cs="仿宋"/>
          <w:color w:val="auto"/>
          <w:kern w:val="0"/>
          <w:sz w:val="24"/>
          <w:highlight w:val="none"/>
          <w:lang w:bidi="ar"/>
        </w:rPr>
        <w:t xml:space="preserve">万元，属于（中型企业、小型企业、微型企业）； </w:t>
      </w:r>
    </w:p>
    <w:p w14:paraId="18496334">
      <w:pPr>
        <w:widowControl/>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 xml:space="preserve">2. </w:t>
      </w:r>
      <w:r>
        <w:rPr>
          <w:rFonts w:hint="eastAsia" w:ascii="仿宋" w:hAnsi="仿宋" w:eastAsia="仿宋" w:cs="仿宋"/>
          <w:color w:val="auto"/>
          <w:kern w:val="0"/>
          <w:sz w:val="24"/>
          <w:highlight w:val="none"/>
          <w:u w:val="single"/>
          <w:lang w:bidi="ar"/>
        </w:rPr>
        <w:t xml:space="preserve">（标的名称） </w:t>
      </w:r>
      <w:r>
        <w:rPr>
          <w:rFonts w:hint="eastAsia" w:ascii="仿宋" w:hAnsi="仿宋" w:eastAsia="仿宋" w:cs="仿宋"/>
          <w:color w:val="auto"/>
          <w:kern w:val="0"/>
          <w:sz w:val="24"/>
          <w:highlight w:val="none"/>
          <w:lang w:bidi="ar"/>
        </w:rPr>
        <w:t>，属于</w:t>
      </w:r>
      <w:r>
        <w:rPr>
          <w:rFonts w:hint="eastAsia" w:ascii="仿宋" w:hAnsi="仿宋" w:eastAsia="仿宋" w:cs="仿宋"/>
          <w:color w:val="auto"/>
          <w:kern w:val="0"/>
          <w:sz w:val="24"/>
          <w:highlight w:val="none"/>
          <w:u w:val="single"/>
          <w:lang w:bidi="ar"/>
        </w:rPr>
        <w:t>（采购文件中明确的所属行业）</w:t>
      </w:r>
      <w:r>
        <w:rPr>
          <w:rFonts w:hint="eastAsia" w:ascii="仿宋" w:hAnsi="仿宋" w:eastAsia="仿宋" w:cs="仿宋"/>
          <w:color w:val="auto"/>
          <w:kern w:val="0"/>
          <w:sz w:val="24"/>
          <w:highlight w:val="none"/>
          <w:lang w:bidi="ar"/>
        </w:rPr>
        <w:t>行业；制造商为</w:t>
      </w:r>
      <w:r>
        <w:rPr>
          <w:rFonts w:hint="eastAsia" w:ascii="仿宋" w:hAnsi="仿宋" w:eastAsia="仿宋" w:cs="仿宋"/>
          <w:color w:val="auto"/>
          <w:kern w:val="0"/>
          <w:sz w:val="24"/>
          <w:highlight w:val="none"/>
          <w:u w:val="single"/>
          <w:lang w:bidi="ar"/>
        </w:rPr>
        <w:t>（企业名称）</w:t>
      </w:r>
      <w:r>
        <w:rPr>
          <w:rFonts w:hint="eastAsia" w:ascii="仿宋" w:hAnsi="仿宋" w:eastAsia="仿宋" w:cs="仿宋"/>
          <w:color w:val="auto"/>
          <w:kern w:val="0"/>
          <w:sz w:val="24"/>
          <w:highlight w:val="none"/>
          <w:lang w:bidi="ar"/>
        </w:rPr>
        <w:t>，从业人员</w:t>
      </w:r>
      <w:r>
        <w:rPr>
          <w:rFonts w:hint="eastAsia" w:ascii="仿宋" w:hAnsi="仿宋" w:eastAsia="仿宋" w:cs="仿宋"/>
          <w:color w:val="auto"/>
          <w:kern w:val="0"/>
          <w:sz w:val="24"/>
          <w:highlight w:val="none"/>
          <w:u w:val="single"/>
          <w:lang w:bidi="ar"/>
        </w:rPr>
        <w:t xml:space="preserve">  </w:t>
      </w:r>
      <w:r>
        <w:rPr>
          <w:rFonts w:hint="eastAsia" w:ascii="仿宋" w:hAnsi="仿宋" w:eastAsia="仿宋" w:cs="仿宋"/>
          <w:color w:val="auto"/>
          <w:kern w:val="0"/>
          <w:sz w:val="24"/>
          <w:highlight w:val="none"/>
          <w:lang w:bidi="ar"/>
        </w:rPr>
        <w:t>人，营业收入为</w:t>
      </w:r>
      <w:r>
        <w:rPr>
          <w:rFonts w:hint="eastAsia" w:ascii="仿宋" w:hAnsi="仿宋" w:eastAsia="仿宋" w:cs="仿宋"/>
          <w:color w:val="auto"/>
          <w:kern w:val="0"/>
          <w:sz w:val="24"/>
          <w:highlight w:val="none"/>
          <w:u w:val="single"/>
          <w:lang w:bidi="ar"/>
        </w:rPr>
        <w:t xml:space="preserve">   </w:t>
      </w:r>
      <w:r>
        <w:rPr>
          <w:rFonts w:hint="eastAsia" w:ascii="仿宋" w:hAnsi="仿宋" w:eastAsia="仿宋" w:cs="仿宋"/>
          <w:color w:val="auto"/>
          <w:kern w:val="0"/>
          <w:sz w:val="24"/>
          <w:highlight w:val="none"/>
          <w:lang w:bidi="ar"/>
        </w:rPr>
        <w:t>万元，资产总额为</w:t>
      </w:r>
      <w:r>
        <w:rPr>
          <w:rFonts w:hint="eastAsia" w:ascii="仿宋" w:hAnsi="仿宋" w:eastAsia="仿宋" w:cs="仿宋"/>
          <w:color w:val="auto"/>
          <w:kern w:val="0"/>
          <w:sz w:val="24"/>
          <w:highlight w:val="none"/>
          <w:u w:val="single"/>
          <w:lang w:bidi="ar"/>
        </w:rPr>
        <w:t xml:space="preserve">   </w:t>
      </w:r>
      <w:r>
        <w:rPr>
          <w:rFonts w:hint="eastAsia" w:ascii="仿宋" w:hAnsi="仿宋" w:eastAsia="仿宋" w:cs="仿宋"/>
          <w:color w:val="auto"/>
          <w:kern w:val="0"/>
          <w:sz w:val="24"/>
          <w:highlight w:val="none"/>
          <w:lang w:bidi="ar"/>
        </w:rPr>
        <w:t xml:space="preserve">万元，属于（中型企业、小型企业、微型企业）； </w:t>
      </w:r>
    </w:p>
    <w:p w14:paraId="581B08C9">
      <w:pPr>
        <w:widowControl/>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w:t>
      </w:r>
    </w:p>
    <w:p w14:paraId="1F2542B0">
      <w:pPr>
        <w:widowControl/>
        <w:spacing w:line="360" w:lineRule="auto"/>
        <w:ind w:firstLine="480" w:firstLineChars="200"/>
        <w:jc w:val="left"/>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highlight w:val="none"/>
          <w:lang w:bidi="ar"/>
        </w:rPr>
        <w:t>以上企业，不属于大企业的分支机构，不存在控股股东为大企业的情形，也不存在与大企业的负责人为同一人的情形。</w:t>
      </w:r>
    </w:p>
    <w:p w14:paraId="2A7F2D55">
      <w:pPr>
        <w:widowControl/>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 xml:space="preserve">本企业对上述声明内容的真实性负责。如有虚假，将依法承担相应责任。 </w:t>
      </w:r>
    </w:p>
    <w:p w14:paraId="75D4B53C">
      <w:pPr>
        <w:widowControl/>
        <w:spacing w:line="360" w:lineRule="auto"/>
        <w:ind w:firstLine="6000" w:firstLineChars="25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 xml:space="preserve">企业名称（盖章）： </w:t>
      </w:r>
    </w:p>
    <w:p w14:paraId="66911266">
      <w:pPr>
        <w:pStyle w:val="8"/>
        <w:spacing w:line="360" w:lineRule="auto"/>
        <w:ind w:right="372" w:firstLine="645"/>
        <w:jc w:val="right"/>
        <w:rPr>
          <w:rFonts w:hint="eastAsia" w:ascii="仿宋" w:hAnsi="仿宋" w:eastAsia="仿宋" w:cs="仿宋"/>
          <w:color w:val="auto"/>
          <w:highlight w:val="none"/>
        </w:rPr>
      </w:pPr>
      <w:r>
        <w:rPr>
          <w:rFonts w:hint="eastAsia" w:ascii="仿宋" w:hAnsi="仿宋" w:eastAsia="仿宋" w:cs="仿宋"/>
          <w:color w:val="auto"/>
          <w:kern w:val="0"/>
          <w:highlight w:val="none"/>
          <w:lang w:bidi="ar"/>
        </w:rPr>
        <w:t xml:space="preserve">                                                         日 期：</w:t>
      </w:r>
    </w:p>
    <w:p w14:paraId="64AAE186">
      <w:pPr>
        <w:spacing w:line="360" w:lineRule="auto"/>
        <w:rPr>
          <w:rFonts w:hint="eastAsia" w:ascii="仿宋" w:hAnsi="仿宋" w:eastAsia="仿宋" w:cs="仿宋"/>
          <w:color w:val="auto"/>
          <w:highlight w:val="none"/>
        </w:rPr>
      </w:pPr>
    </w:p>
    <w:p w14:paraId="7D60015F">
      <w:pPr>
        <w:rPr>
          <w:rFonts w:hint="eastAsia" w:ascii="仿宋" w:hAnsi="仿宋" w:eastAsia="仿宋" w:cs="仿宋"/>
          <w:color w:val="auto"/>
          <w:highlight w:val="none"/>
        </w:rPr>
      </w:pPr>
      <w:r>
        <w:rPr>
          <w:rFonts w:hint="eastAsia" w:ascii="仿宋" w:hAnsi="仿宋" w:eastAsia="仿宋" w:cs="仿宋"/>
          <w:color w:val="auto"/>
          <w:highlight w:val="none"/>
        </w:rPr>
        <w:t>从业人员、营业收入、资产总额填报上一年度数据，无上一年度数据的新成立企业可不填报。</w:t>
      </w:r>
    </w:p>
    <w:p w14:paraId="55941C39">
      <w:pPr>
        <w:rPr>
          <w:rFonts w:hint="eastAsia" w:ascii="仿宋" w:hAnsi="仿宋" w:eastAsia="仿宋" w:cs="仿宋"/>
          <w:color w:val="auto"/>
          <w:highlight w:val="none"/>
        </w:rPr>
      </w:pPr>
    </w:p>
    <w:p w14:paraId="5D9C6E70">
      <w:pPr>
        <w:rPr>
          <w:rFonts w:hint="eastAsia" w:ascii="仿宋" w:hAnsi="仿宋" w:eastAsia="仿宋" w:cs="仿宋"/>
          <w:color w:val="auto"/>
          <w:highlight w:val="none"/>
        </w:rPr>
      </w:pPr>
    </w:p>
    <w:p w14:paraId="36715447">
      <w:pPr>
        <w:rPr>
          <w:rFonts w:hint="eastAsia" w:ascii="仿宋" w:hAnsi="仿宋" w:eastAsia="仿宋" w:cs="仿宋"/>
          <w:color w:val="auto"/>
          <w:highlight w:val="none"/>
        </w:rPr>
      </w:pPr>
    </w:p>
    <w:p w14:paraId="480DBFCA">
      <w:pPr>
        <w:rPr>
          <w:rFonts w:hint="eastAsia" w:ascii="仿宋" w:hAnsi="仿宋" w:eastAsia="仿宋" w:cs="仿宋"/>
          <w:color w:val="auto"/>
          <w:highlight w:val="none"/>
        </w:rPr>
      </w:pPr>
    </w:p>
    <w:p w14:paraId="01BDD939">
      <w:pPr>
        <w:rPr>
          <w:rFonts w:hint="eastAsia" w:ascii="仿宋" w:hAnsi="仿宋" w:eastAsia="仿宋" w:cs="仿宋"/>
          <w:color w:val="auto"/>
          <w:highlight w:val="none"/>
        </w:rPr>
      </w:pPr>
    </w:p>
    <w:p w14:paraId="7ED37139">
      <w:pPr>
        <w:rPr>
          <w:rFonts w:hint="eastAsia" w:ascii="仿宋" w:hAnsi="仿宋" w:eastAsia="仿宋" w:cs="仿宋"/>
          <w:color w:val="auto"/>
          <w:highlight w:val="none"/>
        </w:rPr>
      </w:pPr>
    </w:p>
    <w:p w14:paraId="1243630A">
      <w:pPr>
        <w:rPr>
          <w:rFonts w:hint="eastAsia" w:ascii="仿宋" w:hAnsi="仿宋" w:eastAsia="仿宋" w:cs="仿宋"/>
          <w:color w:val="auto"/>
          <w:highlight w:val="none"/>
        </w:rPr>
      </w:pPr>
    </w:p>
    <w:p w14:paraId="3DF5A656">
      <w:pPr>
        <w:rPr>
          <w:rFonts w:hint="eastAsia" w:ascii="仿宋" w:hAnsi="仿宋" w:eastAsia="仿宋" w:cs="仿宋"/>
          <w:color w:val="auto"/>
          <w:highlight w:val="none"/>
        </w:rPr>
      </w:pPr>
    </w:p>
    <w:p w14:paraId="3142DAE0">
      <w:pPr>
        <w:rPr>
          <w:rFonts w:hint="eastAsia" w:ascii="仿宋" w:hAnsi="仿宋" w:eastAsia="仿宋" w:cs="仿宋"/>
          <w:color w:val="auto"/>
          <w:highlight w:val="none"/>
        </w:rPr>
      </w:pPr>
    </w:p>
    <w:p w14:paraId="7E07CC9E">
      <w:pPr>
        <w:rPr>
          <w:rFonts w:hint="eastAsia" w:ascii="仿宋" w:hAnsi="仿宋" w:eastAsia="仿宋" w:cs="仿宋"/>
          <w:color w:val="auto"/>
          <w:highlight w:val="none"/>
        </w:rPr>
      </w:pPr>
    </w:p>
    <w:p w14:paraId="4A3E6C67">
      <w:pPr>
        <w:tabs>
          <w:tab w:val="left" w:pos="1057"/>
        </w:tabs>
        <w:jc w:val="left"/>
        <w:rPr>
          <w:rFonts w:hint="eastAsia" w:ascii="仿宋" w:hAnsi="仿宋" w:eastAsia="仿宋" w:cs="仿宋"/>
          <w:color w:val="auto"/>
          <w:highlight w:val="none"/>
        </w:rPr>
        <w:sectPr>
          <w:footerReference r:id="rId10" w:type="default"/>
          <w:pgSz w:w="11910" w:h="16840"/>
          <w:pgMar w:top="1500" w:right="1380" w:bottom="1780" w:left="1580" w:header="510" w:footer="1474" w:gutter="0"/>
          <w:cols w:space="720" w:num="1"/>
        </w:sectPr>
      </w:pPr>
    </w:p>
    <w:p w14:paraId="2F0C51BC">
      <w:pPr>
        <w:spacing w:line="360" w:lineRule="auto"/>
        <w:jc w:val="center"/>
        <w:rPr>
          <w:rFonts w:hint="eastAsia" w:ascii="仿宋" w:hAnsi="仿宋" w:eastAsia="仿宋" w:cs="仿宋"/>
          <w:b/>
          <w:color w:val="auto"/>
          <w:kern w:val="0"/>
          <w:sz w:val="24"/>
          <w:highlight w:val="none"/>
        </w:rPr>
      </w:pPr>
      <w:bookmarkStart w:id="388" w:name="_Toc23068"/>
      <w:bookmarkStart w:id="389" w:name="_Toc515647825"/>
      <w:bookmarkStart w:id="390" w:name="_Toc19284"/>
      <w:bookmarkStart w:id="391" w:name="_Toc24603"/>
      <w:bookmarkStart w:id="392" w:name="OLE_LINK13"/>
      <w:bookmarkStart w:id="393" w:name="OLE_LINK14"/>
      <w:r>
        <w:rPr>
          <w:rFonts w:hint="eastAsia" w:ascii="仿宋" w:hAnsi="仿宋" w:eastAsia="仿宋" w:cs="仿宋"/>
          <w:b/>
          <w:color w:val="auto"/>
          <w:kern w:val="0"/>
          <w:sz w:val="24"/>
          <w:highlight w:val="none"/>
        </w:rPr>
        <w:t>13.2残疾人福利性单位声明函</w:t>
      </w:r>
      <w:bookmarkEnd w:id="388"/>
      <w:bookmarkEnd w:id="389"/>
      <w:bookmarkEnd w:id="390"/>
      <w:bookmarkEnd w:id="391"/>
    </w:p>
    <w:bookmarkEnd w:id="392"/>
    <w:bookmarkEnd w:id="393"/>
    <w:p w14:paraId="12837E37">
      <w:pPr>
        <w:spacing w:line="360" w:lineRule="auto"/>
        <w:ind w:left="1079" w:leftChars="257" w:hanging="540"/>
        <w:jc w:val="center"/>
        <w:rPr>
          <w:rFonts w:hint="eastAsia" w:ascii="仿宋" w:hAnsi="仿宋" w:eastAsia="仿宋" w:cs="仿宋"/>
          <w:color w:val="auto"/>
          <w:kern w:val="0"/>
          <w:sz w:val="24"/>
          <w:highlight w:val="none"/>
        </w:rPr>
      </w:pPr>
    </w:p>
    <w:p w14:paraId="3E9DFFEC">
      <w:pPr>
        <w:spacing w:line="360" w:lineRule="auto"/>
        <w:ind w:firstLine="56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本单位郑重声明，根据《财政部民政部中国残疾人联合会关于促进残疾人就业政府采购政策的通知》（财库〔2017〕141号）的规定，本单位为符合条件的残疾人福利性单位，且本单位参加______单位的______项目采购活动提供本单位制造的货物，或者提供其他残疾人福利性单位制造的货物（不包括使用非残疾人福利性单位注册商标的货物）。</w:t>
      </w:r>
    </w:p>
    <w:p w14:paraId="557CE89B">
      <w:pPr>
        <w:spacing w:line="360" w:lineRule="auto"/>
        <w:ind w:left="1079" w:leftChars="257" w:hanging="54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本单位对上述声明的真实性负责。如有虚假，将依法承担相应责任。</w:t>
      </w:r>
    </w:p>
    <w:p w14:paraId="11450CCB">
      <w:pPr>
        <w:spacing w:line="240" w:lineRule="atLeast"/>
        <w:ind w:left="1079" w:leftChars="257" w:hanging="540"/>
        <w:rPr>
          <w:rFonts w:hint="eastAsia" w:ascii="仿宋" w:hAnsi="仿宋" w:eastAsia="仿宋" w:cs="仿宋"/>
          <w:color w:val="auto"/>
          <w:kern w:val="0"/>
          <w:sz w:val="24"/>
          <w:szCs w:val="20"/>
          <w:highlight w:val="none"/>
        </w:rPr>
      </w:pPr>
    </w:p>
    <w:p w14:paraId="14B6201F">
      <w:pPr>
        <w:jc w:val="center"/>
        <w:rPr>
          <w:rFonts w:hint="eastAsia" w:ascii="仿宋" w:hAnsi="仿宋" w:eastAsia="仿宋" w:cs="仿宋"/>
          <w:b/>
          <w:color w:val="auto"/>
          <w:kern w:val="0"/>
          <w:sz w:val="24"/>
          <w:szCs w:val="20"/>
          <w:highlight w:val="none"/>
        </w:rPr>
      </w:pPr>
      <w:r>
        <w:rPr>
          <w:rFonts w:hint="eastAsia" w:ascii="仿宋" w:hAnsi="仿宋" w:eastAsia="仿宋" w:cs="仿宋"/>
          <w:b/>
          <w:color w:val="auto"/>
          <w:kern w:val="0"/>
          <w:sz w:val="24"/>
          <w:szCs w:val="20"/>
          <w:highlight w:val="none"/>
        </w:rPr>
        <w:t>13.3省级以上监狱管理局、戒毒管理局（含新疆生产建设兵团） 出具的属于监狱企业的证明文件复印件</w:t>
      </w:r>
    </w:p>
    <w:p w14:paraId="666128D2">
      <w:pPr>
        <w:keepNext/>
        <w:keepLines/>
        <w:autoSpaceDE w:val="0"/>
        <w:autoSpaceDN w:val="0"/>
        <w:adjustRightInd w:val="0"/>
        <w:spacing w:line="320" w:lineRule="exact"/>
        <w:ind w:left="1079" w:leftChars="257" w:hanging="540"/>
        <w:outlineLvl w:val="1"/>
        <w:rPr>
          <w:rFonts w:hint="eastAsia" w:ascii="仿宋" w:hAnsi="仿宋" w:eastAsia="仿宋" w:cs="仿宋"/>
          <w:b/>
          <w:color w:val="auto"/>
          <w:kern w:val="0"/>
          <w:sz w:val="30"/>
          <w:szCs w:val="20"/>
          <w:highlight w:val="none"/>
        </w:rPr>
        <w:sectPr>
          <w:footerReference r:id="rId13" w:type="first"/>
          <w:footerReference r:id="rId11" w:type="default"/>
          <w:footerReference r:id="rId12" w:type="even"/>
          <w:pgSz w:w="11906" w:h="16838"/>
          <w:pgMar w:top="1440" w:right="1797" w:bottom="1440" w:left="1797" w:header="851" w:footer="992" w:gutter="0"/>
          <w:cols w:space="720" w:num="1"/>
          <w:docGrid w:type="linesAndChars" w:linePitch="312" w:charSpace="0"/>
        </w:sectPr>
      </w:pPr>
    </w:p>
    <w:bookmarkEnd w:id="383"/>
    <w:p w14:paraId="4D99D6A5">
      <w:pPr>
        <w:spacing w:line="360" w:lineRule="auto"/>
        <w:ind w:left="124" w:right="-20"/>
        <w:jc w:val="left"/>
        <w:rPr>
          <w:rFonts w:hint="eastAsia" w:ascii="仿宋" w:hAnsi="仿宋" w:eastAsia="仿宋" w:cs="仿宋"/>
          <w:color w:val="auto"/>
          <w:kern w:val="0"/>
          <w:sz w:val="24"/>
          <w:szCs w:val="22"/>
          <w:highlight w:val="none"/>
        </w:rPr>
      </w:pPr>
      <w:bookmarkStart w:id="394" w:name="_Toc46238282"/>
      <w:bookmarkStart w:id="395" w:name="_Toc46136865"/>
      <w:bookmarkStart w:id="396" w:name="_Toc8391"/>
      <w:bookmarkStart w:id="397" w:name="_Toc46136866"/>
      <w:bookmarkStart w:id="398" w:name="_Toc46238283"/>
      <w:bookmarkStart w:id="399" w:name="_Toc45562517"/>
      <w:r>
        <w:rPr>
          <w:rFonts w:hint="eastAsia" w:ascii="仿宋" w:hAnsi="仿宋" w:eastAsia="仿宋" w:cs="仿宋"/>
          <w:color w:val="auto"/>
          <w:kern w:val="0"/>
          <w:sz w:val="24"/>
          <w:szCs w:val="22"/>
          <w:highlight w:val="none"/>
        </w:rPr>
        <w:t>14.分项报价表</w:t>
      </w:r>
      <w:bookmarkEnd w:id="394"/>
      <w:bookmarkEnd w:id="395"/>
      <w:bookmarkEnd w:id="396"/>
    </w:p>
    <w:p w14:paraId="6BC875DA">
      <w:pPr>
        <w:spacing w:line="360" w:lineRule="auto"/>
        <w:ind w:left="124" w:right="-20"/>
        <w:jc w:val="left"/>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14.1服务分项报价表</w:t>
      </w:r>
    </w:p>
    <w:p w14:paraId="29DDC406">
      <w:pPr>
        <w:spacing w:line="360" w:lineRule="auto"/>
        <w:ind w:right="-1"/>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供应商名称（公章）： </w:t>
      </w:r>
    </w:p>
    <w:p w14:paraId="27A9B340">
      <w:pPr>
        <w:spacing w:line="360" w:lineRule="auto"/>
        <w:ind w:right="-1"/>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法定代表人或负责人或授权代理人</w:t>
      </w:r>
      <w:r>
        <w:rPr>
          <w:rFonts w:hint="eastAsia" w:ascii="仿宋" w:hAnsi="仿宋" w:eastAsia="仿宋" w:cs="仿宋"/>
          <w:color w:val="auto"/>
          <w:sz w:val="24"/>
          <w:szCs w:val="20"/>
          <w:highlight w:val="none"/>
        </w:rPr>
        <w:t>签字或盖章</w:t>
      </w:r>
      <w:r>
        <w:rPr>
          <w:rFonts w:hint="eastAsia" w:ascii="仿宋" w:hAnsi="仿宋" w:eastAsia="仿宋" w:cs="仿宋"/>
          <w:color w:val="auto"/>
          <w:sz w:val="24"/>
          <w:highlight w:val="none"/>
        </w:rPr>
        <w:t xml:space="preserve">：   </w:t>
      </w:r>
    </w:p>
    <w:p w14:paraId="0B7A694D">
      <w:pPr>
        <w:spacing w:line="360" w:lineRule="auto"/>
        <w:ind w:right="-1"/>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项目编号：    </w:t>
      </w:r>
    </w:p>
    <w:p w14:paraId="639DBF02">
      <w:pPr>
        <w:spacing w:line="360" w:lineRule="auto"/>
        <w:jc w:val="left"/>
        <w:rPr>
          <w:rFonts w:hint="eastAsia" w:ascii="仿宋" w:hAnsi="仿宋" w:eastAsia="仿宋" w:cs="仿宋"/>
          <w:color w:val="auto"/>
          <w:kern w:val="0"/>
          <w:position w:val="-2"/>
          <w:szCs w:val="21"/>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kern w:val="0"/>
          <w:sz w:val="24"/>
          <w:szCs w:val="22"/>
          <w:highlight w:val="none"/>
        </w:rPr>
        <w:t xml:space="preserve">                                      </w:t>
      </w:r>
      <w:r>
        <w:rPr>
          <w:rFonts w:hint="eastAsia" w:ascii="仿宋" w:hAnsi="仿宋" w:eastAsia="仿宋" w:cs="仿宋"/>
          <w:color w:val="auto"/>
          <w:sz w:val="24"/>
          <w:highlight w:val="none"/>
        </w:rPr>
        <w:t>单位：元</w:t>
      </w:r>
    </w:p>
    <w:tbl>
      <w:tblPr>
        <w:tblStyle w:val="3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9"/>
        <w:gridCol w:w="808"/>
        <w:gridCol w:w="587"/>
        <w:gridCol w:w="587"/>
        <w:gridCol w:w="870"/>
        <w:gridCol w:w="578"/>
        <w:gridCol w:w="772"/>
        <w:gridCol w:w="772"/>
        <w:gridCol w:w="1153"/>
        <w:gridCol w:w="644"/>
        <w:gridCol w:w="1045"/>
      </w:tblGrid>
      <w:tr w14:paraId="53051A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5" w:hRule="atLeast"/>
        </w:trPr>
        <w:tc>
          <w:tcPr>
            <w:tcW w:w="416" w:type="pct"/>
            <w:tcBorders>
              <w:top w:val="single" w:color="000000" w:sz="4" w:space="0"/>
              <w:left w:val="single" w:color="000000" w:sz="4" w:space="0"/>
              <w:bottom w:val="single" w:color="000000" w:sz="4" w:space="0"/>
              <w:right w:val="single" w:color="000000" w:sz="4" w:space="0"/>
            </w:tcBorders>
          </w:tcPr>
          <w:p w14:paraId="47F83831">
            <w:pPr>
              <w:spacing w:line="400" w:lineRule="exact"/>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474" w:type="pct"/>
            <w:tcBorders>
              <w:top w:val="single" w:color="000000" w:sz="4" w:space="0"/>
              <w:left w:val="single" w:color="000000" w:sz="4" w:space="0"/>
              <w:bottom w:val="single" w:color="000000" w:sz="4" w:space="0"/>
              <w:right w:val="single" w:color="000000" w:sz="4" w:space="0"/>
            </w:tcBorders>
          </w:tcPr>
          <w:p w14:paraId="072FE915">
            <w:pPr>
              <w:spacing w:line="400" w:lineRule="exact"/>
              <w:jc w:val="left"/>
              <w:rPr>
                <w:rFonts w:hint="eastAsia" w:ascii="仿宋" w:hAnsi="仿宋" w:eastAsia="仿宋" w:cs="仿宋"/>
                <w:color w:val="auto"/>
                <w:sz w:val="24"/>
                <w:highlight w:val="none"/>
                <w:lang w:eastAsia="en-US"/>
              </w:rPr>
            </w:pPr>
            <w:r>
              <w:rPr>
                <w:rFonts w:hint="eastAsia" w:ascii="仿宋" w:hAnsi="仿宋" w:eastAsia="仿宋" w:cs="仿宋"/>
                <w:color w:val="auto"/>
                <w:sz w:val="24"/>
                <w:highlight w:val="none"/>
                <w:lang w:eastAsia="en-US"/>
              </w:rPr>
              <w:t>货物名称</w:t>
            </w:r>
          </w:p>
        </w:tc>
        <w:tc>
          <w:tcPr>
            <w:tcW w:w="344" w:type="pct"/>
            <w:tcBorders>
              <w:top w:val="single" w:color="000000" w:sz="4" w:space="0"/>
              <w:left w:val="single" w:color="000000" w:sz="4" w:space="0"/>
              <w:bottom w:val="single" w:color="000000" w:sz="4" w:space="0"/>
              <w:right w:val="single" w:color="000000" w:sz="4" w:space="0"/>
            </w:tcBorders>
          </w:tcPr>
          <w:p w14:paraId="2E2CF066">
            <w:pPr>
              <w:spacing w:line="400" w:lineRule="exact"/>
              <w:jc w:val="left"/>
              <w:rPr>
                <w:rFonts w:hint="eastAsia" w:ascii="仿宋" w:hAnsi="仿宋" w:eastAsia="仿宋" w:cs="仿宋"/>
                <w:color w:val="auto"/>
                <w:sz w:val="24"/>
                <w:highlight w:val="none"/>
                <w:lang w:eastAsia="en-US"/>
              </w:rPr>
            </w:pPr>
            <w:r>
              <w:rPr>
                <w:rFonts w:hint="eastAsia" w:ascii="仿宋" w:hAnsi="仿宋" w:eastAsia="仿宋" w:cs="仿宋"/>
                <w:color w:val="auto"/>
                <w:sz w:val="24"/>
                <w:highlight w:val="none"/>
                <w:lang w:eastAsia="en-US"/>
              </w:rPr>
              <w:t>数量</w:t>
            </w:r>
          </w:p>
        </w:tc>
        <w:tc>
          <w:tcPr>
            <w:tcW w:w="344" w:type="pct"/>
            <w:tcBorders>
              <w:top w:val="single" w:color="000000" w:sz="4" w:space="0"/>
              <w:left w:val="single" w:color="000000" w:sz="4" w:space="0"/>
              <w:bottom w:val="single" w:color="000000" w:sz="4" w:space="0"/>
              <w:right w:val="single" w:color="000000" w:sz="4" w:space="0"/>
            </w:tcBorders>
          </w:tcPr>
          <w:p w14:paraId="4221180A">
            <w:pPr>
              <w:spacing w:line="400" w:lineRule="exact"/>
              <w:jc w:val="left"/>
              <w:rPr>
                <w:rFonts w:hint="eastAsia" w:ascii="仿宋" w:hAnsi="仿宋" w:eastAsia="仿宋" w:cs="仿宋"/>
                <w:color w:val="auto"/>
                <w:sz w:val="24"/>
                <w:highlight w:val="none"/>
                <w:lang w:eastAsia="en-US"/>
              </w:rPr>
            </w:pPr>
            <w:r>
              <w:rPr>
                <w:rFonts w:hint="eastAsia" w:ascii="仿宋" w:hAnsi="仿宋" w:eastAsia="仿宋" w:cs="仿宋"/>
                <w:color w:val="auto"/>
                <w:sz w:val="24"/>
                <w:highlight w:val="none"/>
                <w:lang w:eastAsia="en-US"/>
              </w:rPr>
              <w:t>单位</w:t>
            </w:r>
          </w:p>
        </w:tc>
        <w:tc>
          <w:tcPr>
            <w:tcW w:w="510" w:type="pct"/>
            <w:tcBorders>
              <w:top w:val="single" w:color="000000" w:sz="4" w:space="0"/>
              <w:left w:val="single" w:color="000000" w:sz="4" w:space="0"/>
              <w:bottom w:val="single" w:color="000000" w:sz="4" w:space="0"/>
              <w:right w:val="single" w:color="000000" w:sz="4" w:space="0"/>
            </w:tcBorders>
          </w:tcPr>
          <w:p w14:paraId="30044F35">
            <w:pPr>
              <w:spacing w:line="400" w:lineRule="exact"/>
              <w:jc w:val="left"/>
              <w:rPr>
                <w:rFonts w:hint="eastAsia" w:ascii="仿宋" w:hAnsi="仿宋" w:eastAsia="仿宋" w:cs="仿宋"/>
                <w:color w:val="auto"/>
                <w:sz w:val="24"/>
                <w:highlight w:val="none"/>
                <w:lang w:eastAsia="en-US"/>
              </w:rPr>
            </w:pPr>
            <w:r>
              <w:rPr>
                <w:rFonts w:hint="eastAsia" w:ascii="仿宋" w:hAnsi="仿宋" w:eastAsia="仿宋" w:cs="仿宋"/>
                <w:color w:val="auto"/>
                <w:sz w:val="24"/>
                <w:highlight w:val="none"/>
                <w:lang w:eastAsia="en-US"/>
              </w:rPr>
              <w:t>制造商</w:t>
            </w:r>
          </w:p>
        </w:tc>
        <w:tc>
          <w:tcPr>
            <w:tcW w:w="339" w:type="pct"/>
            <w:tcBorders>
              <w:top w:val="single" w:color="000000" w:sz="4" w:space="0"/>
              <w:left w:val="single" w:color="000000" w:sz="4" w:space="0"/>
              <w:bottom w:val="single" w:color="000000" w:sz="4" w:space="0"/>
              <w:right w:val="single" w:color="000000" w:sz="4" w:space="0"/>
            </w:tcBorders>
          </w:tcPr>
          <w:p w14:paraId="7789B97A">
            <w:pPr>
              <w:spacing w:line="400" w:lineRule="exact"/>
              <w:jc w:val="left"/>
              <w:rPr>
                <w:rFonts w:hint="eastAsia" w:ascii="仿宋" w:hAnsi="仿宋" w:eastAsia="仿宋" w:cs="仿宋"/>
                <w:color w:val="auto"/>
                <w:sz w:val="24"/>
                <w:highlight w:val="none"/>
                <w:lang w:eastAsia="en-US"/>
              </w:rPr>
            </w:pPr>
            <w:r>
              <w:rPr>
                <w:rFonts w:hint="eastAsia" w:ascii="仿宋" w:hAnsi="仿宋" w:eastAsia="仿宋" w:cs="仿宋"/>
                <w:color w:val="auto"/>
                <w:sz w:val="24"/>
                <w:highlight w:val="none"/>
                <w:lang w:eastAsia="en-US"/>
              </w:rPr>
              <w:t>产地</w:t>
            </w:r>
          </w:p>
        </w:tc>
        <w:tc>
          <w:tcPr>
            <w:tcW w:w="453" w:type="pct"/>
            <w:tcBorders>
              <w:top w:val="single" w:color="000000" w:sz="4" w:space="0"/>
              <w:left w:val="single" w:color="000000" w:sz="4" w:space="0"/>
              <w:bottom w:val="single" w:color="000000" w:sz="4" w:space="0"/>
              <w:right w:val="single" w:color="000000" w:sz="4" w:space="0"/>
            </w:tcBorders>
          </w:tcPr>
          <w:p w14:paraId="6AE895A8">
            <w:pPr>
              <w:spacing w:line="400" w:lineRule="exact"/>
              <w:jc w:val="left"/>
              <w:rPr>
                <w:rFonts w:hint="eastAsia" w:ascii="仿宋" w:hAnsi="仿宋" w:eastAsia="仿宋" w:cs="仿宋"/>
                <w:color w:val="auto"/>
                <w:sz w:val="24"/>
                <w:highlight w:val="none"/>
                <w:lang w:eastAsia="en-US"/>
              </w:rPr>
            </w:pPr>
            <w:r>
              <w:rPr>
                <w:rFonts w:hint="eastAsia" w:ascii="仿宋" w:hAnsi="仿宋" w:eastAsia="仿宋" w:cs="仿宋"/>
                <w:color w:val="auto"/>
                <w:sz w:val="24"/>
                <w:highlight w:val="none"/>
                <w:lang w:eastAsia="en-US"/>
              </w:rPr>
              <w:t>品牌</w:t>
            </w:r>
          </w:p>
        </w:tc>
        <w:tc>
          <w:tcPr>
            <w:tcW w:w="453" w:type="pct"/>
            <w:tcBorders>
              <w:top w:val="single" w:color="000000" w:sz="4" w:space="0"/>
              <w:left w:val="single" w:color="000000" w:sz="4" w:space="0"/>
              <w:bottom w:val="single" w:color="000000" w:sz="4" w:space="0"/>
              <w:right w:val="single" w:color="000000" w:sz="4" w:space="0"/>
            </w:tcBorders>
          </w:tcPr>
          <w:p w14:paraId="19FC35CE">
            <w:pPr>
              <w:spacing w:line="400" w:lineRule="exact"/>
              <w:jc w:val="left"/>
              <w:rPr>
                <w:rFonts w:hint="eastAsia" w:ascii="仿宋" w:hAnsi="仿宋" w:eastAsia="仿宋" w:cs="仿宋"/>
                <w:color w:val="auto"/>
                <w:sz w:val="24"/>
                <w:highlight w:val="none"/>
                <w:lang w:eastAsia="en-US"/>
              </w:rPr>
            </w:pPr>
            <w:r>
              <w:rPr>
                <w:rFonts w:hint="eastAsia" w:ascii="仿宋" w:hAnsi="仿宋" w:eastAsia="仿宋" w:cs="仿宋"/>
                <w:color w:val="auto"/>
                <w:sz w:val="24"/>
                <w:highlight w:val="none"/>
                <w:lang w:eastAsia="en-US"/>
              </w:rPr>
              <w:t>型号</w:t>
            </w:r>
          </w:p>
        </w:tc>
        <w:tc>
          <w:tcPr>
            <w:tcW w:w="676" w:type="pct"/>
            <w:tcBorders>
              <w:top w:val="single" w:color="000000" w:sz="4" w:space="0"/>
              <w:left w:val="single" w:color="000000" w:sz="4" w:space="0"/>
              <w:bottom w:val="single" w:color="000000" w:sz="4" w:space="0"/>
              <w:right w:val="single" w:color="000000" w:sz="4" w:space="0"/>
            </w:tcBorders>
          </w:tcPr>
          <w:p w14:paraId="4A17A31B">
            <w:pPr>
              <w:spacing w:line="400" w:lineRule="exact"/>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性能及指标</w:t>
            </w:r>
          </w:p>
        </w:tc>
        <w:tc>
          <w:tcPr>
            <w:tcW w:w="378" w:type="pct"/>
            <w:tcBorders>
              <w:top w:val="single" w:color="000000" w:sz="4" w:space="0"/>
              <w:left w:val="single" w:color="000000" w:sz="4" w:space="0"/>
              <w:bottom w:val="single" w:color="000000" w:sz="4" w:space="0"/>
              <w:right w:val="single" w:color="000000" w:sz="4" w:space="0"/>
            </w:tcBorders>
          </w:tcPr>
          <w:p w14:paraId="5AC78932">
            <w:pPr>
              <w:spacing w:line="400" w:lineRule="exact"/>
              <w:jc w:val="left"/>
              <w:rPr>
                <w:rFonts w:hint="eastAsia" w:ascii="仿宋" w:hAnsi="仿宋" w:eastAsia="仿宋" w:cs="仿宋"/>
                <w:color w:val="auto"/>
                <w:sz w:val="24"/>
                <w:highlight w:val="none"/>
                <w:lang w:eastAsia="en-US"/>
              </w:rPr>
            </w:pPr>
            <w:r>
              <w:rPr>
                <w:rFonts w:hint="eastAsia" w:ascii="仿宋" w:hAnsi="仿宋" w:eastAsia="仿宋" w:cs="仿宋"/>
                <w:color w:val="auto"/>
                <w:sz w:val="24"/>
                <w:highlight w:val="none"/>
                <w:lang w:eastAsia="en-US"/>
              </w:rPr>
              <w:t>单价</w:t>
            </w:r>
          </w:p>
        </w:tc>
        <w:tc>
          <w:tcPr>
            <w:tcW w:w="608" w:type="pct"/>
            <w:tcBorders>
              <w:top w:val="single" w:color="000000" w:sz="4" w:space="0"/>
              <w:left w:val="single" w:color="000000" w:sz="4" w:space="0"/>
              <w:bottom w:val="single" w:color="000000" w:sz="4" w:space="0"/>
              <w:right w:val="single" w:color="000000" w:sz="4" w:space="0"/>
            </w:tcBorders>
          </w:tcPr>
          <w:p w14:paraId="75EF8671">
            <w:pPr>
              <w:spacing w:line="400" w:lineRule="exact"/>
              <w:jc w:val="left"/>
              <w:rPr>
                <w:rFonts w:hint="eastAsia" w:ascii="仿宋" w:hAnsi="仿宋" w:eastAsia="仿宋" w:cs="仿宋"/>
                <w:color w:val="auto"/>
                <w:sz w:val="24"/>
                <w:highlight w:val="none"/>
                <w:lang w:eastAsia="en-US"/>
              </w:rPr>
            </w:pPr>
            <w:r>
              <w:rPr>
                <w:rFonts w:hint="eastAsia" w:ascii="仿宋" w:hAnsi="仿宋" w:eastAsia="仿宋" w:cs="仿宋"/>
                <w:color w:val="auto"/>
                <w:sz w:val="24"/>
                <w:highlight w:val="none"/>
                <w:lang w:eastAsia="en-US"/>
              </w:rPr>
              <w:t>合价</w:t>
            </w:r>
          </w:p>
        </w:tc>
      </w:tr>
      <w:tr w14:paraId="4F4CF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90" w:hRule="atLeast"/>
        </w:trPr>
        <w:tc>
          <w:tcPr>
            <w:tcW w:w="416" w:type="pct"/>
            <w:tcBorders>
              <w:top w:val="single" w:color="000000" w:sz="4" w:space="0"/>
              <w:left w:val="single" w:color="000000" w:sz="4" w:space="0"/>
              <w:bottom w:val="single" w:color="000000" w:sz="4" w:space="0"/>
              <w:right w:val="single" w:color="000000" w:sz="4" w:space="0"/>
            </w:tcBorders>
          </w:tcPr>
          <w:p w14:paraId="3A6A39F0">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474" w:type="pct"/>
            <w:tcBorders>
              <w:top w:val="single" w:color="000000" w:sz="4" w:space="0"/>
              <w:left w:val="single" w:color="000000" w:sz="4" w:space="0"/>
              <w:bottom w:val="single" w:color="000000" w:sz="4" w:space="0"/>
              <w:right w:val="single" w:color="000000" w:sz="4" w:space="0"/>
            </w:tcBorders>
          </w:tcPr>
          <w:p w14:paraId="2ED885BD">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344" w:type="pct"/>
            <w:tcBorders>
              <w:top w:val="single" w:color="000000" w:sz="4" w:space="0"/>
              <w:left w:val="single" w:color="000000" w:sz="4" w:space="0"/>
              <w:bottom w:val="single" w:color="000000" w:sz="4" w:space="0"/>
              <w:right w:val="single" w:color="000000" w:sz="4" w:space="0"/>
            </w:tcBorders>
          </w:tcPr>
          <w:p w14:paraId="215E31BD">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344" w:type="pct"/>
            <w:tcBorders>
              <w:top w:val="single" w:color="000000" w:sz="4" w:space="0"/>
              <w:left w:val="single" w:color="000000" w:sz="4" w:space="0"/>
              <w:bottom w:val="single" w:color="000000" w:sz="4" w:space="0"/>
              <w:right w:val="single" w:color="000000" w:sz="4" w:space="0"/>
            </w:tcBorders>
          </w:tcPr>
          <w:p w14:paraId="04D7E6A0">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510" w:type="pct"/>
            <w:tcBorders>
              <w:top w:val="single" w:color="000000" w:sz="4" w:space="0"/>
              <w:left w:val="single" w:color="000000" w:sz="4" w:space="0"/>
              <w:bottom w:val="single" w:color="000000" w:sz="4" w:space="0"/>
              <w:right w:val="single" w:color="000000" w:sz="4" w:space="0"/>
            </w:tcBorders>
          </w:tcPr>
          <w:p w14:paraId="6629ACED">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339" w:type="pct"/>
            <w:tcBorders>
              <w:top w:val="single" w:color="000000" w:sz="4" w:space="0"/>
              <w:left w:val="single" w:color="000000" w:sz="4" w:space="0"/>
              <w:bottom w:val="single" w:color="000000" w:sz="4" w:space="0"/>
              <w:right w:val="single" w:color="000000" w:sz="4" w:space="0"/>
            </w:tcBorders>
          </w:tcPr>
          <w:p w14:paraId="3FC1C564">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453" w:type="pct"/>
            <w:tcBorders>
              <w:top w:val="single" w:color="000000" w:sz="4" w:space="0"/>
              <w:left w:val="single" w:color="000000" w:sz="4" w:space="0"/>
              <w:bottom w:val="single" w:color="000000" w:sz="4" w:space="0"/>
              <w:right w:val="single" w:color="000000" w:sz="4" w:space="0"/>
            </w:tcBorders>
          </w:tcPr>
          <w:p w14:paraId="0E115E31">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453" w:type="pct"/>
            <w:tcBorders>
              <w:top w:val="single" w:color="000000" w:sz="4" w:space="0"/>
              <w:left w:val="single" w:color="000000" w:sz="4" w:space="0"/>
              <w:bottom w:val="single" w:color="000000" w:sz="4" w:space="0"/>
              <w:right w:val="single" w:color="000000" w:sz="4" w:space="0"/>
            </w:tcBorders>
          </w:tcPr>
          <w:p w14:paraId="3D201E98">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676" w:type="pct"/>
            <w:tcBorders>
              <w:top w:val="single" w:color="000000" w:sz="4" w:space="0"/>
              <w:left w:val="single" w:color="000000" w:sz="4" w:space="0"/>
              <w:bottom w:val="single" w:color="000000" w:sz="4" w:space="0"/>
              <w:right w:val="single" w:color="000000" w:sz="4" w:space="0"/>
            </w:tcBorders>
          </w:tcPr>
          <w:p w14:paraId="29D30A7A">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378" w:type="pct"/>
            <w:tcBorders>
              <w:top w:val="single" w:color="000000" w:sz="4" w:space="0"/>
              <w:left w:val="single" w:color="000000" w:sz="4" w:space="0"/>
              <w:bottom w:val="single" w:color="000000" w:sz="4" w:space="0"/>
              <w:right w:val="single" w:color="000000" w:sz="4" w:space="0"/>
            </w:tcBorders>
          </w:tcPr>
          <w:p w14:paraId="65B08265">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608" w:type="pct"/>
            <w:tcBorders>
              <w:top w:val="single" w:color="000000" w:sz="4" w:space="0"/>
              <w:left w:val="single" w:color="000000" w:sz="4" w:space="0"/>
              <w:bottom w:val="single" w:color="000000" w:sz="4" w:space="0"/>
              <w:right w:val="single" w:color="000000" w:sz="4" w:space="0"/>
            </w:tcBorders>
          </w:tcPr>
          <w:p w14:paraId="67D1E850">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r>
      <w:tr w14:paraId="141414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5" w:hRule="atLeast"/>
        </w:trPr>
        <w:tc>
          <w:tcPr>
            <w:tcW w:w="416" w:type="pct"/>
            <w:tcBorders>
              <w:top w:val="single" w:color="000000" w:sz="4" w:space="0"/>
              <w:left w:val="single" w:color="000000" w:sz="4" w:space="0"/>
              <w:bottom w:val="single" w:color="000000" w:sz="4" w:space="0"/>
              <w:right w:val="single" w:color="000000" w:sz="4" w:space="0"/>
            </w:tcBorders>
          </w:tcPr>
          <w:p w14:paraId="1E75DF66">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474" w:type="pct"/>
            <w:tcBorders>
              <w:top w:val="single" w:color="000000" w:sz="4" w:space="0"/>
              <w:left w:val="single" w:color="000000" w:sz="4" w:space="0"/>
              <w:bottom w:val="single" w:color="000000" w:sz="4" w:space="0"/>
              <w:right w:val="single" w:color="000000" w:sz="4" w:space="0"/>
            </w:tcBorders>
          </w:tcPr>
          <w:p w14:paraId="5F2606A1">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344" w:type="pct"/>
            <w:tcBorders>
              <w:top w:val="single" w:color="000000" w:sz="4" w:space="0"/>
              <w:left w:val="single" w:color="000000" w:sz="4" w:space="0"/>
              <w:bottom w:val="single" w:color="000000" w:sz="4" w:space="0"/>
              <w:right w:val="single" w:color="000000" w:sz="4" w:space="0"/>
            </w:tcBorders>
          </w:tcPr>
          <w:p w14:paraId="25CFBD7B">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344" w:type="pct"/>
            <w:tcBorders>
              <w:top w:val="single" w:color="000000" w:sz="4" w:space="0"/>
              <w:left w:val="single" w:color="000000" w:sz="4" w:space="0"/>
              <w:bottom w:val="single" w:color="000000" w:sz="4" w:space="0"/>
              <w:right w:val="single" w:color="000000" w:sz="4" w:space="0"/>
            </w:tcBorders>
          </w:tcPr>
          <w:p w14:paraId="4836BEEE">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510" w:type="pct"/>
            <w:tcBorders>
              <w:top w:val="single" w:color="000000" w:sz="4" w:space="0"/>
              <w:left w:val="single" w:color="000000" w:sz="4" w:space="0"/>
              <w:bottom w:val="single" w:color="000000" w:sz="4" w:space="0"/>
              <w:right w:val="single" w:color="000000" w:sz="4" w:space="0"/>
            </w:tcBorders>
          </w:tcPr>
          <w:p w14:paraId="284CAF00">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339" w:type="pct"/>
            <w:tcBorders>
              <w:top w:val="single" w:color="000000" w:sz="4" w:space="0"/>
              <w:left w:val="single" w:color="000000" w:sz="4" w:space="0"/>
              <w:bottom w:val="single" w:color="000000" w:sz="4" w:space="0"/>
              <w:right w:val="single" w:color="000000" w:sz="4" w:space="0"/>
            </w:tcBorders>
          </w:tcPr>
          <w:p w14:paraId="35C2F76A">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453" w:type="pct"/>
            <w:tcBorders>
              <w:top w:val="single" w:color="000000" w:sz="4" w:space="0"/>
              <w:left w:val="single" w:color="000000" w:sz="4" w:space="0"/>
              <w:bottom w:val="single" w:color="000000" w:sz="4" w:space="0"/>
              <w:right w:val="single" w:color="000000" w:sz="4" w:space="0"/>
            </w:tcBorders>
          </w:tcPr>
          <w:p w14:paraId="53C626F2">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453" w:type="pct"/>
            <w:tcBorders>
              <w:top w:val="single" w:color="000000" w:sz="4" w:space="0"/>
              <w:left w:val="single" w:color="000000" w:sz="4" w:space="0"/>
              <w:bottom w:val="single" w:color="000000" w:sz="4" w:space="0"/>
              <w:right w:val="single" w:color="000000" w:sz="4" w:space="0"/>
            </w:tcBorders>
          </w:tcPr>
          <w:p w14:paraId="400A4101">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676" w:type="pct"/>
            <w:tcBorders>
              <w:top w:val="single" w:color="000000" w:sz="4" w:space="0"/>
              <w:left w:val="single" w:color="000000" w:sz="4" w:space="0"/>
              <w:bottom w:val="single" w:color="000000" w:sz="4" w:space="0"/>
              <w:right w:val="single" w:color="000000" w:sz="4" w:space="0"/>
            </w:tcBorders>
          </w:tcPr>
          <w:p w14:paraId="4CF4CE11">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378" w:type="pct"/>
            <w:tcBorders>
              <w:top w:val="single" w:color="000000" w:sz="4" w:space="0"/>
              <w:left w:val="single" w:color="000000" w:sz="4" w:space="0"/>
              <w:bottom w:val="single" w:color="000000" w:sz="4" w:space="0"/>
              <w:right w:val="single" w:color="000000" w:sz="4" w:space="0"/>
            </w:tcBorders>
          </w:tcPr>
          <w:p w14:paraId="2482C14E">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c>
          <w:tcPr>
            <w:tcW w:w="608" w:type="pct"/>
            <w:tcBorders>
              <w:top w:val="single" w:color="000000" w:sz="4" w:space="0"/>
              <w:left w:val="single" w:color="000000" w:sz="4" w:space="0"/>
              <w:bottom w:val="single" w:color="000000" w:sz="4" w:space="0"/>
              <w:right w:val="single" w:color="000000" w:sz="4" w:space="0"/>
            </w:tcBorders>
          </w:tcPr>
          <w:p w14:paraId="052B3788">
            <w:pPr>
              <w:spacing w:after="200" w:line="240" w:lineRule="exact"/>
              <w:ind w:left="124" w:right="-20"/>
              <w:jc w:val="left"/>
              <w:rPr>
                <w:rFonts w:hint="eastAsia" w:ascii="仿宋" w:hAnsi="仿宋" w:eastAsia="仿宋" w:cs="仿宋"/>
                <w:color w:val="auto"/>
                <w:kern w:val="0"/>
                <w:position w:val="-2"/>
                <w:szCs w:val="21"/>
                <w:highlight w:val="none"/>
                <w:lang w:eastAsia="en-US"/>
              </w:rPr>
            </w:pPr>
          </w:p>
        </w:tc>
      </w:tr>
      <w:tr w14:paraId="1E8BFA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2" w:hRule="atLeast"/>
        </w:trPr>
        <w:tc>
          <w:tcPr>
            <w:tcW w:w="5000" w:type="pct"/>
            <w:gridSpan w:val="11"/>
            <w:tcBorders>
              <w:top w:val="single" w:color="000000" w:sz="4" w:space="0"/>
              <w:left w:val="single" w:color="000000" w:sz="4" w:space="0"/>
              <w:bottom w:val="single" w:color="000000" w:sz="4" w:space="0"/>
              <w:right w:val="single" w:color="000000" w:sz="4" w:space="0"/>
            </w:tcBorders>
          </w:tcPr>
          <w:p w14:paraId="294E01B8">
            <w:pPr>
              <w:spacing w:after="200" w:line="240" w:lineRule="exact"/>
              <w:ind w:left="124" w:right="-20"/>
              <w:jc w:val="left"/>
              <w:rPr>
                <w:rFonts w:hint="eastAsia" w:ascii="仿宋" w:hAnsi="仿宋" w:eastAsia="仿宋" w:cs="仿宋"/>
                <w:color w:val="auto"/>
                <w:kern w:val="0"/>
                <w:position w:val="-2"/>
                <w:szCs w:val="21"/>
                <w:highlight w:val="none"/>
                <w:lang w:eastAsia="en-US"/>
              </w:rPr>
            </w:pPr>
            <w:r>
              <w:rPr>
                <w:rFonts w:hint="eastAsia" w:ascii="仿宋" w:hAnsi="仿宋" w:eastAsia="仿宋" w:cs="仿宋"/>
                <w:color w:val="auto"/>
                <w:kern w:val="0"/>
                <w:position w:val="-2"/>
                <w:szCs w:val="21"/>
                <w:highlight w:val="none"/>
                <w:lang w:val="en-US" w:eastAsia="zh-CN"/>
              </w:rPr>
              <w:t>合计：</w:t>
            </w:r>
            <w:r>
              <w:rPr>
                <w:rFonts w:hint="eastAsia" w:ascii="仿宋" w:hAnsi="仿宋" w:eastAsia="仿宋" w:cs="仿宋"/>
                <w:color w:val="auto"/>
                <w:kern w:val="0"/>
                <w:position w:val="-2"/>
                <w:szCs w:val="21"/>
                <w:highlight w:val="none"/>
                <w:lang w:eastAsia="en-US"/>
              </w:rPr>
              <w:t>　</w:t>
            </w:r>
          </w:p>
        </w:tc>
      </w:tr>
    </w:tbl>
    <w:p w14:paraId="4B33B340">
      <w:pPr>
        <w:ind w:firstLine="787" w:firstLineChars="328"/>
        <w:rPr>
          <w:rFonts w:hint="eastAsia" w:ascii="仿宋" w:hAnsi="仿宋" w:eastAsia="仿宋" w:cs="仿宋"/>
          <w:color w:val="auto"/>
          <w:sz w:val="24"/>
          <w:highlight w:val="none"/>
        </w:rPr>
      </w:pPr>
    </w:p>
    <w:p w14:paraId="3F9E909E">
      <w:pPr>
        <w:ind w:firstLine="787" w:firstLineChars="328"/>
        <w:rPr>
          <w:rFonts w:hint="eastAsia" w:ascii="仿宋" w:hAnsi="仿宋" w:eastAsia="仿宋" w:cs="仿宋"/>
          <w:color w:val="auto"/>
          <w:sz w:val="24"/>
          <w:highlight w:val="none"/>
        </w:rPr>
      </w:pPr>
      <w:r>
        <w:rPr>
          <w:rFonts w:hint="eastAsia" w:ascii="仿宋" w:hAnsi="仿宋" w:eastAsia="仿宋" w:cs="仿宋"/>
          <w:color w:val="auto"/>
          <w:sz w:val="24"/>
          <w:highlight w:val="none"/>
        </w:rPr>
        <w:t>授权代表签名：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日 期：</w:t>
      </w:r>
      <w:r>
        <w:rPr>
          <w:rFonts w:hint="eastAsia" w:ascii="仿宋" w:hAnsi="仿宋" w:eastAsia="仿宋" w:cs="仿宋"/>
          <w:color w:val="auto"/>
          <w:sz w:val="24"/>
          <w:highlight w:val="none"/>
          <w:u w:val="single"/>
        </w:rPr>
        <w:t xml:space="preserve">            </w:t>
      </w:r>
    </w:p>
    <w:p w14:paraId="5709A405">
      <w:pPr>
        <w:spacing w:before="9" w:line="400" w:lineRule="exact"/>
        <w:jc w:val="left"/>
        <w:rPr>
          <w:rFonts w:hint="eastAsia" w:ascii="仿宋" w:hAnsi="仿宋" w:eastAsia="仿宋" w:cs="仿宋"/>
          <w:color w:val="auto"/>
          <w:kern w:val="0"/>
          <w:sz w:val="24"/>
          <w:szCs w:val="22"/>
          <w:highlight w:val="none"/>
        </w:rPr>
      </w:pPr>
    </w:p>
    <w:p w14:paraId="2DA215BB">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说明： </w:t>
      </w:r>
    </w:p>
    <w:p w14:paraId="0E9391D2">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1.供应商必须填写主要产品的品牌、型号，否则按无效响应文件处理。</w:t>
      </w:r>
    </w:p>
    <w:p w14:paraId="762EA82C">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2.如所报产品为强制性认证产品，应如实、准确填报，否则按无效响应文件处理。</w:t>
      </w:r>
    </w:p>
    <w:p w14:paraId="7311BF25">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39689895">
      <w:pPr>
        <w:jc w:val="center"/>
        <w:rPr>
          <w:rFonts w:hint="eastAsia" w:ascii="仿宋" w:hAnsi="仿宋" w:eastAsia="仿宋" w:cs="仿宋"/>
          <w:b/>
          <w:color w:val="auto"/>
          <w:kern w:val="0"/>
          <w:sz w:val="24"/>
          <w:szCs w:val="20"/>
          <w:highlight w:val="none"/>
        </w:rPr>
      </w:pPr>
      <w:r>
        <w:rPr>
          <w:rFonts w:hint="eastAsia" w:ascii="仿宋" w:hAnsi="仿宋" w:eastAsia="仿宋" w:cs="仿宋"/>
          <w:b/>
          <w:color w:val="auto"/>
          <w:kern w:val="0"/>
          <w:sz w:val="24"/>
          <w:szCs w:val="20"/>
          <w:highlight w:val="none"/>
        </w:rPr>
        <w:t>15.响应表</w:t>
      </w:r>
      <w:bookmarkEnd w:id="397"/>
      <w:bookmarkEnd w:id="398"/>
      <w:bookmarkEnd w:id="399"/>
    </w:p>
    <w:p w14:paraId="13B6ED69">
      <w:pPr>
        <w:pStyle w:val="5"/>
        <w:rPr>
          <w:rFonts w:hint="eastAsia" w:ascii="仿宋" w:hAnsi="仿宋" w:eastAsia="仿宋" w:cs="仿宋"/>
          <w:color w:val="auto"/>
          <w:highlight w:val="none"/>
        </w:rPr>
      </w:pPr>
    </w:p>
    <w:p w14:paraId="769336F2">
      <w:pPr>
        <w:spacing w:line="271" w:lineRule="exact"/>
        <w:ind w:left="220" w:right="-20"/>
        <w:jc w:val="left"/>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15.1商务响应表</w:t>
      </w:r>
    </w:p>
    <w:p w14:paraId="4D2D4AA6">
      <w:pPr>
        <w:spacing w:before="9" w:line="80" w:lineRule="exact"/>
        <w:jc w:val="left"/>
        <w:rPr>
          <w:rFonts w:hint="eastAsia" w:ascii="仿宋" w:hAnsi="仿宋" w:eastAsia="仿宋" w:cs="仿宋"/>
          <w:color w:val="auto"/>
          <w:kern w:val="0"/>
          <w:sz w:val="8"/>
          <w:szCs w:val="8"/>
          <w:highlight w:val="none"/>
        </w:rPr>
      </w:pPr>
    </w:p>
    <w:p w14:paraId="79023BB3">
      <w:pPr>
        <w:spacing w:line="360" w:lineRule="auto"/>
        <w:ind w:left="220" w:right="-20" w:firstLine="480" w:firstLineChars="200"/>
        <w:jc w:val="left"/>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 xml:space="preserve">供应商名称（公章）：                         </w:t>
      </w:r>
    </w:p>
    <w:p w14:paraId="06B4120E">
      <w:pPr>
        <w:spacing w:line="360" w:lineRule="auto"/>
        <w:ind w:left="220" w:right="-20" w:firstLine="480" w:firstLineChars="200"/>
        <w:jc w:val="left"/>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 xml:space="preserve">项目编号：                      </w:t>
      </w:r>
    </w:p>
    <w:p w14:paraId="6224AC6B">
      <w:pPr>
        <w:spacing w:line="360" w:lineRule="auto"/>
        <w:ind w:left="220" w:right="-20" w:firstLine="480" w:firstLineChars="200"/>
        <w:jc w:val="left"/>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 xml:space="preserve">所投包号：       </w:t>
      </w:r>
      <w:r>
        <w:rPr>
          <w:rFonts w:hint="eastAsia" w:ascii="仿宋" w:hAnsi="仿宋" w:eastAsia="仿宋" w:cs="仿宋"/>
          <w:color w:val="auto"/>
          <w:sz w:val="24"/>
          <w:szCs w:val="32"/>
          <w:highlight w:val="none"/>
        </w:rPr>
        <w:t xml:space="preserve">    </w:t>
      </w:r>
    </w:p>
    <w:tbl>
      <w:tblPr>
        <w:tblStyle w:val="34"/>
        <w:tblW w:w="863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76"/>
        <w:gridCol w:w="2120"/>
        <w:gridCol w:w="1789"/>
        <w:gridCol w:w="1221"/>
        <w:gridCol w:w="2424"/>
      </w:tblGrid>
      <w:tr w14:paraId="08AC5D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076" w:type="dxa"/>
            <w:tcBorders>
              <w:top w:val="single" w:color="auto" w:sz="4" w:space="0"/>
              <w:left w:val="single" w:color="auto" w:sz="4" w:space="0"/>
              <w:bottom w:val="single" w:color="auto" w:sz="4" w:space="0"/>
              <w:right w:val="single" w:color="auto" w:sz="4" w:space="0"/>
            </w:tcBorders>
            <w:vAlign w:val="center"/>
          </w:tcPr>
          <w:p w14:paraId="58DF80AF">
            <w:pPr>
              <w:spacing w:line="271" w:lineRule="exact"/>
              <w:ind w:right="-20"/>
              <w:jc w:val="center"/>
              <w:rPr>
                <w:rFonts w:hint="eastAsia" w:ascii="仿宋" w:hAnsi="仿宋" w:eastAsia="仿宋" w:cs="仿宋"/>
                <w:color w:val="auto"/>
                <w:kern w:val="0"/>
                <w:sz w:val="24"/>
                <w:szCs w:val="22"/>
                <w:highlight w:val="none"/>
              </w:rPr>
            </w:pPr>
            <w:r>
              <w:rPr>
                <w:rFonts w:hint="eastAsia" w:ascii="仿宋" w:hAnsi="仿宋" w:eastAsia="仿宋" w:cs="仿宋"/>
                <w:color w:val="auto"/>
                <w:sz w:val="24"/>
                <w:highlight w:val="none"/>
              </w:rPr>
              <w:t>序号</w:t>
            </w:r>
          </w:p>
        </w:tc>
        <w:tc>
          <w:tcPr>
            <w:tcW w:w="2120" w:type="dxa"/>
            <w:tcBorders>
              <w:top w:val="single" w:color="auto" w:sz="4" w:space="0"/>
              <w:left w:val="single" w:color="auto" w:sz="4" w:space="0"/>
              <w:bottom w:val="single" w:color="auto" w:sz="4" w:space="0"/>
              <w:right w:val="single" w:color="auto" w:sz="4" w:space="0"/>
            </w:tcBorders>
            <w:vAlign w:val="center"/>
          </w:tcPr>
          <w:p w14:paraId="3CCA29B2">
            <w:pPr>
              <w:spacing w:line="271" w:lineRule="exact"/>
              <w:ind w:right="-20"/>
              <w:jc w:val="center"/>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项目</w:t>
            </w:r>
          </w:p>
        </w:tc>
        <w:tc>
          <w:tcPr>
            <w:tcW w:w="1789" w:type="dxa"/>
            <w:tcBorders>
              <w:top w:val="single" w:color="auto" w:sz="4" w:space="0"/>
              <w:left w:val="single" w:color="auto" w:sz="4" w:space="0"/>
              <w:bottom w:val="single" w:color="auto" w:sz="4" w:space="0"/>
              <w:right w:val="single" w:color="auto" w:sz="4" w:space="0"/>
            </w:tcBorders>
            <w:vAlign w:val="center"/>
          </w:tcPr>
          <w:p w14:paraId="7A7BA23E">
            <w:pPr>
              <w:spacing w:line="271" w:lineRule="exact"/>
              <w:ind w:right="-20"/>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磋商文件要求</w:t>
            </w:r>
          </w:p>
        </w:tc>
        <w:tc>
          <w:tcPr>
            <w:tcW w:w="1221" w:type="dxa"/>
            <w:tcBorders>
              <w:top w:val="single" w:color="auto" w:sz="4" w:space="0"/>
              <w:left w:val="single" w:color="auto" w:sz="4" w:space="0"/>
              <w:bottom w:val="single" w:color="auto" w:sz="4" w:space="0"/>
              <w:right w:val="single" w:color="auto" w:sz="4" w:space="0"/>
            </w:tcBorders>
            <w:vAlign w:val="center"/>
          </w:tcPr>
          <w:p w14:paraId="268481A3">
            <w:pPr>
              <w:spacing w:line="271" w:lineRule="exact"/>
              <w:ind w:right="-20"/>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是否响应</w:t>
            </w:r>
          </w:p>
        </w:tc>
        <w:tc>
          <w:tcPr>
            <w:tcW w:w="2424" w:type="dxa"/>
            <w:tcBorders>
              <w:top w:val="single" w:color="auto" w:sz="4" w:space="0"/>
              <w:left w:val="single" w:color="auto" w:sz="4" w:space="0"/>
              <w:bottom w:val="single" w:color="auto" w:sz="4" w:space="0"/>
              <w:right w:val="single" w:color="auto" w:sz="4" w:space="0"/>
            </w:tcBorders>
            <w:vAlign w:val="center"/>
          </w:tcPr>
          <w:p w14:paraId="0D61721F">
            <w:pPr>
              <w:spacing w:line="271" w:lineRule="exact"/>
              <w:ind w:right="-20"/>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供应商的承诺或说明</w:t>
            </w:r>
          </w:p>
        </w:tc>
      </w:tr>
      <w:tr w14:paraId="2306C0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076" w:type="dxa"/>
            <w:tcBorders>
              <w:top w:val="single" w:color="auto" w:sz="4" w:space="0"/>
              <w:left w:val="single" w:color="auto" w:sz="4" w:space="0"/>
              <w:bottom w:val="single" w:color="auto" w:sz="4" w:space="0"/>
              <w:right w:val="single" w:color="auto" w:sz="4" w:space="0"/>
            </w:tcBorders>
            <w:vAlign w:val="center"/>
          </w:tcPr>
          <w:p w14:paraId="4B74C98D">
            <w:pPr>
              <w:spacing w:line="271" w:lineRule="exact"/>
              <w:ind w:right="-20"/>
              <w:rPr>
                <w:rFonts w:hint="eastAsia" w:ascii="仿宋" w:hAnsi="仿宋" w:eastAsia="仿宋" w:cs="仿宋"/>
                <w:color w:val="auto"/>
                <w:kern w:val="0"/>
                <w:sz w:val="24"/>
                <w:szCs w:val="22"/>
                <w:highlight w:val="none"/>
              </w:rPr>
            </w:pPr>
          </w:p>
        </w:tc>
        <w:tc>
          <w:tcPr>
            <w:tcW w:w="2120" w:type="dxa"/>
            <w:tcBorders>
              <w:top w:val="single" w:color="auto" w:sz="4" w:space="0"/>
              <w:left w:val="single" w:color="auto" w:sz="4" w:space="0"/>
              <w:bottom w:val="single" w:color="auto" w:sz="4" w:space="0"/>
              <w:right w:val="single" w:color="auto" w:sz="4" w:space="0"/>
            </w:tcBorders>
            <w:vAlign w:val="center"/>
          </w:tcPr>
          <w:p w14:paraId="45842BB1">
            <w:pPr>
              <w:spacing w:line="271" w:lineRule="exact"/>
              <w:ind w:right="-20"/>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质保期</w:t>
            </w:r>
          </w:p>
        </w:tc>
        <w:tc>
          <w:tcPr>
            <w:tcW w:w="1789" w:type="dxa"/>
            <w:tcBorders>
              <w:top w:val="single" w:color="auto" w:sz="4" w:space="0"/>
              <w:left w:val="single" w:color="auto" w:sz="4" w:space="0"/>
              <w:bottom w:val="single" w:color="auto" w:sz="4" w:space="0"/>
              <w:right w:val="single" w:color="auto" w:sz="4" w:space="0"/>
            </w:tcBorders>
            <w:vAlign w:val="center"/>
          </w:tcPr>
          <w:p w14:paraId="2A31A8D9">
            <w:pPr>
              <w:spacing w:line="271" w:lineRule="exact"/>
              <w:ind w:right="-20"/>
              <w:rPr>
                <w:rFonts w:hint="eastAsia" w:ascii="仿宋" w:hAnsi="仿宋" w:eastAsia="仿宋" w:cs="仿宋"/>
                <w:color w:val="auto"/>
                <w:kern w:val="0"/>
                <w:sz w:val="24"/>
                <w:szCs w:val="22"/>
                <w:highlight w:val="none"/>
              </w:rPr>
            </w:pPr>
          </w:p>
        </w:tc>
        <w:tc>
          <w:tcPr>
            <w:tcW w:w="1221" w:type="dxa"/>
            <w:tcBorders>
              <w:top w:val="single" w:color="auto" w:sz="4" w:space="0"/>
              <w:left w:val="single" w:color="auto" w:sz="4" w:space="0"/>
              <w:bottom w:val="single" w:color="auto" w:sz="4" w:space="0"/>
              <w:right w:val="single" w:color="auto" w:sz="4" w:space="0"/>
            </w:tcBorders>
            <w:vAlign w:val="center"/>
          </w:tcPr>
          <w:p w14:paraId="718DF449">
            <w:pPr>
              <w:spacing w:line="271" w:lineRule="exact"/>
              <w:ind w:right="-20"/>
              <w:rPr>
                <w:rFonts w:hint="eastAsia" w:ascii="仿宋" w:hAnsi="仿宋" w:eastAsia="仿宋" w:cs="仿宋"/>
                <w:color w:val="auto"/>
                <w:kern w:val="0"/>
                <w:sz w:val="24"/>
                <w:szCs w:val="22"/>
                <w:highlight w:val="none"/>
              </w:rPr>
            </w:pPr>
          </w:p>
        </w:tc>
        <w:tc>
          <w:tcPr>
            <w:tcW w:w="2424" w:type="dxa"/>
            <w:tcBorders>
              <w:top w:val="single" w:color="auto" w:sz="4" w:space="0"/>
              <w:left w:val="single" w:color="auto" w:sz="4" w:space="0"/>
              <w:bottom w:val="single" w:color="auto" w:sz="4" w:space="0"/>
              <w:right w:val="single" w:color="auto" w:sz="4" w:space="0"/>
            </w:tcBorders>
            <w:vAlign w:val="center"/>
          </w:tcPr>
          <w:p w14:paraId="5DD07B20">
            <w:pPr>
              <w:spacing w:line="271" w:lineRule="exact"/>
              <w:ind w:right="-20"/>
              <w:rPr>
                <w:rFonts w:hint="eastAsia" w:ascii="仿宋" w:hAnsi="仿宋" w:eastAsia="仿宋" w:cs="仿宋"/>
                <w:color w:val="auto"/>
                <w:kern w:val="0"/>
                <w:sz w:val="24"/>
                <w:szCs w:val="22"/>
                <w:highlight w:val="none"/>
              </w:rPr>
            </w:pPr>
          </w:p>
        </w:tc>
      </w:tr>
      <w:tr w14:paraId="0F0111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076" w:type="dxa"/>
            <w:tcBorders>
              <w:top w:val="single" w:color="auto" w:sz="4" w:space="0"/>
              <w:left w:val="single" w:color="auto" w:sz="4" w:space="0"/>
              <w:bottom w:val="single" w:color="auto" w:sz="4" w:space="0"/>
              <w:right w:val="single" w:color="auto" w:sz="4" w:space="0"/>
            </w:tcBorders>
            <w:vAlign w:val="center"/>
          </w:tcPr>
          <w:p w14:paraId="24EF2928">
            <w:pPr>
              <w:spacing w:line="271" w:lineRule="exact"/>
              <w:ind w:right="-20"/>
              <w:rPr>
                <w:rFonts w:hint="eastAsia" w:ascii="仿宋" w:hAnsi="仿宋" w:eastAsia="仿宋" w:cs="仿宋"/>
                <w:color w:val="auto"/>
                <w:kern w:val="0"/>
                <w:sz w:val="24"/>
                <w:szCs w:val="22"/>
                <w:highlight w:val="none"/>
              </w:rPr>
            </w:pPr>
          </w:p>
        </w:tc>
        <w:tc>
          <w:tcPr>
            <w:tcW w:w="2120" w:type="dxa"/>
            <w:tcBorders>
              <w:top w:val="single" w:color="auto" w:sz="4" w:space="0"/>
              <w:left w:val="single" w:color="auto" w:sz="4" w:space="0"/>
              <w:bottom w:val="single" w:color="auto" w:sz="4" w:space="0"/>
              <w:right w:val="single" w:color="auto" w:sz="4" w:space="0"/>
            </w:tcBorders>
            <w:vAlign w:val="center"/>
          </w:tcPr>
          <w:p w14:paraId="1F7782A5">
            <w:pPr>
              <w:spacing w:line="271" w:lineRule="exact"/>
              <w:ind w:right="-20"/>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交付时间</w:t>
            </w:r>
          </w:p>
        </w:tc>
        <w:tc>
          <w:tcPr>
            <w:tcW w:w="1789" w:type="dxa"/>
            <w:tcBorders>
              <w:top w:val="single" w:color="auto" w:sz="4" w:space="0"/>
              <w:left w:val="single" w:color="auto" w:sz="4" w:space="0"/>
              <w:bottom w:val="single" w:color="auto" w:sz="4" w:space="0"/>
              <w:right w:val="single" w:color="auto" w:sz="4" w:space="0"/>
            </w:tcBorders>
            <w:vAlign w:val="center"/>
          </w:tcPr>
          <w:p w14:paraId="48488CB1">
            <w:pPr>
              <w:spacing w:line="271" w:lineRule="exact"/>
              <w:ind w:right="-20"/>
              <w:rPr>
                <w:rFonts w:hint="eastAsia" w:ascii="仿宋" w:hAnsi="仿宋" w:eastAsia="仿宋" w:cs="仿宋"/>
                <w:color w:val="auto"/>
                <w:kern w:val="0"/>
                <w:sz w:val="24"/>
                <w:szCs w:val="22"/>
                <w:highlight w:val="none"/>
              </w:rPr>
            </w:pPr>
          </w:p>
        </w:tc>
        <w:tc>
          <w:tcPr>
            <w:tcW w:w="1221" w:type="dxa"/>
            <w:tcBorders>
              <w:top w:val="single" w:color="auto" w:sz="4" w:space="0"/>
              <w:left w:val="single" w:color="auto" w:sz="4" w:space="0"/>
              <w:bottom w:val="single" w:color="auto" w:sz="4" w:space="0"/>
              <w:right w:val="single" w:color="auto" w:sz="4" w:space="0"/>
            </w:tcBorders>
            <w:vAlign w:val="center"/>
          </w:tcPr>
          <w:p w14:paraId="22506BD1">
            <w:pPr>
              <w:spacing w:line="271" w:lineRule="exact"/>
              <w:ind w:right="-20"/>
              <w:rPr>
                <w:rFonts w:hint="eastAsia" w:ascii="仿宋" w:hAnsi="仿宋" w:eastAsia="仿宋" w:cs="仿宋"/>
                <w:color w:val="auto"/>
                <w:kern w:val="0"/>
                <w:sz w:val="24"/>
                <w:szCs w:val="22"/>
                <w:highlight w:val="none"/>
              </w:rPr>
            </w:pPr>
          </w:p>
        </w:tc>
        <w:tc>
          <w:tcPr>
            <w:tcW w:w="2424" w:type="dxa"/>
            <w:tcBorders>
              <w:top w:val="single" w:color="auto" w:sz="4" w:space="0"/>
              <w:left w:val="single" w:color="auto" w:sz="4" w:space="0"/>
              <w:bottom w:val="single" w:color="auto" w:sz="4" w:space="0"/>
              <w:right w:val="single" w:color="auto" w:sz="4" w:space="0"/>
            </w:tcBorders>
            <w:vAlign w:val="center"/>
          </w:tcPr>
          <w:p w14:paraId="3272B1A0">
            <w:pPr>
              <w:spacing w:line="271" w:lineRule="exact"/>
              <w:ind w:right="-20"/>
              <w:rPr>
                <w:rFonts w:hint="eastAsia" w:ascii="仿宋" w:hAnsi="仿宋" w:eastAsia="仿宋" w:cs="仿宋"/>
                <w:color w:val="auto"/>
                <w:kern w:val="0"/>
                <w:sz w:val="24"/>
                <w:szCs w:val="22"/>
                <w:highlight w:val="none"/>
              </w:rPr>
            </w:pPr>
          </w:p>
        </w:tc>
      </w:tr>
      <w:tr w14:paraId="5C9447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076" w:type="dxa"/>
            <w:tcBorders>
              <w:top w:val="single" w:color="auto" w:sz="4" w:space="0"/>
              <w:left w:val="single" w:color="auto" w:sz="4" w:space="0"/>
              <w:bottom w:val="single" w:color="auto" w:sz="4" w:space="0"/>
              <w:right w:val="single" w:color="auto" w:sz="4" w:space="0"/>
            </w:tcBorders>
            <w:vAlign w:val="center"/>
          </w:tcPr>
          <w:p w14:paraId="695FE446">
            <w:pPr>
              <w:spacing w:line="271" w:lineRule="exact"/>
              <w:ind w:right="-20"/>
              <w:rPr>
                <w:rFonts w:hint="eastAsia" w:ascii="仿宋" w:hAnsi="仿宋" w:eastAsia="仿宋" w:cs="仿宋"/>
                <w:color w:val="auto"/>
                <w:kern w:val="0"/>
                <w:sz w:val="24"/>
                <w:szCs w:val="22"/>
                <w:highlight w:val="none"/>
              </w:rPr>
            </w:pPr>
          </w:p>
        </w:tc>
        <w:tc>
          <w:tcPr>
            <w:tcW w:w="2120" w:type="dxa"/>
            <w:tcBorders>
              <w:top w:val="single" w:color="auto" w:sz="4" w:space="0"/>
              <w:left w:val="single" w:color="auto" w:sz="4" w:space="0"/>
              <w:bottom w:val="single" w:color="auto" w:sz="4" w:space="0"/>
              <w:right w:val="single" w:color="auto" w:sz="4" w:space="0"/>
            </w:tcBorders>
            <w:vAlign w:val="center"/>
          </w:tcPr>
          <w:p w14:paraId="3DBDBE85">
            <w:pPr>
              <w:spacing w:line="271" w:lineRule="exact"/>
              <w:ind w:right="-20"/>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付款方式</w:t>
            </w:r>
          </w:p>
        </w:tc>
        <w:tc>
          <w:tcPr>
            <w:tcW w:w="1789" w:type="dxa"/>
            <w:tcBorders>
              <w:top w:val="single" w:color="auto" w:sz="4" w:space="0"/>
              <w:left w:val="single" w:color="auto" w:sz="4" w:space="0"/>
              <w:bottom w:val="single" w:color="auto" w:sz="4" w:space="0"/>
              <w:right w:val="single" w:color="auto" w:sz="4" w:space="0"/>
            </w:tcBorders>
            <w:vAlign w:val="center"/>
          </w:tcPr>
          <w:p w14:paraId="097CC3EB">
            <w:pPr>
              <w:spacing w:line="271" w:lineRule="exact"/>
              <w:ind w:right="-20"/>
              <w:rPr>
                <w:rFonts w:hint="eastAsia" w:ascii="仿宋" w:hAnsi="仿宋" w:eastAsia="仿宋" w:cs="仿宋"/>
                <w:color w:val="auto"/>
                <w:kern w:val="0"/>
                <w:sz w:val="24"/>
                <w:szCs w:val="22"/>
                <w:highlight w:val="none"/>
              </w:rPr>
            </w:pPr>
          </w:p>
        </w:tc>
        <w:tc>
          <w:tcPr>
            <w:tcW w:w="1221" w:type="dxa"/>
            <w:tcBorders>
              <w:top w:val="single" w:color="auto" w:sz="4" w:space="0"/>
              <w:left w:val="single" w:color="auto" w:sz="4" w:space="0"/>
              <w:bottom w:val="single" w:color="auto" w:sz="4" w:space="0"/>
              <w:right w:val="single" w:color="auto" w:sz="4" w:space="0"/>
            </w:tcBorders>
            <w:vAlign w:val="center"/>
          </w:tcPr>
          <w:p w14:paraId="41CFD4D0">
            <w:pPr>
              <w:spacing w:line="271" w:lineRule="exact"/>
              <w:ind w:right="-20"/>
              <w:rPr>
                <w:rFonts w:hint="eastAsia" w:ascii="仿宋" w:hAnsi="仿宋" w:eastAsia="仿宋" w:cs="仿宋"/>
                <w:color w:val="auto"/>
                <w:kern w:val="0"/>
                <w:sz w:val="24"/>
                <w:szCs w:val="22"/>
                <w:highlight w:val="none"/>
              </w:rPr>
            </w:pPr>
          </w:p>
        </w:tc>
        <w:tc>
          <w:tcPr>
            <w:tcW w:w="2424" w:type="dxa"/>
            <w:tcBorders>
              <w:top w:val="single" w:color="auto" w:sz="4" w:space="0"/>
              <w:left w:val="single" w:color="auto" w:sz="4" w:space="0"/>
              <w:bottom w:val="single" w:color="auto" w:sz="4" w:space="0"/>
              <w:right w:val="single" w:color="auto" w:sz="4" w:space="0"/>
            </w:tcBorders>
            <w:vAlign w:val="center"/>
          </w:tcPr>
          <w:p w14:paraId="68859824">
            <w:pPr>
              <w:spacing w:line="271" w:lineRule="exact"/>
              <w:ind w:right="-20"/>
              <w:rPr>
                <w:rFonts w:hint="eastAsia" w:ascii="仿宋" w:hAnsi="仿宋" w:eastAsia="仿宋" w:cs="仿宋"/>
                <w:color w:val="auto"/>
                <w:kern w:val="0"/>
                <w:sz w:val="24"/>
                <w:szCs w:val="22"/>
                <w:highlight w:val="none"/>
              </w:rPr>
            </w:pPr>
          </w:p>
        </w:tc>
      </w:tr>
      <w:tr w14:paraId="53C8ED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076" w:type="dxa"/>
            <w:tcBorders>
              <w:top w:val="single" w:color="auto" w:sz="4" w:space="0"/>
              <w:left w:val="single" w:color="auto" w:sz="4" w:space="0"/>
              <w:bottom w:val="single" w:color="auto" w:sz="4" w:space="0"/>
              <w:right w:val="single" w:color="auto" w:sz="4" w:space="0"/>
            </w:tcBorders>
            <w:vAlign w:val="center"/>
          </w:tcPr>
          <w:p w14:paraId="2165C4D2">
            <w:pPr>
              <w:spacing w:line="271" w:lineRule="exact"/>
              <w:ind w:right="-20"/>
              <w:rPr>
                <w:rFonts w:hint="eastAsia" w:ascii="仿宋" w:hAnsi="仿宋" w:eastAsia="仿宋" w:cs="仿宋"/>
                <w:color w:val="auto"/>
                <w:kern w:val="0"/>
                <w:sz w:val="24"/>
                <w:szCs w:val="22"/>
                <w:highlight w:val="none"/>
              </w:rPr>
            </w:pPr>
          </w:p>
        </w:tc>
        <w:tc>
          <w:tcPr>
            <w:tcW w:w="2120" w:type="dxa"/>
            <w:tcBorders>
              <w:top w:val="single" w:color="auto" w:sz="4" w:space="0"/>
              <w:left w:val="single" w:color="auto" w:sz="4" w:space="0"/>
              <w:bottom w:val="single" w:color="auto" w:sz="4" w:space="0"/>
              <w:right w:val="single" w:color="auto" w:sz="4" w:space="0"/>
            </w:tcBorders>
            <w:vAlign w:val="center"/>
          </w:tcPr>
          <w:p w14:paraId="6CF13DDE">
            <w:pPr>
              <w:spacing w:line="271" w:lineRule="exact"/>
              <w:ind w:right="-20"/>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w:t>
            </w:r>
          </w:p>
        </w:tc>
        <w:tc>
          <w:tcPr>
            <w:tcW w:w="1789" w:type="dxa"/>
            <w:tcBorders>
              <w:top w:val="single" w:color="auto" w:sz="4" w:space="0"/>
              <w:left w:val="single" w:color="auto" w:sz="4" w:space="0"/>
              <w:bottom w:val="single" w:color="auto" w:sz="4" w:space="0"/>
              <w:right w:val="single" w:color="auto" w:sz="4" w:space="0"/>
            </w:tcBorders>
            <w:vAlign w:val="center"/>
          </w:tcPr>
          <w:p w14:paraId="01F133E1">
            <w:pPr>
              <w:spacing w:line="271" w:lineRule="exact"/>
              <w:ind w:right="-20"/>
              <w:rPr>
                <w:rFonts w:hint="eastAsia" w:ascii="仿宋" w:hAnsi="仿宋" w:eastAsia="仿宋" w:cs="仿宋"/>
                <w:color w:val="auto"/>
                <w:kern w:val="0"/>
                <w:sz w:val="24"/>
                <w:szCs w:val="22"/>
                <w:highlight w:val="none"/>
              </w:rPr>
            </w:pPr>
          </w:p>
        </w:tc>
        <w:tc>
          <w:tcPr>
            <w:tcW w:w="1221" w:type="dxa"/>
            <w:tcBorders>
              <w:top w:val="single" w:color="auto" w:sz="4" w:space="0"/>
              <w:left w:val="single" w:color="auto" w:sz="4" w:space="0"/>
              <w:bottom w:val="single" w:color="auto" w:sz="4" w:space="0"/>
              <w:right w:val="single" w:color="auto" w:sz="4" w:space="0"/>
            </w:tcBorders>
            <w:vAlign w:val="center"/>
          </w:tcPr>
          <w:p w14:paraId="01EB841D">
            <w:pPr>
              <w:spacing w:line="271" w:lineRule="exact"/>
              <w:ind w:right="-20"/>
              <w:rPr>
                <w:rFonts w:hint="eastAsia" w:ascii="仿宋" w:hAnsi="仿宋" w:eastAsia="仿宋" w:cs="仿宋"/>
                <w:color w:val="auto"/>
                <w:kern w:val="0"/>
                <w:sz w:val="24"/>
                <w:szCs w:val="22"/>
                <w:highlight w:val="none"/>
              </w:rPr>
            </w:pPr>
          </w:p>
        </w:tc>
        <w:tc>
          <w:tcPr>
            <w:tcW w:w="2424" w:type="dxa"/>
            <w:tcBorders>
              <w:top w:val="single" w:color="auto" w:sz="4" w:space="0"/>
              <w:left w:val="single" w:color="auto" w:sz="4" w:space="0"/>
              <w:bottom w:val="single" w:color="auto" w:sz="4" w:space="0"/>
              <w:right w:val="single" w:color="auto" w:sz="4" w:space="0"/>
            </w:tcBorders>
            <w:vAlign w:val="center"/>
          </w:tcPr>
          <w:p w14:paraId="2E352946">
            <w:pPr>
              <w:spacing w:line="271" w:lineRule="exact"/>
              <w:ind w:right="-20"/>
              <w:rPr>
                <w:rFonts w:hint="eastAsia" w:ascii="仿宋" w:hAnsi="仿宋" w:eastAsia="仿宋" w:cs="仿宋"/>
                <w:color w:val="auto"/>
                <w:kern w:val="0"/>
                <w:sz w:val="24"/>
                <w:szCs w:val="22"/>
                <w:highlight w:val="none"/>
              </w:rPr>
            </w:pPr>
          </w:p>
        </w:tc>
      </w:tr>
    </w:tbl>
    <w:p w14:paraId="29868D55">
      <w:pPr>
        <w:ind w:firstLine="480"/>
        <w:jc w:val="center"/>
        <w:rPr>
          <w:rFonts w:hint="eastAsia" w:ascii="仿宋" w:hAnsi="仿宋" w:eastAsia="仿宋" w:cs="仿宋"/>
          <w:color w:val="auto"/>
          <w:kern w:val="0"/>
          <w:sz w:val="24"/>
          <w:szCs w:val="22"/>
          <w:highlight w:val="none"/>
        </w:rPr>
      </w:pPr>
    </w:p>
    <w:p w14:paraId="376C41D0">
      <w:pPr>
        <w:ind w:firstLine="787" w:firstLineChars="328"/>
        <w:rPr>
          <w:rFonts w:hint="eastAsia" w:ascii="仿宋" w:hAnsi="仿宋" w:eastAsia="仿宋" w:cs="仿宋"/>
          <w:color w:val="auto"/>
          <w:sz w:val="24"/>
          <w:highlight w:val="none"/>
        </w:rPr>
      </w:pPr>
      <w:r>
        <w:rPr>
          <w:rFonts w:hint="eastAsia" w:ascii="仿宋" w:hAnsi="仿宋" w:eastAsia="仿宋" w:cs="仿宋"/>
          <w:color w:val="auto"/>
          <w:sz w:val="24"/>
          <w:highlight w:val="none"/>
        </w:rPr>
        <w:t>授权代表</w:t>
      </w:r>
      <w:r>
        <w:rPr>
          <w:rFonts w:hint="eastAsia" w:ascii="仿宋" w:hAnsi="仿宋" w:eastAsia="仿宋" w:cs="仿宋"/>
          <w:color w:val="auto"/>
          <w:sz w:val="24"/>
          <w:szCs w:val="20"/>
          <w:highlight w:val="none"/>
        </w:rPr>
        <w:t>签字或盖章</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日 期：</w:t>
      </w:r>
      <w:r>
        <w:rPr>
          <w:rFonts w:hint="eastAsia" w:ascii="仿宋" w:hAnsi="仿宋" w:eastAsia="仿宋" w:cs="仿宋"/>
          <w:color w:val="auto"/>
          <w:sz w:val="24"/>
          <w:highlight w:val="none"/>
          <w:u w:val="single"/>
        </w:rPr>
        <w:t xml:space="preserve">            </w:t>
      </w:r>
    </w:p>
    <w:p w14:paraId="0E75F28E">
      <w:pPr>
        <w:spacing w:before="9" w:line="400" w:lineRule="exact"/>
        <w:jc w:val="left"/>
        <w:rPr>
          <w:rFonts w:hint="eastAsia" w:ascii="仿宋" w:hAnsi="仿宋" w:eastAsia="仿宋" w:cs="仿宋"/>
          <w:color w:val="auto"/>
          <w:kern w:val="0"/>
          <w:sz w:val="24"/>
          <w:szCs w:val="22"/>
          <w:highlight w:val="none"/>
        </w:rPr>
      </w:pPr>
    </w:p>
    <w:p w14:paraId="652240F5">
      <w:pPr>
        <w:spacing w:before="9" w:line="400" w:lineRule="exact"/>
        <w:jc w:val="left"/>
        <w:rPr>
          <w:rFonts w:hint="eastAsia" w:ascii="仿宋" w:hAnsi="仿宋" w:eastAsia="仿宋" w:cs="仿宋"/>
          <w:color w:val="auto"/>
          <w:kern w:val="0"/>
          <w:sz w:val="24"/>
          <w:szCs w:val="22"/>
          <w:highlight w:val="none"/>
        </w:rPr>
      </w:pPr>
    </w:p>
    <w:p w14:paraId="6B7B45A9">
      <w:pPr>
        <w:spacing w:before="9" w:line="400" w:lineRule="exact"/>
        <w:jc w:val="left"/>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15.2技术响应表</w:t>
      </w:r>
    </w:p>
    <w:p w14:paraId="239F0E5C">
      <w:pPr>
        <w:spacing w:line="360" w:lineRule="auto"/>
        <w:ind w:left="220" w:right="-20" w:firstLine="199" w:firstLineChars="83"/>
        <w:jc w:val="left"/>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 xml:space="preserve">供应商名称（公章）：                               </w:t>
      </w:r>
    </w:p>
    <w:p w14:paraId="6FCA595F">
      <w:pPr>
        <w:spacing w:line="360" w:lineRule="auto"/>
        <w:ind w:left="220" w:right="-20" w:firstLine="199" w:firstLineChars="83"/>
        <w:jc w:val="left"/>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 xml:space="preserve">项目编号：                              </w:t>
      </w:r>
    </w:p>
    <w:p w14:paraId="382CD0F5">
      <w:pPr>
        <w:spacing w:line="360" w:lineRule="auto"/>
        <w:ind w:left="220" w:right="-20" w:firstLine="199" w:firstLineChars="83"/>
        <w:jc w:val="left"/>
        <w:rPr>
          <w:rFonts w:hint="eastAsia" w:ascii="仿宋" w:hAnsi="仿宋" w:eastAsia="仿宋" w:cs="仿宋"/>
          <w:color w:val="auto"/>
          <w:kern w:val="0"/>
          <w:sz w:val="24"/>
          <w:szCs w:val="22"/>
          <w:highlight w:val="none"/>
        </w:rPr>
      </w:pPr>
      <w:r>
        <w:rPr>
          <w:rFonts w:hint="eastAsia" w:ascii="仿宋" w:hAnsi="仿宋" w:eastAsia="仿宋" w:cs="仿宋"/>
          <w:color w:val="auto"/>
          <w:kern w:val="0"/>
          <w:sz w:val="24"/>
          <w:szCs w:val="22"/>
          <w:highlight w:val="none"/>
        </w:rPr>
        <w:t xml:space="preserve">所投包号：       </w:t>
      </w:r>
    </w:p>
    <w:tbl>
      <w:tblPr>
        <w:tblStyle w:val="34"/>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1"/>
        <w:gridCol w:w="1943"/>
        <w:gridCol w:w="2216"/>
        <w:gridCol w:w="1826"/>
        <w:gridCol w:w="1827"/>
      </w:tblGrid>
      <w:tr w14:paraId="7D4E77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5" w:hRule="atLeast"/>
        </w:trPr>
        <w:tc>
          <w:tcPr>
            <w:tcW w:w="711" w:type="dxa"/>
            <w:tcBorders>
              <w:top w:val="single" w:color="auto" w:sz="4" w:space="0"/>
              <w:left w:val="single" w:color="auto" w:sz="4" w:space="0"/>
              <w:bottom w:val="single" w:color="auto" w:sz="4" w:space="0"/>
              <w:right w:val="single" w:color="auto" w:sz="4" w:space="0"/>
            </w:tcBorders>
            <w:vAlign w:val="center"/>
          </w:tcPr>
          <w:p w14:paraId="727B04AA">
            <w:pPr>
              <w:pStyle w:val="12"/>
              <w:spacing w:after="0"/>
              <w:jc w:val="center"/>
              <w:rPr>
                <w:rFonts w:hint="eastAsia" w:ascii="仿宋" w:hAnsi="仿宋" w:eastAsia="仿宋" w:cs="仿宋"/>
                <w:color w:val="auto"/>
                <w:sz w:val="24"/>
                <w:szCs w:val="24"/>
                <w:highlight w:val="none"/>
              </w:rPr>
            </w:pPr>
            <w:r>
              <w:rPr>
                <w:rFonts w:hint="eastAsia" w:ascii="仿宋" w:hAnsi="仿宋" w:eastAsia="仿宋" w:cs="仿宋"/>
                <w:color w:val="auto"/>
                <w:sz w:val="24"/>
                <w:highlight w:val="none"/>
              </w:rPr>
              <w:t>序号</w:t>
            </w:r>
          </w:p>
        </w:tc>
        <w:tc>
          <w:tcPr>
            <w:tcW w:w="1943" w:type="dxa"/>
            <w:tcBorders>
              <w:top w:val="single" w:color="auto" w:sz="4" w:space="0"/>
              <w:left w:val="single" w:color="auto" w:sz="4" w:space="0"/>
              <w:bottom w:val="single" w:color="auto" w:sz="4" w:space="0"/>
              <w:right w:val="single" w:color="auto" w:sz="4" w:space="0"/>
            </w:tcBorders>
            <w:vAlign w:val="center"/>
          </w:tcPr>
          <w:p w14:paraId="16AD0E91">
            <w:pPr>
              <w:pStyle w:val="12"/>
              <w:spacing w:after="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磋商文件要求</w:t>
            </w:r>
          </w:p>
        </w:tc>
        <w:tc>
          <w:tcPr>
            <w:tcW w:w="2216" w:type="dxa"/>
            <w:tcBorders>
              <w:top w:val="single" w:color="auto" w:sz="4" w:space="0"/>
              <w:left w:val="single" w:color="auto" w:sz="4" w:space="0"/>
              <w:bottom w:val="single" w:color="auto" w:sz="4" w:space="0"/>
              <w:right w:val="single" w:color="auto" w:sz="4" w:space="0"/>
            </w:tcBorders>
            <w:vAlign w:val="center"/>
          </w:tcPr>
          <w:p w14:paraId="4F722225">
            <w:pPr>
              <w:pStyle w:val="12"/>
              <w:spacing w:after="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响应文件情况</w:t>
            </w:r>
          </w:p>
        </w:tc>
        <w:tc>
          <w:tcPr>
            <w:tcW w:w="1826" w:type="dxa"/>
            <w:tcBorders>
              <w:top w:val="single" w:color="auto" w:sz="4" w:space="0"/>
              <w:left w:val="single" w:color="auto" w:sz="4" w:space="0"/>
              <w:bottom w:val="single" w:color="auto" w:sz="4" w:space="0"/>
              <w:right w:val="single" w:color="auto" w:sz="4" w:space="0"/>
            </w:tcBorders>
            <w:vAlign w:val="center"/>
          </w:tcPr>
          <w:p w14:paraId="70C73DDD">
            <w:pPr>
              <w:pStyle w:val="12"/>
              <w:spacing w:after="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响应程度</w:t>
            </w:r>
          </w:p>
        </w:tc>
        <w:tc>
          <w:tcPr>
            <w:tcW w:w="1827" w:type="dxa"/>
            <w:tcBorders>
              <w:top w:val="single" w:color="auto" w:sz="4" w:space="0"/>
              <w:left w:val="single" w:color="auto" w:sz="4" w:space="0"/>
              <w:bottom w:val="single" w:color="auto" w:sz="4" w:space="0"/>
              <w:right w:val="single" w:color="auto" w:sz="4" w:space="0"/>
            </w:tcBorders>
            <w:vAlign w:val="center"/>
          </w:tcPr>
          <w:p w14:paraId="288174E0">
            <w:pPr>
              <w:pStyle w:val="12"/>
              <w:spacing w:after="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偏离理由</w:t>
            </w:r>
          </w:p>
        </w:tc>
      </w:tr>
      <w:tr w14:paraId="78046A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5" w:hRule="atLeast"/>
        </w:trPr>
        <w:tc>
          <w:tcPr>
            <w:tcW w:w="711" w:type="dxa"/>
            <w:tcBorders>
              <w:top w:val="single" w:color="auto" w:sz="4" w:space="0"/>
              <w:left w:val="single" w:color="auto" w:sz="4" w:space="0"/>
              <w:bottom w:val="single" w:color="auto" w:sz="4" w:space="0"/>
              <w:right w:val="single" w:color="auto" w:sz="4" w:space="0"/>
            </w:tcBorders>
            <w:vAlign w:val="center"/>
          </w:tcPr>
          <w:p w14:paraId="12810CFC">
            <w:pPr>
              <w:jc w:val="center"/>
              <w:rPr>
                <w:rFonts w:hint="eastAsia" w:ascii="仿宋" w:hAnsi="仿宋" w:eastAsia="仿宋" w:cs="仿宋"/>
                <w:color w:val="auto"/>
                <w:highlight w:val="none"/>
              </w:rPr>
            </w:pPr>
          </w:p>
        </w:tc>
        <w:tc>
          <w:tcPr>
            <w:tcW w:w="1943" w:type="dxa"/>
            <w:tcBorders>
              <w:top w:val="single" w:color="auto" w:sz="4" w:space="0"/>
              <w:left w:val="single" w:color="auto" w:sz="4" w:space="0"/>
              <w:bottom w:val="single" w:color="auto" w:sz="4" w:space="0"/>
              <w:right w:val="single" w:color="auto" w:sz="4" w:space="0"/>
            </w:tcBorders>
            <w:vAlign w:val="center"/>
          </w:tcPr>
          <w:p w14:paraId="5EE6768D">
            <w:pPr>
              <w:jc w:val="center"/>
              <w:rPr>
                <w:rFonts w:hint="eastAsia" w:ascii="仿宋" w:hAnsi="仿宋" w:eastAsia="仿宋" w:cs="仿宋"/>
                <w:color w:val="auto"/>
                <w:highlight w:val="none"/>
              </w:rPr>
            </w:pPr>
          </w:p>
        </w:tc>
        <w:tc>
          <w:tcPr>
            <w:tcW w:w="2216" w:type="dxa"/>
            <w:tcBorders>
              <w:top w:val="single" w:color="auto" w:sz="4" w:space="0"/>
              <w:left w:val="single" w:color="auto" w:sz="4" w:space="0"/>
              <w:bottom w:val="single" w:color="auto" w:sz="4" w:space="0"/>
              <w:right w:val="single" w:color="auto" w:sz="4" w:space="0"/>
            </w:tcBorders>
            <w:vAlign w:val="center"/>
          </w:tcPr>
          <w:p w14:paraId="57DA0AF8">
            <w:pPr>
              <w:jc w:val="center"/>
              <w:rPr>
                <w:rFonts w:hint="eastAsia" w:ascii="仿宋" w:hAnsi="仿宋" w:eastAsia="仿宋" w:cs="仿宋"/>
                <w:color w:val="auto"/>
                <w:highlight w:val="none"/>
              </w:rPr>
            </w:pPr>
          </w:p>
        </w:tc>
        <w:tc>
          <w:tcPr>
            <w:tcW w:w="1826" w:type="dxa"/>
            <w:tcBorders>
              <w:top w:val="single" w:color="auto" w:sz="4" w:space="0"/>
              <w:left w:val="single" w:color="auto" w:sz="4" w:space="0"/>
              <w:bottom w:val="single" w:color="auto" w:sz="4" w:space="0"/>
              <w:right w:val="single" w:color="auto" w:sz="4" w:space="0"/>
            </w:tcBorders>
            <w:vAlign w:val="center"/>
          </w:tcPr>
          <w:p w14:paraId="45189319">
            <w:pPr>
              <w:jc w:val="center"/>
              <w:rPr>
                <w:rFonts w:hint="eastAsia" w:ascii="仿宋" w:hAnsi="仿宋" w:eastAsia="仿宋" w:cs="仿宋"/>
                <w:color w:val="auto"/>
                <w:highlight w:val="none"/>
              </w:rPr>
            </w:pPr>
          </w:p>
        </w:tc>
        <w:tc>
          <w:tcPr>
            <w:tcW w:w="1827" w:type="dxa"/>
            <w:tcBorders>
              <w:top w:val="single" w:color="auto" w:sz="4" w:space="0"/>
              <w:left w:val="single" w:color="auto" w:sz="4" w:space="0"/>
              <w:bottom w:val="single" w:color="auto" w:sz="4" w:space="0"/>
              <w:right w:val="single" w:color="auto" w:sz="4" w:space="0"/>
            </w:tcBorders>
            <w:vAlign w:val="center"/>
          </w:tcPr>
          <w:p w14:paraId="0635CDA2">
            <w:pPr>
              <w:jc w:val="center"/>
              <w:rPr>
                <w:rFonts w:hint="eastAsia" w:ascii="仿宋" w:hAnsi="仿宋" w:eastAsia="仿宋" w:cs="仿宋"/>
                <w:color w:val="auto"/>
                <w:highlight w:val="none"/>
              </w:rPr>
            </w:pPr>
          </w:p>
        </w:tc>
      </w:tr>
      <w:tr w14:paraId="35E0FC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5" w:hRule="atLeast"/>
        </w:trPr>
        <w:tc>
          <w:tcPr>
            <w:tcW w:w="711" w:type="dxa"/>
            <w:tcBorders>
              <w:top w:val="single" w:color="auto" w:sz="4" w:space="0"/>
              <w:left w:val="single" w:color="auto" w:sz="4" w:space="0"/>
              <w:bottom w:val="single" w:color="auto" w:sz="4" w:space="0"/>
              <w:right w:val="single" w:color="auto" w:sz="4" w:space="0"/>
            </w:tcBorders>
            <w:vAlign w:val="center"/>
          </w:tcPr>
          <w:p w14:paraId="128F48F6">
            <w:pPr>
              <w:jc w:val="center"/>
              <w:rPr>
                <w:rFonts w:hint="eastAsia" w:ascii="仿宋" w:hAnsi="仿宋" w:eastAsia="仿宋" w:cs="仿宋"/>
                <w:color w:val="auto"/>
                <w:highlight w:val="none"/>
              </w:rPr>
            </w:pPr>
          </w:p>
        </w:tc>
        <w:tc>
          <w:tcPr>
            <w:tcW w:w="1943" w:type="dxa"/>
            <w:tcBorders>
              <w:top w:val="single" w:color="auto" w:sz="4" w:space="0"/>
              <w:left w:val="single" w:color="auto" w:sz="4" w:space="0"/>
              <w:bottom w:val="single" w:color="auto" w:sz="4" w:space="0"/>
              <w:right w:val="single" w:color="auto" w:sz="4" w:space="0"/>
            </w:tcBorders>
            <w:vAlign w:val="center"/>
          </w:tcPr>
          <w:p w14:paraId="6AC39DD9">
            <w:pPr>
              <w:jc w:val="center"/>
              <w:rPr>
                <w:rFonts w:hint="eastAsia" w:ascii="仿宋" w:hAnsi="仿宋" w:eastAsia="仿宋" w:cs="仿宋"/>
                <w:color w:val="auto"/>
                <w:highlight w:val="none"/>
              </w:rPr>
            </w:pPr>
          </w:p>
        </w:tc>
        <w:tc>
          <w:tcPr>
            <w:tcW w:w="2216" w:type="dxa"/>
            <w:tcBorders>
              <w:top w:val="single" w:color="auto" w:sz="4" w:space="0"/>
              <w:left w:val="single" w:color="auto" w:sz="4" w:space="0"/>
              <w:bottom w:val="single" w:color="auto" w:sz="4" w:space="0"/>
              <w:right w:val="single" w:color="auto" w:sz="4" w:space="0"/>
            </w:tcBorders>
            <w:vAlign w:val="center"/>
          </w:tcPr>
          <w:p w14:paraId="5B599E5D">
            <w:pPr>
              <w:jc w:val="center"/>
              <w:rPr>
                <w:rFonts w:hint="eastAsia" w:ascii="仿宋" w:hAnsi="仿宋" w:eastAsia="仿宋" w:cs="仿宋"/>
                <w:color w:val="auto"/>
                <w:highlight w:val="none"/>
              </w:rPr>
            </w:pPr>
          </w:p>
        </w:tc>
        <w:tc>
          <w:tcPr>
            <w:tcW w:w="1826" w:type="dxa"/>
            <w:tcBorders>
              <w:top w:val="single" w:color="auto" w:sz="4" w:space="0"/>
              <w:left w:val="single" w:color="auto" w:sz="4" w:space="0"/>
              <w:bottom w:val="single" w:color="auto" w:sz="4" w:space="0"/>
              <w:right w:val="single" w:color="auto" w:sz="4" w:space="0"/>
            </w:tcBorders>
            <w:vAlign w:val="center"/>
          </w:tcPr>
          <w:p w14:paraId="11C027C8">
            <w:pPr>
              <w:jc w:val="center"/>
              <w:rPr>
                <w:rFonts w:hint="eastAsia" w:ascii="仿宋" w:hAnsi="仿宋" w:eastAsia="仿宋" w:cs="仿宋"/>
                <w:color w:val="auto"/>
                <w:highlight w:val="none"/>
              </w:rPr>
            </w:pPr>
          </w:p>
        </w:tc>
        <w:tc>
          <w:tcPr>
            <w:tcW w:w="1827" w:type="dxa"/>
            <w:tcBorders>
              <w:top w:val="single" w:color="auto" w:sz="4" w:space="0"/>
              <w:left w:val="single" w:color="auto" w:sz="4" w:space="0"/>
              <w:bottom w:val="single" w:color="auto" w:sz="4" w:space="0"/>
              <w:right w:val="single" w:color="auto" w:sz="4" w:space="0"/>
            </w:tcBorders>
            <w:vAlign w:val="center"/>
          </w:tcPr>
          <w:p w14:paraId="26BD4D49">
            <w:pPr>
              <w:jc w:val="center"/>
              <w:rPr>
                <w:rFonts w:hint="eastAsia" w:ascii="仿宋" w:hAnsi="仿宋" w:eastAsia="仿宋" w:cs="仿宋"/>
                <w:color w:val="auto"/>
                <w:highlight w:val="none"/>
              </w:rPr>
            </w:pPr>
          </w:p>
        </w:tc>
      </w:tr>
      <w:tr w14:paraId="327595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5" w:hRule="atLeast"/>
        </w:trPr>
        <w:tc>
          <w:tcPr>
            <w:tcW w:w="711" w:type="dxa"/>
            <w:tcBorders>
              <w:top w:val="single" w:color="auto" w:sz="4" w:space="0"/>
              <w:left w:val="single" w:color="auto" w:sz="4" w:space="0"/>
              <w:bottom w:val="single" w:color="auto" w:sz="4" w:space="0"/>
              <w:right w:val="single" w:color="auto" w:sz="4" w:space="0"/>
            </w:tcBorders>
            <w:vAlign w:val="center"/>
          </w:tcPr>
          <w:p w14:paraId="423E987B">
            <w:pPr>
              <w:jc w:val="center"/>
              <w:rPr>
                <w:rFonts w:hint="eastAsia" w:ascii="仿宋" w:hAnsi="仿宋" w:eastAsia="仿宋" w:cs="仿宋"/>
                <w:color w:val="auto"/>
                <w:highlight w:val="none"/>
              </w:rPr>
            </w:pPr>
          </w:p>
        </w:tc>
        <w:tc>
          <w:tcPr>
            <w:tcW w:w="1943" w:type="dxa"/>
            <w:tcBorders>
              <w:top w:val="single" w:color="auto" w:sz="4" w:space="0"/>
              <w:left w:val="single" w:color="auto" w:sz="4" w:space="0"/>
              <w:bottom w:val="single" w:color="auto" w:sz="4" w:space="0"/>
              <w:right w:val="single" w:color="auto" w:sz="4" w:space="0"/>
            </w:tcBorders>
            <w:vAlign w:val="center"/>
          </w:tcPr>
          <w:p w14:paraId="7E2FAFF1">
            <w:pPr>
              <w:jc w:val="center"/>
              <w:rPr>
                <w:rFonts w:hint="eastAsia" w:ascii="仿宋" w:hAnsi="仿宋" w:eastAsia="仿宋" w:cs="仿宋"/>
                <w:color w:val="auto"/>
                <w:highlight w:val="none"/>
              </w:rPr>
            </w:pPr>
          </w:p>
        </w:tc>
        <w:tc>
          <w:tcPr>
            <w:tcW w:w="2216" w:type="dxa"/>
            <w:tcBorders>
              <w:top w:val="single" w:color="auto" w:sz="4" w:space="0"/>
              <w:left w:val="single" w:color="auto" w:sz="4" w:space="0"/>
              <w:bottom w:val="single" w:color="auto" w:sz="4" w:space="0"/>
              <w:right w:val="single" w:color="auto" w:sz="4" w:space="0"/>
            </w:tcBorders>
            <w:vAlign w:val="center"/>
          </w:tcPr>
          <w:p w14:paraId="6BBDE619">
            <w:pPr>
              <w:jc w:val="center"/>
              <w:rPr>
                <w:rFonts w:hint="eastAsia" w:ascii="仿宋" w:hAnsi="仿宋" w:eastAsia="仿宋" w:cs="仿宋"/>
                <w:color w:val="auto"/>
                <w:highlight w:val="none"/>
              </w:rPr>
            </w:pPr>
          </w:p>
        </w:tc>
        <w:tc>
          <w:tcPr>
            <w:tcW w:w="1826" w:type="dxa"/>
            <w:tcBorders>
              <w:top w:val="single" w:color="auto" w:sz="4" w:space="0"/>
              <w:left w:val="single" w:color="auto" w:sz="4" w:space="0"/>
              <w:bottom w:val="single" w:color="auto" w:sz="4" w:space="0"/>
              <w:right w:val="single" w:color="auto" w:sz="4" w:space="0"/>
            </w:tcBorders>
            <w:vAlign w:val="center"/>
          </w:tcPr>
          <w:p w14:paraId="20DB5868">
            <w:pPr>
              <w:jc w:val="center"/>
              <w:rPr>
                <w:rFonts w:hint="eastAsia" w:ascii="仿宋" w:hAnsi="仿宋" w:eastAsia="仿宋" w:cs="仿宋"/>
                <w:color w:val="auto"/>
                <w:highlight w:val="none"/>
              </w:rPr>
            </w:pPr>
          </w:p>
        </w:tc>
        <w:tc>
          <w:tcPr>
            <w:tcW w:w="1827" w:type="dxa"/>
            <w:tcBorders>
              <w:top w:val="single" w:color="auto" w:sz="4" w:space="0"/>
              <w:left w:val="single" w:color="auto" w:sz="4" w:space="0"/>
              <w:bottom w:val="single" w:color="auto" w:sz="4" w:space="0"/>
              <w:right w:val="single" w:color="auto" w:sz="4" w:space="0"/>
            </w:tcBorders>
            <w:vAlign w:val="center"/>
          </w:tcPr>
          <w:p w14:paraId="4B9E2C9E">
            <w:pPr>
              <w:jc w:val="center"/>
              <w:rPr>
                <w:rFonts w:hint="eastAsia" w:ascii="仿宋" w:hAnsi="仿宋" w:eastAsia="仿宋" w:cs="仿宋"/>
                <w:color w:val="auto"/>
                <w:highlight w:val="none"/>
              </w:rPr>
            </w:pPr>
          </w:p>
        </w:tc>
      </w:tr>
      <w:tr w14:paraId="5B497D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5" w:hRule="atLeast"/>
        </w:trPr>
        <w:tc>
          <w:tcPr>
            <w:tcW w:w="711" w:type="dxa"/>
            <w:tcBorders>
              <w:top w:val="single" w:color="auto" w:sz="4" w:space="0"/>
              <w:left w:val="single" w:color="auto" w:sz="4" w:space="0"/>
              <w:bottom w:val="single" w:color="auto" w:sz="4" w:space="0"/>
              <w:right w:val="single" w:color="auto" w:sz="4" w:space="0"/>
            </w:tcBorders>
            <w:vAlign w:val="center"/>
          </w:tcPr>
          <w:p w14:paraId="352F61FC">
            <w:pPr>
              <w:jc w:val="center"/>
              <w:rPr>
                <w:rFonts w:hint="eastAsia" w:ascii="仿宋" w:hAnsi="仿宋" w:eastAsia="仿宋" w:cs="仿宋"/>
                <w:color w:val="auto"/>
                <w:highlight w:val="none"/>
              </w:rPr>
            </w:pPr>
          </w:p>
        </w:tc>
        <w:tc>
          <w:tcPr>
            <w:tcW w:w="1943" w:type="dxa"/>
            <w:tcBorders>
              <w:top w:val="single" w:color="auto" w:sz="4" w:space="0"/>
              <w:left w:val="single" w:color="auto" w:sz="4" w:space="0"/>
              <w:bottom w:val="single" w:color="auto" w:sz="4" w:space="0"/>
              <w:right w:val="single" w:color="auto" w:sz="4" w:space="0"/>
            </w:tcBorders>
            <w:vAlign w:val="center"/>
          </w:tcPr>
          <w:p w14:paraId="07479461">
            <w:pPr>
              <w:jc w:val="center"/>
              <w:rPr>
                <w:rFonts w:hint="eastAsia" w:ascii="仿宋" w:hAnsi="仿宋" w:eastAsia="仿宋" w:cs="仿宋"/>
                <w:color w:val="auto"/>
                <w:highlight w:val="none"/>
              </w:rPr>
            </w:pPr>
          </w:p>
        </w:tc>
        <w:tc>
          <w:tcPr>
            <w:tcW w:w="2216" w:type="dxa"/>
            <w:tcBorders>
              <w:top w:val="single" w:color="auto" w:sz="4" w:space="0"/>
              <w:left w:val="single" w:color="auto" w:sz="4" w:space="0"/>
              <w:bottom w:val="single" w:color="auto" w:sz="4" w:space="0"/>
              <w:right w:val="single" w:color="auto" w:sz="4" w:space="0"/>
            </w:tcBorders>
            <w:vAlign w:val="center"/>
          </w:tcPr>
          <w:p w14:paraId="75EEEAC5">
            <w:pPr>
              <w:jc w:val="center"/>
              <w:rPr>
                <w:rFonts w:hint="eastAsia" w:ascii="仿宋" w:hAnsi="仿宋" w:eastAsia="仿宋" w:cs="仿宋"/>
                <w:color w:val="auto"/>
                <w:highlight w:val="none"/>
              </w:rPr>
            </w:pPr>
          </w:p>
        </w:tc>
        <w:tc>
          <w:tcPr>
            <w:tcW w:w="1826" w:type="dxa"/>
            <w:tcBorders>
              <w:top w:val="single" w:color="auto" w:sz="4" w:space="0"/>
              <w:left w:val="single" w:color="auto" w:sz="4" w:space="0"/>
              <w:right w:val="single" w:color="auto" w:sz="4" w:space="0"/>
            </w:tcBorders>
            <w:vAlign w:val="center"/>
          </w:tcPr>
          <w:p w14:paraId="16C75763">
            <w:pPr>
              <w:jc w:val="center"/>
              <w:rPr>
                <w:rFonts w:hint="eastAsia" w:ascii="仿宋" w:hAnsi="仿宋" w:eastAsia="仿宋" w:cs="仿宋"/>
                <w:color w:val="auto"/>
                <w:highlight w:val="none"/>
              </w:rPr>
            </w:pPr>
          </w:p>
        </w:tc>
        <w:tc>
          <w:tcPr>
            <w:tcW w:w="1827" w:type="dxa"/>
            <w:tcBorders>
              <w:top w:val="single" w:color="auto" w:sz="4" w:space="0"/>
              <w:left w:val="single" w:color="auto" w:sz="4" w:space="0"/>
              <w:right w:val="single" w:color="auto" w:sz="4" w:space="0"/>
            </w:tcBorders>
            <w:vAlign w:val="center"/>
          </w:tcPr>
          <w:p w14:paraId="7BB127CF">
            <w:pPr>
              <w:jc w:val="center"/>
              <w:rPr>
                <w:rFonts w:hint="eastAsia" w:ascii="仿宋" w:hAnsi="仿宋" w:eastAsia="仿宋" w:cs="仿宋"/>
                <w:color w:val="auto"/>
                <w:highlight w:val="none"/>
              </w:rPr>
            </w:pPr>
          </w:p>
        </w:tc>
      </w:tr>
      <w:tr w14:paraId="1FAF18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5" w:hRule="atLeast"/>
        </w:trPr>
        <w:tc>
          <w:tcPr>
            <w:tcW w:w="711" w:type="dxa"/>
            <w:tcBorders>
              <w:top w:val="single" w:color="auto" w:sz="4" w:space="0"/>
              <w:left w:val="single" w:color="auto" w:sz="4" w:space="0"/>
              <w:bottom w:val="single" w:color="auto" w:sz="4" w:space="0"/>
              <w:right w:val="single" w:color="auto" w:sz="4" w:space="0"/>
            </w:tcBorders>
            <w:vAlign w:val="center"/>
          </w:tcPr>
          <w:p w14:paraId="6485306B">
            <w:pPr>
              <w:pStyle w:val="18"/>
              <w:jc w:val="center"/>
              <w:rPr>
                <w:rFonts w:hint="eastAsia" w:ascii="仿宋" w:hAnsi="仿宋" w:eastAsia="仿宋" w:cs="仿宋"/>
                <w:color w:val="auto"/>
                <w:sz w:val="24"/>
                <w:szCs w:val="24"/>
                <w:highlight w:val="none"/>
              </w:rPr>
            </w:pPr>
            <w:bookmarkStart w:id="400" w:name="_Toc13167"/>
            <w:bookmarkStart w:id="401" w:name="_Toc23973"/>
            <w:bookmarkStart w:id="402" w:name="_Toc16155"/>
            <w:bookmarkStart w:id="403" w:name="_Toc7987"/>
            <w:bookmarkStart w:id="404" w:name="_Toc2156"/>
            <w:r>
              <w:rPr>
                <w:rFonts w:hint="eastAsia" w:ascii="仿宋" w:hAnsi="仿宋" w:eastAsia="仿宋" w:cs="仿宋"/>
                <w:color w:val="auto"/>
                <w:szCs w:val="24"/>
                <w:highlight w:val="none"/>
              </w:rPr>
              <w:t>……</w:t>
            </w:r>
            <w:bookmarkEnd w:id="400"/>
            <w:bookmarkEnd w:id="401"/>
            <w:bookmarkEnd w:id="402"/>
            <w:bookmarkEnd w:id="403"/>
            <w:bookmarkEnd w:id="404"/>
          </w:p>
        </w:tc>
        <w:tc>
          <w:tcPr>
            <w:tcW w:w="1943" w:type="dxa"/>
            <w:tcBorders>
              <w:top w:val="single" w:color="auto" w:sz="4" w:space="0"/>
              <w:left w:val="single" w:color="auto" w:sz="4" w:space="0"/>
              <w:bottom w:val="single" w:color="auto" w:sz="4" w:space="0"/>
              <w:right w:val="single" w:color="auto" w:sz="4" w:space="0"/>
            </w:tcBorders>
            <w:vAlign w:val="center"/>
          </w:tcPr>
          <w:p w14:paraId="0DEBB6F0">
            <w:pPr>
              <w:pStyle w:val="18"/>
              <w:jc w:val="center"/>
              <w:rPr>
                <w:rFonts w:hint="eastAsia" w:ascii="仿宋" w:hAnsi="仿宋" w:eastAsia="仿宋" w:cs="仿宋"/>
                <w:color w:val="auto"/>
                <w:sz w:val="24"/>
                <w:szCs w:val="24"/>
                <w:highlight w:val="none"/>
              </w:rPr>
            </w:pPr>
          </w:p>
        </w:tc>
        <w:tc>
          <w:tcPr>
            <w:tcW w:w="2216" w:type="dxa"/>
            <w:tcBorders>
              <w:top w:val="single" w:color="auto" w:sz="4" w:space="0"/>
              <w:left w:val="single" w:color="auto" w:sz="4" w:space="0"/>
              <w:bottom w:val="single" w:color="auto" w:sz="4" w:space="0"/>
              <w:right w:val="single" w:color="auto" w:sz="4" w:space="0"/>
            </w:tcBorders>
            <w:vAlign w:val="center"/>
          </w:tcPr>
          <w:p w14:paraId="560406B4">
            <w:pPr>
              <w:pStyle w:val="18"/>
              <w:jc w:val="center"/>
              <w:rPr>
                <w:rFonts w:hint="eastAsia" w:ascii="仿宋" w:hAnsi="仿宋" w:eastAsia="仿宋" w:cs="仿宋"/>
                <w:color w:val="auto"/>
                <w:sz w:val="24"/>
                <w:szCs w:val="24"/>
                <w:highlight w:val="none"/>
              </w:rPr>
            </w:pPr>
          </w:p>
        </w:tc>
        <w:tc>
          <w:tcPr>
            <w:tcW w:w="1826" w:type="dxa"/>
            <w:tcBorders>
              <w:top w:val="single" w:color="auto" w:sz="4" w:space="0"/>
              <w:left w:val="single" w:color="auto" w:sz="4" w:space="0"/>
              <w:bottom w:val="single" w:color="auto" w:sz="4" w:space="0"/>
              <w:right w:val="single" w:color="auto" w:sz="4" w:space="0"/>
            </w:tcBorders>
            <w:vAlign w:val="center"/>
          </w:tcPr>
          <w:p w14:paraId="74B622F9">
            <w:pPr>
              <w:pStyle w:val="18"/>
              <w:jc w:val="center"/>
              <w:rPr>
                <w:rFonts w:hint="eastAsia" w:ascii="仿宋" w:hAnsi="仿宋" w:eastAsia="仿宋" w:cs="仿宋"/>
                <w:color w:val="auto"/>
                <w:sz w:val="24"/>
                <w:szCs w:val="24"/>
                <w:highlight w:val="none"/>
              </w:rPr>
            </w:pPr>
          </w:p>
        </w:tc>
        <w:tc>
          <w:tcPr>
            <w:tcW w:w="1827" w:type="dxa"/>
            <w:tcBorders>
              <w:top w:val="single" w:color="auto" w:sz="4" w:space="0"/>
              <w:left w:val="single" w:color="auto" w:sz="4" w:space="0"/>
              <w:bottom w:val="single" w:color="auto" w:sz="4" w:space="0"/>
              <w:right w:val="single" w:color="auto" w:sz="4" w:space="0"/>
            </w:tcBorders>
            <w:vAlign w:val="center"/>
          </w:tcPr>
          <w:p w14:paraId="7434E572">
            <w:pPr>
              <w:pStyle w:val="18"/>
              <w:jc w:val="center"/>
              <w:rPr>
                <w:rFonts w:hint="eastAsia" w:ascii="仿宋" w:hAnsi="仿宋" w:eastAsia="仿宋" w:cs="仿宋"/>
                <w:color w:val="auto"/>
                <w:sz w:val="24"/>
                <w:szCs w:val="24"/>
                <w:highlight w:val="none"/>
              </w:rPr>
            </w:pPr>
          </w:p>
        </w:tc>
      </w:tr>
    </w:tbl>
    <w:p w14:paraId="339932FB">
      <w:pPr>
        <w:spacing w:line="360" w:lineRule="auto"/>
        <w:ind w:firstLine="482"/>
        <w:rPr>
          <w:rFonts w:hint="eastAsia" w:ascii="仿宋" w:hAnsi="仿宋" w:eastAsia="仿宋" w:cs="仿宋"/>
          <w:color w:val="auto"/>
          <w:sz w:val="24"/>
          <w:highlight w:val="none"/>
        </w:rPr>
      </w:pPr>
      <w:r>
        <w:rPr>
          <w:rFonts w:hint="eastAsia" w:ascii="仿宋" w:hAnsi="仿宋" w:eastAsia="仿宋" w:cs="仿宋"/>
          <w:color w:val="auto"/>
          <w:sz w:val="24"/>
          <w:highlight w:val="none"/>
        </w:rPr>
        <w:t>注：</w:t>
      </w:r>
    </w:p>
    <w:p w14:paraId="72522130">
      <w:pPr>
        <w:spacing w:line="360" w:lineRule="auto"/>
        <w:ind w:firstLine="482"/>
        <w:rPr>
          <w:rFonts w:hint="eastAsia" w:ascii="仿宋" w:hAnsi="仿宋" w:eastAsia="仿宋" w:cs="仿宋"/>
          <w:color w:val="auto"/>
          <w:sz w:val="24"/>
          <w:highlight w:val="none"/>
        </w:rPr>
      </w:pPr>
      <w:r>
        <w:rPr>
          <w:rFonts w:hint="eastAsia" w:ascii="仿宋" w:hAnsi="仿宋" w:eastAsia="仿宋" w:cs="仿宋"/>
          <w:color w:val="auto"/>
          <w:sz w:val="24"/>
          <w:highlight w:val="none"/>
        </w:rPr>
        <w:t>1、供应商须根据投标货物的性能参数、对照磋商文件要求在“响应程度”栏填写“无偏离”或“正偏离”或“负偏离”或“不能确定”。</w:t>
      </w:r>
    </w:p>
    <w:p w14:paraId="4878CA19">
      <w:pPr>
        <w:spacing w:line="360" w:lineRule="auto"/>
        <w:ind w:firstLine="482"/>
        <w:rPr>
          <w:rFonts w:hint="eastAsia" w:ascii="仿宋" w:hAnsi="仿宋" w:eastAsia="仿宋" w:cs="仿宋"/>
          <w:color w:val="auto"/>
          <w:spacing w:val="20"/>
          <w:sz w:val="24"/>
          <w:highlight w:val="none"/>
        </w:rPr>
      </w:pPr>
      <w:r>
        <w:rPr>
          <w:rFonts w:hint="eastAsia" w:ascii="仿宋" w:hAnsi="仿宋" w:eastAsia="仿宋" w:cs="仿宋"/>
          <w:color w:val="auto"/>
          <w:sz w:val="24"/>
          <w:highlight w:val="none"/>
        </w:rPr>
        <w:t>2、供应商须对照磋商文件技术规格、参数与要求，逐条说明投标货物与服务的响应情况，否则视为无效投标。</w:t>
      </w:r>
    </w:p>
    <w:p w14:paraId="50F1E070">
      <w:pPr>
        <w:ind w:firstLine="787" w:firstLineChars="328"/>
        <w:rPr>
          <w:rFonts w:hint="eastAsia" w:ascii="仿宋" w:hAnsi="仿宋" w:eastAsia="仿宋" w:cs="仿宋"/>
          <w:color w:val="auto"/>
          <w:sz w:val="24"/>
          <w:highlight w:val="none"/>
        </w:rPr>
      </w:pPr>
      <w:r>
        <w:rPr>
          <w:rFonts w:hint="eastAsia" w:ascii="仿宋" w:hAnsi="仿宋" w:eastAsia="仿宋" w:cs="仿宋"/>
          <w:color w:val="auto"/>
          <w:sz w:val="24"/>
          <w:highlight w:val="none"/>
        </w:rPr>
        <w:t>授权代表</w:t>
      </w:r>
      <w:r>
        <w:rPr>
          <w:rFonts w:hint="eastAsia" w:ascii="仿宋" w:hAnsi="仿宋" w:eastAsia="仿宋" w:cs="仿宋"/>
          <w:color w:val="auto"/>
          <w:sz w:val="24"/>
          <w:szCs w:val="20"/>
          <w:highlight w:val="none"/>
        </w:rPr>
        <w:t>签字或盖章</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日 期：</w:t>
      </w:r>
      <w:r>
        <w:rPr>
          <w:rFonts w:hint="eastAsia" w:ascii="仿宋" w:hAnsi="仿宋" w:eastAsia="仿宋" w:cs="仿宋"/>
          <w:color w:val="auto"/>
          <w:sz w:val="24"/>
          <w:highlight w:val="none"/>
          <w:u w:val="single"/>
        </w:rPr>
        <w:t xml:space="preserve">            </w:t>
      </w:r>
    </w:p>
    <w:p w14:paraId="38B34A41">
      <w:pPr>
        <w:spacing w:line="600" w:lineRule="exact"/>
        <w:rPr>
          <w:rFonts w:hint="eastAsia" w:ascii="仿宋" w:hAnsi="仿宋" w:eastAsia="仿宋" w:cs="仿宋"/>
          <w:b/>
          <w:bCs/>
          <w:color w:val="auto"/>
          <w:sz w:val="24"/>
          <w:szCs w:val="20"/>
          <w:highlight w:val="none"/>
        </w:rPr>
      </w:pPr>
      <w:bookmarkStart w:id="405" w:name="_Toc46136867"/>
      <w:bookmarkStart w:id="406" w:name="_Toc9321"/>
      <w:bookmarkStart w:id="407" w:name="_Toc14794"/>
      <w:r>
        <w:rPr>
          <w:rFonts w:hint="eastAsia" w:ascii="仿宋" w:hAnsi="仿宋" w:eastAsia="仿宋" w:cs="仿宋"/>
          <w:b/>
          <w:bCs/>
          <w:color w:val="auto"/>
          <w:sz w:val="24"/>
          <w:szCs w:val="20"/>
          <w:highlight w:val="none"/>
        </w:rPr>
        <w:t>16.</w:t>
      </w:r>
      <w:bookmarkEnd w:id="405"/>
      <w:bookmarkEnd w:id="406"/>
      <w:bookmarkEnd w:id="407"/>
      <w:bookmarkStart w:id="408" w:name="_Toc46136868"/>
      <w:bookmarkStart w:id="409" w:name="_Toc31699"/>
      <w:bookmarkStart w:id="410" w:name="_Toc28476"/>
      <w:r>
        <w:rPr>
          <w:rFonts w:hint="eastAsia" w:ascii="仿宋" w:hAnsi="仿宋" w:eastAsia="仿宋" w:cs="仿宋"/>
          <w:b/>
          <w:bCs/>
          <w:color w:val="auto"/>
          <w:sz w:val="24"/>
          <w:szCs w:val="20"/>
          <w:highlight w:val="none"/>
        </w:rPr>
        <w:t>环境标志产品明细表</w:t>
      </w:r>
      <w:bookmarkEnd w:id="408"/>
      <w:bookmarkEnd w:id="409"/>
      <w:bookmarkEnd w:id="410"/>
    </w:p>
    <w:p w14:paraId="5FC40CC3">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项目编号、所投包号：                               单位： 元</w:t>
      </w:r>
    </w:p>
    <w:tbl>
      <w:tblPr>
        <w:tblStyle w:val="34"/>
        <w:tblpPr w:leftFromText="180" w:rightFromText="180" w:vertAnchor="text" w:horzAnchor="margin" w:tblpXSpec="center" w:tblpY="6"/>
        <w:tblW w:w="97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88"/>
        <w:gridCol w:w="1489"/>
        <w:gridCol w:w="3232"/>
        <w:gridCol w:w="900"/>
        <w:gridCol w:w="900"/>
        <w:gridCol w:w="900"/>
      </w:tblGrid>
      <w:tr w14:paraId="554CA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817" w:type="dxa"/>
            <w:vMerge w:val="restart"/>
            <w:tcBorders>
              <w:top w:val="single" w:color="auto" w:sz="12" w:space="0"/>
              <w:left w:val="single" w:color="auto" w:sz="12" w:space="0"/>
              <w:bottom w:val="single" w:color="auto" w:sz="4" w:space="0"/>
              <w:right w:val="single" w:color="auto" w:sz="4" w:space="0"/>
            </w:tcBorders>
            <w:vAlign w:val="center"/>
          </w:tcPr>
          <w:p w14:paraId="0E1B625D">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sz w:val="24"/>
                <w:highlight w:val="none"/>
              </w:rPr>
              <w:t>序号</w:t>
            </w:r>
          </w:p>
        </w:tc>
        <w:tc>
          <w:tcPr>
            <w:tcW w:w="1488" w:type="dxa"/>
            <w:vMerge w:val="restart"/>
            <w:tcBorders>
              <w:top w:val="single" w:color="auto" w:sz="12" w:space="0"/>
              <w:left w:val="single" w:color="auto" w:sz="4" w:space="0"/>
              <w:bottom w:val="single" w:color="auto" w:sz="4" w:space="0"/>
              <w:right w:val="single" w:color="auto" w:sz="4" w:space="0"/>
            </w:tcBorders>
            <w:vAlign w:val="center"/>
          </w:tcPr>
          <w:p w14:paraId="4175CFEA">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货物名称</w:t>
            </w:r>
          </w:p>
        </w:tc>
        <w:tc>
          <w:tcPr>
            <w:tcW w:w="1489" w:type="dxa"/>
            <w:vMerge w:val="restart"/>
            <w:tcBorders>
              <w:top w:val="single" w:color="auto" w:sz="12" w:space="0"/>
              <w:left w:val="single" w:color="auto" w:sz="4" w:space="0"/>
              <w:bottom w:val="single" w:color="auto" w:sz="4" w:space="0"/>
              <w:right w:val="single" w:color="auto" w:sz="4" w:space="0"/>
            </w:tcBorders>
            <w:vAlign w:val="center"/>
          </w:tcPr>
          <w:p w14:paraId="05FB4E20">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规格型号</w:t>
            </w:r>
          </w:p>
        </w:tc>
        <w:tc>
          <w:tcPr>
            <w:tcW w:w="3232" w:type="dxa"/>
            <w:vMerge w:val="restart"/>
            <w:tcBorders>
              <w:top w:val="single" w:color="auto" w:sz="12" w:space="0"/>
              <w:left w:val="single" w:color="auto" w:sz="4" w:space="0"/>
              <w:bottom w:val="single" w:color="auto" w:sz="4" w:space="0"/>
              <w:right w:val="single" w:color="auto" w:sz="4" w:space="0"/>
            </w:tcBorders>
            <w:vAlign w:val="center"/>
          </w:tcPr>
          <w:p w14:paraId="43A240F8">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中国环境标志认证证书编号</w:t>
            </w:r>
          </w:p>
        </w:tc>
        <w:tc>
          <w:tcPr>
            <w:tcW w:w="2700" w:type="dxa"/>
            <w:gridSpan w:val="3"/>
            <w:tcBorders>
              <w:top w:val="single" w:color="auto" w:sz="12" w:space="0"/>
              <w:left w:val="single" w:color="auto" w:sz="4" w:space="0"/>
              <w:bottom w:val="single" w:color="auto" w:sz="4" w:space="0"/>
              <w:right w:val="single" w:color="auto" w:sz="12" w:space="0"/>
            </w:tcBorders>
            <w:vAlign w:val="center"/>
          </w:tcPr>
          <w:p w14:paraId="49A19633">
            <w:pPr>
              <w:autoSpaceDE w:val="0"/>
              <w:autoSpaceDN w:val="0"/>
              <w:adjustRightInd w:val="0"/>
              <w:spacing w:line="600" w:lineRule="exact"/>
              <w:ind w:firstLine="840" w:firstLineChars="350"/>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价格</w:t>
            </w:r>
          </w:p>
        </w:tc>
      </w:tr>
      <w:tr w14:paraId="01710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817" w:type="dxa"/>
            <w:vMerge w:val="continue"/>
            <w:tcBorders>
              <w:top w:val="single" w:color="auto" w:sz="12" w:space="0"/>
              <w:left w:val="single" w:color="auto" w:sz="12" w:space="0"/>
              <w:bottom w:val="single" w:color="auto" w:sz="4" w:space="0"/>
              <w:right w:val="single" w:color="auto" w:sz="4" w:space="0"/>
            </w:tcBorders>
            <w:vAlign w:val="center"/>
          </w:tcPr>
          <w:p w14:paraId="5C565DBE">
            <w:pPr>
              <w:widowControl/>
              <w:spacing w:line="600" w:lineRule="exact"/>
              <w:jc w:val="left"/>
              <w:rPr>
                <w:rFonts w:hint="eastAsia" w:ascii="仿宋" w:hAnsi="仿宋" w:eastAsia="仿宋" w:cs="仿宋"/>
                <w:color w:val="auto"/>
                <w:kern w:val="0"/>
                <w:sz w:val="24"/>
                <w:szCs w:val="20"/>
                <w:highlight w:val="none"/>
              </w:rPr>
            </w:pPr>
          </w:p>
        </w:tc>
        <w:tc>
          <w:tcPr>
            <w:tcW w:w="1488" w:type="dxa"/>
            <w:vMerge w:val="continue"/>
            <w:tcBorders>
              <w:top w:val="single" w:color="auto" w:sz="12" w:space="0"/>
              <w:left w:val="single" w:color="auto" w:sz="4" w:space="0"/>
              <w:bottom w:val="single" w:color="auto" w:sz="4" w:space="0"/>
              <w:right w:val="single" w:color="auto" w:sz="4" w:space="0"/>
            </w:tcBorders>
            <w:vAlign w:val="center"/>
          </w:tcPr>
          <w:p w14:paraId="33B387DC">
            <w:pPr>
              <w:widowControl/>
              <w:spacing w:line="600" w:lineRule="exact"/>
              <w:jc w:val="left"/>
              <w:rPr>
                <w:rFonts w:hint="eastAsia" w:ascii="仿宋" w:hAnsi="仿宋" w:eastAsia="仿宋" w:cs="仿宋"/>
                <w:color w:val="auto"/>
                <w:kern w:val="0"/>
                <w:sz w:val="24"/>
                <w:szCs w:val="20"/>
                <w:highlight w:val="none"/>
              </w:rPr>
            </w:pPr>
          </w:p>
        </w:tc>
        <w:tc>
          <w:tcPr>
            <w:tcW w:w="1489" w:type="dxa"/>
            <w:vMerge w:val="continue"/>
            <w:tcBorders>
              <w:top w:val="single" w:color="auto" w:sz="12" w:space="0"/>
              <w:left w:val="single" w:color="auto" w:sz="4" w:space="0"/>
              <w:bottom w:val="single" w:color="auto" w:sz="4" w:space="0"/>
              <w:right w:val="single" w:color="auto" w:sz="4" w:space="0"/>
            </w:tcBorders>
            <w:vAlign w:val="center"/>
          </w:tcPr>
          <w:p w14:paraId="7C1E93BB">
            <w:pPr>
              <w:widowControl/>
              <w:spacing w:line="600" w:lineRule="exact"/>
              <w:jc w:val="left"/>
              <w:rPr>
                <w:rFonts w:hint="eastAsia" w:ascii="仿宋" w:hAnsi="仿宋" w:eastAsia="仿宋" w:cs="仿宋"/>
                <w:color w:val="auto"/>
                <w:kern w:val="0"/>
                <w:sz w:val="24"/>
                <w:szCs w:val="20"/>
                <w:highlight w:val="none"/>
              </w:rPr>
            </w:pPr>
          </w:p>
        </w:tc>
        <w:tc>
          <w:tcPr>
            <w:tcW w:w="3232" w:type="dxa"/>
            <w:vMerge w:val="continue"/>
            <w:tcBorders>
              <w:top w:val="single" w:color="auto" w:sz="12" w:space="0"/>
              <w:left w:val="single" w:color="auto" w:sz="4" w:space="0"/>
              <w:bottom w:val="single" w:color="auto" w:sz="4" w:space="0"/>
              <w:right w:val="single" w:color="auto" w:sz="4" w:space="0"/>
            </w:tcBorders>
            <w:vAlign w:val="center"/>
          </w:tcPr>
          <w:p w14:paraId="4886654F">
            <w:pPr>
              <w:widowControl/>
              <w:spacing w:line="600" w:lineRule="exact"/>
              <w:jc w:val="left"/>
              <w:rPr>
                <w:rFonts w:hint="eastAsia" w:ascii="仿宋" w:hAnsi="仿宋" w:eastAsia="仿宋" w:cs="仿宋"/>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45BB558C">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单价</w:t>
            </w:r>
          </w:p>
        </w:tc>
        <w:tc>
          <w:tcPr>
            <w:tcW w:w="900" w:type="dxa"/>
            <w:tcBorders>
              <w:top w:val="single" w:color="auto" w:sz="4" w:space="0"/>
              <w:left w:val="single" w:color="auto" w:sz="4" w:space="0"/>
              <w:bottom w:val="single" w:color="auto" w:sz="4" w:space="0"/>
              <w:right w:val="single" w:color="auto" w:sz="4" w:space="0"/>
            </w:tcBorders>
            <w:vAlign w:val="center"/>
          </w:tcPr>
          <w:p w14:paraId="741D805B">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数量</w:t>
            </w:r>
          </w:p>
        </w:tc>
        <w:tc>
          <w:tcPr>
            <w:tcW w:w="900" w:type="dxa"/>
            <w:tcBorders>
              <w:top w:val="single" w:color="auto" w:sz="4" w:space="0"/>
              <w:left w:val="single" w:color="auto" w:sz="4" w:space="0"/>
              <w:bottom w:val="single" w:color="auto" w:sz="4" w:space="0"/>
              <w:right w:val="single" w:color="auto" w:sz="12" w:space="0"/>
            </w:tcBorders>
            <w:vAlign w:val="center"/>
          </w:tcPr>
          <w:p w14:paraId="57409F13">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小计</w:t>
            </w:r>
          </w:p>
        </w:tc>
      </w:tr>
      <w:tr w14:paraId="23FE2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tcBorders>
              <w:top w:val="single" w:color="auto" w:sz="4" w:space="0"/>
              <w:left w:val="single" w:color="auto" w:sz="12" w:space="0"/>
              <w:bottom w:val="single" w:color="auto" w:sz="4" w:space="0"/>
              <w:right w:val="single" w:color="auto" w:sz="4" w:space="0"/>
            </w:tcBorders>
            <w:vAlign w:val="center"/>
          </w:tcPr>
          <w:p w14:paraId="272F8CAF">
            <w:pPr>
              <w:autoSpaceDE w:val="0"/>
              <w:autoSpaceDN w:val="0"/>
              <w:adjustRightInd w:val="0"/>
              <w:spacing w:line="600" w:lineRule="exact"/>
              <w:rPr>
                <w:rFonts w:hint="eastAsia" w:ascii="仿宋" w:hAnsi="仿宋" w:eastAsia="仿宋" w:cs="仿宋"/>
                <w:color w:val="auto"/>
                <w:kern w:val="0"/>
                <w:sz w:val="24"/>
                <w:szCs w:val="20"/>
                <w:highlight w:val="none"/>
              </w:rPr>
            </w:pPr>
          </w:p>
        </w:tc>
        <w:tc>
          <w:tcPr>
            <w:tcW w:w="1488" w:type="dxa"/>
            <w:tcBorders>
              <w:top w:val="single" w:color="auto" w:sz="4" w:space="0"/>
              <w:left w:val="single" w:color="auto" w:sz="4" w:space="0"/>
              <w:bottom w:val="single" w:color="auto" w:sz="4" w:space="0"/>
              <w:right w:val="single" w:color="auto" w:sz="4" w:space="0"/>
            </w:tcBorders>
            <w:vAlign w:val="center"/>
          </w:tcPr>
          <w:p w14:paraId="2ED1AC8E">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1489" w:type="dxa"/>
            <w:tcBorders>
              <w:top w:val="single" w:color="auto" w:sz="4" w:space="0"/>
              <w:left w:val="single" w:color="auto" w:sz="4" w:space="0"/>
              <w:bottom w:val="single" w:color="auto" w:sz="4" w:space="0"/>
              <w:right w:val="single" w:color="auto" w:sz="4" w:space="0"/>
            </w:tcBorders>
            <w:vAlign w:val="center"/>
          </w:tcPr>
          <w:p w14:paraId="53C04A9E">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3232" w:type="dxa"/>
            <w:tcBorders>
              <w:top w:val="single" w:color="auto" w:sz="4" w:space="0"/>
              <w:left w:val="single" w:color="auto" w:sz="4" w:space="0"/>
              <w:bottom w:val="single" w:color="auto" w:sz="4" w:space="0"/>
              <w:right w:val="single" w:color="auto" w:sz="4" w:space="0"/>
            </w:tcBorders>
            <w:vAlign w:val="center"/>
          </w:tcPr>
          <w:p w14:paraId="10BB8BDA">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7440F19B">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27DA814F">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12" w:space="0"/>
            </w:tcBorders>
            <w:vAlign w:val="center"/>
          </w:tcPr>
          <w:p w14:paraId="1403CDBD">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r>
      <w:tr w14:paraId="1BEDB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tcBorders>
              <w:top w:val="single" w:color="auto" w:sz="4" w:space="0"/>
              <w:left w:val="single" w:color="auto" w:sz="12" w:space="0"/>
              <w:bottom w:val="single" w:color="auto" w:sz="4" w:space="0"/>
              <w:right w:val="single" w:color="auto" w:sz="4" w:space="0"/>
            </w:tcBorders>
            <w:vAlign w:val="center"/>
          </w:tcPr>
          <w:p w14:paraId="3CDD94E5">
            <w:pPr>
              <w:autoSpaceDE w:val="0"/>
              <w:autoSpaceDN w:val="0"/>
              <w:adjustRightInd w:val="0"/>
              <w:spacing w:line="600" w:lineRule="exact"/>
              <w:jc w:val="left"/>
              <w:rPr>
                <w:rFonts w:hint="eastAsia" w:ascii="仿宋" w:hAnsi="仿宋" w:eastAsia="仿宋" w:cs="仿宋"/>
                <w:color w:val="auto"/>
                <w:kern w:val="0"/>
                <w:sz w:val="24"/>
                <w:szCs w:val="20"/>
                <w:highlight w:val="none"/>
              </w:rPr>
            </w:pPr>
          </w:p>
        </w:tc>
        <w:tc>
          <w:tcPr>
            <w:tcW w:w="1488" w:type="dxa"/>
            <w:tcBorders>
              <w:top w:val="single" w:color="auto" w:sz="4" w:space="0"/>
              <w:left w:val="single" w:color="auto" w:sz="4" w:space="0"/>
              <w:bottom w:val="single" w:color="auto" w:sz="4" w:space="0"/>
              <w:right w:val="single" w:color="auto" w:sz="4" w:space="0"/>
            </w:tcBorders>
            <w:vAlign w:val="center"/>
          </w:tcPr>
          <w:p w14:paraId="1DF4A1BE">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1489" w:type="dxa"/>
            <w:tcBorders>
              <w:top w:val="single" w:color="auto" w:sz="4" w:space="0"/>
              <w:left w:val="single" w:color="auto" w:sz="4" w:space="0"/>
              <w:bottom w:val="single" w:color="auto" w:sz="4" w:space="0"/>
              <w:right w:val="single" w:color="auto" w:sz="4" w:space="0"/>
            </w:tcBorders>
            <w:vAlign w:val="center"/>
          </w:tcPr>
          <w:p w14:paraId="4A4517F0">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3232" w:type="dxa"/>
            <w:tcBorders>
              <w:top w:val="single" w:color="auto" w:sz="4" w:space="0"/>
              <w:left w:val="single" w:color="auto" w:sz="4" w:space="0"/>
              <w:bottom w:val="single" w:color="auto" w:sz="4" w:space="0"/>
              <w:right w:val="single" w:color="auto" w:sz="4" w:space="0"/>
            </w:tcBorders>
            <w:vAlign w:val="center"/>
          </w:tcPr>
          <w:p w14:paraId="128AC8D0">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0EC7DAF7">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3439C11A">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12" w:space="0"/>
            </w:tcBorders>
            <w:vAlign w:val="center"/>
          </w:tcPr>
          <w:p w14:paraId="39FCD1DF">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r>
      <w:tr w14:paraId="6371D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tcBorders>
              <w:top w:val="single" w:color="auto" w:sz="4" w:space="0"/>
              <w:left w:val="single" w:color="auto" w:sz="12" w:space="0"/>
              <w:bottom w:val="single" w:color="auto" w:sz="4" w:space="0"/>
              <w:right w:val="single" w:color="auto" w:sz="4" w:space="0"/>
            </w:tcBorders>
            <w:vAlign w:val="center"/>
          </w:tcPr>
          <w:p w14:paraId="1FE4C293">
            <w:pPr>
              <w:autoSpaceDE w:val="0"/>
              <w:autoSpaceDN w:val="0"/>
              <w:adjustRightInd w:val="0"/>
              <w:spacing w:line="600" w:lineRule="exact"/>
              <w:jc w:val="left"/>
              <w:rPr>
                <w:rFonts w:hint="eastAsia" w:ascii="仿宋" w:hAnsi="仿宋" w:eastAsia="仿宋" w:cs="仿宋"/>
                <w:color w:val="auto"/>
                <w:kern w:val="0"/>
                <w:sz w:val="24"/>
                <w:szCs w:val="20"/>
                <w:highlight w:val="none"/>
              </w:rPr>
            </w:pPr>
          </w:p>
        </w:tc>
        <w:tc>
          <w:tcPr>
            <w:tcW w:w="1488" w:type="dxa"/>
            <w:tcBorders>
              <w:top w:val="single" w:color="auto" w:sz="4" w:space="0"/>
              <w:left w:val="single" w:color="auto" w:sz="4" w:space="0"/>
              <w:bottom w:val="single" w:color="auto" w:sz="4" w:space="0"/>
              <w:right w:val="single" w:color="auto" w:sz="4" w:space="0"/>
            </w:tcBorders>
            <w:vAlign w:val="center"/>
          </w:tcPr>
          <w:p w14:paraId="55282E58">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w:t>
            </w:r>
          </w:p>
        </w:tc>
        <w:tc>
          <w:tcPr>
            <w:tcW w:w="1489" w:type="dxa"/>
            <w:tcBorders>
              <w:top w:val="single" w:color="auto" w:sz="4" w:space="0"/>
              <w:left w:val="single" w:color="auto" w:sz="4" w:space="0"/>
              <w:bottom w:val="single" w:color="auto" w:sz="4" w:space="0"/>
              <w:right w:val="single" w:color="auto" w:sz="4" w:space="0"/>
            </w:tcBorders>
            <w:vAlign w:val="center"/>
          </w:tcPr>
          <w:p w14:paraId="22B7CDA1">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3232" w:type="dxa"/>
            <w:tcBorders>
              <w:top w:val="single" w:color="auto" w:sz="4" w:space="0"/>
              <w:left w:val="single" w:color="auto" w:sz="4" w:space="0"/>
              <w:bottom w:val="single" w:color="auto" w:sz="4" w:space="0"/>
              <w:right w:val="single" w:color="auto" w:sz="4" w:space="0"/>
            </w:tcBorders>
            <w:vAlign w:val="center"/>
          </w:tcPr>
          <w:p w14:paraId="24E23227">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6A8C58DB">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55C6499A">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12" w:space="0"/>
            </w:tcBorders>
            <w:vAlign w:val="center"/>
          </w:tcPr>
          <w:p w14:paraId="2B2E8C4C">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r>
      <w:tr w14:paraId="74784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tcBorders>
              <w:top w:val="single" w:color="auto" w:sz="4" w:space="0"/>
              <w:left w:val="single" w:color="auto" w:sz="12" w:space="0"/>
              <w:bottom w:val="single" w:color="auto" w:sz="4" w:space="0"/>
              <w:right w:val="single" w:color="auto" w:sz="4" w:space="0"/>
            </w:tcBorders>
            <w:vAlign w:val="center"/>
          </w:tcPr>
          <w:p w14:paraId="1524F526">
            <w:pPr>
              <w:autoSpaceDE w:val="0"/>
              <w:autoSpaceDN w:val="0"/>
              <w:adjustRightInd w:val="0"/>
              <w:spacing w:line="600" w:lineRule="exact"/>
              <w:jc w:val="left"/>
              <w:rPr>
                <w:rFonts w:hint="eastAsia" w:ascii="仿宋" w:hAnsi="仿宋" w:eastAsia="仿宋" w:cs="仿宋"/>
                <w:color w:val="auto"/>
                <w:kern w:val="0"/>
                <w:sz w:val="24"/>
                <w:szCs w:val="20"/>
                <w:highlight w:val="none"/>
              </w:rPr>
            </w:pPr>
          </w:p>
        </w:tc>
        <w:tc>
          <w:tcPr>
            <w:tcW w:w="8909" w:type="dxa"/>
            <w:gridSpan w:val="6"/>
            <w:tcBorders>
              <w:top w:val="single" w:color="auto" w:sz="4" w:space="0"/>
              <w:left w:val="single" w:color="auto" w:sz="4" w:space="0"/>
              <w:bottom w:val="single" w:color="auto" w:sz="4" w:space="0"/>
              <w:right w:val="single" w:color="auto" w:sz="12" w:space="0"/>
            </w:tcBorders>
            <w:vAlign w:val="center"/>
          </w:tcPr>
          <w:p w14:paraId="3A24316D">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r>
              <w:rPr>
                <w:rFonts w:hint="eastAsia" w:ascii="仿宋" w:hAnsi="仿宋" w:eastAsia="仿宋" w:cs="仿宋"/>
                <w:color w:val="auto"/>
                <w:sz w:val="24"/>
                <w:highlight w:val="none"/>
              </w:rPr>
              <w:t>环保产品报价小计：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      所占总报价比例：</w:t>
            </w:r>
            <w:r>
              <w:rPr>
                <w:rFonts w:hint="eastAsia" w:ascii="仿宋" w:hAnsi="仿宋" w:eastAsia="仿宋" w:cs="仿宋"/>
                <w:color w:val="auto"/>
                <w:sz w:val="24"/>
                <w:highlight w:val="none"/>
                <w:u w:val="single"/>
              </w:rPr>
              <w:t xml:space="preserve">     %</w:t>
            </w:r>
          </w:p>
        </w:tc>
      </w:tr>
    </w:tbl>
    <w:p w14:paraId="3FF53C4B">
      <w:pPr>
        <w:autoSpaceDE w:val="0"/>
        <w:autoSpaceDN w:val="0"/>
        <w:adjustRightInd w:val="0"/>
        <w:spacing w:line="600" w:lineRule="exact"/>
        <w:jc w:val="left"/>
        <w:rPr>
          <w:rFonts w:hint="eastAsia" w:ascii="仿宋" w:hAnsi="仿宋" w:eastAsia="仿宋" w:cs="仿宋"/>
          <w:color w:val="auto"/>
          <w:kern w:val="0"/>
          <w:sz w:val="24"/>
          <w:szCs w:val="20"/>
          <w:highlight w:val="none"/>
        </w:rPr>
      </w:pPr>
      <w:bookmarkStart w:id="411" w:name="_Hlk67320224"/>
      <w:r>
        <w:rPr>
          <w:rFonts w:hint="eastAsia" w:ascii="仿宋" w:hAnsi="仿宋" w:eastAsia="仿宋" w:cs="仿宋"/>
          <w:color w:val="auto"/>
          <w:kern w:val="0"/>
          <w:sz w:val="24"/>
          <w:szCs w:val="20"/>
          <w:highlight w:val="none"/>
        </w:rPr>
        <w:t xml:space="preserve">说明：1、如所投产品为环保产品，请按要求逐项填写； </w:t>
      </w:r>
    </w:p>
    <w:p w14:paraId="0B9B410E">
      <w:pPr>
        <w:autoSpaceDE w:val="0"/>
        <w:autoSpaceDN w:val="0"/>
        <w:adjustRightInd w:val="0"/>
        <w:spacing w:line="600" w:lineRule="exact"/>
        <w:ind w:firstLine="720" w:firstLineChars="300"/>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2、附环境标志产品认证证书，且证书内产品型号与所投产品型号完全一致，否则评审时不予加分。</w:t>
      </w:r>
    </w:p>
    <w:bookmarkEnd w:id="411"/>
    <w:p w14:paraId="0A5866E4">
      <w:pPr>
        <w:spacing w:line="600" w:lineRule="exact"/>
        <w:rPr>
          <w:rFonts w:hint="eastAsia" w:ascii="仿宋" w:hAnsi="仿宋" w:eastAsia="仿宋" w:cs="仿宋"/>
          <w:color w:val="auto"/>
          <w:sz w:val="30"/>
          <w:highlight w:val="none"/>
        </w:rPr>
      </w:pPr>
      <w:bookmarkStart w:id="412" w:name="_Toc46136869"/>
      <w:bookmarkStart w:id="413" w:name="_Toc31089"/>
      <w:bookmarkStart w:id="414" w:name="_Toc20544"/>
      <w:r>
        <w:rPr>
          <w:rFonts w:hint="eastAsia" w:ascii="仿宋" w:hAnsi="仿宋" w:eastAsia="仿宋" w:cs="仿宋"/>
          <w:color w:val="auto"/>
          <w:highlight w:val="none"/>
        </w:rPr>
        <w:br w:type="page"/>
      </w:r>
      <w:r>
        <w:rPr>
          <w:rFonts w:hint="eastAsia" w:ascii="仿宋" w:hAnsi="仿宋" w:eastAsia="仿宋" w:cs="仿宋"/>
          <w:b/>
          <w:bCs/>
          <w:color w:val="auto"/>
          <w:sz w:val="24"/>
          <w:szCs w:val="20"/>
          <w:highlight w:val="none"/>
        </w:rPr>
        <w:t>17.节能产品明细表</w:t>
      </w:r>
      <w:bookmarkEnd w:id="412"/>
      <w:bookmarkEnd w:id="413"/>
      <w:bookmarkEnd w:id="414"/>
    </w:p>
    <w:p w14:paraId="04F74CD8">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项目编号、所投包号：                                     单位： 元</w:t>
      </w:r>
    </w:p>
    <w:tbl>
      <w:tblPr>
        <w:tblStyle w:val="34"/>
        <w:tblpPr w:leftFromText="180" w:rightFromText="180" w:vertAnchor="text" w:horzAnchor="margin" w:tblpXSpec="center" w:tblpY="6"/>
        <w:tblW w:w="9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593"/>
        <w:gridCol w:w="2701"/>
        <w:gridCol w:w="855"/>
        <w:gridCol w:w="955"/>
        <w:gridCol w:w="955"/>
      </w:tblGrid>
      <w:tr w14:paraId="58737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tcBorders>
              <w:top w:val="single" w:color="auto" w:sz="12" w:space="0"/>
              <w:left w:val="single" w:color="auto" w:sz="12" w:space="0"/>
              <w:bottom w:val="single" w:color="auto" w:sz="4" w:space="0"/>
              <w:right w:val="single" w:color="auto" w:sz="4" w:space="0"/>
            </w:tcBorders>
            <w:vAlign w:val="center"/>
          </w:tcPr>
          <w:p w14:paraId="1B56340F">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编号</w:t>
            </w:r>
          </w:p>
        </w:tc>
        <w:tc>
          <w:tcPr>
            <w:tcW w:w="1843" w:type="dxa"/>
            <w:vMerge w:val="restart"/>
            <w:tcBorders>
              <w:top w:val="single" w:color="auto" w:sz="12" w:space="0"/>
              <w:left w:val="single" w:color="auto" w:sz="4" w:space="0"/>
              <w:bottom w:val="single" w:color="auto" w:sz="4" w:space="0"/>
              <w:right w:val="single" w:color="auto" w:sz="4" w:space="0"/>
            </w:tcBorders>
            <w:vAlign w:val="center"/>
          </w:tcPr>
          <w:p w14:paraId="481A3597">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货物名称</w:t>
            </w:r>
          </w:p>
        </w:tc>
        <w:tc>
          <w:tcPr>
            <w:tcW w:w="1593" w:type="dxa"/>
            <w:vMerge w:val="restart"/>
            <w:tcBorders>
              <w:top w:val="single" w:color="auto" w:sz="12" w:space="0"/>
              <w:left w:val="single" w:color="auto" w:sz="4" w:space="0"/>
              <w:bottom w:val="single" w:color="auto" w:sz="4" w:space="0"/>
              <w:right w:val="single" w:color="auto" w:sz="4" w:space="0"/>
            </w:tcBorders>
            <w:vAlign w:val="center"/>
          </w:tcPr>
          <w:p w14:paraId="2F077C4C">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规格型号</w:t>
            </w:r>
          </w:p>
        </w:tc>
        <w:tc>
          <w:tcPr>
            <w:tcW w:w="2701" w:type="dxa"/>
            <w:vMerge w:val="restart"/>
            <w:tcBorders>
              <w:top w:val="single" w:color="auto" w:sz="12" w:space="0"/>
              <w:left w:val="single" w:color="auto" w:sz="4" w:space="0"/>
              <w:bottom w:val="single" w:color="auto" w:sz="4" w:space="0"/>
              <w:right w:val="single" w:color="auto" w:sz="4" w:space="0"/>
            </w:tcBorders>
            <w:vAlign w:val="center"/>
          </w:tcPr>
          <w:p w14:paraId="5172DCFE">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节字标志认证证书编号</w:t>
            </w:r>
          </w:p>
        </w:tc>
        <w:tc>
          <w:tcPr>
            <w:tcW w:w="2765" w:type="dxa"/>
            <w:gridSpan w:val="3"/>
            <w:tcBorders>
              <w:top w:val="single" w:color="auto" w:sz="12" w:space="0"/>
              <w:left w:val="single" w:color="auto" w:sz="4" w:space="0"/>
              <w:bottom w:val="single" w:color="auto" w:sz="4" w:space="0"/>
              <w:right w:val="single" w:color="auto" w:sz="12" w:space="0"/>
            </w:tcBorders>
            <w:vAlign w:val="center"/>
          </w:tcPr>
          <w:p w14:paraId="00C94512">
            <w:pPr>
              <w:autoSpaceDE w:val="0"/>
              <w:autoSpaceDN w:val="0"/>
              <w:adjustRightInd w:val="0"/>
              <w:spacing w:line="600" w:lineRule="exact"/>
              <w:ind w:firstLine="960" w:firstLineChars="400"/>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价格</w:t>
            </w:r>
          </w:p>
        </w:tc>
      </w:tr>
      <w:tr w14:paraId="363C7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7" w:type="dxa"/>
            <w:vMerge w:val="continue"/>
            <w:tcBorders>
              <w:top w:val="single" w:color="auto" w:sz="12" w:space="0"/>
              <w:left w:val="single" w:color="auto" w:sz="12" w:space="0"/>
              <w:bottom w:val="single" w:color="auto" w:sz="4" w:space="0"/>
              <w:right w:val="single" w:color="auto" w:sz="4" w:space="0"/>
            </w:tcBorders>
            <w:vAlign w:val="center"/>
          </w:tcPr>
          <w:p w14:paraId="118B931F">
            <w:pPr>
              <w:widowControl/>
              <w:spacing w:line="600" w:lineRule="exact"/>
              <w:jc w:val="left"/>
              <w:rPr>
                <w:rFonts w:hint="eastAsia" w:ascii="仿宋" w:hAnsi="仿宋" w:eastAsia="仿宋" w:cs="仿宋"/>
                <w:color w:val="auto"/>
                <w:kern w:val="0"/>
                <w:sz w:val="24"/>
                <w:szCs w:val="20"/>
                <w:highlight w:val="none"/>
              </w:rPr>
            </w:pPr>
          </w:p>
        </w:tc>
        <w:tc>
          <w:tcPr>
            <w:tcW w:w="1843" w:type="dxa"/>
            <w:vMerge w:val="continue"/>
            <w:tcBorders>
              <w:top w:val="single" w:color="auto" w:sz="12" w:space="0"/>
              <w:left w:val="single" w:color="auto" w:sz="4" w:space="0"/>
              <w:bottom w:val="single" w:color="auto" w:sz="4" w:space="0"/>
              <w:right w:val="single" w:color="auto" w:sz="4" w:space="0"/>
            </w:tcBorders>
            <w:vAlign w:val="center"/>
          </w:tcPr>
          <w:p w14:paraId="62B51CB2">
            <w:pPr>
              <w:widowControl/>
              <w:spacing w:line="600" w:lineRule="exact"/>
              <w:jc w:val="left"/>
              <w:rPr>
                <w:rFonts w:hint="eastAsia" w:ascii="仿宋" w:hAnsi="仿宋" w:eastAsia="仿宋" w:cs="仿宋"/>
                <w:color w:val="auto"/>
                <w:kern w:val="0"/>
                <w:sz w:val="24"/>
                <w:szCs w:val="20"/>
                <w:highlight w:val="none"/>
              </w:rPr>
            </w:pPr>
          </w:p>
        </w:tc>
        <w:tc>
          <w:tcPr>
            <w:tcW w:w="1593" w:type="dxa"/>
            <w:vMerge w:val="continue"/>
            <w:tcBorders>
              <w:top w:val="single" w:color="auto" w:sz="12" w:space="0"/>
              <w:left w:val="single" w:color="auto" w:sz="4" w:space="0"/>
              <w:bottom w:val="single" w:color="auto" w:sz="4" w:space="0"/>
              <w:right w:val="single" w:color="auto" w:sz="4" w:space="0"/>
            </w:tcBorders>
            <w:vAlign w:val="center"/>
          </w:tcPr>
          <w:p w14:paraId="28821EFB">
            <w:pPr>
              <w:widowControl/>
              <w:spacing w:line="600" w:lineRule="exact"/>
              <w:jc w:val="left"/>
              <w:rPr>
                <w:rFonts w:hint="eastAsia" w:ascii="仿宋" w:hAnsi="仿宋" w:eastAsia="仿宋" w:cs="仿宋"/>
                <w:color w:val="auto"/>
                <w:kern w:val="0"/>
                <w:sz w:val="24"/>
                <w:szCs w:val="20"/>
                <w:highlight w:val="none"/>
              </w:rPr>
            </w:pPr>
          </w:p>
        </w:tc>
        <w:tc>
          <w:tcPr>
            <w:tcW w:w="2701" w:type="dxa"/>
            <w:vMerge w:val="continue"/>
            <w:tcBorders>
              <w:top w:val="single" w:color="auto" w:sz="12" w:space="0"/>
              <w:left w:val="single" w:color="auto" w:sz="4" w:space="0"/>
              <w:bottom w:val="single" w:color="auto" w:sz="4" w:space="0"/>
              <w:right w:val="single" w:color="auto" w:sz="4" w:space="0"/>
            </w:tcBorders>
            <w:vAlign w:val="center"/>
          </w:tcPr>
          <w:p w14:paraId="7229D149">
            <w:pPr>
              <w:widowControl/>
              <w:spacing w:line="600" w:lineRule="exact"/>
              <w:jc w:val="left"/>
              <w:rPr>
                <w:rFonts w:hint="eastAsia" w:ascii="仿宋" w:hAnsi="仿宋" w:eastAsia="仿宋" w:cs="仿宋"/>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14:paraId="517D326F">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单价</w:t>
            </w:r>
          </w:p>
        </w:tc>
        <w:tc>
          <w:tcPr>
            <w:tcW w:w="955" w:type="dxa"/>
            <w:tcBorders>
              <w:top w:val="single" w:color="auto" w:sz="4" w:space="0"/>
              <w:left w:val="single" w:color="auto" w:sz="4" w:space="0"/>
              <w:bottom w:val="single" w:color="auto" w:sz="4" w:space="0"/>
              <w:right w:val="single" w:color="auto" w:sz="4" w:space="0"/>
            </w:tcBorders>
            <w:vAlign w:val="center"/>
          </w:tcPr>
          <w:p w14:paraId="16F61A55">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数量</w:t>
            </w:r>
          </w:p>
        </w:tc>
        <w:tc>
          <w:tcPr>
            <w:tcW w:w="955" w:type="dxa"/>
            <w:tcBorders>
              <w:top w:val="single" w:color="auto" w:sz="4" w:space="0"/>
              <w:left w:val="single" w:color="auto" w:sz="4" w:space="0"/>
              <w:bottom w:val="single" w:color="auto" w:sz="4" w:space="0"/>
              <w:right w:val="single" w:color="auto" w:sz="12" w:space="0"/>
            </w:tcBorders>
            <w:vAlign w:val="center"/>
          </w:tcPr>
          <w:p w14:paraId="439A7148">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小计</w:t>
            </w:r>
          </w:p>
        </w:tc>
      </w:tr>
      <w:tr w14:paraId="25FED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vAlign w:val="center"/>
          </w:tcPr>
          <w:p w14:paraId="6CA86A1E">
            <w:pPr>
              <w:autoSpaceDE w:val="0"/>
              <w:autoSpaceDN w:val="0"/>
              <w:adjustRightInd w:val="0"/>
              <w:spacing w:line="600" w:lineRule="exact"/>
              <w:rPr>
                <w:rFonts w:hint="eastAsia" w:ascii="仿宋" w:hAnsi="仿宋" w:eastAsia="仿宋" w:cs="仿宋"/>
                <w:color w:val="auto"/>
                <w:kern w:val="0"/>
                <w:sz w:val="24"/>
                <w:szCs w:val="20"/>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32CECA45">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1593" w:type="dxa"/>
            <w:tcBorders>
              <w:top w:val="single" w:color="auto" w:sz="4" w:space="0"/>
              <w:left w:val="single" w:color="auto" w:sz="4" w:space="0"/>
              <w:bottom w:val="single" w:color="auto" w:sz="4" w:space="0"/>
              <w:right w:val="single" w:color="auto" w:sz="4" w:space="0"/>
            </w:tcBorders>
            <w:vAlign w:val="center"/>
          </w:tcPr>
          <w:p w14:paraId="6F893599">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2701" w:type="dxa"/>
            <w:tcBorders>
              <w:top w:val="single" w:color="auto" w:sz="4" w:space="0"/>
              <w:left w:val="single" w:color="auto" w:sz="4" w:space="0"/>
              <w:bottom w:val="single" w:color="auto" w:sz="4" w:space="0"/>
              <w:right w:val="single" w:color="auto" w:sz="4" w:space="0"/>
            </w:tcBorders>
            <w:vAlign w:val="center"/>
          </w:tcPr>
          <w:p w14:paraId="706AC582">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14:paraId="0558EB75">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vAlign w:val="center"/>
          </w:tcPr>
          <w:p w14:paraId="3DED631C">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vAlign w:val="center"/>
          </w:tcPr>
          <w:p w14:paraId="3E13D25B">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r>
      <w:tr w14:paraId="67335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vAlign w:val="center"/>
          </w:tcPr>
          <w:p w14:paraId="409D4F74">
            <w:pPr>
              <w:autoSpaceDE w:val="0"/>
              <w:autoSpaceDN w:val="0"/>
              <w:adjustRightInd w:val="0"/>
              <w:spacing w:line="600" w:lineRule="exact"/>
              <w:rPr>
                <w:rFonts w:hint="eastAsia" w:ascii="仿宋" w:hAnsi="仿宋" w:eastAsia="仿宋" w:cs="仿宋"/>
                <w:color w:val="auto"/>
                <w:kern w:val="0"/>
                <w:sz w:val="24"/>
                <w:szCs w:val="20"/>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11D96E87">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1593" w:type="dxa"/>
            <w:tcBorders>
              <w:top w:val="single" w:color="auto" w:sz="4" w:space="0"/>
              <w:left w:val="single" w:color="auto" w:sz="4" w:space="0"/>
              <w:bottom w:val="single" w:color="auto" w:sz="4" w:space="0"/>
              <w:right w:val="single" w:color="auto" w:sz="4" w:space="0"/>
            </w:tcBorders>
            <w:vAlign w:val="center"/>
          </w:tcPr>
          <w:p w14:paraId="7DCDD704">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2701" w:type="dxa"/>
            <w:tcBorders>
              <w:top w:val="single" w:color="auto" w:sz="4" w:space="0"/>
              <w:left w:val="single" w:color="auto" w:sz="4" w:space="0"/>
              <w:bottom w:val="single" w:color="auto" w:sz="4" w:space="0"/>
              <w:right w:val="single" w:color="auto" w:sz="4" w:space="0"/>
            </w:tcBorders>
            <w:vAlign w:val="center"/>
          </w:tcPr>
          <w:p w14:paraId="57CBE628">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14:paraId="530031A2">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vAlign w:val="center"/>
          </w:tcPr>
          <w:p w14:paraId="682A1832">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vAlign w:val="center"/>
          </w:tcPr>
          <w:p w14:paraId="6E0E63B0">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r>
      <w:tr w14:paraId="0965F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vAlign w:val="center"/>
          </w:tcPr>
          <w:p w14:paraId="79D9E4C0">
            <w:pPr>
              <w:autoSpaceDE w:val="0"/>
              <w:autoSpaceDN w:val="0"/>
              <w:adjustRightInd w:val="0"/>
              <w:spacing w:line="600" w:lineRule="exact"/>
              <w:rPr>
                <w:rFonts w:hint="eastAsia" w:ascii="仿宋" w:hAnsi="仿宋" w:eastAsia="仿宋" w:cs="仿宋"/>
                <w:color w:val="auto"/>
                <w:kern w:val="0"/>
                <w:sz w:val="24"/>
                <w:szCs w:val="20"/>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136F9D76">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w:t>
            </w:r>
          </w:p>
        </w:tc>
        <w:tc>
          <w:tcPr>
            <w:tcW w:w="1593" w:type="dxa"/>
            <w:tcBorders>
              <w:top w:val="single" w:color="auto" w:sz="4" w:space="0"/>
              <w:left w:val="single" w:color="auto" w:sz="4" w:space="0"/>
              <w:bottom w:val="single" w:color="auto" w:sz="4" w:space="0"/>
              <w:right w:val="single" w:color="auto" w:sz="4" w:space="0"/>
            </w:tcBorders>
            <w:vAlign w:val="center"/>
          </w:tcPr>
          <w:p w14:paraId="424CC3D5">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2701" w:type="dxa"/>
            <w:tcBorders>
              <w:top w:val="single" w:color="auto" w:sz="4" w:space="0"/>
              <w:left w:val="single" w:color="auto" w:sz="4" w:space="0"/>
              <w:bottom w:val="single" w:color="auto" w:sz="4" w:space="0"/>
              <w:right w:val="single" w:color="auto" w:sz="4" w:space="0"/>
            </w:tcBorders>
            <w:vAlign w:val="center"/>
          </w:tcPr>
          <w:p w14:paraId="220414B5">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14:paraId="4CC3C692">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vAlign w:val="center"/>
          </w:tcPr>
          <w:p w14:paraId="7D1BAF84">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vAlign w:val="center"/>
          </w:tcPr>
          <w:p w14:paraId="1BD025F9">
            <w:pPr>
              <w:autoSpaceDE w:val="0"/>
              <w:autoSpaceDN w:val="0"/>
              <w:adjustRightInd w:val="0"/>
              <w:spacing w:line="600" w:lineRule="exact"/>
              <w:ind w:firstLine="480" w:firstLineChars="200"/>
              <w:jc w:val="left"/>
              <w:rPr>
                <w:rFonts w:hint="eastAsia" w:ascii="仿宋" w:hAnsi="仿宋" w:eastAsia="仿宋" w:cs="仿宋"/>
                <w:color w:val="auto"/>
                <w:kern w:val="0"/>
                <w:sz w:val="24"/>
                <w:szCs w:val="20"/>
                <w:highlight w:val="none"/>
              </w:rPr>
            </w:pPr>
          </w:p>
        </w:tc>
      </w:tr>
      <w:tr w14:paraId="4272F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vAlign w:val="center"/>
          </w:tcPr>
          <w:p w14:paraId="11BC82FB">
            <w:pPr>
              <w:autoSpaceDE w:val="0"/>
              <w:autoSpaceDN w:val="0"/>
              <w:adjustRightInd w:val="0"/>
              <w:spacing w:line="600" w:lineRule="exact"/>
              <w:rPr>
                <w:rFonts w:hint="eastAsia" w:ascii="仿宋" w:hAnsi="仿宋" w:eastAsia="仿宋" w:cs="仿宋"/>
                <w:color w:val="auto"/>
                <w:kern w:val="0"/>
                <w:sz w:val="24"/>
                <w:szCs w:val="20"/>
                <w:highlight w:val="none"/>
              </w:rPr>
            </w:pPr>
          </w:p>
        </w:tc>
        <w:tc>
          <w:tcPr>
            <w:tcW w:w="8902" w:type="dxa"/>
            <w:gridSpan w:val="6"/>
            <w:tcBorders>
              <w:top w:val="single" w:color="auto" w:sz="4" w:space="0"/>
              <w:left w:val="single" w:color="auto" w:sz="4" w:space="0"/>
              <w:bottom w:val="single" w:color="auto" w:sz="4" w:space="0"/>
              <w:right w:val="single" w:color="auto" w:sz="12" w:space="0"/>
            </w:tcBorders>
            <w:vAlign w:val="center"/>
          </w:tcPr>
          <w:p w14:paraId="0DBD1251">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sz w:val="24"/>
                <w:highlight w:val="none"/>
              </w:rPr>
              <w:t xml:space="preserve">节能产品报价小计：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元（政府强制采购节能产品除外）；所占总报价比例：</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tc>
      </w:tr>
    </w:tbl>
    <w:p w14:paraId="550E48EB">
      <w:pPr>
        <w:autoSpaceDE w:val="0"/>
        <w:autoSpaceDN w:val="0"/>
        <w:adjustRightInd w:val="0"/>
        <w:spacing w:line="60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说明：</w:t>
      </w:r>
      <w:bookmarkStart w:id="415" w:name="_Hlk67320128"/>
      <w:r>
        <w:rPr>
          <w:rFonts w:hint="eastAsia" w:ascii="仿宋" w:hAnsi="仿宋" w:eastAsia="仿宋" w:cs="仿宋"/>
          <w:color w:val="auto"/>
          <w:kern w:val="0"/>
          <w:sz w:val="24"/>
          <w:szCs w:val="20"/>
          <w:highlight w:val="none"/>
        </w:rPr>
        <w:t xml:space="preserve">1、如所投产品为节能产品，请按要求逐项填写； </w:t>
      </w:r>
    </w:p>
    <w:p w14:paraId="413CCE86">
      <w:pPr>
        <w:autoSpaceDE w:val="0"/>
        <w:autoSpaceDN w:val="0"/>
        <w:adjustRightInd w:val="0"/>
        <w:spacing w:line="600" w:lineRule="exact"/>
        <w:ind w:left="118" w:leftChars="56" w:firstLine="600" w:firstLineChars="250"/>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2、附节能产品认证证书，且证书内产品型号与所投产品型号完全一致，否则评审时不予加分（非强制节能产品）。</w:t>
      </w:r>
    </w:p>
    <w:bookmarkEnd w:id="415"/>
    <w:p w14:paraId="1C0B21AA">
      <w:pPr>
        <w:spacing w:line="600" w:lineRule="exact"/>
        <w:rPr>
          <w:rFonts w:hint="eastAsia" w:ascii="仿宋" w:hAnsi="仿宋" w:eastAsia="仿宋" w:cs="仿宋"/>
          <w:b/>
          <w:bCs/>
          <w:color w:val="auto"/>
          <w:sz w:val="24"/>
          <w:szCs w:val="20"/>
          <w:highlight w:val="none"/>
        </w:rPr>
      </w:pPr>
      <w:bookmarkStart w:id="416" w:name="_Toc3828"/>
      <w:bookmarkStart w:id="417" w:name="_Toc27790"/>
      <w:bookmarkStart w:id="418" w:name="_Toc46136870"/>
      <w:r>
        <w:rPr>
          <w:rFonts w:hint="eastAsia" w:ascii="仿宋" w:hAnsi="仿宋" w:eastAsia="仿宋" w:cs="仿宋"/>
          <w:b/>
          <w:bCs/>
          <w:color w:val="auto"/>
          <w:sz w:val="24"/>
          <w:szCs w:val="20"/>
          <w:highlight w:val="none"/>
        </w:rPr>
        <w:t>18.强制节能产品明细表</w:t>
      </w:r>
      <w:bookmarkEnd w:id="416"/>
      <w:bookmarkEnd w:id="417"/>
    </w:p>
    <w:p w14:paraId="12204834">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p w14:paraId="0622C8C1">
      <w:pPr>
        <w:autoSpaceDE w:val="0"/>
        <w:autoSpaceDN w:val="0"/>
        <w:adjustRightInd w:val="0"/>
        <w:spacing w:line="32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项目编号、所投包号：                                     单位： 元</w:t>
      </w:r>
    </w:p>
    <w:tbl>
      <w:tblPr>
        <w:tblStyle w:val="34"/>
        <w:tblpPr w:leftFromText="180" w:rightFromText="180" w:vertAnchor="text" w:horzAnchor="margin" w:tblpXSpec="center" w:tblpY="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586"/>
        <w:gridCol w:w="2708"/>
        <w:gridCol w:w="855"/>
        <w:gridCol w:w="955"/>
        <w:gridCol w:w="955"/>
      </w:tblGrid>
      <w:tr w14:paraId="604B7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tcBorders>
              <w:top w:val="single" w:color="auto" w:sz="12" w:space="0"/>
              <w:left w:val="single" w:color="auto" w:sz="12" w:space="0"/>
              <w:bottom w:val="single" w:color="auto" w:sz="4" w:space="0"/>
              <w:right w:val="single" w:color="auto" w:sz="4" w:space="0"/>
            </w:tcBorders>
            <w:vAlign w:val="center"/>
          </w:tcPr>
          <w:p w14:paraId="3D7CFA2E">
            <w:pPr>
              <w:autoSpaceDE w:val="0"/>
              <w:autoSpaceDN w:val="0"/>
              <w:adjustRightInd w:val="0"/>
              <w:spacing w:line="32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sz w:val="24"/>
                <w:highlight w:val="none"/>
              </w:rPr>
              <w:t>序号</w:t>
            </w:r>
          </w:p>
        </w:tc>
        <w:tc>
          <w:tcPr>
            <w:tcW w:w="1843" w:type="dxa"/>
            <w:vMerge w:val="restart"/>
            <w:tcBorders>
              <w:top w:val="single" w:color="auto" w:sz="12" w:space="0"/>
              <w:left w:val="single" w:color="auto" w:sz="4" w:space="0"/>
              <w:bottom w:val="single" w:color="auto" w:sz="4" w:space="0"/>
              <w:right w:val="single" w:color="auto" w:sz="4" w:space="0"/>
            </w:tcBorders>
            <w:vAlign w:val="center"/>
          </w:tcPr>
          <w:p w14:paraId="15AEA6E5">
            <w:pPr>
              <w:autoSpaceDE w:val="0"/>
              <w:autoSpaceDN w:val="0"/>
              <w:adjustRightInd w:val="0"/>
              <w:spacing w:line="32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货物名称</w:t>
            </w:r>
          </w:p>
        </w:tc>
        <w:tc>
          <w:tcPr>
            <w:tcW w:w="1586" w:type="dxa"/>
            <w:vMerge w:val="restart"/>
            <w:tcBorders>
              <w:top w:val="single" w:color="auto" w:sz="12" w:space="0"/>
              <w:left w:val="single" w:color="auto" w:sz="4" w:space="0"/>
              <w:bottom w:val="single" w:color="auto" w:sz="4" w:space="0"/>
              <w:right w:val="single" w:color="auto" w:sz="4" w:space="0"/>
            </w:tcBorders>
            <w:vAlign w:val="center"/>
          </w:tcPr>
          <w:p w14:paraId="3D16E9BC">
            <w:pPr>
              <w:autoSpaceDE w:val="0"/>
              <w:autoSpaceDN w:val="0"/>
              <w:adjustRightInd w:val="0"/>
              <w:spacing w:line="32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规格型号</w:t>
            </w:r>
          </w:p>
        </w:tc>
        <w:tc>
          <w:tcPr>
            <w:tcW w:w="2708" w:type="dxa"/>
            <w:vMerge w:val="restart"/>
            <w:tcBorders>
              <w:top w:val="single" w:color="auto" w:sz="12" w:space="0"/>
              <w:left w:val="single" w:color="auto" w:sz="4" w:space="0"/>
              <w:bottom w:val="single" w:color="auto" w:sz="4" w:space="0"/>
              <w:right w:val="single" w:color="auto" w:sz="4" w:space="0"/>
            </w:tcBorders>
            <w:vAlign w:val="center"/>
          </w:tcPr>
          <w:p w14:paraId="283DFB45">
            <w:pPr>
              <w:autoSpaceDE w:val="0"/>
              <w:autoSpaceDN w:val="0"/>
              <w:adjustRightInd w:val="0"/>
              <w:spacing w:line="32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节字标志认证证书编号</w:t>
            </w:r>
          </w:p>
        </w:tc>
        <w:tc>
          <w:tcPr>
            <w:tcW w:w="2765" w:type="dxa"/>
            <w:gridSpan w:val="3"/>
            <w:tcBorders>
              <w:top w:val="single" w:color="auto" w:sz="12" w:space="0"/>
              <w:left w:val="single" w:color="auto" w:sz="4" w:space="0"/>
              <w:bottom w:val="single" w:color="auto" w:sz="4" w:space="0"/>
              <w:right w:val="single" w:color="auto" w:sz="12" w:space="0"/>
            </w:tcBorders>
            <w:vAlign w:val="center"/>
          </w:tcPr>
          <w:p w14:paraId="448B479F">
            <w:pPr>
              <w:autoSpaceDE w:val="0"/>
              <w:autoSpaceDN w:val="0"/>
              <w:adjustRightInd w:val="0"/>
              <w:spacing w:line="320" w:lineRule="exact"/>
              <w:ind w:firstLine="960" w:firstLineChars="400"/>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价格</w:t>
            </w:r>
          </w:p>
        </w:tc>
      </w:tr>
      <w:tr w14:paraId="0D9D7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7" w:type="dxa"/>
            <w:vMerge w:val="continue"/>
            <w:tcBorders>
              <w:top w:val="single" w:color="auto" w:sz="12" w:space="0"/>
              <w:left w:val="single" w:color="auto" w:sz="12" w:space="0"/>
              <w:bottom w:val="single" w:color="auto" w:sz="4" w:space="0"/>
              <w:right w:val="single" w:color="auto" w:sz="4" w:space="0"/>
            </w:tcBorders>
            <w:vAlign w:val="center"/>
          </w:tcPr>
          <w:p w14:paraId="23BCEA66">
            <w:pPr>
              <w:widowControl/>
              <w:jc w:val="left"/>
              <w:rPr>
                <w:rFonts w:hint="eastAsia" w:ascii="仿宋" w:hAnsi="仿宋" w:eastAsia="仿宋" w:cs="仿宋"/>
                <w:color w:val="auto"/>
                <w:kern w:val="0"/>
                <w:sz w:val="24"/>
                <w:szCs w:val="20"/>
                <w:highlight w:val="none"/>
              </w:rPr>
            </w:pPr>
          </w:p>
        </w:tc>
        <w:tc>
          <w:tcPr>
            <w:tcW w:w="1843" w:type="dxa"/>
            <w:vMerge w:val="continue"/>
            <w:tcBorders>
              <w:top w:val="single" w:color="auto" w:sz="12" w:space="0"/>
              <w:left w:val="single" w:color="auto" w:sz="4" w:space="0"/>
              <w:bottom w:val="single" w:color="auto" w:sz="4" w:space="0"/>
              <w:right w:val="single" w:color="auto" w:sz="4" w:space="0"/>
            </w:tcBorders>
            <w:vAlign w:val="center"/>
          </w:tcPr>
          <w:p w14:paraId="1FE5AF0E">
            <w:pPr>
              <w:widowControl/>
              <w:jc w:val="left"/>
              <w:rPr>
                <w:rFonts w:hint="eastAsia" w:ascii="仿宋" w:hAnsi="仿宋" w:eastAsia="仿宋" w:cs="仿宋"/>
                <w:color w:val="auto"/>
                <w:kern w:val="0"/>
                <w:sz w:val="24"/>
                <w:szCs w:val="20"/>
                <w:highlight w:val="none"/>
              </w:rPr>
            </w:pPr>
          </w:p>
        </w:tc>
        <w:tc>
          <w:tcPr>
            <w:tcW w:w="1586" w:type="dxa"/>
            <w:vMerge w:val="continue"/>
            <w:tcBorders>
              <w:top w:val="single" w:color="auto" w:sz="12" w:space="0"/>
              <w:left w:val="single" w:color="auto" w:sz="4" w:space="0"/>
              <w:bottom w:val="single" w:color="auto" w:sz="4" w:space="0"/>
              <w:right w:val="single" w:color="auto" w:sz="4" w:space="0"/>
            </w:tcBorders>
            <w:vAlign w:val="center"/>
          </w:tcPr>
          <w:p w14:paraId="3F5D5CEB">
            <w:pPr>
              <w:widowControl/>
              <w:jc w:val="left"/>
              <w:rPr>
                <w:rFonts w:hint="eastAsia" w:ascii="仿宋" w:hAnsi="仿宋" w:eastAsia="仿宋" w:cs="仿宋"/>
                <w:color w:val="auto"/>
                <w:kern w:val="0"/>
                <w:sz w:val="24"/>
                <w:szCs w:val="20"/>
                <w:highlight w:val="none"/>
              </w:rPr>
            </w:pPr>
          </w:p>
        </w:tc>
        <w:tc>
          <w:tcPr>
            <w:tcW w:w="2708" w:type="dxa"/>
            <w:vMerge w:val="continue"/>
            <w:tcBorders>
              <w:top w:val="single" w:color="auto" w:sz="12" w:space="0"/>
              <w:left w:val="single" w:color="auto" w:sz="4" w:space="0"/>
              <w:bottom w:val="single" w:color="auto" w:sz="4" w:space="0"/>
              <w:right w:val="single" w:color="auto" w:sz="4" w:space="0"/>
            </w:tcBorders>
            <w:vAlign w:val="center"/>
          </w:tcPr>
          <w:p w14:paraId="31B4F95E">
            <w:pPr>
              <w:widowControl/>
              <w:jc w:val="left"/>
              <w:rPr>
                <w:rFonts w:hint="eastAsia" w:ascii="仿宋" w:hAnsi="仿宋" w:eastAsia="仿宋" w:cs="仿宋"/>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14:paraId="7C563BE1">
            <w:pPr>
              <w:autoSpaceDE w:val="0"/>
              <w:autoSpaceDN w:val="0"/>
              <w:adjustRightInd w:val="0"/>
              <w:spacing w:line="32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单价</w:t>
            </w:r>
          </w:p>
        </w:tc>
        <w:tc>
          <w:tcPr>
            <w:tcW w:w="955" w:type="dxa"/>
            <w:tcBorders>
              <w:top w:val="single" w:color="auto" w:sz="4" w:space="0"/>
              <w:left w:val="single" w:color="auto" w:sz="4" w:space="0"/>
              <w:bottom w:val="single" w:color="auto" w:sz="4" w:space="0"/>
              <w:right w:val="single" w:color="auto" w:sz="4" w:space="0"/>
            </w:tcBorders>
            <w:vAlign w:val="center"/>
          </w:tcPr>
          <w:p w14:paraId="62F9772A">
            <w:pPr>
              <w:autoSpaceDE w:val="0"/>
              <w:autoSpaceDN w:val="0"/>
              <w:adjustRightInd w:val="0"/>
              <w:spacing w:line="32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数量</w:t>
            </w:r>
          </w:p>
        </w:tc>
        <w:tc>
          <w:tcPr>
            <w:tcW w:w="955" w:type="dxa"/>
            <w:tcBorders>
              <w:top w:val="single" w:color="auto" w:sz="4" w:space="0"/>
              <w:left w:val="single" w:color="auto" w:sz="4" w:space="0"/>
              <w:bottom w:val="single" w:color="auto" w:sz="4" w:space="0"/>
              <w:right w:val="single" w:color="auto" w:sz="12" w:space="0"/>
            </w:tcBorders>
            <w:vAlign w:val="center"/>
          </w:tcPr>
          <w:p w14:paraId="7AF27C45">
            <w:pPr>
              <w:autoSpaceDE w:val="0"/>
              <w:autoSpaceDN w:val="0"/>
              <w:adjustRightInd w:val="0"/>
              <w:spacing w:line="320" w:lineRule="exact"/>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小计</w:t>
            </w:r>
          </w:p>
        </w:tc>
      </w:tr>
      <w:tr w14:paraId="4D199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vAlign w:val="center"/>
          </w:tcPr>
          <w:p w14:paraId="09E2BA8C">
            <w:pPr>
              <w:autoSpaceDE w:val="0"/>
              <w:autoSpaceDN w:val="0"/>
              <w:adjustRightInd w:val="0"/>
              <w:spacing w:line="320" w:lineRule="exact"/>
              <w:rPr>
                <w:rFonts w:hint="eastAsia" w:ascii="仿宋" w:hAnsi="仿宋" w:eastAsia="仿宋" w:cs="仿宋"/>
                <w:color w:val="auto"/>
                <w:kern w:val="0"/>
                <w:sz w:val="24"/>
                <w:szCs w:val="20"/>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67571ACC">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1586" w:type="dxa"/>
            <w:tcBorders>
              <w:top w:val="single" w:color="auto" w:sz="4" w:space="0"/>
              <w:left w:val="single" w:color="auto" w:sz="4" w:space="0"/>
              <w:bottom w:val="single" w:color="auto" w:sz="4" w:space="0"/>
              <w:right w:val="single" w:color="auto" w:sz="4" w:space="0"/>
            </w:tcBorders>
            <w:vAlign w:val="center"/>
          </w:tcPr>
          <w:p w14:paraId="2226D897">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2708" w:type="dxa"/>
            <w:tcBorders>
              <w:top w:val="single" w:color="auto" w:sz="4" w:space="0"/>
              <w:left w:val="single" w:color="auto" w:sz="4" w:space="0"/>
              <w:bottom w:val="single" w:color="auto" w:sz="4" w:space="0"/>
              <w:right w:val="single" w:color="auto" w:sz="4" w:space="0"/>
            </w:tcBorders>
            <w:vAlign w:val="center"/>
          </w:tcPr>
          <w:p w14:paraId="34F4E156">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14:paraId="701DEEA7">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vAlign w:val="center"/>
          </w:tcPr>
          <w:p w14:paraId="01B55457">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vAlign w:val="center"/>
          </w:tcPr>
          <w:p w14:paraId="77236205">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r>
      <w:tr w14:paraId="79DD0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vAlign w:val="center"/>
          </w:tcPr>
          <w:p w14:paraId="22AAE093">
            <w:pPr>
              <w:autoSpaceDE w:val="0"/>
              <w:autoSpaceDN w:val="0"/>
              <w:adjustRightInd w:val="0"/>
              <w:spacing w:line="320" w:lineRule="exact"/>
              <w:rPr>
                <w:rFonts w:hint="eastAsia" w:ascii="仿宋" w:hAnsi="仿宋" w:eastAsia="仿宋" w:cs="仿宋"/>
                <w:color w:val="auto"/>
                <w:kern w:val="0"/>
                <w:sz w:val="24"/>
                <w:szCs w:val="20"/>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4FBC3F29">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1586" w:type="dxa"/>
            <w:tcBorders>
              <w:top w:val="single" w:color="auto" w:sz="4" w:space="0"/>
              <w:left w:val="single" w:color="auto" w:sz="4" w:space="0"/>
              <w:bottom w:val="single" w:color="auto" w:sz="4" w:space="0"/>
              <w:right w:val="single" w:color="auto" w:sz="4" w:space="0"/>
            </w:tcBorders>
            <w:vAlign w:val="center"/>
          </w:tcPr>
          <w:p w14:paraId="1F205C8C">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2708" w:type="dxa"/>
            <w:tcBorders>
              <w:top w:val="single" w:color="auto" w:sz="4" w:space="0"/>
              <w:left w:val="single" w:color="auto" w:sz="4" w:space="0"/>
              <w:bottom w:val="single" w:color="auto" w:sz="4" w:space="0"/>
              <w:right w:val="single" w:color="auto" w:sz="4" w:space="0"/>
            </w:tcBorders>
            <w:vAlign w:val="center"/>
          </w:tcPr>
          <w:p w14:paraId="507A83C3">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14:paraId="3639CD92">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vAlign w:val="center"/>
          </w:tcPr>
          <w:p w14:paraId="2361A841">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vAlign w:val="center"/>
          </w:tcPr>
          <w:p w14:paraId="46A0588F">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r>
      <w:tr w14:paraId="45BBE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vAlign w:val="center"/>
          </w:tcPr>
          <w:p w14:paraId="1BC8084D">
            <w:pPr>
              <w:autoSpaceDE w:val="0"/>
              <w:autoSpaceDN w:val="0"/>
              <w:adjustRightInd w:val="0"/>
              <w:spacing w:line="320" w:lineRule="exact"/>
              <w:rPr>
                <w:rFonts w:hint="eastAsia" w:ascii="仿宋" w:hAnsi="仿宋" w:eastAsia="仿宋" w:cs="仿宋"/>
                <w:color w:val="auto"/>
                <w:kern w:val="0"/>
                <w:sz w:val="24"/>
                <w:szCs w:val="20"/>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5BD32964">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w:t>
            </w:r>
          </w:p>
        </w:tc>
        <w:tc>
          <w:tcPr>
            <w:tcW w:w="1586" w:type="dxa"/>
            <w:tcBorders>
              <w:top w:val="single" w:color="auto" w:sz="4" w:space="0"/>
              <w:left w:val="single" w:color="auto" w:sz="4" w:space="0"/>
              <w:bottom w:val="single" w:color="auto" w:sz="4" w:space="0"/>
              <w:right w:val="single" w:color="auto" w:sz="4" w:space="0"/>
            </w:tcBorders>
            <w:vAlign w:val="center"/>
          </w:tcPr>
          <w:p w14:paraId="2FDCF788">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2708" w:type="dxa"/>
            <w:tcBorders>
              <w:top w:val="single" w:color="auto" w:sz="4" w:space="0"/>
              <w:left w:val="single" w:color="auto" w:sz="4" w:space="0"/>
              <w:bottom w:val="single" w:color="auto" w:sz="4" w:space="0"/>
              <w:right w:val="single" w:color="auto" w:sz="4" w:space="0"/>
            </w:tcBorders>
            <w:vAlign w:val="center"/>
          </w:tcPr>
          <w:p w14:paraId="55E7225C">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vAlign w:val="center"/>
          </w:tcPr>
          <w:p w14:paraId="26E4E1B8">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vAlign w:val="center"/>
          </w:tcPr>
          <w:p w14:paraId="00A9D08F">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vAlign w:val="center"/>
          </w:tcPr>
          <w:p w14:paraId="49505691">
            <w:pPr>
              <w:autoSpaceDE w:val="0"/>
              <w:autoSpaceDN w:val="0"/>
              <w:adjustRightInd w:val="0"/>
              <w:spacing w:line="320" w:lineRule="exact"/>
              <w:ind w:firstLine="480" w:firstLineChars="200"/>
              <w:jc w:val="left"/>
              <w:rPr>
                <w:rFonts w:hint="eastAsia" w:ascii="仿宋" w:hAnsi="仿宋" w:eastAsia="仿宋" w:cs="仿宋"/>
                <w:color w:val="auto"/>
                <w:kern w:val="0"/>
                <w:sz w:val="24"/>
                <w:szCs w:val="20"/>
                <w:highlight w:val="none"/>
              </w:rPr>
            </w:pPr>
          </w:p>
        </w:tc>
      </w:tr>
    </w:tbl>
    <w:p w14:paraId="1DBAE129">
      <w:pPr>
        <w:autoSpaceDE w:val="0"/>
        <w:autoSpaceDN w:val="0"/>
        <w:adjustRightInd w:val="0"/>
        <w:spacing w:line="360" w:lineRule="auto"/>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 xml:space="preserve">说明：1.如所报所有产品为强制节能产品，请按要求逐项填写； </w:t>
      </w:r>
    </w:p>
    <w:p w14:paraId="0E7CE8E5">
      <w:pPr>
        <w:autoSpaceDE w:val="0"/>
        <w:autoSpaceDN w:val="0"/>
        <w:adjustRightInd w:val="0"/>
        <w:spacing w:line="360" w:lineRule="auto"/>
        <w:ind w:left="118" w:leftChars="56" w:firstLine="600" w:firstLineChars="250"/>
        <w:jc w:val="left"/>
        <w:rPr>
          <w:rFonts w:hint="eastAsia" w:ascii="仿宋" w:hAnsi="仿宋" w:eastAsia="仿宋" w:cs="仿宋"/>
          <w:color w:val="auto"/>
          <w:kern w:val="0"/>
          <w:sz w:val="24"/>
          <w:szCs w:val="20"/>
          <w:highlight w:val="none"/>
        </w:rPr>
      </w:pPr>
      <w:r>
        <w:rPr>
          <w:rFonts w:hint="eastAsia" w:ascii="仿宋" w:hAnsi="仿宋" w:eastAsia="仿宋" w:cs="仿宋"/>
          <w:color w:val="auto"/>
          <w:kern w:val="0"/>
          <w:sz w:val="24"/>
          <w:szCs w:val="20"/>
          <w:highlight w:val="none"/>
        </w:rPr>
        <w:t>2.需附节能产品认证证书及文件要求的其他材料，且证书内产品型号与所报产品型号完全一致，未提供产品认证证书或证书内产品型号与所投产品型号不完全一致的，将被认定为投标无效。</w:t>
      </w:r>
    </w:p>
    <w:bookmarkEnd w:id="418"/>
    <w:p w14:paraId="629957D9">
      <w:pPr>
        <w:spacing w:line="600" w:lineRule="exact"/>
        <w:rPr>
          <w:rFonts w:hint="eastAsia" w:ascii="仿宋" w:hAnsi="仿宋" w:eastAsia="仿宋" w:cs="仿宋"/>
          <w:b/>
          <w:bCs/>
          <w:color w:val="auto"/>
          <w:sz w:val="24"/>
          <w:szCs w:val="20"/>
          <w:highlight w:val="none"/>
        </w:rPr>
      </w:pPr>
      <w:bookmarkStart w:id="419" w:name="_Toc46136874"/>
      <w:bookmarkStart w:id="420" w:name="_Toc13937"/>
      <w:bookmarkStart w:id="421" w:name="_Toc25096"/>
      <w:bookmarkStart w:id="422" w:name="_Toc518923122"/>
      <w:r>
        <w:rPr>
          <w:rFonts w:hint="eastAsia" w:ascii="仿宋" w:hAnsi="仿宋" w:eastAsia="仿宋" w:cs="仿宋"/>
          <w:b/>
          <w:bCs/>
          <w:color w:val="auto"/>
          <w:sz w:val="24"/>
          <w:szCs w:val="20"/>
          <w:highlight w:val="none"/>
        </w:rPr>
        <w:t>19.案例一览表</w:t>
      </w:r>
      <w:bookmarkEnd w:id="419"/>
      <w:bookmarkEnd w:id="420"/>
      <w:bookmarkEnd w:id="421"/>
    </w:p>
    <w:p w14:paraId="1D2A7663">
      <w:pPr>
        <w:spacing w:line="600" w:lineRule="exact"/>
        <w:ind w:right="187"/>
        <w:jc w:val="center"/>
        <w:rPr>
          <w:rFonts w:hint="eastAsia" w:ascii="仿宋" w:hAnsi="仿宋" w:eastAsia="仿宋" w:cs="仿宋"/>
          <w:color w:val="auto"/>
          <w:sz w:val="22"/>
          <w:szCs w:val="22"/>
          <w:highlight w:val="none"/>
        </w:rPr>
      </w:pPr>
      <w:r>
        <w:rPr>
          <w:rFonts w:hint="eastAsia" w:ascii="仿宋" w:hAnsi="仿宋" w:eastAsia="仿宋" w:cs="仿宋"/>
          <w:color w:val="auto"/>
          <w:kern w:val="0"/>
          <w:sz w:val="28"/>
          <w:szCs w:val="28"/>
          <w:highlight w:val="none"/>
        </w:rPr>
        <w:t>案例一览表及合同复印件</w:t>
      </w:r>
    </w:p>
    <w:p w14:paraId="6B738FA7">
      <w:pPr>
        <w:spacing w:line="600" w:lineRule="exact"/>
        <w:ind w:right="18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(1) </w:t>
      </w:r>
      <w:r>
        <w:rPr>
          <w:rFonts w:hint="eastAsia" w:ascii="仿宋" w:hAnsi="仿宋" w:eastAsia="仿宋" w:cs="仿宋"/>
          <w:color w:val="auto"/>
          <w:sz w:val="24"/>
          <w:highlight w:val="none"/>
          <w:lang w:eastAsia="zh-CN"/>
        </w:rPr>
        <w:t>类似</w:t>
      </w:r>
      <w:r>
        <w:rPr>
          <w:rFonts w:hint="eastAsia" w:ascii="仿宋" w:hAnsi="仿宋" w:eastAsia="仿宋" w:cs="仿宋"/>
          <w:color w:val="auto"/>
          <w:sz w:val="24"/>
          <w:highlight w:val="none"/>
        </w:rPr>
        <w:t>案例一览表</w:t>
      </w:r>
    </w:p>
    <w:p w14:paraId="4BEC3821">
      <w:pPr>
        <w:spacing w:line="600" w:lineRule="exact"/>
        <w:ind w:right="187"/>
        <w:rPr>
          <w:rFonts w:hint="eastAsia" w:ascii="仿宋" w:hAnsi="仿宋" w:eastAsia="仿宋" w:cs="仿宋"/>
          <w:bCs/>
          <w:color w:val="auto"/>
          <w:sz w:val="24"/>
          <w:highlight w:val="none"/>
          <w:u w:val="single"/>
        </w:rPr>
      </w:pPr>
      <w:r>
        <w:rPr>
          <w:rFonts w:hint="eastAsia" w:ascii="仿宋" w:hAnsi="仿宋" w:eastAsia="仿宋" w:cs="仿宋"/>
          <w:bCs/>
          <w:color w:val="auto"/>
          <w:sz w:val="24"/>
          <w:highlight w:val="none"/>
        </w:rPr>
        <w:t>项目编号、所投包号                                         单位： 元</w:t>
      </w:r>
    </w:p>
    <w:tbl>
      <w:tblPr>
        <w:tblStyle w:val="34"/>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3"/>
        <w:gridCol w:w="1448"/>
        <w:gridCol w:w="1028"/>
        <w:gridCol w:w="1231"/>
        <w:gridCol w:w="1274"/>
        <w:gridCol w:w="1245"/>
        <w:gridCol w:w="1652"/>
      </w:tblGrid>
      <w:tr w14:paraId="67852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trPr>
        <w:tc>
          <w:tcPr>
            <w:tcW w:w="377" w:type="pct"/>
            <w:tcBorders>
              <w:top w:val="single" w:color="auto" w:sz="12" w:space="0"/>
              <w:left w:val="single" w:color="auto" w:sz="12" w:space="0"/>
              <w:bottom w:val="single" w:color="auto" w:sz="4" w:space="0"/>
              <w:right w:val="single" w:color="auto" w:sz="4" w:space="0"/>
            </w:tcBorders>
            <w:vAlign w:val="center"/>
          </w:tcPr>
          <w:p w14:paraId="349C5232">
            <w:pPr>
              <w:spacing w:line="600" w:lineRule="exact"/>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序号</w:t>
            </w:r>
          </w:p>
        </w:tc>
        <w:tc>
          <w:tcPr>
            <w:tcW w:w="849" w:type="pct"/>
            <w:tcBorders>
              <w:top w:val="single" w:color="auto" w:sz="12" w:space="0"/>
              <w:left w:val="single" w:color="auto" w:sz="4" w:space="0"/>
              <w:bottom w:val="single" w:color="auto" w:sz="4" w:space="0"/>
              <w:right w:val="single" w:color="auto" w:sz="4" w:space="0"/>
            </w:tcBorders>
            <w:vAlign w:val="center"/>
          </w:tcPr>
          <w:p w14:paraId="38640893">
            <w:pPr>
              <w:spacing w:line="600" w:lineRule="exact"/>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项目内容</w:t>
            </w:r>
          </w:p>
        </w:tc>
        <w:tc>
          <w:tcPr>
            <w:tcW w:w="603" w:type="pct"/>
            <w:tcBorders>
              <w:top w:val="single" w:color="auto" w:sz="12" w:space="0"/>
              <w:left w:val="single" w:color="auto" w:sz="4" w:space="0"/>
              <w:bottom w:val="single" w:color="auto" w:sz="4" w:space="0"/>
              <w:right w:val="single" w:color="auto" w:sz="4" w:space="0"/>
            </w:tcBorders>
            <w:vAlign w:val="center"/>
          </w:tcPr>
          <w:p w14:paraId="6D1D1276">
            <w:pPr>
              <w:spacing w:line="600" w:lineRule="exact"/>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合同金额</w:t>
            </w:r>
          </w:p>
        </w:tc>
        <w:tc>
          <w:tcPr>
            <w:tcW w:w="722" w:type="pct"/>
            <w:tcBorders>
              <w:top w:val="single" w:color="auto" w:sz="12" w:space="0"/>
              <w:left w:val="single" w:color="auto" w:sz="4" w:space="0"/>
              <w:bottom w:val="single" w:color="auto" w:sz="4" w:space="0"/>
              <w:right w:val="single" w:color="auto" w:sz="4" w:space="0"/>
            </w:tcBorders>
            <w:vAlign w:val="center"/>
          </w:tcPr>
          <w:p w14:paraId="0793B5A3">
            <w:pPr>
              <w:spacing w:line="600" w:lineRule="exact"/>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项目单位</w:t>
            </w:r>
          </w:p>
          <w:p w14:paraId="11427B0B">
            <w:pPr>
              <w:spacing w:line="600" w:lineRule="exact"/>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名称</w:t>
            </w:r>
          </w:p>
        </w:tc>
        <w:tc>
          <w:tcPr>
            <w:tcW w:w="747" w:type="pct"/>
            <w:tcBorders>
              <w:top w:val="single" w:color="auto" w:sz="12" w:space="0"/>
              <w:left w:val="single" w:color="auto" w:sz="4" w:space="0"/>
              <w:bottom w:val="single" w:color="auto" w:sz="4" w:space="0"/>
              <w:right w:val="single" w:color="auto" w:sz="4" w:space="0"/>
            </w:tcBorders>
            <w:vAlign w:val="center"/>
          </w:tcPr>
          <w:p w14:paraId="1DD156B5">
            <w:pPr>
              <w:spacing w:line="600" w:lineRule="exact"/>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项目单位</w:t>
            </w:r>
          </w:p>
          <w:p w14:paraId="11C3457C">
            <w:pPr>
              <w:spacing w:line="600" w:lineRule="exact"/>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tc>
        <w:tc>
          <w:tcPr>
            <w:tcW w:w="730" w:type="pct"/>
            <w:tcBorders>
              <w:top w:val="single" w:color="auto" w:sz="12" w:space="0"/>
              <w:left w:val="single" w:color="auto" w:sz="4" w:space="0"/>
              <w:bottom w:val="single" w:color="auto" w:sz="4" w:space="0"/>
              <w:right w:val="single" w:color="auto" w:sz="4" w:space="0"/>
            </w:tcBorders>
            <w:vAlign w:val="center"/>
          </w:tcPr>
          <w:p w14:paraId="07C2D05B">
            <w:pPr>
              <w:spacing w:line="600" w:lineRule="exact"/>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合同签订</w:t>
            </w:r>
          </w:p>
          <w:p w14:paraId="1233340B">
            <w:pPr>
              <w:spacing w:line="600" w:lineRule="exact"/>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日期</w:t>
            </w:r>
          </w:p>
        </w:tc>
        <w:tc>
          <w:tcPr>
            <w:tcW w:w="969" w:type="pct"/>
            <w:tcBorders>
              <w:top w:val="single" w:color="auto" w:sz="12" w:space="0"/>
              <w:left w:val="single" w:color="auto" w:sz="4" w:space="0"/>
              <w:bottom w:val="single" w:color="auto" w:sz="4" w:space="0"/>
              <w:right w:val="single" w:color="auto" w:sz="12" w:space="0"/>
            </w:tcBorders>
            <w:vAlign w:val="center"/>
          </w:tcPr>
          <w:p w14:paraId="7C2921EE">
            <w:pPr>
              <w:spacing w:line="600" w:lineRule="exact"/>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项目单位的有效联系方式</w:t>
            </w:r>
          </w:p>
        </w:tc>
      </w:tr>
      <w:tr w14:paraId="13EAC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377" w:type="pct"/>
            <w:tcBorders>
              <w:top w:val="single" w:color="auto" w:sz="4" w:space="0"/>
              <w:left w:val="single" w:color="auto" w:sz="12" w:space="0"/>
              <w:bottom w:val="single" w:color="auto" w:sz="4" w:space="0"/>
              <w:right w:val="single" w:color="auto" w:sz="4" w:space="0"/>
            </w:tcBorders>
            <w:vAlign w:val="center"/>
          </w:tcPr>
          <w:p w14:paraId="04D2E686">
            <w:pPr>
              <w:spacing w:line="600" w:lineRule="exact"/>
              <w:jc w:val="center"/>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1</w:t>
            </w:r>
          </w:p>
        </w:tc>
        <w:tc>
          <w:tcPr>
            <w:tcW w:w="849" w:type="pct"/>
            <w:tcBorders>
              <w:top w:val="single" w:color="auto" w:sz="4" w:space="0"/>
              <w:left w:val="single" w:color="auto" w:sz="4" w:space="0"/>
              <w:bottom w:val="single" w:color="auto" w:sz="4" w:space="0"/>
              <w:right w:val="single" w:color="auto" w:sz="4" w:space="0"/>
            </w:tcBorders>
            <w:vAlign w:val="center"/>
          </w:tcPr>
          <w:p w14:paraId="24D7B10C">
            <w:pPr>
              <w:spacing w:line="600" w:lineRule="exact"/>
              <w:jc w:val="center"/>
              <w:rPr>
                <w:rFonts w:hint="eastAsia" w:ascii="仿宋" w:hAnsi="仿宋" w:eastAsia="仿宋" w:cs="仿宋"/>
                <w:b/>
                <w:color w:val="auto"/>
                <w:kern w:val="0"/>
                <w:szCs w:val="21"/>
                <w:highlight w:val="none"/>
              </w:rPr>
            </w:pPr>
          </w:p>
        </w:tc>
        <w:tc>
          <w:tcPr>
            <w:tcW w:w="603" w:type="pct"/>
            <w:tcBorders>
              <w:top w:val="single" w:color="auto" w:sz="4" w:space="0"/>
              <w:left w:val="single" w:color="auto" w:sz="4" w:space="0"/>
              <w:bottom w:val="single" w:color="auto" w:sz="4" w:space="0"/>
              <w:right w:val="single" w:color="auto" w:sz="4" w:space="0"/>
            </w:tcBorders>
            <w:vAlign w:val="center"/>
          </w:tcPr>
          <w:p w14:paraId="038CF6F9">
            <w:pPr>
              <w:spacing w:line="600" w:lineRule="exact"/>
              <w:jc w:val="center"/>
              <w:rPr>
                <w:rFonts w:hint="eastAsia" w:ascii="仿宋" w:hAnsi="仿宋" w:eastAsia="仿宋" w:cs="仿宋"/>
                <w:b/>
                <w:color w:val="auto"/>
                <w:kern w:val="0"/>
                <w:szCs w:val="21"/>
                <w:highlight w:val="none"/>
              </w:rPr>
            </w:pPr>
          </w:p>
        </w:tc>
        <w:tc>
          <w:tcPr>
            <w:tcW w:w="722" w:type="pct"/>
            <w:tcBorders>
              <w:top w:val="single" w:color="auto" w:sz="4" w:space="0"/>
              <w:left w:val="single" w:color="auto" w:sz="4" w:space="0"/>
              <w:bottom w:val="single" w:color="auto" w:sz="4" w:space="0"/>
              <w:right w:val="single" w:color="auto" w:sz="4" w:space="0"/>
            </w:tcBorders>
            <w:vAlign w:val="center"/>
          </w:tcPr>
          <w:p w14:paraId="11EFD7DA">
            <w:pPr>
              <w:spacing w:line="600" w:lineRule="exact"/>
              <w:jc w:val="center"/>
              <w:rPr>
                <w:rFonts w:hint="eastAsia" w:ascii="仿宋" w:hAnsi="仿宋" w:eastAsia="仿宋" w:cs="仿宋"/>
                <w:b/>
                <w:color w:val="auto"/>
                <w:kern w:val="0"/>
                <w:szCs w:val="21"/>
                <w:highlight w:val="none"/>
              </w:rPr>
            </w:pPr>
          </w:p>
        </w:tc>
        <w:tc>
          <w:tcPr>
            <w:tcW w:w="747" w:type="pct"/>
            <w:tcBorders>
              <w:top w:val="single" w:color="auto" w:sz="4" w:space="0"/>
              <w:left w:val="single" w:color="auto" w:sz="4" w:space="0"/>
              <w:bottom w:val="single" w:color="auto" w:sz="4" w:space="0"/>
              <w:right w:val="single" w:color="auto" w:sz="4" w:space="0"/>
            </w:tcBorders>
            <w:vAlign w:val="center"/>
          </w:tcPr>
          <w:p w14:paraId="4B25065A">
            <w:pPr>
              <w:spacing w:line="600" w:lineRule="exact"/>
              <w:jc w:val="center"/>
              <w:rPr>
                <w:rFonts w:hint="eastAsia" w:ascii="仿宋" w:hAnsi="仿宋" w:eastAsia="仿宋" w:cs="仿宋"/>
                <w:b/>
                <w:color w:val="auto"/>
                <w:kern w:val="0"/>
                <w:szCs w:val="21"/>
                <w:highlight w:val="none"/>
              </w:rPr>
            </w:pPr>
          </w:p>
        </w:tc>
        <w:tc>
          <w:tcPr>
            <w:tcW w:w="730" w:type="pct"/>
            <w:tcBorders>
              <w:top w:val="single" w:color="auto" w:sz="4" w:space="0"/>
              <w:left w:val="single" w:color="auto" w:sz="4" w:space="0"/>
              <w:bottom w:val="single" w:color="auto" w:sz="4" w:space="0"/>
              <w:right w:val="single" w:color="auto" w:sz="4" w:space="0"/>
            </w:tcBorders>
          </w:tcPr>
          <w:p w14:paraId="4CA527B6">
            <w:pPr>
              <w:spacing w:line="600" w:lineRule="exact"/>
              <w:jc w:val="center"/>
              <w:rPr>
                <w:rFonts w:hint="eastAsia" w:ascii="仿宋" w:hAnsi="仿宋" w:eastAsia="仿宋" w:cs="仿宋"/>
                <w:b/>
                <w:color w:val="auto"/>
                <w:kern w:val="0"/>
                <w:szCs w:val="21"/>
                <w:highlight w:val="none"/>
              </w:rPr>
            </w:pPr>
          </w:p>
        </w:tc>
        <w:tc>
          <w:tcPr>
            <w:tcW w:w="969" w:type="pct"/>
            <w:tcBorders>
              <w:top w:val="single" w:color="auto" w:sz="4" w:space="0"/>
              <w:left w:val="single" w:color="auto" w:sz="4" w:space="0"/>
              <w:bottom w:val="single" w:color="auto" w:sz="4" w:space="0"/>
              <w:right w:val="single" w:color="auto" w:sz="12" w:space="0"/>
            </w:tcBorders>
            <w:vAlign w:val="center"/>
          </w:tcPr>
          <w:p w14:paraId="4721410E">
            <w:pPr>
              <w:spacing w:line="600" w:lineRule="exact"/>
              <w:jc w:val="center"/>
              <w:rPr>
                <w:rFonts w:hint="eastAsia" w:ascii="仿宋" w:hAnsi="仿宋" w:eastAsia="仿宋" w:cs="仿宋"/>
                <w:b/>
                <w:color w:val="auto"/>
                <w:kern w:val="0"/>
                <w:szCs w:val="21"/>
                <w:highlight w:val="none"/>
              </w:rPr>
            </w:pPr>
          </w:p>
        </w:tc>
      </w:tr>
      <w:tr w14:paraId="3775C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377" w:type="pct"/>
            <w:tcBorders>
              <w:top w:val="single" w:color="auto" w:sz="4" w:space="0"/>
              <w:left w:val="single" w:color="auto" w:sz="12" w:space="0"/>
              <w:bottom w:val="single" w:color="auto" w:sz="4" w:space="0"/>
              <w:right w:val="single" w:color="auto" w:sz="4" w:space="0"/>
            </w:tcBorders>
            <w:vAlign w:val="center"/>
          </w:tcPr>
          <w:p w14:paraId="139E3E8B">
            <w:pPr>
              <w:spacing w:line="600" w:lineRule="exact"/>
              <w:jc w:val="center"/>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2</w:t>
            </w:r>
          </w:p>
        </w:tc>
        <w:tc>
          <w:tcPr>
            <w:tcW w:w="849" w:type="pct"/>
            <w:tcBorders>
              <w:top w:val="single" w:color="auto" w:sz="4" w:space="0"/>
              <w:left w:val="single" w:color="auto" w:sz="4" w:space="0"/>
              <w:bottom w:val="single" w:color="auto" w:sz="4" w:space="0"/>
              <w:right w:val="single" w:color="auto" w:sz="4" w:space="0"/>
            </w:tcBorders>
            <w:vAlign w:val="center"/>
          </w:tcPr>
          <w:p w14:paraId="12E3D838">
            <w:pPr>
              <w:spacing w:line="600" w:lineRule="exact"/>
              <w:jc w:val="center"/>
              <w:rPr>
                <w:rFonts w:hint="eastAsia" w:ascii="仿宋" w:hAnsi="仿宋" w:eastAsia="仿宋" w:cs="仿宋"/>
                <w:b/>
                <w:color w:val="auto"/>
                <w:kern w:val="0"/>
                <w:szCs w:val="21"/>
                <w:highlight w:val="none"/>
              </w:rPr>
            </w:pPr>
          </w:p>
        </w:tc>
        <w:tc>
          <w:tcPr>
            <w:tcW w:w="603" w:type="pct"/>
            <w:tcBorders>
              <w:top w:val="single" w:color="auto" w:sz="4" w:space="0"/>
              <w:left w:val="single" w:color="auto" w:sz="4" w:space="0"/>
              <w:bottom w:val="single" w:color="auto" w:sz="4" w:space="0"/>
              <w:right w:val="single" w:color="auto" w:sz="4" w:space="0"/>
            </w:tcBorders>
            <w:vAlign w:val="center"/>
          </w:tcPr>
          <w:p w14:paraId="30276063">
            <w:pPr>
              <w:spacing w:line="600" w:lineRule="exact"/>
              <w:jc w:val="center"/>
              <w:rPr>
                <w:rFonts w:hint="eastAsia" w:ascii="仿宋" w:hAnsi="仿宋" w:eastAsia="仿宋" w:cs="仿宋"/>
                <w:b/>
                <w:color w:val="auto"/>
                <w:kern w:val="0"/>
                <w:szCs w:val="21"/>
                <w:highlight w:val="none"/>
              </w:rPr>
            </w:pPr>
          </w:p>
        </w:tc>
        <w:tc>
          <w:tcPr>
            <w:tcW w:w="722" w:type="pct"/>
            <w:tcBorders>
              <w:top w:val="single" w:color="auto" w:sz="4" w:space="0"/>
              <w:left w:val="single" w:color="auto" w:sz="4" w:space="0"/>
              <w:bottom w:val="single" w:color="auto" w:sz="4" w:space="0"/>
              <w:right w:val="single" w:color="auto" w:sz="4" w:space="0"/>
            </w:tcBorders>
            <w:vAlign w:val="center"/>
          </w:tcPr>
          <w:p w14:paraId="6051D824">
            <w:pPr>
              <w:spacing w:line="600" w:lineRule="exact"/>
              <w:jc w:val="center"/>
              <w:rPr>
                <w:rFonts w:hint="eastAsia" w:ascii="仿宋" w:hAnsi="仿宋" w:eastAsia="仿宋" w:cs="仿宋"/>
                <w:b/>
                <w:color w:val="auto"/>
                <w:kern w:val="0"/>
                <w:szCs w:val="21"/>
                <w:highlight w:val="none"/>
              </w:rPr>
            </w:pPr>
          </w:p>
        </w:tc>
        <w:tc>
          <w:tcPr>
            <w:tcW w:w="747" w:type="pct"/>
            <w:tcBorders>
              <w:top w:val="single" w:color="auto" w:sz="4" w:space="0"/>
              <w:left w:val="single" w:color="auto" w:sz="4" w:space="0"/>
              <w:bottom w:val="single" w:color="auto" w:sz="4" w:space="0"/>
              <w:right w:val="single" w:color="auto" w:sz="4" w:space="0"/>
            </w:tcBorders>
            <w:vAlign w:val="center"/>
          </w:tcPr>
          <w:p w14:paraId="2D39FB4A">
            <w:pPr>
              <w:spacing w:line="600" w:lineRule="exact"/>
              <w:jc w:val="center"/>
              <w:rPr>
                <w:rFonts w:hint="eastAsia" w:ascii="仿宋" w:hAnsi="仿宋" w:eastAsia="仿宋" w:cs="仿宋"/>
                <w:b/>
                <w:color w:val="auto"/>
                <w:kern w:val="0"/>
                <w:szCs w:val="21"/>
                <w:highlight w:val="none"/>
              </w:rPr>
            </w:pPr>
          </w:p>
        </w:tc>
        <w:tc>
          <w:tcPr>
            <w:tcW w:w="730" w:type="pct"/>
            <w:tcBorders>
              <w:top w:val="single" w:color="auto" w:sz="4" w:space="0"/>
              <w:left w:val="single" w:color="auto" w:sz="4" w:space="0"/>
              <w:bottom w:val="single" w:color="auto" w:sz="4" w:space="0"/>
              <w:right w:val="single" w:color="auto" w:sz="4" w:space="0"/>
            </w:tcBorders>
          </w:tcPr>
          <w:p w14:paraId="617D96D4">
            <w:pPr>
              <w:spacing w:line="600" w:lineRule="exact"/>
              <w:jc w:val="center"/>
              <w:rPr>
                <w:rFonts w:hint="eastAsia" w:ascii="仿宋" w:hAnsi="仿宋" w:eastAsia="仿宋" w:cs="仿宋"/>
                <w:b/>
                <w:color w:val="auto"/>
                <w:kern w:val="0"/>
                <w:szCs w:val="21"/>
                <w:highlight w:val="none"/>
              </w:rPr>
            </w:pPr>
          </w:p>
        </w:tc>
        <w:tc>
          <w:tcPr>
            <w:tcW w:w="969" w:type="pct"/>
            <w:tcBorders>
              <w:top w:val="single" w:color="auto" w:sz="4" w:space="0"/>
              <w:left w:val="single" w:color="auto" w:sz="4" w:space="0"/>
              <w:bottom w:val="single" w:color="auto" w:sz="4" w:space="0"/>
              <w:right w:val="single" w:color="auto" w:sz="12" w:space="0"/>
            </w:tcBorders>
            <w:vAlign w:val="center"/>
          </w:tcPr>
          <w:p w14:paraId="62069B9F">
            <w:pPr>
              <w:spacing w:line="600" w:lineRule="exact"/>
              <w:jc w:val="center"/>
              <w:rPr>
                <w:rFonts w:hint="eastAsia" w:ascii="仿宋" w:hAnsi="仿宋" w:eastAsia="仿宋" w:cs="仿宋"/>
                <w:b/>
                <w:color w:val="auto"/>
                <w:kern w:val="0"/>
                <w:szCs w:val="21"/>
                <w:highlight w:val="none"/>
              </w:rPr>
            </w:pPr>
          </w:p>
        </w:tc>
      </w:tr>
      <w:tr w14:paraId="22656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377" w:type="pct"/>
            <w:tcBorders>
              <w:top w:val="single" w:color="auto" w:sz="4" w:space="0"/>
              <w:left w:val="single" w:color="auto" w:sz="12" w:space="0"/>
              <w:bottom w:val="single" w:color="auto" w:sz="4" w:space="0"/>
              <w:right w:val="single" w:color="auto" w:sz="4" w:space="0"/>
            </w:tcBorders>
            <w:vAlign w:val="center"/>
          </w:tcPr>
          <w:p w14:paraId="49694A25">
            <w:pPr>
              <w:spacing w:line="600" w:lineRule="exact"/>
              <w:jc w:val="center"/>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3</w:t>
            </w:r>
          </w:p>
        </w:tc>
        <w:tc>
          <w:tcPr>
            <w:tcW w:w="849" w:type="pct"/>
            <w:tcBorders>
              <w:top w:val="single" w:color="auto" w:sz="4" w:space="0"/>
              <w:left w:val="single" w:color="auto" w:sz="4" w:space="0"/>
              <w:bottom w:val="single" w:color="auto" w:sz="4" w:space="0"/>
              <w:right w:val="single" w:color="auto" w:sz="4" w:space="0"/>
            </w:tcBorders>
            <w:vAlign w:val="center"/>
          </w:tcPr>
          <w:p w14:paraId="69DA118B">
            <w:pPr>
              <w:spacing w:line="600" w:lineRule="exact"/>
              <w:jc w:val="center"/>
              <w:rPr>
                <w:rFonts w:hint="eastAsia" w:ascii="仿宋" w:hAnsi="仿宋" w:eastAsia="仿宋" w:cs="仿宋"/>
                <w:b/>
                <w:color w:val="auto"/>
                <w:kern w:val="0"/>
                <w:szCs w:val="21"/>
                <w:highlight w:val="none"/>
              </w:rPr>
            </w:pPr>
          </w:p>
        </w:tc>
        <w:tc>
          <w:tcPr>
            <w:tcW w:w="603" w:type="pct"/>
            <w:tcBorders>
              <w:top w:val="single" w:color="auto" w:sz="4" w:space="0"/>
              <w:left w:val="single" w:color="auto" w:sz="4" w:space="0"/>
              <w:bottom w:val="single" w:color="auto" w:sz="4" w:space="0"/>
              <w:right w:val="single" w:color="auto" w:sz="4" w:space="0"/>
            </w:tcBorders>
            <w:vAlign w:val="center"/>
          </w:tcPr>
          <w:p w14:paraId="357D378E">
            <w:pPr>
              <w:spacing w:line="600" w:lineRule="exact"/>
              <w:jc w:val="center"/>
              <w:rPr>
                <w:rFonts w:hint="eastAsia" w:ascii="仿宋" w:hAnsi="仿宋" w:eastAsia="仿宋" w:cs="仿宋"/>
                <w:b/>
                <w:color w:val="auto"/>
                <w:kern w:val="0"/>
                <w:szCs w:val="21"/>
                <w:highlight w:val="none"/>
              </w:rPr>
            </w:pPr>
          </w:p>
        </w:tc>
        <w:tc>
          <w:tcPr>
            <w:tcW w:w="722" w:type="pct"/>
            <w:tcBorders>
              <w:top w:val="single" w:color="auto" w:sz="4" w:space="0"/>
              <w:left w:val="single" w:color="auto" w:sz="4" w:space="0"/>
              <w:bottom w:val="single" w:color="auto" w:sz="4" w:space="0"/>
              <w:right w:val="single" w:color="auto" w:sz="4" w:space="0"/>
            </w:tcBorders>
            <w:vAlign w:val="center"/>
          </w:tcPr>
          <w:p w14:paraId="289C33B9">
            <w:pPr>
              <w:spacing w:line="600" w:lineRule="exact"/>
              <w:jc w:val="center"/>
              <w:rPr>
                <w:rFonts w:hint="eastAsia" w:ascii="仿宋" w:hAnsi="仿宋" w:eastAsia="仿宋" w:cs="仿宋"/>
                <w:b/>
                <w:color w:val="auto"/>
                <w:kern w:val="0"/>
                <w:szCs w:val="21"/>
                <w:highlight w:val="none"/>
              </w:rPr>
            </w:pPr>
          </w:p>
        </w:tc>
        <w:tc>
          <w:tcPr>
            <w:tcW w:w="747" w:type="pct"/>
            <w:tcBorders>
              <w:top w:val="single" w:color="auto" w:sz="4" w:space="0"/>
              <w:left w:val="single" w:color="auto" w:sz="4" w:space="0"/>
              <w:bottom w:val="single" w:color="auto" w:sz="4" w:space="0"/>
              <w:right w:val="single" w:color="auto" w:sz="4" w:space="0"/>
            </w:tcBorders>
            <w:vAlign w:val="center"/>
          </w:tcPr>
          <w:p w14:paraId="2FA06989">
            <w:pPr>
              <w:spacing w:line="600" w:lineRule="exact"/>
              <w:jc w:val="center"/>
              <w:rPr>
                <w:rFonts w:hint="eastAsia" w:ascii="仿宋" w:hAnsi="仿宋" w:eastAsia="仿宋" w:cs="仿宋"/>
                <w:b/>
                <w:color w:val="auto"/>
                <w:kern w:val="0"/>
                <w:szCs w:val="21"/>
                <w:highlight w:val="none"/>
              </w:rPr>
            </w:pPr>
          </w:p>
        </w:tc>
        <w:tc>
          <w:tcPr>
            <w:tcW w:w="730" w:type="pct"/>
            <w:tcBorders>
              <w:top w:val="single" w:color="auto" w:sz="4" w:space="0"/>
              <w:left w:val="single" w:color="auto" w:sz="4" w:space="0"/>
              <w:bottom w:val="single" w:color="auto" w:sz="4" w:space="0"/>
              <w:right w:val="single" w:color="auto" w:sz="4" w:space="0"/>
            </w:tcBorders>
          </w:tcPr>
          <w:p w14:paraId="403EBC39">
            <w:pPr>
              <w:spacing w:line="600" w:lineRule="exact"/>
              <w:jc w:val="center"/>
              <w:rPr>
                <w:rFonts w:hint="eastAsia" w:ascii="仿宋" w:hAnsi="仿宋" w:eastAsia="仿宋" w:cs="仿宋"/>
                <w:b/>
                <w:color w:val="auto"/>
                <w:kern w:val="0"/>
                <w:szCs w:val="21"/>
                <w:highlight w:val="none"/>
              </w:rPr>
            </w:pPr>
          </w:p>
        </w:tc>
        <w:tc>
          <w:tcPr>
            <w:tcW w:w="969" w:type="pct"/>
            <w:tcBorders>
              <w:top w:val="single" w:color="auto" w:sz="4" w:space="0"/>
              <w:left w:val="single" w:color="auto" w:sz="4" w:space="0"/>
              <w:bottom w:val="single" w:color="auto" w:sz="4" w:space="0"/>
              <w:right w:val="single" w:color="auto" w:sz="12" w:space="0"/>
            </w:tcBorders>
            <w:vAlign w:val="center"/>
          </w:tcPr>
          <w:p w14:paraId="3A06D7EB">
            <w:pPr>
              <w:spacing w:line="600" w:lineRule="exact"/>
              <w:jc w:val="center"/>
              <w:rPr>
                <w:rFonts w:hint="eastAsia" w:ascii="仿宋" w:hAnsi="仿宋" w:eastAsia="仿宋" w:cs="仿宋"/>
                <w:b/>
                <w:color w:val="auto"/>
                <w:kern w:val="0"/>
                <w:szCs w:val="21"/>
                <w:highlight w:val="none"/>
              </w:rPr>
            </w:pPr>
          </w:p>
        </w:tc>
      </w:tr>
      <w:tr w14:paraId="6F1B6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77" w:type="pct"/>
            <w:tcBorders>
              <w:top w:val="single" w:color="auto" w:sz="4" w:space="0"/>
              <w:left w:val="single" w:color="auto" w:sz="12" w:space="0"/>
              <w:bottom w:val="single" w:color="auto" w:sz="12" w:space="0"/>
              <w:right w:val="single" w:color="auto" w:sz="4" w:space="0"/>
            </w:tcBorders>
            <w:vAlign w:val="center"/>
          </w:tcPr>
          <w:p w14:paraId="32028508">
            <w:pPr>
              <w:spacing w:line="600" w:lineRule="exact"/>
              <w:jc w:val="center"/>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4</w:t>
            </w:r>
          </w:p>
        </w:tc>
        <w:tc>
          <w:tcPr>
            <w:tcW w:w="849" w:type="pct"/>
            <w:tcBorders>
              <w:top w:val="single" w:color="auto" w:sz="4" w:space="0"/>
              <w:left w:val="single" w:color="auto" w:sz="4" w:space="0"/>
              <w:bottom w:val="single" w:color="auto" w:sz="12" w:space="0"/>
              <w:right w:val="single" w:color="auto" w:sz="4" w:space="0"/>
            </w:tcBorders>
            <w:vAlign w:val="center"/>
          </w:tcPr>
          <w:p w14:paraId="38D07199">
            <w:pPr>
              <w:spacing w:line="600" w:lineRule="exact"/>
              <w:jc w:val="center"/>
              <w:rPr>
                <w:rFonts w:hint="eastAsia" w:ascii="仿宋" w:hAnsi="仿宋" w:eastAsia="仿宋" w:cs="仿宋"/>
                <w:b/>
                <w:color w:val="auto"/>
                <w:kern w:val="0"/>
                <w:szCs w:val="21"/>
                <w:highlight w:val="none"/>
              </w:rPr>
            </w:pPr>
            <w:r>
              <w:rPr>
                <w:rFonts w:hint="eastAsia" w:ascii="仿宋" w:hAnsi="仿宋" w:eastAsia="仿宋" w:cs="仿宋"/>
                <w:b/>
                <w:color w:val="auto"/>
                <w:kern w:val="0"/>
                <w:szCs w:val="21"/>
                <w:highlight w:val="none"/>
              </w:rPr>
              <w:t>…</w:t>
            </w:r>
          </w:p>
        </w:tc>
        <w:tc>
          <w:tcPr>
            <w:tcW w:w="603" w:type="pct"/>
            <w:tcBorders>
              <w:top w:val="single" w:color="auto" w:sz="4" w:space="0"/>
              <w:left w:val="single" w:color="auto" w:sz="4" w:space="0"/>
              <w:bottom w:val="single" w:color="auto" w:sz="12" w:space="0"/>
              <w:right w:val="single" w:color="auto" w:sz="4" w:space="0"/>
            </w:tcBorders>
            <w:vAlign w:val="center"/>
          </w:tcPr>
          <w:p w14:paraId="1EDF0278">
            <w:pPr>
              <w:spacing w:line="600" w:lineRule="exact"/>
              <w:jc w:val="center"/>
              <w:rPr>
                <w:rFonts w:hint="eastAsia" w:ascii="仿宋" w:hAnsi="仿宋" w:eastAsia="仿宋" w:cs="仿宋"/>
                <w:b/>
                <w:color w:val="auto"/>
                <w:kern w:val="0"/>
                <w:szCs w:val="21"/>
                <w:highlight w:val="none"/>
              </w:rPr>
            </w:pPr>
          </w:p>
        </w:tc>
        <w:tc>
          <w:tcPr>
            <w:tcW w:w="722" w:type="pct"/>
            <w:tcBorders>
              <w:top w:val="single" w:color="auto" w:sz="4" w:space="0"/>
              <w:left w:val="single" w:color="auto" w:sz="4" w:space="0"/>
              <w:bottom w:val="single" w:color="auto" w:sz="12" w:space="0"/>
              <w:right w:val="single" w:color="auto" w:sz="4" w:space="0"/>
            </w:tcBorders>
            <w:vAlign w:val="center"/>
          </w:tcPr>
          <w:p w14:paraId="55F0D3DA">
            <w:pPr>
              <w:spacing w:line="600" w:lineRule="exact"/>
              <w:jc w:val="center"/>
              <w:rPr>
                <w:rFonts w:hint="eastAsia" w:ascii="仿宋" w:hAnsi="仿宋" w:eastAsia="仿宋" w:cs="仿宋"/>
                <w:b/>
                <w:color w:val="auto"/>
                <w:kern w:val="0"/>
                <w:szCs w:val="21"/>
                <w:highlight w:val="none"/>
              </w:rPr>
            </w:pPr>
          </w:p>
        </w:tc>
        <w:tc>
          <w:tcPr>
            <w:tcW w:w="747" w:type="pct"/>
            <w:tcBorders>
              <w:top w:val="single" w:color="auto" w:sz="4" w:space="0"/>
              <w:left w:val="single" w:color="auto" w:sz="4" w:space="0"/>
              <w:bottom w:val="single" w:color="auto" w:sz="12" w:space="0"/>
              <w:right w:val="single" w:color="auto" w:sz="4" w:space="0"/>
            </w:tcBorders>
            <w:vAlign w:val="center"/>
          </w:tcPr>
          <w:p w14:paraId="1A4F20D0">
            <w:pPr>
              <w:spacing w:line="600" w:lineRule="exact"/>
              <w:jc w:val="center"/>
              <w:rPr>
                <w:rFonts w:hint="eastAsia" w:ascii="仿宋" w:hAnsi="仿宋" w:eastAsia="仿宋" w:cs="仿宋"/>
                <w:b/>
                <w:color w:val="auto"/>
                <w:kern w:val="0"/>
                <w:szCs w:val="21"/>
                <w:highlight w:val="none"/>
              </w:rPr>
            </w:pPr>
          </w:p>
        </w:tc>
        <w:tc>
          <w:tcPr>
            <w:tcW w:w="730" w:type="pct"/>
            <w:tcBorders>
              <w:top w:val="single" w:color="auto" w:sz="4" w:space="0"/>
              <w:left w:val="single" w:color="auto" w:sz="4" w:space="0"/>
              <w:bottom w:val="single" w:color="auto" w:sz="12" w:space="0"/>
              <w:right w:val="single" w:color="auto" w:sz="4" w:space="0"/>
            </w:tcBorders>
          </w:tcPr>
          <w:p w14:paraId="7C264A98">
            <w:pPr>
              <w:spacing w:line="600" w:lineRule="exact"/>
              <w:jc w:val="center"/>
              <w:rPr>
                <w:rFonts w:hint="eastAsia" w:ascii="仿宋" w:hAnsi="仿宋" w:eastAsia="仿宋" w:cs="仿宋"/>
                <w:b/>
                <w:color w:val="auto"/>
                <w:kern w:val="0"/>
                <w:szCs w:val="21"/>
                <w:highlight w:val="none"/>
              </w:rPr>
            </w:pPr>
          </w:p>
        </w:tc>
        <w:tc>
          <w:tcPr>
            <w:tcW w:w="969" w:type="pct"/>
            <w:tcBorders>
              <w:top w:val="single" w:color="auto" w:sz="4" w:space="0"/>
              <w:left w:val="single" w:color="auto" w:sz="4" w:space="0"/>
              <w:bottom w:val="single" w:color="auto" w:sz="12" w:space="0"/>
              <w:right w:val="single" w:color="auto" w:sz="12" w:space="0"/>
            </w:tcBorders>
            <w:vAlign w:val="center"/>
          </w:tcPr>
          <w:p w14:paraId="1309B0C5">
            <w:pPr>
              <w:spacing w:line="600" w:lineRule="exact"/>
              <w:jc w:val="center"/>
              <w:rPr>
                <w:rFonts w:hint="eastAsia" w:ascii="仿宋" w:hAnsi="仿宋" w:eastAsia="仿宋" w:cs="仿宋"/>
                <w:b/>
                <w:color w:val="auto"/>
                <w:kern w:val="0"/>
                <w:szCs w:val="21"/>
                <w:highlight w:val="none"/>
              </w:rPr>
            </w:pPr>
          </w:p>
        </w:tc>
      </w:tr>
    </w:tbl>
    <w:p w14:paraId="310B2E35">
      <w:pPr>
        <w:rPr>
          <w:rFonts w:hint="eastAsia" w:ascii="仿宋" w:hAnsi="仿宋" w:eastAsia="仿宋" w:cs="仿宋"/>
          <w:color w:val="auto"/>
          <w:sz w:val="24"/>
          <w:highlight w:val="none"/>
        </w:rPr>
      </w:pPr>
      <w:r>
        <w:rPr>
          <w:rFonts w:hint="eastAsia" w:ascii="仿宋" w:hAnsi="仿宋" w:eastAsia="仿宋" w:cs="仿宋"/>
          <w:color w:val="auto"/>
          <w:sz w:val="24"/>
          <w:highlight w:val="none"/>
        </w:rPr>
        <w:t>说明：（1）以上案例须真实有效，相关内容在成交公告中予以公示。</w:t>
      </w:r>
    </w:p>
    <w:p w14:paraId="2CE503BE">
      <w:pPr>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(2) 提供根据评分细则要求提供合同复印件。</w:t>
      </w:r>
      <w:bookmarkEnd w:id="422"/>
    </w:p>
    <w:p w14:paraId="2D57DC73">
      <w:pP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br w:type="page"/>
      </w:r>
    </w:p>
    <w:p w14:paraId="35E591E8">
      <w:pPr>
        <w:pStyle w:val="2"/>
        <w:tabs>
          <w:tab w:val="left" w:pos="0"/>
        </w:tabs>
        <w:spacing w:before="0" w:after="0" w:line="600" w:lineRule="exact"/>
        <w:jc w:val="both"/>
        <w:rPr>
          <w:rFonts w:hint="eastAsia" w:ascii="仿宋" w:hAnsi="仿宋" w:eastAsia="仿宋" w:cs="仿宋"/>
          <w:color w:val="auto"/>
          <w:highlight w:val="none"/>
        </w:rPr>
      </w:pPr>
      <w:r>
        <w:rPr>
          <w:rFonts w:hint="eastAsia" w:ascii="仿宋" w:hAnsi="仿宋" w:eastAsia="仿宋" w:cs="仿宋"/>
          <w:color w:val="auto"/>
          <w:kern w:val="0"/>
          <w:sz w:val="24"/>
          <w:highlight w:val="none"/>
        </w:rPr>
        <w:t>20.保证金退付申请表（如有）</w:t>
      </w:r>
    </w:p>
    <w:tbl>
      <w:tblPr>
        <w:tblStyle w:val="34"/>
        <w:tblW w:w="9137" w:type="dxa"/>
        <w:jc w:val="center"/>
        <w:tblLayout w:type="fixed"/>
        <w:tblCellMar>
          <w:top w:w="0" w:type="dxa"/>
          <w:left w:w="108" w:type="dxa"/>
          <w:bottom w:w="0" w:type="dxa"/>
          <w:right w:w="108" w:type="dxa"/>
        </w:tblCellMar>
      </w:tblPr>
      <w:tblGrid>
        <w:gridCol w:w="1511"/>
        <w:gridCol w:w="3215"/>
        <w:gridCol w:w="1475"/>
        <w:gridCol w:w="2936"/>
      </w:tblGrid>
      <w:tr w14:paraId="5F7ED07B">
        <w:tblPrEx>
          <w:tblCellMar>
            <w:top w:w="0" w:type="dxa"/>
            <w:left w:w="108" w:type="dxa"/>
            <w:bottom w:w="0" w:type="dxa"/>
            <w:right w:w="108" w:type="dxa"/>
          </w:tblCellMar>
        </w:tblPrEx>
        <w:trPr>
          <w:trHeight w:val="943" w:hRule="atLeast"/>
          <w:jc w:val="center"/>
        </w:trPr>
        <w:tc>
          <w:tcPr>
            <w:tcW w:w="9137" w:type="dxa"/>
            <w:gridSpan w:val="4"/>
            <w:vAlign w:val="center"/>
          </w:tcPr>
          <w:p w14:paraId="3B7724A2">
            <w:pPr>
              <w:spacing w:line="360" w:lineRule="auto"/>
              <w:ind w:firstLine="284"/>
              <w:jc w:val="center"/>
              <w:outlineLvl w:val="1"/>
              <w:rPr>
                <w:rFonts w:hint="eastAsia" w:ascii="仿宋" w:hAnsi="仿宋" w:eastAsia="仿宋" w:cs="仿宋"/>
                <w:b/>
                <w:color w:val="auto"/>
                <w:sz w:val="24"/>
                <w:highlight w:val="none"/>
              </w:rPr>
            </w:pPr>
            <w:bookmarkStart w:id="423" w:name="_Toc482002047"/>
            <w:bookmarkStart w:id="424" w:name="_Toc478826542"/>
            <w:bookmarkStart w:id="425" w:name="_Toc511972722"/>
            <w:bookmarkStart w:id="426" w:name="_Toc478826592"/>
            <w:bookmarkStart w:id="427" w:name="_Toc417643179"/>
            <w:bookmarkStart w:id="428" w:name="_Toc448777204"/>
            <w:bookmarkStart w:id="429" w:name="_Toc417643288"/>
            <w:bookmarkStart w:id="430" w:name="_Toc495581561"/>
            <w:bookmarkStart w:id="431" w:name="_Toc430"/>
            <w:bookmarkStart w:id="432" w:name="_Toc445993617"/>
            <w:bookmarkStart w:id="433" w:name="_Toc460250856"/>
            <w:bookmarkStart w:id="434" w:name="_Toc478822934"/>
            <w:bookmarkStart w:id="435" w:name="_Toc478822828"/>
          </w:p>
          <w:p w14:paraId="2909455F">
            <w:pPr>
              <w:spacing w:line="360" w:lineRule="auto"/>
              <w:ind w:firstLine="284"/>
              <w:jc w:val="center"/>
              <w:outlineLvl w:val="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山东卓舜招标咨询有限公司招标项目</w:t>
            </w:r>
            <w:bookmarkEnd w:id="423"/>
            <w:bookmarkEnd w:id="424"/>
            <w:bookmarkEnd w:id="425"/>
            <w:bookmarkEnd w:id="426"/>
            <w:bookmarkEnd w:id="427"/>
            <w:bookmarkEnd w:id="428"/>
            <w:bookmarkEnd w:id="429"/>
            <w:bookmarkEnd w:id="430"/>
            <w:bookmarkEnd w:id="431"/>
            <w:bookmarkEnd w:id="432"/>
            <w:bookmarkEnd w:id="433"/>
            <w:bookmarkEnd w:id="434"/>
            <w:bookmarkEnd w:id="435"/>
          </w:p>
          <w:p w14:paraId="38CA8CDF">
            <w:pPr>
              <w:pStyle w:val="14"/>
              <w:spacing w:line="360" w:lineRule="auto"/>
              <w:ind w:left="84" w:leftChars="0" w:hanging="84" w:hangingChars="35"/>
              <w:jc w:val="center"/>
              <w:outlineLvl w:val="1"/>
              <w:rPr>
                <w:rFonts w:hint="eastAsia" w:ascii="仿宋" w:hAnsi="仿宋" w:eastAsia="仿宋" w:cs="仿宋"/>
                <w:color w:val="auto"/>
                <w:sz w:val="22"/>
                <w:szCs w:val="22"/>
                <w:highlight w:val="none"/>
              </w:rPr>
            </w:pPr>
            <w:bookmarkStart w:id="436" w:name="_Toc495581562"/>
            <w:bookmarkStart w:id="437" w:name="_Toc511972723"/>
            <w:r>
              <w:rPr>
                <w:rFonts w:hint="eastAsia" w:ascii="仿宋" w:hAnsi="仿宋" w:eastAsia="仿宋" w:cs="仿宋"/>
                <w:b/>
                <w:color w:val="auto"/>
                <w:sz w:val="24"/>
                <w:szCs w:val="22"/>
                <w:highlight w:val="none"/>
              </w:rPr>
              <w:t>保证金退付申请表</w:t>
            </w:r>
            <w:bookmarkEnd w:id="436"/>
            <w:bookmarkEnd w:id="437"/>
          </w:p>
        </w:tc>
      </w:tr>
      <w:tr w14:paraId="76809832">
        <w:tblPrEx>
          <w:tblCellMar>
            <w:top w:w="0" w:type="dxa"/>
            <w:left w:w="108" w:type="dxa"/>
            <w:bottom w:w="0" w:type="dxa"/>
            <w:right w:w="108" w:type="dxa"/>
          </w:tblCellMar>
        </w:tblPrEx>
        <w:trPr>
          <w:trHeight w:val="615" w:hRule="atLeast"/>
          <w:jc w:val="center"/>
        </w:trPr>
        <w:tc>
          <w:tcPr>
            <w:tcW w:w="4726" w:type="dxa"/>
            <w:gridSpan w:val="2"/>
            <w:tcBorders>
              <w:top w:val="nil"/>
              <w:left w:val="nil"/>
              <w:bottom w:val="single" w:color="auto" w:sz="4" w:space="0"/>
              <w:right w:val="nil"/>
            </w:tcBorders>
            <w:vAlign w:val="center"/>
          </w:tcPr>
          <w:p w14:paraId="40374B01">
            <w:pPr>
              <w:widowControl/>
              <w:spacing w:line="360" w:lineRule="auto"/>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供应商名称（公章）：  </w:t>
            </w:r>
          </w:p>
        </w:tc>
        <w:tc>
          <w:tcPr>
            <w:tcW w:w="1475" w:type="dxa"/>
            <w:tcBorders>
              <w:top w:val="nil"/>
              <w:left w:val="nil"/>
              <w:bottom w:val="single" w:color="auto" w:sz="4" w:space="0"/>
              <w:right w:val="nil"/>
            </w:tcBorders>
            <w:vAlign w:val="center"/>
          </w:tcPr>
          <w:p w14:paraId="0424BE0F">
            <w:pPr>
              <w:widowControl/>
              <w:spacing w:line="360" w:lineRule="auto"/>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项目编号：</w:t>
            </w:r>
          </w:p>
        </w:tc>
        <w:tc>
          <w:tcPr>
            <w:tcW w:w="2936" w:type="dxa"/>
            <w:tcBorders>
              <w:top w:val="nil"/>
              <w:left w:val="nil"/>
              <w:bottom w:val="single" w:color="auto" w:sz="4" w:space="0"/>
              <w:right w:val="nil"/>
            </w:tcBorders>
            <w:vAlign w:val="center"/>
          </w:tcPr>
          <w:p w14:paraId="4C8F4A77">
            <w:pPr>
              <w:widowControl/>
              <w:spacing w:line="360" w:lineRule="auto"/>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项目名称：</w:t>
            </w:r>
          </w:p>
        </w:tc>
      </w:tr>
      <w:tr w14:paraId="2CA54B52">
        <w:tblPrEx>
          <w:tblCellMar>
            <w:top w:w="0" w:type="dxa"/>
            <w:left w:w="108" w:type="dxa"/>
            <w:bottom w:w="0" w:type="dxa"/>
            <w:right w:w="108" w:type="dxa"/>
          </w:tblCellMar>
        </w:tblPrEx>
        <w:trPr>
          <w:trHeight w:val="1080" w:hRule="atLeast"/>
          <w:jc w:val="center"/>
        </w:trPr>
        <w:tc>
          <w:tcPr>
            <w:tcW w:w="1511" w:type="dxa"/>
            <w:tcBorders>
              <w:top w:val="nil"/>
              <w:left w:val="single" w:color="auto" w:sz="4" w:space="0"/>
              <w:bottom w:val="single" w:color="auto" w:sz="4" w:space="0"/>
              <w:right w:val="single" w:color="auto" w:sz="4" w:space="0"/>
            </w:tcBorders>
            <w:vAlign w:val="center"/>
          </w:tcPr>
          <w:p w14:paraId="3EA17735">
            <w:pPr>
              <w:widowControl/>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银行名称</w:t>
            </w:r>
          </w:p>
        </w:tc>
        <w:tc>
          <w:tcPr>
            <w:tcW w:w="3215" w:type="dxa"/>
            <w:tcBorders>
              <w:top w:val="nil"/>
              <w:left w:val="nil"/>
              <w:bottom w:val="single" w:color="auto" w:sz="4" w:space="0"/>
              <w:right w:val="single" w:color="auto" w:sz="4" w:space="0"/>
            </w:tcBorders>
            <w:vAlign w:val="center"/>
          </w:tcPr>
          <w:p w14:paraId="5EC4A541">
            <w:pPr>
              <w:widowControl/>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w:t>
            </w:r>
          </w:p>
        </w:tc>
        <w:tc>
          <w:tcPr>
            <w:tcW w:w="1475" w:type="dxa"/>
            <w:tcBorders>
              <w:top w:val="nil"/>
              <w:left w:val="nil"/>
              <w:bottom w:val="single" w:color="auto" w:sz="4" w:space="0"/>
              <w:right w:val="single" w:color="auto" w:sz="4" w:space="0"/>
            </w:tcBorders>
            <w:vAlign w:val="center"/>
          </w:tcPr>
          <w:p w14:paraId="36C99A18">
            <w:pPr>
              <w:widowControl/>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银行账号</w:t>
            </w:r>
          </w:p>
        </w:tc>
        <w:tc>
          <w:tcPr>
            <w:tcW w:w="2936" w:type="dxa"/>
            <w:tcBorders>
              <w:top w:val="nil"/>
              <w:left w:val="nil"/>
              <w:bottom w:val="single" w:color="auto" w:sz="4" w:space="0"/>
              <w:right w:val="single" w:color="auto" w:sz="4" w:space="0"/>
            </w:tcBorders>
            <w:vAlign w:val="center"/>
          </w:tcPr>
          <w:p w14:paraId="1BFB4FD5">
            <w:pPr>
              <w:widowControl/>
              <w:spacing w:line="360" w:lineRule="auto"/>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w:t>
            </w:r>
          </w:p>
        </w:tc>
      </w:tr>
      <w:tr w14:paraId="178F9E44">
        <w:tblPrEx>
          <w:tblCellMar>
            <w:top w:w="0" w:type="dxa"/>
            <w:left w:w="108" w:type="dxa"/>
            <w:bottom w:w="0" w:type="dxa"/>
            <w:right w:w="108" w:type="dxa"/>
          </w:tblCellMar>
        </w:tblPrEx>
        <w:trPr>
          <w:trHeight w:val="1080" w:hRule="atLeast"/>
          <w:jc w:val="center"/>
        </w:trPr>
        <w:tc>
          <w:tcPr>
            <w:tcW w:w="1511" w:type="dxa"/>
            <w:tcBorders>
              <w:top w:val="nil"/>
              <w:left w:val="single" w:color="auto" w:sz="4" w:space="0"/>
              <w:bottom w:val="single" w:color="auto" w:sz="4" w:space="0"/>
              <w:right w:val="single" w:color="auto" w:sz="4" w:space="0"/>
            </w:tcBorders>
            <w:vAlign w:val="center"/>
          </w:tcPr>
          <w:p w14:paraId="72FCC93E">
            <w:pPr>
              <w:widowControl/>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退付金额（元）</w:t>
            </w:r>
          </w:p>
        </w:tc>
        <w:tc>
          <w:tcPr>
            <w:tcW w:w="3215" w:type="dxa"/>
            <w:tcBorders>
              <w:top w:val="nil"/>
              <w:left w:val="nil"/>
              <w:bottom w:val="single" w:color="auto" w:sz="4" w:space="0"/>
              <w:right w:val="single" w:color="auto" w:sz="4" w:space="0"/>
            </w:tcBorders>
            <w:vAlign w:val="center"/>
          </w:tcPr>
          <w:p w14:paraId="27434481">
            <w:pPr>
              <w:widowControl/>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w:t>
            </w:r>
          </w:p>
        </w:tc>
        <w:tc>
          <w:tcPr>
            <w:tcW w:w="1475" w:type="dxa"/>
            <w:tcBorders>
              <w:top w:val="nil"/>
              <w:left w:val="nil"/>
              <w:bottom w:val="single" w:color="auto" w:sz="4" w:space="0"/>
              <w:right w:val="single" w:color="auto" w:sz="4" w:space="0"/>
            </w:tcBorders>
            <w:vAlign w:val="center"/>
          </w:tcPr>
          <w:p w14:paraId="74113E09">
            <w:pPr>
              <w:widowControl/>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缴纳方式</w:t>
            </w:r>
          </w:p>
        </w:tc>
        <w:tc>
          <w:tcPr>
            <w:tcW w:w="2936" w:type="dxa"/>
            <w:tcBorders>
              <w:top w:val="nil"/>
              <w:left w:val="nil"/>
              <w:bottom w:val="single" w:color="auto" w:sz="4" w:space="0"/>
              <w:right w:val="single" w:color="auto" w:sz="4" w:space="0"/>
            </w:tcBorders>
            <w:vAlign w:val="center"/>
          </w:tcPr>
          <w:p w14:paraId="189167A9">
            <w:pPr>
              <w:widowControl/>
              <w:spacing w:line="360" w:lineRule="auto"/>
              <w:jc w:val="left"/>
              <w:rPr>
                <w:rFonts w:hint="eastAsia" w:ascii="仿宋" w:hAnsi="仿宋" w:eastAsia="仿宋" w:cs="仿宋"/>
                <w:color w:val="auto"/>
                <w:sz w:val="22"/>
                <w:szCs w:val="22"/>
                <w:highlight w:val="none"/>
              </w:rPr>
            </w:pPr>
          </w:p>
        </w:tc>
      </w:tr>
      <w:tr w14:paraId="045B862E">
        <w:tblPrEx>
          <w:tblCellMar>
            <w:top w:w="0" w:type="dxa"/>
            <w:left w:w="108" w:type="dxa"/>
            <w:bottom w:w="0" w:type="dxa"/>
            <w:right w:w="108" w:type="dxa"/>
          </w:tblCellMar>
        </w:tblPrEx>
        <w:trPr>
          <w:trHeight w:val="1080" w:hRule="atLeast"/>
          <w:jc w:val="center"/>
        </w:trPr>
        <w:tc>
          <w:tcPr>
            <w:tcW w:w="1511" w:type="dxa"/>
            <w:tcBorders>
              <w:top w:val="nil"/>
              <w:left w:val="single" w:color="auto" w:sz="4" w:space="0"/>
              <w:bottom w:val="single" w:color="auto" w:sz="4" w:space="0"/>
              <w:right w:val="single" w:color="auto" w:sz="4" w:space="0"/>
            </w:tcBorders>
            <w:vAlign w:val="center"/>
          </w:tcPr>
          <w:p w14:paraId="652834DE">
            <w:pPr>
              <w:widowControl/>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授权代表签字确认</w:t>
            </w:r>
          </w:p>
        </w:tc>
        <w:tc>
          <w:tcPr>
            <w:tcW w:w="3215" w:type="dxa"/>
            <w:tcBorders>
              <w:top w:val="nil"/>
              <w:left w:val="nil"/>
              <w:bottom w:val="single" w:color="auto" w:sz="4" w:space="0"/>
              <w:right w:val="single" w:color="auto" w:sz="4" w:space="0"/>
            </w:tcBorders>
            <w:vAlign w:val="center"/>
          </w:tcPr>
          <w:p w14:paraId="596080F5">
            <w:pPr>
              <w:widowControl/>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w:t>
            </w:r>
          </w:p>
        </w:tc>
        <w:tc>
          <w:tcPr>
            <w:tcW w:w="1475" w:type="dxa"/>
            <w:tcBorders>
              <w:top w:val="nil"/>
              <w:left w:val="nil"/>
              <w:bottom w:val="single" w:color="auto" w:sz="4" w:space="0"/>
              <w:right w:val="single" w:color="auto" w:sz="4" w:space="0"/>
            </w:tcBorders>
            <w:vAlign w:val="center"/>
          </w:tcPr>
          <w:p w14:paraId="0F9A19A1">
            <w:pPr>
              <w:widowControl/>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联系电话</w:t>
            </w:r>
          </w:p>
        </w:tc>
        <w:tc>
          <w:tcPr>
            <w:tcW w:w="2936" w:type="dxa"/>
            <w:tcBorders>
              <w:top w:val="nil"/>
              <w:left w:val="nil"/>
              <w:bottom w:val="single" w:color="auto" w:sz="4" w:space="0"/>
              <w:right w:val="single" w:color="auto" w:sz="4" w:space="0"/>
            </w:tcBorders>
            <w:vAlign w:val="center"/>
          </w:tcPr>
          <w:p w14:paraId="2B9499B3">
            <w:pPr>
              <w:widowControl/>
              <w:spacing w:line="360" w:lineRule="auto"/>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w:t>
            </w:r>
          </w:p>
        </w:tc>
      </w:tr>
      <w:tr w14:paraId="60900C83">
        <w:tblPrEx>
          <w:tblCellMar>
            <w:top w:w="0" w:type="dxa"/>
            <w:left w:w="108" w:type="dxa"/>
            <w:bottom w:w="0" w:type="dxa"/>
            <w:right w:w="108" w:type="dxa"/>
          </w:tblCellMar>
        </w:tblPrEx>
        <w:trPr>
          <w:trHeight w:val="583" w:hRule="atLeast"/>
          <w:jc w:val="center"/>
        </w:trPr>
        <w:tc>
          <w:tcPr>
            <w:tcW w:w="1511" w:type="dxa"/>
            <w:vAlign w:val="bottom"/>
          </w:tcPr>
          <w:p w14:paraId="47F9DFA8">
            <w:pPr>
              <w:widowControl/>
              <w:spacing w:line="360" w:lineRule="auto"/>
              <w:jc w:val="left"/>
              <w:rPr>
                <w:rFonts w:hint="eastAsia" w:ascii="仿宋" w:hAnsi="仿宋" w:eastAsia="仿宋" w:cs="仿宋"/>
                <w:color w:val="auto"/>
                <w:sz w:val="22"/>
                <w:szCs w:val="22"/>
                <w:highlight w:val="none"/>
              </w:rPr>
            </w:pPr>
          </w:p>
        </w:tc>
        <w:tc>
          <w:tcPr>
            <w:tcW w:w="3215" w:type="dxa"/>
            <w:vAlign w:val="bottom"/>
          </w:tcPr>
          <w:p w14:paraId="1567866D">
            <w:pPr>
              <w:widowControl/>
              <w:spacing w:line="360" w:lineRule="auto"/>
              <w:jc w:val="left"/>
              <w:rPr>
                <w:rFonts w:hint="eastAsia" w:ascii="仿宋" w:hAnsi="仿宋" w:eastAsia="仿宋" w:cs="仿宋"/>
                <w:color w:val="auto"/>
                <w:sz w:val="22"/>
                <w:szCs w:val="22"/>
                <w:highlight w:val="none"/>
              </w:rPr>
            </w:pPr>
          </w:p>
        </w:tc>
        <w:tc>
          <w:tcPr>
            <w:tcW w:w="4411" w:type="dxa"/>
            <w:gridSpan w:val="2"/>
            <w:tcBorders>
              <w:top w:val="single" w:color="auto" w:sz="4" w:space="0"/>
              <w:left w:val="nil"/>
              <w:bottom w:val="nil"/>
              <w:right w:val="nil"/>
            </w:tcBorders>
            <w:vAlign w:val="center"/>
          </w:tcPr>
          <w:p w14:paraId="63E814A2">
            <w:pPr>
              <w:widowControl/>
              <w:spacing w:line="360" w:lineRule="auto"/>
              <w:jc w:val="center"/>
              <w:rPr>
                <w:rFonts w:hint="eastAsia" w:ascii="仿宋" w:hAnsi="仿宋" w:eastAsia="仿宋" w:cs="仿宋"/>
                <w:color w:val="auto"/>
                <w:sz w:val="22"/>
                <w:szCs w:val="22"/>
                <w:highlight w:val="none"/>
              </w:rPr>
            </w:pPr>
          </w:p>
          <w:p w14:paraId="796A5305">
            <w:pPr>
              <w:widowControl/>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开标时间：    年   月    日</w:t>
            </w:r>
          </w:p>
        </w:tc>
      </w:tr>
      <w:tr w14:paraId="365ABA10">
        <w:tblPrEx>
          <w:tblCellMar>
            <w:top w:w="0" w:type="dxa"/>
            <w:left w:w="108" w:type="dxa"/>
            <w:bottom w:w="0" w:type="dxa"/>
            <w:right w:w="108" w:type="dxa"/>
          </w:tblCellMar>
        </w:tblPrEx>
        <w:trPr>
          <w:trHeight w:val="480" w:hRule="atLeast"/>
          <w:jc w:val="center"/>
        </w:trPr>
        <w:tc>
          <w:tcPr>
            <w:tcW w:w="9137" w:type="dxa"/>
            <w:gridSpan w:val="4"/>
            <w:vAlign w:val="center"/>
          </w:tcPr>
          <w:p w14:paraId="15260A72">
            <w:pPr>
              <w:widowControl/>
              <w:spacing w:line="360" w:lineRule="auto"/>
              <w:jc w:val="left"/>
              <w:rPr>
                <w:rFonts w:hint="eastAsia" w:ascii="仿宋" w:hAnsi="仿宋" w:eastAsia="仿宋" w:cs="仿宋"/>
                <w:color w:val="auto"/>
                <w:sz w:val="22"/>
                <w:szCs w:val="22"/>
                <w:highlight w:val="none"/>
              </w:rPr>
            </w:pPr>
          </w:p>
          <w:p w14:paraId="4FDC1274">
            <w:pPr>
              <w:widowControl/>
              <w:spacing w:line="360" w:lineRule="auto"/>
              <w:jc w:val="left"/>
              <w:rPr>
                <w:rFonts w:hint="eastAsia" w:ascii="仿宋" w:hAnsi="仿宋" w:eastAsia="仿宋" w:cs="仿宋"/>
                <w:color w:val="auto"/>
                <w:sz w:val="22"/>
                <w:szCs w:val="22"/>
                <w:highlight w:val="none"/>
              </w:rPr>
            </w:pPr>
          </w:p>
          <w:p w14:paraId="2F612B52">
            <w:pPr>
              <w:widowControl/>
              <w:spacing w:line="360" w:lineRule="auto"/>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说明：1、此表按规定格式逐项填写，开标当天递交此退付表（此表无需胶装至响应文件中）。未按要求提交和填写错误的，影响供应商保证金退付的，招标代理机构不承担任何责任，保证金退付问题请致电财务0531-82924425。</w:t>
            </w:r>
          </w:p>
        </w:tc>
      </w:tr>
    </w:tbl>
    <w:p w14:paraId="564344FF">
      <w:pPr>
        <w:pStyle w:val="5"/>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6E534AD6">
      <w:pPr>
        <w:rPr>
          <w:rFonts w:hint="eastAsia" w:ascii="仿宋" w:hAnsi="仿宋" w:eastAsia="仿宋" w:cs="仿宋"/>
          <w:color w:val="auto"/>
          <w:sz w:val="24"/>
          <w:highlight w:val="none"/>
        </w:rPr>
      </w:pPr>
      <w:bookmarkStart w:id="438" w:name="_Toc6945"/>
      <w:r>
        <w:rPr>
          <w:rFonts w:hint="eastAsia" w:ascii="仿宋" w:hAnsi="仿宋" w:eastAsia="仿宋" w:cs="仿宋"/>
          <w:color w:val="auto"/>
          <w:sz w:val="24"/>
          <w:highlight w:val="none"/>
          <w:lang w:val="en-US" w:eastAsia="zh-CN"/>
        </w:rPr>
        <w:t>21.</w:t>
      </w:r>
      <w:r>
        <w:rPr>
          <w:rFonts w:hint="eastAsia" w:ascii="仿宋" w:hAnsi="仿宋" w:eastAsia="仿宋" w:cs="仿宋"/>
          <w:color w:val="auto"/>
          <w:sz w:val="24"/>
          <w:highlight w:val="none"/>
        </w:rPr>
        <w:t>诚信承诺书：</w:t>
      </w:r>
    </w:p>
    <w:p w14:paraId="0C3945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名称）已详细阅读了项目（项目编号：）公开</w:t>
      </w:r>
      <w:r>
        <w:rPr>
          <w:rFonts w:hint="eastAsia" w:ascii="仿宋" w:hAnsi="仿宋" w:eastAsia="仿宋" w:cs="仿宋"/>
          <w:color w:val="auto"/>
          <w:sz w:val="24"/>
          <w:highlight w:val="none"/>
          <w:lang w:eastAsia="zh-CN"/>
        </w:rPr>
        <w:t>磋商文件</w:t>
      </w:r>
      <w:r>
        <w:rPr>
          <w:rFonts w:hint="eastAsia" w:ascii="仿宋" w:hAnsi="仿宋" w:eastAsia="仿宋" w:cs="仿宋"/>
          <w:color w:val="auto"/>
          <w:sz w:val="24"/>
          <w:highlight w:val="none"/>
        </w:rPr>
        <w:t>，自愿参加本次投标，现就有关事项做出郑重承诺如下：</w:t>
      </w:r>
    </w:p>
    <w:p w14:paraId="02BF5C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一、诚信投标，材料真实。我公司保证不出借或者借用其他企业资质，不以他人名义投标，不弄虚作假；</w:t>
      </w:r>
    </w:p>
    <w:p w14:paraId="775C4F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二、遵纪守法，公平竞争。不与其他供应商相互串通、哄抬价格，不排挤其他供应商，不损害采购人的合法权益；不向评标委员会、采购人及招标代理机构提供利益以牟取中标。</w:t>
      </w:r>
    </w:p>
    <w:p w14:paraId="56B7F3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三、我公司承诺</w:t>
      </w:r>
      <w:r>
        <w:rPr>
          <w:rFonts w:hint="eastAsia" w:ascii="仿宋" w:hAnsi="仿宋" w:eastAsia="仿宋" w:cs="仿宋"/>
          <w:color w:val="auto"/>
          <w:sz w:val="24"/>
          <w:highlight w:val="none"/>
          <w:lang w:eastAsia="zh-CN"/>
        </w:rPr>
        <w:t>响应文件</w:t>
      </w:r>
      <w:r>
        <w:rPr>
          <w:rFonts w:hint="eastAsia" w:ascii="仿宋" w:hAnsi="仿宋" w:eastAsia="仿宋" w:cs="仿宋"/>
          <w:color w:val="auto"/>
          <w:sz w:val="24"/>
          <w:highlight w:val="none"/>
        </w:rPr>
        <w:t>所有内容均真实、有效、无误。若中标，我公司保证自中标通知书发出之日起30日内按照公开</w:t>
      </w:r>
      <w:r>
        <w:rPr>
          <w:rFonts w:hint="eastAsia" w:ascii="仿宋" w:hAnsi="仿宋" w:eastAsia="仿宋" w:cs="仿宋"/>
          <w:color w:val="auto"/>
          <w:sz w:val="24"/>
          <w:highlight w:val="none"/>
          <w:lang w:eastAsia="zh-CN"/>
        </w:rPr>
        <w:t>磋商文件</w:t>
      </w:r>
      <w:r>
        <w:rPr>
          <w:rFonts w:hint="eastAsia" w:ascii="仿宋" w:hAnsi="仿宋" w:eastAsia="仿宋" w:cs="仿宋"/>
          <w:color w:val="auto"/>
          <w:sz w:val="24"/>
          <w:highlight w:val="none"/>
        </w:rPr>
        <w:t>确定的事项和</w:t>
      </w:r>
      <w:r>
        <w:rPr>
          <w:rFonts w:hint="eastAsia" w:ascii="仿宋" w:hAnsi="仿宋" w:eastAsia="仿宋" w:cs="仿宋"/>
          <w:color w:val="auto"/>
          <w:sz w:val="24"/>
          <w:highlight w:val="none"/>
          <w:lang w:eastAsia="zh-CN"/>
        </w:rPr>
        <w:t>响应文件</w:t>
      </w:r>
      <w:r>
        <w:rPr>
          <w:rFonts w:hint="eastAsia" w:ascii="仿宋" w:hAnsi="仿宋" w:eastAsia="仿宋" w:cs="仿宋"/>
          <w:color w:val="auto"/>
          <w:sz w:val="24"/>
          <w:highlight w:val="none"/>
        </w:rPr>
        <w:t>内容与采购人及外贸代理公司（进口货物）签订合同或施工协议（工程类），不提出任何变更。否则</w:t>
      </w:r>
      <w:r>
        <w:rPr>
          <w:rFonts w:hint="eastAsia" w:ascii="仿宋" w:hAnsi="仿宋" w:eastAsia="仿宋" w:cs="仿宋"/>
          <w:color w:val="auto"/>
          <w:sz w:val="24"/>
          <w:highlight w:val="none"/>
          <w:lang w:eastAsia="zh-CN"/>
        </w:rPr>
        <w:t>采购人</w:t>
      </w:r>
      <w:r>
        <w:rPr>
          <w:rFonts w:hint="eastAsia" w:ascii="仿宋" w:hAnsi="仿宋" w:eastAsia="仿宋" w:cs="仿宋"/>
          <w:color w:val="auto"/>
          <w:sz w:val="24"/>
          <w:highlight w:val="none"/>
        </w:rPr>
        <w:t>有权做废标处理，我公司无条件同意废标，由此所产生的一切后果由我公司自行承担，给采购人造成损失的，依法承担赔偿责任。</w:t>
      </w:r>
    </w:p>
    <w:p w14:paraId="28AC8A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四、如我方的</w:t>
      </w:r>
      <w:r>
        <w:rPr>
          <w:rFonts w:hint="eastAsia" w:ascii="仿宋" w:hAnsi="仿宋" w:eastAsia="仿宋" w:cs="仿宋"/>
          <w:color w:val="auto"/>
          <w:sz w:val="24"/>
          <w:highlight w:val="none"/>
          <w:lang w:eastAsia="zh-CN"/>
        </w:rPr>
        <w:t>响应文件</w:t>
      </w:r>
      <w:r>
        <w:rPr>
          <w:rFonts w:hint="eastAsia" w:ascii="仿宋" w:hAnsi="仿宋" w:eastAsia="仿宋" w:cs="仿宋"/>
          <w:color w:val="auto"/>
          <w:sz w:val="24"/>
          <w:highlight w:val="none"/>
        </w:rPr>
        <w:t>和合同中的技术参数如与供货产品不符且无法达到，采购人有权解除合同，我方同意按合同总金额30％支付违约金。</w:t>
      </w:r>
    </w:p>
    <w:p w14:paraId="7BB18E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五、我公司承诺严格履行政府采购合同，不降低合同约定的产品质量和服务，不擅自变更、中止、终止合同，或者拒绝履行合同义务, 否则</w:t>
      </w:r>
      <w:r>
        <w:rPr>
          <w:rFonts w:hint="eastAsia" w:ascii="仿宋" w:hAnsi="仿宋" w:eastAsia="仿宋" w:cs="仿宋"/>
          <w:color w:val="auto"/>
          <w:sz w:val="24"/>
          <w:highlight w:val="none"/>
          <w:lang w:eastAsia="zh-CN"/>
        </w:rPr>
        <w:t>采购人</w:t>
      </w:r>
      <w:r>
        <w:rPr>
          <w:rFonts w:hint="eastAsia" w:ascii="仿宋" w:hAnsi="仿宋" w:eastAsia="仿宋" w:cs="仿宋"/>
          <w:color w:val="auto"/>
          <w:sz w:val="24"/>
          <w:highlight w:val="none"/>
        </w:rPr>
        <w:t>有权解除合同，我公司无条件同意采购人决定，由此所产生的一切后果由我公司自行承担, 给采购人造成损失的，依法承担赔偿责任。</w:t>
      </w:r>
    </w:p>
    <w:p w14:paraId="4B3C6A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六、我公司承诺不拖欠本项目相关人员的工资劳务；不拖欠设备、原材料生产厂家的货款。如有拖欠，我公司负全责，与</w:t>
      </w:r>
      <w:r>
        <w:rPr>
          <w:rFonts w:hint="eastAsia" w:ascii="仿宋" w:hAnsi="仿宋" w:eastAsia="仿宋" w:cs="仿宋"/>
          <w:color w:val="auto"/>
          <w:sz w:val="24"/>
          <w:highlight w:val="none"/>
          <w:lang w:eastAsia="zh-CN"/>
        </w:rPr>
        <w:t>采购人</w:t>
      </w:r>
      <w:r>
        <w:rPr>
          <w:rFonts w:hint="eastAsia" w:ascii="仿宋" w:hAnsi="仿宋" w:eastAsia="仿宋" w:cs="仿宋"/>
          <w:color w:val="auto"/>
          <w:sz w:val="24"/>
          <w:highlight w:val="none"/>
        </w:rPr>
        <w:t>无关。</w:t>
      </w:r>
    </w:p>
    <w:p w14:paraId="4308AB1C">
      <w:pPr>
        <w:rPr>
          <w:rFonts w:hint="eastAsia" w:ascii="仿宋" w:hAnsi="仿宋" w:eastAsia="仿宋" w:cs="仿宋"/>
          <w:color w:val="auto"/>
          <w:sz w:val="24"/>
          <w:highlight w:val="none"/>
        </w:rPr>
      </w:pPr>
    </w:p>
    <w:p w14:paraId="4886D44C">
      <w:pPr>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供应商 (公章)：</w:t>
      </w:r>
    </w:p>
    <w:p w14:paraId="58D45D5A">
      <w:pPr>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法定代表人（签字）：</w:t>
      </w:r>
    </w:p>
    <w:p w14:paraId="78F4B739">
      <w:pPr>
        <w:rPr>
          <w:rFonts w:hint="eastAsia" w:ascii="仿宋" w:hAnsi="仿宋" w:eastAsia="仿宋" w:cs="仿宋"/>
          <w:color w:val="auto"/>
          <w:sz w:val="24"/>
          <w:highlight w:val="none"/>
        </w:rPr>
      </w:pPr>
    </w:p>
    <w:p w14:paraId="21116009">
      <w:pPr>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年    月   日</w:t>
      </w:r>
    </w:p>
    <w:p w14:paraId="38876383">
      <w:pPr>
        <w:rPr>
          <w:rFonts w:hint="eastAsia" w:ascii="仿宋" w:hAnsi="仿宋" w:eastAsia="仿宋" w:cs="仿宋"/>
          <w:color w:val="auto"/>
          <w:sz w:val="24"/>
          <w:highlight w:val="none"/>
          <w:lang w:val="en-US" w:eastAsia="zh-CN"/>
        </w:rPr>
      </w:pPr>
    </w:p>
    <w:p w14:paraId="789670F7">
      <w:pPr>
        <w:rPr>
          <w:rFonts w:hint="eastAsia" w:ascii="仿宋" w:hAnsi="仿宋" w:eastAsia="仿宋" w:cs="仿宋"/>
          <w:color w:val="auto"/>
          <w:sz w:val="24"/>
          <w:highlight w:val="none"/>
          <w:lang w:val="en-US" w:eastAsia="zh-CN"/>
        </w:rPr>
      </w:pPr>
    </w:p>
    <w:p w14:paraId="56B0D5A6">
      <w:pPr>
        <w:rPr>
          <w:rFonts w:hint="eastAsia" w:ascii="仿宋" w:hAnsi="仿宋" w:eastAsia="仿宋" w:cs="仿宋"/>
          <w:color w:val="auto"/>
          <w:sz w:val="24"/>
          <w:highlight w:val="none"/>
          <w:lang w:val="en-US" w:eastAsia="zh-CN"/>
        </w:rPr>
      </w:pPr>
    </w:p>
    <w:p w14:paraId="284F7AF1">
      <w:pPr>
        <w:rPr>
          <w:rFonts w:hint="eastAsia" w:ascii="仿宋" w:hAnsi="仿宋" w:eastAsia="仿宋" w:cs="仿宋"/>
          <w:color w:val="auto"/>
          <w:sz w:val="24"/>
          <w:highlight w:val="none"/>
          <w:lang w:val="en-US" w:eastAsia="zh-CN"/>
        </w:rPr>
      </w:pPr>
    </w:p>
    <w:p w14:paraId="268548A9">
      <w:pP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br w:type="page"/>
      </w:r>
    </w:p>
    <w:p w14:paraId="5216185D">
      <w:pPr>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22.投标</w:t>
      </w:r>
      <w:r>
        <w:rPr>
          <w:rFonts w:hint="eastAsia" w:ascii="仿宋" w:hAnsi="仿宋" w:eastAsia="仿宋" w:cs="仿宋"/>
          <w:color w:val="auto"/>
          <w:sz w:val="24"/>
          <w:highlight w:val="none"/>
        </w:rPr>
        <w:t>供应商反商业贿赂承诺书</w:t>
      </w:r>
    </w:p>
    <w:p w14:paraId="6145796A">
      <w:pPr>
        <w:rPr>
          <w:rFonts w:hint="default" w:ascii="仿宋" w:hAnsi="仿宋" w:eastAsia="仿宋" w:cs="仿宋"/>
          <w:color w:val="auto"/>
          <w:sz w:val="24"/>
          <w:highlight w:val="none"/>
          <w:lang w:val="en-US" w:eastAsia="zh-CN"/>
        </w:rPr>
      </w:pPr>
    </w:p>
    <w:p w14:paraId="59C7EEE2">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投标</w:t>
      </w:r>
      <w:r>
        <w:rPr>
          <w:rFonts w:hint="eastAsia" w:ascii="仿宋" w:hAnsi="仿宋" w:eastAsia="仿宋" w:cs="仿宋"/>
          <w:color w:val="auto"/>
          <w:sz w:val="24"/>
          <w:highlight w:val="none"/>
        </w:rPr>
        <w:t>供应商反商业贿赂承诺书</w:t>
      </w:r>
    </w:p>
    <w:p w14:paraId="643A38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为贯彻落实中央和省市关于治理商业贿赂的有关精神，进一步净化政府采购市场、规范政府采购行为，共同维护和营造竞争有序的政府采购市场，我们作为参加政府采购的供应商就反商业贿赂向社会郑重承诺：</w:t>
      </w:r>
    </w:p>
    <w:p w14:paraId="110329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一、认真学习并遵守国家相关的法律、法规及社会公德，树立质量为本的理念，诚实守信，依法参与政府采购活动，</w:t>
      </w:r>
      <w:r>
        <w:rPr>
          <w:rFonts w:hint="eastAsia" w:ascii="仿宋" w:hAnsi="仿宋" w:eastAsia="仿宋" w:cs="仿宋"/>
          <w:color w:val="auto"/>
          <w:sz w:val="24"/>
          <w:highlight w:val="none"/>
          <w:lang w:val="en-US" w:eastAsia="zh-CN"/>
        </w:rPr>
        <w:t>坚决杜绝</w:t>
      </w:r>
      <w:r>
        <w:rPr>
          <w:rFonts w:hint="eastAsia" w:ascii="仿宋" w:hAnsi="仿宋" w:eastAsia="仿宋" w:cs="仿宋"/>
          <w:color w:val="auto"/>
          <w:sz w:val="24"/>
          <w:highlight w:val="none"/>
        </w:rPr>
        <w:t>不正当交易行为。</w:t>
      </w:r>
    </w:p>
    <w:p w14:paraId="7D8F75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二、在政府采购活动中，自觉遵守政府采购的法律法规，依法依规进行政府采购项目</w:t>
      </w:r>
      <w:r>
        <w:rPr>
          <w:rFonts w:hint="eastAsia" w:ascii="仿宋" w:hAnsi="仿宋" w:eastAsia="仿宋" w:cs="仿宋"/>
          <w:color w:val="auto"/>
          <w:sz w:val="24"/>
          <w:highlight w:val="none"/>
          <w:lang w:val="en-US" w:eastAsia="zh-CN"/>
        </w:rPr>
        <w:t>的</w:t>
      </w:r>
      <w:r>
        <w:rPr>
          <w:rFonts w:hint="eastAsia" w:ascii="仿宋" w:hAnsi="仿宋" w:eastAsia="仿宋" w:cs="仿宋"/>
          <w:color w:val="auto"/>
          <w:sz w:val="24"/>
          <w:highlight w:val="none"/>
        </w:rPr>
        <w:t>投标及公平交易</w:t>
      </w:r>
      <w:r>
        <w:rPr>
          <w:rFonts w:hint="eastAsia" w:ascii="仿宋" w:hAnsi="仿宋" w:eastAsia="仿宋" w:cs="仿宋"/>
          <w:color w:val="auto"/>
          <w:sz w:val="24"/>
          <w:highlight w:val="none"/>
          <w:lang w:val="en-US" w:eastAsia="zh-CN"/>
        </w:rPr>
        <w:t>行为</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树</w:t>
      </w:r>
      <w:r>
        <w:rPr>
          <w:rFonts w:hint="eastAsia" w:ascii="仿宋" w:hAnsi="仿宋" w:eastAsia="仿宋" w:cs="仿宋"/>
          <w:color w:val="auto"/>
          <w:sz w:val="24"/>
          <w:highlight w:val="none"/>
        </w:rPr>
        <w:t>立投标诚信、价格诚信、合同诚信、履约诚信、服务诚信等</w:t>
      </w:r>
      <w:r>
        <w:rPr>
          <w:rFonts w:hint="eastAsia" w:ascii="仿宋" w:hAnsi="仿宋" w:eastAsia="仿宋" w:cs="仿宋"/>
          <w:color w:val="auto"/>
          <w:sz w:val="24"/>
          <w:highlight w:val="none"/>
          <w:lang w:val="en-US" w:eastAsia="zh-CN"/>
        </w:rPr>
        <w:t>企业</w:t>
      </w:r>
      <w:r>
        <w:rPr>
          <w:rFonts w:hint="eastAsia" w:ascii="仿宋" w:hAnsi="仿宋" w:eastAsia="仿宋" w:cs="仿宋"/>
          <w:color w:val="auto"/>
          <w:sz w:val="24"/>
          <w:highlight w:val="none"/>
        </w:rPr>
        <w:t>诚信体系。</w:t>
      </w:r>
    </w:p>
    <w:p w14:paraId="5E5751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三、</w:t>
      </w:r>
      <w:r>
        <w:rPr>
          <w:rFonts w:hint="eastAsia" w:ascii="仿宋" w:hAnsi="仿宋" w:eastAsia="仿宋" w:cs="仿宋"/>
          <w:color w:val="auto"/>
          <w:sz w:val="24"/>
          <w:highlight w:val="none"/>
          <w:lang w:val="en-US" w:eastAsia="zh-CN"/>
        </w:rPr>
        <w:t>杜绝</w:t>
      </w:r>
      <w:r>
        <w:rPr>
          <w:rFonts w:hint="eastAsia" w:ascii="仿宋" w:hAnsi="仿宋" w:eastAsia="仿宋" w:cs="仿宋"/>
          <w:color w:val="auto"/>
          <w:sz w:val="24"/>
          <w:highlight w:val="none"/>
        </w:rPr>
        <w:t>弄虚作假，骗取政府采购供应商资格；</w:t>
      </w:r>
      <w:r>
        <w:rPr>
          <w:rFonts w:hint="eastAsia" w:ascii="仿宋" w:hAnsi="仿宋" w:eastAsia="仿宋" w:cs="仿宋"/>
          <w:color w:val="auto"/>
          <w:sz w:val="24"/>
          <w:highlight w:val="none"/>
          <w:lang w:val="en-US" w:eastAsia="zh-CN"/>
        </w:rPr>
        <w:t>杜绝</w:t>
      </w:r>
      <w:r>
        <w:rPr>
          <w:rFonts w:hint="eastAsia" w:ascii="仿宋" w:hAnsi="仿宋" w:eastAsia="仿宋" w:cs="仿宋"/>
          <w:color w:val="auto"/>
          <w:sz w:val="24"/>
          <w:highlight w:val="none"/>
        </w:rPr>
        <w:t>提供虚假资质文件谋取中标或成交；</w:t>
      </w:r>
      <w:r>
        <w:rPr>
          <w:rFonts w:hint="eastAsia" w:ascii="仿宋" w:hAnsi="仿宋" w:eastAsia="仿宋" w:cs="仿宋"/>
          <w:color w:val="auto"/>
          <w:sz w:val="24"/>
          <w:highlight w:val="none"/>
          <w:lang w:val="en-US" w:eastAsia="zh-CN"/>
        </w:rPr>
        <w:t>杜绝</w:t>
      </w:r>
      <w:r>
        <w:rPr>
          <w:rFonts w:hint="eastAsia" w:ascii="仿宋" w:hAnsi="仿宋" w:eastAsia="仿宋" w:cs="仿宋"/>
          <w:color w:val="auto"/>
          <w:sz w:val="24"/>
          <w:highlight w:val="none"/>
        </w:rPr>
        <w:t>出</w:t>
      </w:r>
      <w:r>
        <w:rPr>
          <w:rFonts w:hint="eastAsia" w:ascii="仿宋" w:hAnsi="仿宋" w:eastAsia="仿宋" w:cs="仿宋"/>
          <w:color w:val="auto"/>
          <w:sz w:val="24"/>
          <w:highlight w:val="none"/>
          <w:lang w:val="en-US" w:eastAsia="zh-CN"/>
        </w:rPr>
        <w:t>借</w:t>
      </w:r>
      <w:r>
        <w:rPr>
          <w:rFonts w:hint="eastAsia" w:ascii="仿宋" w:hAnsi="仿宋" w:eastAsia="仿宋" w:cs="仿宋"/>
          <w:color w:val="auto"/>
          <w:sz w:val="24"/>
          <w:highlight w:val="none"/>
        </w:rPr>
        <w:t>、转让、出卖资质（资格）证书；</w:t>
      </w:r>
      <w:r>
        <w:rPr>
          <w:rFonts w:hint="eastAsia" w:ascii="仿宋" w:hAnsi="仿宋" w:eastAsia="仿宋" w:cs="仿宋"/>
          <w:color w:val="auto"/>
          <w:sz w:val="24"/>
          <w:highlight w:val="none"/>
          <w:lang w:val="en-US" w:eastAsia="zh-CN"/>
        </w:rPr>
        <w:t>杜绝</w:t>
      </w:r>
      <w:r>
        <w:rPr>
          <w:rFonts w:hint="eastAsia" w:ascii="仿宋" w:hAnsi="仿宋" w:eastAsia="仿宋" w:cs="仿宋"/>
          <w:color w:val="auto"/>
          <w:sz w:val="24"/>
          <w:highlight w:val="none"/>
        </w:rPr>
        <w:t>他人以本企业名义承接或承揽政府采购业务。</w:t>
      </w:r>
    </w:p>
    <w:p w14:paraId="2DC03D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四、</w:t>
      </w:r>
      <w:r>
        <w:rPr>
          <w:rFonts w:hint="eastAsia" w:ascii="仿宋" w:hAnsi="仿宋" w:eastAsia="仿宋" w:cs="仿宋"/>
          <w:color w:val="auto"/>
          <w:sz w:val="24"/>
          <w:highlight w:val="none"/>
          <w:lang w:val="en-US" w:eastAsia="zh-CN"/>
        </w:rPr>
        <w:t>杜绝</w:t>
      </w:r>
      <w:r>
        <w:rPr>
          <w:rFonts w:hint="eastAsia" w:ascii="仿宋" w:hAnsi="仿宋" w:eastAsia="仿宋" w:cs="仿宋"/>
          <w:color w:val="auto"/>
          <w:sz w:val="24"/>
          <w:highlight w:val="none"/>
        </w:rPr>
        <w:t>采取</w:t>
      </w:r>
      <w:r>
        <w:rPr>
          <w:rFonts w:hint="eastAsia" w:ascii="仿宋" w:hAnsi="仿宋" w:eastAsia="仿宋" w:cs="仿宋"/>
          <w:color w:val="auto"/>
          <w:sz w:val="24"/>
          <w:highlight w:val="none"/>
          <w:lang w:val="en-US" w:eastAsia="zh-CN"/>
        </w:rPr>
        <w:t>或参与</w:t>
      </w:r>
      <w:r>
        <w:rPr>
          <w:rFonts w:hint="eastAsia" w:ascii="仿宋" w:hAnsi="仿宋" w:eastAsia="仿宋" w:cs="仿宋"/>
          <w:color w:val="auto"/>
          <w:sz w:val="24"/>
          <w:highlight w:val="none"/>
        </w:rPr>
        <w:t>“围标、陪标</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串标</w:t>
      </w:r>
      <w:r>
        <w:rPr>
          <w:rFonts w:hint="eastAsia" w:ascii="仿宋" w:hAnsi="仿宋" w:eastAsia="仿宋" w:cs="仿宋"/>
          <w:color w:val="auto"/>
          <w:sz w:val="24"/>
          <w:highlight w:val="none"/>
        </w:rPr>
        <w:t>”等</w:t>
      </w:r>
      <w:r>
        <w:rPr>
          <w:rFonts w:hint="eastAsia" w:ascii="仿宋" w:hAnsi="仿宋" w:eastAsia="仿宋" w:cs="仿宋"/>
          <w:color w:val="auto"/>
          <w:sz w:val="24"/>
          <w:highlight w:val="none"/>
          <w:lang w:val="en-US" w:eastAsia="zh-CN"/>
        </w:rPr>
        <w:t>违法行为</w:t>
      </w:r>
      <w:r>
        <w:rPr>
          <w:rFonts w:hint="eastAsia" w:ascii="仿宋" w:hAnsi="仿宋" w:eastAsia="仿宋" w:cs="仿宋"/>
          <w:color w:val="auto"/>
          <w:sz w:val="24"/>
          <w:highlight w:val="none"/>
        </w:rPr>
        <w:t>获得政府采购订单；</w:t>
      </w:r>
      <w:r>
        <w:rPr>
          <w:rFonts w:hint="eastAsia" w:ascii="仿宋" w:hAnsi="仿宋" w:eastAsia="仿宋" w:cs="仿宋"/>
          <w:color w:val="auto"/>
          <w:sz w:val="24"/>
          <w:highlight w:val="none"/>
          <w:lang w:val="en-US" w:eastAsia="zh-CN"/>
        </w:rPr>
        <w:t>杜绝</w:t>
      </w:r>
      <w:r>
        <w:rPr>
          <w:rFonts w:hint="eastAsia" w:ascii="仿宋" w:hAnsi="仿宋" w:eastAsia="仿宋" w:cs="仿宋"/>
          <w:color w:val="auto"/>
          <w:sz w:val="24"/>
          <w:highlight w:val="none"/>
        </w:rPr>
        <w:t>采取不正当手段诋毁、排挤其他供应商参与竞争。</w:t>
      </w:r>
    </w:p>
    <w:p w14:paraId="49E7485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五、在政府采购活动中，</w:t>
      </w:r>
      <w:r>
        <w:rPr>
          <w:rFonts w:hint="eastAsia" w:ascii="仿宋" w:hAnsi="仿宋" w:eastAsia="仿宋" w:cs="仿宋"/>
          <w:color w:val="auto"/>
          <w:sz w:val="24"/>
          <w:highlight w:val="none"/>
          <w:lang w:val="en-US" w:eastAsia="zh-CN"/>
        </w:rPr>
        <w:t>承诺</w:t>
      </w:r>
      <w:r>
        <w:rPr>
          <w:rFonts w:hint="eastAsia" w:ascii="仿宋" w:hAnsi="仿宋" w:eastAsia="仿宋" w:cs="仿宋"/>
          <w:color w:val="auto"/>
          <w:sz w:val="24"/>
          <w:highlight w:val="none"/>
        </w:rPr>
        <w:t>不与采购人、采购代理机构及其工作人员和其他供应商串通，损害国家利益、社会公共利益和其他相关人的合法权益。</w:t>
      </w:r>
    </w:p>
    <w:p w14:paraId="6E1FD6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六、</w:t>
      </w:r>
      <w:r>
        <w:rPr>
          <w:rFonts w:hint="eastAsia" w:ascii="仿宋" w:hAnsi="仿宋" w:eastAsia="仿宋" w:cs="仿宋"/>
          <w:color w:val="auto"/>
          <w:sz w:val="24"/>
          <w:highlight w:val="none"/>
          <w:lang w:val="en-US" w:eastAsia="zh-CN"/>
        </w:rPr>
        <w:t>杜绝</w:t>
      </w:r>
      <w:r>
        <w:rPr>
          <w:rFonts w:hint="eastAsia" w:ascii="仿宋" w:hAnsi="仿宋" w:eastAsia="仿宋" w:cs="仿宋"/>
          <w:color w:val="auto"/>
          <w:sz w:val="24"/>
          <w:highlight w:val="none"/>
        </w:rPr>
        <w:t>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14:paraId="6915B7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七、按规定与采购人签订政府采购合同，并严格按合同履约，为采购人提供符合质量标准规定的货物、工程和服务，不销售</w:t>
      </w:r>
      <w:r>
        <w:rPr>
          <w:rFonts w:hint="eastAsia" w:ascii="仿宋" w:hAnsi="仿宋" w:eastAsia="仿宋" w:cs="仿宋"/>
          <w:color w:val="auto"/>
          <w:sz w:val="24"/>
          <w:highlight w:val="none"/>
          <w:lang w:val="en-US" w:eastAsia="zh-CN"/>
        </w:rPr>
        <w:t>假冒</w:t>
      </w:r>
      <w:r>
        <w:rPr>
          <w:rFonts w:hint="eastAsia" w:ascii="仿宋" w:hAnsi="仿宋" w:eastAsia="仿宋" w:cs="仿宋"/>
          <w:color w:val="auto"/>
          <w:sz w:val="24"/>
          <w:highlight w:val="none"/>
        </w:rPr>
        <w:t>、走私货物；不擅自变更或终止、转让、转包政府采购合同；主动配合政府采购项目的验收工作。</w:t>
      </w:r>
    </w:p>
    <w:p w14:paraId="6E2F910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八、自觉接受政府采购监管部门的监督管理，积极配合检查和调查，并如实反映情况和提供材料。</w:t>
      </w:r>
    </w:p>
    <w:p w14:paraId="7BA1D58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我们将严格遵守上述承诺事项，自愿接受主管（监管）部门和社会各方面的监督， 如有违反，自愿接受执法执纪机关和监督管理部门的处理。</w:t>
      </w:r>
    </w:p>
    <w:p w14:paraId="0E4283ED">
      <w:pPr>
        <w:rPr>
          <w:rFonts w:hint="eastAsia" w:ascii="仿宋" w:hAnsi="仿宋" w:eastAsia="仿宋" w:cs="仿宋"/>
          <w:color w:val="auto"/>
          <w:sz w:val="24"/>
          <w:highlight w:val="none"/>
        </w:rPr>
      </w:pPr>
      <w:r>
        <w:rPr>
          <w:rFonts w:hint="eastAsia" w:ascii="仿宋" w:hAnsi="仿宋" w:eastAsia="仿宋" w:cs="仿宋"/>
          <w:color w:val="auto"/>
          <w:sz w:val="24"/>
          <w:highlight w:val="none"/>
        </w:rPr>
        <w:t>承诺单位（公章）：</w:t>
      </w:r>
    </w:p>
    <w:p w14:paraId="72E2A90A">
      <w:pPr>
        <w:rPr>
          <w:rFonts w:hint="default" w:ascii="华文细黑" w:hAnsi="华文细黑" w:eastAsia="华文细黑" w:cs="华文细黑"/>
          <w:sz w:val="30"/>
          <w:szCs w:val="30"/>
          <w:highlight w:val="none"/>
          <w:lang w:val="en-US" w:eastAsia="zh-CN"/>
        </w:rPr>
      </w:pPr>
      <w:r>
        <w:rPr>
          <w:rFonts w:hint="eastAsia" w:ascii="仿宋" w:hAnsi="仿宋" w:eastAsia="仿宋" w:cs="仿宋"/>
          <w:color w:val="auto"/>
          <w:sz w:val="24"/>
          <w:highlight w:val="none"/>
        </w:rPr>
        <w:t>法定代表人或委托代理人：</w:t>
      </w:r>
      <w:r>
        <w:rPr>
          <w:rFonts w:hint="eastAsia" w:ascii="仿宋" w:hAnsi="仿宋" w:eastAsia="仿宋" w:cs="仿宋"/>
          <w:color w:val="auto"/>
          <w:sz w:val="24"/>
          <w:highlight w:val="none"/>
          <w:lang w:val="en-US" w:eastAsia="zh-CN"/>
        </w:rPr>
        <w:t xml:space="preserve">                         </w:t>
      </w:r>
      <w:r>
        <w:rPr>
          <w:highlight w:val="none"/>
        </w:rPr>
        <w:t>年</w:t>
      </w:r>
      <w:r>
        <w:rPr>
          <w:highlight w:val="none"/>
        </w:rPr>
        <w:tab/>
      </w:r>
      <w:r>
        <w:rPr>
          <w:rFonts w:hint="eastAsia"/>
          <w:highlight w:val="none"/>
          <w:lang w:val="en-US" w:eastAsia="zh-CN"/>
        </w:rPr>
        <w:t xml:space="preserve">  </w:t>
      </w:r>
      <w:r>
        <w:rPr>
          <w:highlight w:val="none"/>
        </w:rPr>
        <w:t>月</w:t>
      </w:r>
      <w:r>
        <w:rPr>
          <w:rFonts w:hint="eastAsia"/>
          <w:highlight w:val="none"/>
          <w:lang w:val="en-US" w:eastAsia="zh-CN"/>
        </w:rPr>
        <w:t xml:space="preserve">   </w:t>
      </w:r>
      <w:r>
        <w:rPr>
          <w:highlight w:val="none"/>
        </w:rPr>
        <w:t>日</w:t>
      </w:r>
    </w:p>
    <w:p w14:paraId="1FB49CAE">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32C4FE94">
      <w:pPr>
        <w:pStyle w:val="2"/>
        <w:tabs>
          <w:tab w:val="left" w:pos="0"/>
          <w:tab w:val="left" w:pos="2850"/>
        </w:tabs>
        <w:spacing w:before="0" w:after="0" w:line="240" w:lineRule="atLeast"/>
        <w:rPr>
          <w:rFonts w:hint="eastAsia" w:ascii="仿宋" w:hAnsi="仿宋" w:eastAsia="仿宋" w:cs="仿宋"/>
          <w:color w:val="auto"/>
          <w:highlight w:val="none"/>
        </w:rPr>
      </w:pPr>
      <w:r>
        <w:rPr>
          <w:rFonts w:hint="eastAsia" w:ascii="仿宋" w:hAnsi="仿宋" w:eastAsia="仿宋" w:cs="仿宋"/>
          <w:color w:val="auto"/>
          <w:highlight w:val="none"/>
        </w:rPr>
        <w:t>第7章  政府采购合同格式</w:t>
      </w:r>
      <w:bookmarkEnd w:id="438"/>
    </w:p>
    <w:p w14:paraId="6DB59432">
      <w:pPr>
        <w:spacing w:line="240" w:lineRule="atLeast"/>
        <w:ind w:left="1080" w:leftChars="257" w:hanging="54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（此合同仅供参考。以最终采购人与成交供应商签订的合同条款为准进行公示，最终签订合同的主要条款不能与竞争性磋商文件冲突）</w:t>
      </w:r>
    </w:p>
    <w:p w14:paraId="68A57E71">
      <w:pPr>
        <w:spacing w:line="240" w:lineRule="atLeast"/>
        <w:ind w:left="1080" w:leftChars="257" w:hanging="540"/>
        <w:jc w:val="center"/>
        <w:rPr>
          <w:rFonts w:hint="eastAsia" w:ascii="仿宋" w:hAnsi="仿宋" w:eastAsia="仿宋" w:cs="仿宋"/>
          <w:color w:val="auto"/>
          <w:szCs w:val="21"/>
          <w:highlight w:val="none"/>
        </w:rPr>
      </w:pPr>
    </w:p>
    <w:p w14:paraId="04004B4A">
      <w:pPr>
        <w:spacing w:line="360" w:lineRule="auto"/>
        <w:jc w:val="center"/>
        <w:rPr>
          <w:rFonts w:hint="eastAsia" w:ascii="仿宋" w:hAnsi="仿宋" w:eastAsia="仿宋" w:cs="仿宋"/>
          <w:color w:val="auto"/>
          <w:sz w:val="44"/>
          <w:szCs w:val="44"/>
          <w:highlight w:val="none"/>
        </w:rPr>
      </w:pPr>
    </w:p>
    <w:p w14:paraId="6CDD6DB6">
      <w:pPr>
        <w:spacing w:line="360" w:lineRule="auto"/>
        <w:jc w:val="center"/>
        <w:rPr>
          <w:rFonts w:hint="eastAsia" w:ascii="仿宋" w:hAnsi="仿宋" w:eastAsia="仿宋" w:cs="仿宋"/>
          <w:color w:val="auto"/>
          <w:sz w:val="44"/>
          <w:szCs w:val="44"/>
          <w:highlight w:val="none"/>
        </w:rPr>
      </w:pPr>
      <w:r>
        <w:rPr>
          <w:rFonts w:hint="eastAsia" w:ascii="仿宋" w:hAnsi="仿宋" w:eastAsia="仿宋" w:cs="仿宋"/>
          <w:color w:val="auto"/>
          <w:sz w:val="44"/>
          <w:szCs w:val="44"/>
          <w:highlight w:val="none"/>
        </w:rPr>
        <w:t>山东省政府采购合同</w:t>
      </w:r>
    </w:p>
    <w:p w14:paraId="16071049">
      <w:pPr>
        <w:snapToGrid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（设备类）</w:t>
      </w:r>
    </w:p>
    <w:p w14:paraId="5E632E0D">
      <w:pPr>
        <w:snapToGrid w:val="0"/>
        <w:spacing w:line="360" w:lineRule="auto"/>
        <w:jc w:val="center"/>
        <w:rPr>
          <w:rFonts w:hint="eastAsia" w:ascii="仿宋" w:hAnsi="仿宋" w:eastAsia="仿宋" w:cs="仿宋"/>
          <w:color w:val="auto"/>
          <w:sz w:val="28"/>
          <w:szCs w:val="28"/>
          <w:highlight w:val="none"/>
        </w:rPr>
      </w:pPr>
    </w:p>
    <w:p w14:paraId="215F1B0C">
      <w:pPr>
        <w:snapToGrid w:val="0"/>
        <w:spacing w:line="360" w:lineRule="auto"/>
        <w:jc w:val="center"/>
        <w:rPr>
          <w:rFonts w:hint="eastAsia" w:ascii="仿宋" w:hAnsi="仿宋" w:eastAsia="仿宋" w:cs="仿宋"/>
          <w:color w:val="auto"/>
          <w:sz w:val="28"/>
          <w:szCs w:val="28"/>
          <w:highlight w:val="none"/>
        </w:rPr>
      </w:pPr>
    </w:p>
    <w:p w14:paraId="18DB9A61">
      <w:pPr>
        <w:spacing w:line="360" w:lineRule="auto"/>
        <w:ind w:firstLine="640" w:firstLineChars="200"/>
        <w:rPr>
          <w:rFonts w:hint="eastAsia" w:ascii="仿宋" w:hAnsi="仿宋" w:eastAsia="仿宋" w:cs="仿宋"/>
          <w:color w:val="auto"/>
          <w:sz w:val="32"/>
          <w:highlight w:val="none"/>
        </w:rPr>
      </w:pPr>
      <w:r>
        <w:rPr>
          <w:rFonts w:hint="eastAsia" w:ascii="仿宋" w:hAnsi="仿宋" w:eastAsia="仿宋" w:cs="仿宋"/>
          <w:color w:val="auto"/>
          <w:sz w:val="32"/>
          <w:highlight w:val="none"/>
        </w:rPr>
        <w:t>项目名称:</w:t>
      </w:r>
      <w:r>
        <w:rPr>
          <w:rFonts w:hint="eastAsia" w:ascii="仿宋" w:hAnsi="仿宋" w:eastAsia="仿宋" w:cs="仿宋"/>
          <w:color w:val="auto"/>
          <w:sz w:val="32"/>
          <w:highlight w:val="none"/>
          <w:u w:val="single"/>
        </w:rPr>
        <w:t xml:space="preserve"> </w:t>
      </w:r>
      <w:r>
        <w:rPr>
          <w:rFonts w:hint="eastAsia" w:ascii="仿宋" w:hAnsi="仿宋" w:eastAsia="仿宋" w:cs="仿宋"/>
          <w:color w:val="auto"/>
          <w:sz w:val="32"/>
          <w:highlight w:val="none"/>
        </w:rPr>
        <w:t xml:space="preserve">                 </w:t>
      </w:r>
    </w:p>
    <w:p w14:paraId="63576FD3">
      <w:pPr>
        <w:spacing w:line="360" w:lineRule="auto"/>
        <w:ind w:firstLine="640" w:firstLineChars="200"/>
        <w:rPr>
          <w:rFonts w:hint="eastAsia" w:ascii="仿宋" w:hAnsi="仿宋" w:eastAsia="仿宋" w:cs="仿宋"/>
          <w:color w:val="auto"/>
          <w:sz w:val="32"/>
          <w:highlight w:val="none"/>
          <w:u w:val="single"/>
        </w:rPr>
      </w:pPr>
      <w:r>
        <w:rPr>
          <w:rFonts w:hint="eastAsia" w:ascii="仿宋" w:hAnsi="仿宋" w:eastAsia="仿宋" w:cs="仿宋"/>
          <w:color w:val="auto"/>
          <w:sz w:val="32"/>
          <w:highlight w:val="none"/>
        </w:rPr>
        <w:t>合同编号:</w:t>
      </w:r>
      <w:r>
        <w:rPr>
          <w:rFonts w:hint="eastAsia" w:ascii="仿宋" w:hAnsi="仿宋" w:eastAsia="仿宋" w:cs="仿宋"/>
          <w:color w:val="auto"/>
          <w:sz w:val="32"/>
          <w:highlight w:val="none"/>
          <w:u w:val="single"/>
        </w:rPr>
        <w:t xml:space="preserve"> </w:t>
      </w:r>
    </w:p>
    <w:p w14:paraId="51FAE5D7">
      <w:pPr>
        <w:spacing w:line="360" w:lineRule="auto"/>
        <w:ind w:firstLine="640" w:firstLineChars="200"/>
        <w:rPr>
          <w:rFonts w:hint="eastAsia" w:ascii="仿宋" w:hAnsi="仿宋" w:eastAsia="仿宋" w:cs="仿宋"/>
          <w:b/>
          <w:color w:val="auto"/>
          <w:sz w:val="32"/>
          <w:highlight w:val="none"/>
          <w:u w:val="single"/>
        </w:rPr>
      </w:pPr>
      <w:r>
        <w:rPr>
          <w:rFonts w:hint="eastAsia" w:ascii="仿宋" w:hAnsi="仿宋" w:eastAsia="仿宋" w:cs="仿宋"/>
          <w:color w:val="auto"/>
          <w:sz w:val="32"/>
          <w:highlight w:val="none"/>
        </w:rPr>
        <w:t>计划编号：</w:t>
      </w:r>
      <w:r>
        <w:rPr>
          <w:rFonts w:hint="eastAsia" w:ascii="仿宋" w:hAnsi="仿宋" w:eastAsia="仿宋" w:cs="仿宋"/>
          <w:bCs/>
          <w:color w:val="auto"/>
          <w:sz w:val="32"/>
          <w:highlight w:val="none"/>
          <w:u w:val="single"/>
        </w:rPr>
        <w:t xml:space="preserve"> </w:t>
      </w:r>
    </w:p>
    <w:p w14:paraId="69FE778E">
      <w:pPr>
        <w:spacing w:line="360" w:lineRule="auto"/>
        <w:jc w:val="center"/>
        <w:rPr>
          <w:rFonts w:hint="eastAsia" w:ascii="仿宋" w:hAnsi="仿宋" w:eastAsia="仿宋" w:cs="仿宋"/>
          <w:b/>
          <w:color w:val="auto"/>
          <w:sz w:val="24"/>
          <w:highlight w:val="none"/>
        </w:rPr>
      </w:pPr>
    </w:p>
    <w:p w14:paraId="770198E8">
      <w:pPr>
        <w:spacing w:line="360" w:lineRule="auto"/>
        <w:jc w:val="center"/>
        <w:rPr>
          <w:rFonts w:hint="eastAsia" w:ascii="仿宋" w:hAnsi="仿宋" w:eastAsia="仿宋" w:cs="仿宋"/>
          <w:b/>
          <w:color w:val="auto"/>
          <w:sz w:val="24"/>
          <w:highlight w:val="none"/>
        </w:rPr>
      </w:pPr>
    </w:p>
    <w:p w14:paraId="1E7B0A2D">
      <w:pPr>
        <w:spacing w:line="360" w:lineRule="auto"/>
        <w:jc w:val="center"/>
        <w:rPr>
          <w:rFonts w:hint="eastAsia" w:ascii="仿宋" w:hAnsi="仿宋" w:eastAsia="仿宋" w:cs="仿宋"/>
          <w:b/>
          <w:color w:val="auto"/>
          <w:sz w:val="24"/>
          <w:highlight w:val="none"/>
        </w:rPr>
      </w:pPr>
    </w:p>
    <w:p w14:paraId="457C1722">
      <w:pPr>
        <w:spacing w:line="360" w:lineRule="auto"/>
        <w:jc w:val="center"/>
        <w:rPr>
          <w:rFonts w:hint="eastAsia" w:ascii="仿宋" w:hAnsi="仿宋" w:eastAsia="仿宋" w:cs="仿宋"/>
          <w:b/>
          <w:color w:val="auto"/>
          <w:sz w:val="24"/>
          <w:highlight w:val="none"/>
        </w:rPr>
      </w:pPr>
    </w:p>
    <w:p w14:paraId="2B04C1CC">
      <w:pPr>
        <w:spacing w:line="360" w:lineRule="auto"/>
        <w:jc w:val="center"/>
        <w:rPr>
          <w:rFonts w:hint="eastAsia" w:ascii="仿宋" w:hAnsi="仿宋" w:eastAsia="仿宋" w:cs="仿宋"/>
          <w:b/>
          <w:color w:val="auto"/>
          <w:sz w:val="24"/>
          <w:highlight w:val="none"/>
        </w:rPr>
      </w:pPr>
    </w:p>
    <w:p w14:paraId="6871F481">
      <w:pPr>
        <w:spacing w:line="360" w:lineRule="auto"/>
        <w:jc w:val="center"/>
        <w:rPr>
          <w:rFonts w:hint="eastAsia" w:ascii="仿宋" w:hAnsi="仿宋" w:eastAsia="仿宋" w:cs="仿宋"/>
          <w:b/>
          <w:color w:val="auto"/>
          <w:sz w:val="24"/>
          <w:highlight w:val="none"/>
        </w:rPr>
      </w:pPr>
    </w:p>
    <w:p w14:paraId="7609234C">
      <w:pPr>
        <w:spacing w:line="360" w:lineRule="auto"/>
        <w:jc w:val="center"/>
        <w:rPr>
          <w:rFonts w:hint="eastAsia" w:ascii="仿宋" w:hAnsi="仿宋" w:eastAsia="仿宋" w:cs="仿宋"/>
          <w:b/>
          <w:color w:val="auto"/>
          <w:sz w:val="24"/>
          <w:highlight w:val="none"/>
        </w:rPr>
      </w:pPr>
    </w:p>
    <w:p w14:paraId="25EA6403">
      <w:pPr>
        <w:spacing w:line="360" w:lineRule="auto"/>
        <w:ind w:firstLine="1968" w:firstLineChars="700"/>
        <w:rPr>
          <w:rFonts w:hint="default" w:ascii="仿宋" w:hAnsi="仿宋" w:eastAsia="仿宋" w:cs="仿宋"/>
          <w:b/>
          <w:color w:val="auto"/>
          <w:sz w:val="28"/>
          <w:highlight w:val="none"/>
          <w:lang w:val="en-US" w:eastAsia="zh-CN"/>
        </w:rPr>
      </w:pPr>
      <w:r>
        <w:rPr>
          <w:rFonts w:hint="eastAsia" w:ascii="仿宋" w:hAnsi="仿宋" w:eastAsia="仿宋" w:cs="仿宋"/>
          <w:b/>
          <w:color w:val="auto"/>
          <w:sz w:val="28"/>
          <w:highlight w:val="none"/>
        </w:rPr>
        <w:t>采 购 人:</w:t>
      </w:r>
      <w:r>
        <w:rPr>
          <w:rFonts w:hint="eastAsia" w:ascii="仿宋" w:hAnsi="仿宋" w:eastAsia="仿宋" w:cs="仿宋"/>
          <w:b/>
          <w:color w:val="auto"/>
          <w:sz w:val="28"/>
          <w:highlight w:val="none"/>
          <w:u w:val="single"/>
        </w:rPr>
        <w:t xml:space="preserve">  </w:t>
      </w:r>
      <w:r>
        <w:rPr>
          <w:rFonts w:hint="eastAsia" w:ascii="仿宋" w:hAnsi="仿宋" w:eastAsia="仿宋" w:cs="仿宋"/>
          <w:b/>
          <w:color w:val="auto"/>
          <w:sz w:val="28"/>
          <w:highlight w:val="none"/>
          <w:u w:val="single"/>
          <w:lang w:val="en-US" w:eastAsia="zh-CN"/>
        </w:rPr>
        <w:t xml:space="preserve">        </w:t>
      </w:r>
    </w:p>
    <w:p w14:paraId="4D18616C">
      <w:pPr>
        <w:spacing w:line="360" w:lineRule="auto"/>
        <w:ind w:firstLine="1968" w:firstLineChars="700"/>
        <w:rPr>
          <w:rFonts w:hint="default" w:ascii="仿宋" w:hAnsi="仿宋" w:eastAsia="仿宋" w:cs="仿宋"/>
          <w:b/>
          <w:color w:val="auto"/>
          <w:sz w:val="28"/>
          <w:highlight w:val="none"/>
          <w:u w:val="single"/>
          <w:lang w:val="en-US" w:eastAsia="zh-CN"/>
        </w:rPr>
      </w:pPr>
      <w:r>
        <w:rPr>
          <w:rFonts w:hint="eastAsia" w:ascii="仿宋" w:hAnsi="仿宋" w:eastAsia="仿宋" w:cs="仿宋"/>
          <w:b/>
          <w:color w:val="auto"/>
          <w:sz w:val="28"/>
          <w:highlight w:val="none"/>
        </w:rPr>
        <w:t>供 应 商：</w:t>
      </w:r>
      <w:r>
        <w:rPr>
          <w:rFonts w:hint="eastAsia" w:ascii="仿宋" w:hAnsi="仿宋" w:eastAsia="仿宋" w:cs="仿宋"/>
          <w:b/>
          <w:color w:val="auto"/>
          <w:sz w:val="28"/>
          <w:highlight w:val="none"/>
          <w:u w:val="single"/>
        </w:rPr>
        <w:t xml:space="preserve">  </w:t>
      </w:r>
      <w:r>
        <w:rPr>
          <w:rFonts w:hint="eastAsia" w:ascii="仿宋" w:hAnsi="仿宋" w:eastAsia="仿宋" w:cs="仿宋"/>
          <w:b/>
          <w:color w:val="auto"/>
          <w:sz w:val="28"/>
          <w:highlight w:val="none"/>
          <w:u w:val="single"/>
          <w:lang w:val="en-US" w:eastAsia="zh-CN"/>
        </w:rPr>
        <w:t xml:space="preserve">        </w:t>
      </w:r>
    </w:p>
    <w:p w14:paraId="7CB16519">
      <w:pPr>
        <w:spacing w:line="360" w:lineRule="auto"/>
        <w:ind w:firstLine="1968" w:firstLineChars="700"/>
        <w:rPr>
          <w:rFonts w:hint="eastAsia" w:ascii="仿宋" w:hAnsi="仿宋" w:eastAsia="仿宋" w:cs="仿宋"/>
          <w:b/>
          <w:color w:val="auto"/>
          <w:sz w:val="28"/>
          <w:highlight w:val="none"/>
          <w:u w:val="single"/>
          <w:lang w:val="en-US" w:eastAsia="zh-CN"/>
        </w:rPr>
      </w:pPr>
      <w:r>
        <w:rPr>
          <w:rFonts w:hint="eastAsia" w:ascii="仿宋" w:hAnsi="仿宋" w:eastAsia="仿宋" w:cs="仿宋"/>
          <w:b/>
          <w:color w:val="auto"/>
          <w:sz w:val="28"/>
          <w:highlight w:val="none"/>
        </w:rPr>
        <w:t>采购代理机构:</w:t>
      </w:r>
      <w:r>
        <w:rPr>
          <w:rFonts w:hint="eastAsia" w:ascii="仿宋" w:hAnsi="仿宋" w:eastAsia="仿宋" w:cs="仿宋"/>
          <w:b/>
          <w:color w:val="auto"/>
          <w:sz w:val="28"/>
          <w:highlight w:val="none"/>
          <w:u w:val="single"/>
        </w:rPr>
        <w:t xml:space="preserve"> </w:t>
      </w:r>
      <w:r>
        <w:rPr>
          <w:rFonts w:hint="eastAsia" w:ascii="仿宋" w:hAnsi="仿宋" w:eastAsia="仿宋" w:cs="仿宋"/>
          <w:b/>
          <w:color w:val="auto"/>
          <w:sz w:val="28"/>
          <w:highlight w:val="none"/>
          <w:u w:val="single"/>
          <w:lang w:val="en-US" w:eastAsia="zh-CN"/>
        </w:rPr>
        <w:t xml:space="preserve">    </w:t>
      </w:r>
      <w:r>
        <w:rPr>
          <w:rFonts w:hint="eastAsia" w:ascii="仿宋" w:hAnsi="仿宋" w:eastAsia="仿宋" w:cs="仿宋"/>
          <w:b/>
          <w:color w:val="auto"/>
          <w:sz w:val="28"/>
          <w:highlight w:val="none"/>
          <w:u w:val="single"/>
        </w:rPr>
        <w:t xml:space="preserve"> </w:t>
      </w:r>
      <w:r>
        <w:rPr>
          <w:rFonts w:hint="eastAsia" w:ascii="仿宋" w:hAnsi="仿宋" w:eastAsia="仿宋" w:cs="仿宋"/>
          <w:b/>
          <w:color w:val="auto"/>
          <w:sz w:val="28"/>
          <w:highlight w:val="none"/>
          <w:u w:val="single"/>
          <w:lang w:val="en-US" w:eastAsia="zh-CN"/>
        </w:rPr>
        <w:t xml:space="preserve"> </w:t>
      </w:r>
    </w:p>
    <w:p w14:paraId="2E26EE26">
      <w:pPr>
        <w:snapToGrid w:val="0"/>
        <w:spacing w:line="360" w:lineRule="auto"/>
        <w:jc w:val="center"/>
        <w:rPr>
          <w:rFonts w:hint="eastAsia" w:ascii="仿宋" w:hAnsi="仿宋" w:eastAsia="仿宋" w:cs="仿宋"/>
          <w:color w:val="auto"/>
          <w:sz w:val="30"/>
          <w:szCs w:val="30"/>
          <w:highlight w:val="none"/>
        </w:rPr>
      </w:pPr>
    </w:p>
    <w:p w14:paraId="3AF0DC33">
      <w:pPr>
        <w:pStyle w:val="8"/>
        <w:rPr>
          <w:rFonts w:hint="eastAsia" w:ascii="仿宋" w:hAnsi="仿宋" w:eastAsia="仿宋" w:cs="仿宋"/>
          <w:color w:val="auto"/>
          <w:highlight w:val="none"/>
        </w:rPr>
      </w:pPr>
    </w:p>
    <w:p w14:paraId="2B7C5153">
      <w:pPr>
        <w:snapToGrid w:val="0"/>
        <w:spacing w:line="360" w:lineRule="auto"/>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 xml:space="preserve">签订时间： </w:t>
      </w:r>
    </w:p>
    <w:p w14:paraId="21FF02BB">
      <w:pPr>
        <w:pStyle w:val="13"/>
        <w:ind w:firstLine="0"/>
        <w:rPr>
          <w:rFonts w:hint="eastAsia" w:ascii="仿宋" w:hAnsi="仿宋" w:eastAsia="仿宋" w:cs="仿宋"/>
          <w:b/>
          <w:bCs/>
          <w:color w:val="auto"/>
          <w:sz w:val="32"/>
          <w:szCs w:val="32"/>
          <w:highlight w:val="none"/>
        </w:rPr>
      </w:pPr>
    </w:p>
    <w:p w14:paraId="49282A41">
      <w:pPr>
        <w:rPr>
          <w:rFonts w:hint="eastAsia" w:ascii="仿宋" w:hAnsi="仿宋" w:eastAsia="仿宋" w:cs="仿宋"/>
          <w:color w:val="auto"/>
          <w:highlight w:val="none"/>
        </w:rPr>
      </w:pPr>
    </w:p>
    <w:p w14:paraId="6077AF93">
      <w:pPr>
        <w:spacing w:line="360" w:lineRule="auto"/>
        <w:ind w:firstLine="480" w:firstLineChars="200"/>
        <w:rPr>
          <w:rFonts w:hint="default" w:ascii="仿宋" w:hAnsi="仿宋" w:eastAsia="仿宋" w:cs="仿宋"/>
          <w:color w:val="auto"/>
          <w:sz w:val="24"/>
          <w:highlight w:val="none"/>
          <w:u w:val="single"/>
          <w:lang w:val="en-US" w:eastAsia="zh-CN"/>
        </w:rPr>
      </w:pPr>
      <w:r>
        <w:rPr>
          <w:rFonts w:hint="eastAsia" w:ascii="仿宋" w:hAnsi="仿宋" w:eastAsia="仿宋" w:cs="仿宋"/>
          <w:color w:val="auto"/>
          <w:sz w:val="24"/>
          <w:highlight w:val="none"/>
        </w:rPr>
        <w:t>采购人（全称）：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p>
    <w:p w14:paraId="1360B742">
      <w:pPr>
        <w:spacing w:line="360" w:lineRule="auto"/>
        <w:ind w:firstLine="480" w:firstLineChars="200"/>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rPr>
        <w:t>供应商（全称）：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p>
    <w:p w14:paraId="0D80209C">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根据《中华人民共和国民法典》、《中华人民共和国产品质量法》及其他有关法律法规，双方经过友好协商，本着诚实守信、互惠互利的原则，就</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项目</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采购与供应事宜签订本合同条款，</w:t>
      </w:r>
      <w:r>
        <w:rPr>
          <w:rFonts w:hint="eastAsia" w:ascii="仿宋" w:hAnsi="仿宋" w:eastAsia="仿宋" w:cs="仿宋"/>
          <w:color w:val="auto"/>
          <w:kern w:val="0"/>
          <w:sz w:val="24"/>
          <w:highlight w:val="none"/>
        </w:rPr>
        <w:t>共同达成如下协议：</w:t>
      </w:r>
    </w:p>
    <w:p w14:paraId="5EEDA8E2">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一、项目概况</w:t>
      </w:r>
    </w:p>
    <w:p w14:paraId="5F70DE62">
      <w:pPr>
        <w:widowControl/>
        <w:spacing w:line="360" w:lineRule="auto"/>
        <w:ind w:firstLine="480" w:firstLineChars="200"/>
        <w:jc w:val="left"/>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1.项目名称：</w:t>
      </w:r>
      <w:r>
        <w:rPr>
          <w:rFonts w:hint="eastAsia" w:ascii="仿宋" w:hAnsi="仿宋" w:eastAsia="仿宋" w:cs="仿宋"/>
          <w:color w:val="auto"/>
          <w:kern w:val="0"/>
          <w:sz w:val="24"/>
          <w:highlight w:val="none"/>
          <w:u w:val="single"/>
        </w:rPr>
        <w:t xml:space="preserve"> </w:t>
      </w:r>
    </w:p>
    <w:p w14:paraId="6C0E8A0B">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2.供货地点：</w:t>
      </w:r>
      <w:r>
        <w:rPr>
          <w:rFonts w:hint="eastAsia" w:ascii="仿宋" w:hAnsi="仿宋" w:eastAsia="仿宋" w:cs="仿宋"/>
          <w:color w:val="auto"/>
          <w:kern w:val="0"/>
          <w:sz w:val="24"/>
          <w:highlight w:val="none"/>
          <w:u w:val="single"/>
        </w:rPr>
        <w:t xml:space="preserve"> </w:t>
      </w:r>
    </w:p>
    <w:p w14:paraId="7D2FD5CA">
      <w:pPr>
        <w:widowControl/>
        <w:spacing w:line="360" w:lineRule="auto"/>
        <w:ind w:firstLine="480" w:firstLineChars="200"/>
        <w:jc w:val="left"/>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3.供货内容和范围：</w:t>
      </w:r>
      <w:r>
        <w:rPr>
          <w:rFonts w:hint="eastAsia" w:ascii="仿宋" w:hAnsi="仿宋" w:eastAsia="仿宋" w:cs="仿宋"/>
          <w:color w:val="auto"/>
          <w:kern w:val="0"/>
          <w:sz w:val="24"/>
          <w:highlight w:val="none"/>
          <w:u w:val="single"/>
        </w:rPr>
        <w:t>       。</w:t>
      </w:r>
    </w:p>
    <w:p w14:paraId="35ACF4DC">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二、供货期</w:t>
      </w:r>
    </w:p>
    <w:p w14:paraId="6B0D23A2">
      <w:pPr>
        <w:widowControl/>
        <w:spacing w:line="360" w:lineRule="auto"/>
        <w:ind w:firstLine="720" w:firstLineChars="3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499DC4D2">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三、质量标准</w:t>
      </w:r>
    </w:p>
    <w:p w14:paraId="68E8E07F">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符合</w:t>
      </w:r>
      <w:r>
        <w:rPr>
          <w:rFonts w:hint="eastAsia" w:ascii="仿宋" w:hAnsi="仿宋" w:eastAsia="仿宋" w:cs="仿宋"/>
          <w:color w:val="auto"/>
          <w:kern w:val="0"/>
          <w:sz w:val="24"/>
          <w:highlight w:val="none"/>
          <w:u w:val="single"/>
        </w:rPr>
        <w:t></w:t>
      </w:r>
      <w:r>
        <w:rPr>
          <w:rFonts w:hint="eastAsia" w:ascii="仿宋" w:hAnsi="仿宋" w:eastAsia="仿宋" w:cs="仿宋"/>
          <w:color w:val="auto"/>
          <w:kern w:val="0"/>
          <w:sz w:val="24"/>
          <w:highlight w:val="none"/>
        </w:rPr>
        <w:t>标准。</w:t>
      </w:r>
    </w:p>
    <w:p w14:paraId="0F4A9243">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四、签约合同价与合同价格形式</w:t>
      </w:r>
      <w:r>
        <w:rPr>
          <w:rFonts w:hint="eastAsia" w:ascii="仿宋" w:hAnsi="仿宋" w:eastAsia="仿宋" w:cs="仿宋"/>
          <w:color w:val="auto"/>
          <w:kern w:val="0"/>
          <w:sz w:val="24"/>
          <w:highlight w:val="none"/>
        </w:rPr>
        <w:tab/>
      </w:r>
    </w:p>
    <w:p w14:paraId="52AA4EE3">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1.签约合同价为：</w:t>
      </w:r>
    </w:p>
    <w:p w14:paraId="6B63E014">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人民币（大写）</w:t>
      </w:r>
      <w:r>
        <w:rPr>
          <w:rFonts w:hint="eastAsia" w:ascii="仿宋" w:hAnsi="仿宋" w:eastAsia="仿宋" w:cs="仿宋"/>
          <w:color w:val="auto"/>
          <w:kern w:val="0"/>
          <w:sz w:val="24"/>
          <w:highlight w:val="none"/>
          <w:u w:val="single"/>
        </w:rPr>
        <w:t xml:space="preserve">      (</w:t>
      </w:r>
      <w:r>
        <w:rPr>
          <w:rFonts w:hint="eastAsia" w:ascii="宋体" w:hAnsi="宋体" w:eastAsia="宋体" w:cs="宋体"/>
          <w:color w:val="auto"/>
          <w:kern w:val="0"/>
          <w:sz w:val="24"/>
          <w:highlight w:val="none"/>
          <w:u w:val="single"/>
        </w:rPr>
        <w:t>￥</w:t>
      </w:r>
      <w:r>
        <w:rPr>
          <w:rFonts w:hint="eastAsia" w:ascii="仿宋" w:hAnsi="仿宋" w:eastAsia="仿宋" w:cs="仿宋"/>
          <w:color w:val="auto"/>
          <w:kern w:val="0"/>
          <w:sz w:val="24"/>
          <w:highlight w:val="none"/>
          <w:u w:val="single"/>
        </w:rPr>
        <w:t xml:space="preserve">      元)</w:t>
      </w:r>
      <w:r>
        <w:rPr>
          <w:rFonts w:hint="eastAsia" w:ascii="仿宋" w:hAnsi="仿宋" w:eastAsia="仿宋" w:cs="仿宋"/>
          <w:color w:val="auto"/>
          <w:kern w:val="0"/>
          <w:sz w:val="24"/>
          <w:highlight w:val="none"/>
        </w:rPr>
        <w:t>；</w:t>
      </w:r>
    </w:p>
    <w:p w14:paraId="62285636">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2.合同价格形式：</w:t>
      </w:r>
      <w:r>
        <w:rPr>
          <w:rFonts w:hint="eastAsia" w:ascii="仿宋" w:hAnsi="仿宋" w:eastAsia="仿宋" w:cs="仿宋"/>
          <w:color w:val="auto"/>
          <w:kern w:val="0"/>
          <w:sz w:val="24"/>
          <w:highlight w:val="none"/>
          <w:u w:val="single"/>
        </w:rPr>
        <w:t>                      。</w:t>
      </w:r>
    </w:p>
    <w:p w14:paraId="53F73577">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五、项目经理</w:t>
      </w:r>
    </w:p>
    <w:p w14:paraId="63846D93">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供应商项目经理：</w:t>
      </w:r>
      <w:r>
        <w:rPr>
          <w:rFonts w:hint="eastAsia" w:ascii="仿宋" w:hAnsi="仿宋" w:eastAsia="仿宋" w:cs="仿宋"/>
          <w:color w:val="auto"/>
          <w:kern w:val="0"/>
          <w:sz w:val="24"/>
          <w:highlight w:val="none"/>
          <w:u w:val="single"/>
        </w:rPr>
        <w:t>                     。</w:t>
      </w:r>
    </w:p>
    <w:p w14:paraId="45CBA7B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六、资金来源</w:t>
      </w:r>
    </w:p>
    <w:p w14:paraId="285F2BFE">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预算内资金:</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元；财政专户资金：</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元；自筹资金：</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元。   </w:t>
      </w:r>
    </w:p>
    <w:p w14:paraId="331C5338">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七、付款方式</w:t>
      </w:r>
    </w:p>
    <w:p w14:paraId="23EF212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□一次性支付方式：</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112B2759">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u w:val="single"/>
        </w:rPr>
        <w:t xml:space="preserve">                                                                      </w:t>
      </w:r>
    </w:p>
    <w:p w14:paraId="66813164">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□分期支付方式：</w:t>
      </w:r>
      <w:r>
        <w:rPr>
          <w:rFonts w:hint="eastAsia" w:ascii="仿宋" w:hAnsi="仿宋" w:eastAsia="仿宋" w:cs="仿宋"/>
          <w:color w:val="auto"/>
          <w:sz w:val="24"/>
          <w:highlight w:val="none"/>
          <w:u w:val="single"/>
        </w:rPr>
        <w:t xml:space="preserve">                                                  </w:t>
      </w:r>
    </w:p>
    <w:p w14:paraId="7C7BDAB5">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u w:val="single"/>
        </w:rPr>
        <w:t xml:space="preserve">                                                                     </w:t>
      </w:r>
    </w:p>
    <w:p w14:paraId="5DAF84CC">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□其他支付方式：</w:t>
      </w:r>
      <w:r>
        <w:rPr>
          <w:rFonts w:hint="eastAsia" w:ascii="仿宋" w:hAnsi="仿宋" w:eastAsia="仿宋" w:cs="仿宋"/>
          <w:color w:val="auto"/>
          <w:sz w:val="24"/>
          <w:highlight w:val="none"/>
          <w:u w:val="single"/>
        </w:rPr>
        <w:t xml:space="preserve">                                                 </w:t>
      </w:r>
    </w:p>
    <w:p w14:paraId="603A44EE">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u w:val="single"/>
        </w:rPr>
        <w:t xml:space="preserve">                                                                     </w:t>
      </w:r>
    </w:p>
    <w:p w14:paraId="7C37811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八、合同融资事项</w:t>
      </w:r>
    </w:p>
    <w:p w14:paraId="3EAC6EF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14:paraId="207D9AC4">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九、合同文件构成</w:t>
      </w:r>
    </w:p>
    <w:p w14:paraId="54290334">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本协议书与下列文件一起构成合同文件：</w:t>
      </w:r>
    </w:p>
    <w:p w14:paraId="293CFD67">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（1）中标或成交通知书；</w:t>
      </w:r>
    </w:p>
    <w:p w14:paraId="78CB9BCB">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（2）投标函及其附录； </w:t>
      </w:r>
    </w:p>
    <w:p w14:paraId="478D5C6F">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（3）合同条款；</w:t>
      </w:r>
    </w:p>
    <w:p w14:paraId="5939F4E9">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（4）技术标准和要求；</w:t>
      </w:r>
    </w:p>
    <w:p w14:paraId="2A3F78C3">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（5）图纸（如果有）；</w:t>
      </w:r>
    </w:p>
    <w:p w14:paraId="23117D57">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（6）供货清单及报价表；</w:t>
      </w:r>
    </w:p>
    <w:p w14:paraId="082F0F33">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（7）其他合同文件。</w:t>
      </w:r>
    </w:p>
    <w:p w14:paraId="145537EC">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在合同订立及履行过程中形成的与合同有关的文件均构成合同文件组成部分。</w:t>
      </w:r>
    </w:p>
    <w:p w14:paraId="6D1EF1B3">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上述各项合同文件包括合同当事人就该项合同文件所作出的补充和修改，属于同一类内容的文件，应以最新签署的为准。专用合同条款及其附件须经合同当事人签字或盖章。</w:t>
      </w:r>
    </w:p>
    <w:p w14:paraId="4C714831">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十、承诺</w:t>
      </w:r>
    </w:p>
    <w:p w14:paraId="7ADD06D8">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1.采购人承诺按照法律规定履行项目审批手续、筹集项目资金并按照合同约定的期限和方式支付合同价款。</w:t>
      </w:r>
    </w:p>
    <w:p w14:paraId="3287D776">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2.供应商承诺按照法律规定及合同约定供货，确保质量和安全，不进行转包及违法分包，并在缺陷责任期及保修期内承担相应的责任。</w:t>
      </w:r>
    </w:p>
    <w:p w14:paraId="1288F87E">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3.采购人和供应商通过招投标形式签订合同的，双方理解并承诺不再就同一项目另行签订与合同实质性内容相背离的协议。</w:t>
      </w:r>
    </w:p>
    <w:p w14:paraId="0C6CF18F">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十一、签订时间</w:t>
      </w:r>
    </w:p>
    <w:p w14:paraId="25BE78E3">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本合同于</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签订。</w:t>
      </w:r>
    </w:p>
    <w:p w14:paraId="0003C82B">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十二、签订地点</w:t>
      </w:r>
    </w:p>
    <w:p w14:paraId="1A20B232">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本合同在</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签订。</w:t>
      </w:r>
    </w:p>
    <w:p w14:paraId="0DAF8BF1">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十三、补充协议</w:t>
      </w:r>
    </w:p>
    <w:p w14:paraId="165262EA">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合同未尽事宜，合同当事人另行签订补充协议，补充协议是合同的组成部分。</w:t>
      </w:r>
    </w:p>
    <w:p w14:paraId="09675B0F">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十四、合同生效</w:t>
      </w:r>
    </w:p>
    <w:p w14:paraId="2FCBF447">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本合同自</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生效。</w:t>
      </w:r>
    </w:p>
    <w:p w14:paraId="778718F0">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十五、合同份数</w:t>
      </w:r>
    </w:p>
    <w:p w14:paraId="51D5B267">
      <w:pPr>
        <w:widowControl/>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本合同一式五份，均具有同等法律效力，采购人执贰份，供应商执贰份，代理机构一份。</w:t>
      </w:r>
    </w:p>
    <w:p w14:paraId="229BC557">
      <w:pPr>
        <w:pStyle w:val="8"/>
        <w:rPr>
          <w:rFonts w:hint="eastAsia" w:ascii="仿宋" w:hAnsi="仿宋" w:eastAsia="仿宋" w:cs="仿宋"/>
          <w:color w:val="auto"/>
          <w:highlight w:val="none"/>
        </w:rPr>
      </w:pPr>
    </w:p>
    <w:tbl>
      <w:tblPr>
        <w:tblStyle w:val="35"/>
        <w:tblW w:w="10018"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5"/>
        <w:gridCol w:w="240"/>
        <w:gridCol w:w="5203"/>
      </w:tblGrid>
      <w:tr w14:paraId="0F9DB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1C5A8A55">
            <w:pPr>
              <w:pStyle w:val="8"/>
              <w:rPr>
                <w:rFonts w:hint="eastAsia" w:ascii="仿宋" w:hAnsi="仿宋" w:eastAsia="仿宋" w:cs="仿宋"/>
                <w:color w:val="auto"/>
                <w:highlight w:val="none"/>
              </w:rPr>
            </w:pPr>
          </w:p>
          <w:p w14:paraId="1C77BD4D">
            <w:pPr>
              <w:pStyle w:val="8"/>
              <w:rPr>
                <w:rFonts w:hint="eastAsia" w:ascii="仿宋" w:hAnsi="仿宋" w:eastAsia="仿宋" w:cs="仿宋"/>
                <w:color w:val="auto"/>
                <w:highlight w:val="none"/>
              </w:rPr>
            </w:pPr>
            <w:r>
              <w:rPr>
                <w:rFonts w:hint="eastAsia" w:ascii="仿宋" w:hAnsi="仿宋" w:eastAsia="仿宋" w:cs="仿宋"/>
                <w:color w:val="auto"/>
                <w:highlight w:val="none"/>
              </w:rPr>
              <w:t>采购人： (公章)</w:t>
            </w:r>
          </w:p>
          <w:p w14:paraId="4AA3A509">
            <w:pPr>
              <w:pStyle w:val="8"/>
              <w:rPr>
                <w:rFonts w:hint="eastAsia" w:ascii="仿宋" w:hAnsi="仿宋" w:eastAsia="仿宋" w:cs="仿宋"/>
                <w:color w:val="auto"/>
                <w:highlight w:val="none"/>
              </w:rPr>
            </w:pPr>
          </w:p>
        </w:tc>
        <w:tc>
          <w:tcPr>
            <w:tcW w:w="240" w:type="dxa"/>
            <w:vAlign w:val="center"/>
          </w:tcPr>
          <w:p w14:paraId="339B8B92">
            <w:pPr>
              <w:spacing w:line="360" w:lineRule="auto"/>
              <w:ind w:left="-2" w:leftChars="-1"/>
              <w:rPr>
                <w:rFonts w:hint="eastAsia" w:ascii="仿宋" w:hAnsi="仿宋" w:eastAsia="仿宋" w:cs="仿宋"/>
                <w:color w:val="auto"/>
                <w:sz w:val="24"/>
                <w:highlight w:val="none"/>
              </w:rPr>
            </w:pPr>
          </w:p>
        </w:tc>
        <w:tc>
          <w:tcPr>
            <w:tcW w:w="5203" w:type="dxa"/>
            <w:vAlign w:val="center"/>
          </w:tcPr>
          <w:p w14:paraId="57A6DD8C">
            <w:pPr>
              <w:spacing w:line="360" w:lineRule="auto"/>
              <w:ind w:left="-2" w:leftChars="-1"/>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 (公章)</w:t>
            </w:r>
          </w:p>
        </w:tc>
      </w:tr>
      <w:tr w14:paraId="1B4BE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658087B8">
            <w:pPr>
              <w:pStyle w:val="8"/>
              <w:rPr>
                <w:rFonts w:hint="eastAsia" w:ascii="仿宋" w:hAnsi="仿宋" w:eastAsia="仿宋" w:cs="仿宋"/>
                <w:color w:val="auto"/>
                <w:highlight w:val="none"/>
              </w:rPr>
            </w:pPr>
            <w:r>
              <w:rPr>
                <w:rFonts w:hint="eastAsia" w:ascii="仿宋" w:hAnsi="仿宋" w:eastAsia="仿宋" w:cs="仿宋"/>
                <w:color w:val="auto"/>
                <w:highlight w:val="none"/>
              </w:rPr>
              <w:t>法定代表人或其委托代理人：</w:t>
            </w:r>
          </w:p>
          <w:p w14:paraId="2D6B4244">
            <w:pPr>
              <w:pStyle w:val="8"/>
              <w:rPr>
                <w:rFonts w:hint="eastAsia" w:ascii="仿宋" w:hAnsi="仿宋" w:eastAsia="仿宋" w:cs="仿宋"/>
                <w:color w:val="auto"/>
                <w:highlight w:val="none"/>
              </w:rPr>
            </w:pPr>
            <w:r>
              <w:rPr>
                <w:rFonts w:hint="eastAsia" w:ascii="仿宋" w:hAnsi="仿宋" w:eastAsia="仿宋" w:cs="仿宋"/>
                <w:color w:val="auto"/>
                <w:highlight w:val="none"/>
              </w:rPr>
              <w:t>（签字）</w:t>
            </w:r>
          </w:p>
        </w:tc>
        <w:tc>
          <w:tcPr>
            <w:tcW w:w="240" w:type="dxa"/>
            <w:vAlign w:val="center"/>
          </w:tcPr>
          <w:p w14:paraId="7AA1215D">
            <w:pPr>
              <w:spacing w:line="360" w:lineRule="auto"/>
              <w:ind w:left="-2" w:leftChars="-1"/>
              <w:rPr>
                <w:rFonts w:hint="eastAsia" w:ascii="仿宋" w:hAnsi="仿宋" w:eastAsia="仿宋" w:cs="仿宋"/>
                <w:color w:val="auto"/>
                <w:sz w:val="24"/>
                <w:highlight w:val="none"/>
              </w:rPr>
            </w:pPr>
          </w:p>
        </w:tc>
        <w:tc>
          <w:tcPr>
            <w:tcW w:w="5203" w:type="dxa"/>
            <w:vAlign w:val="center"/>
          </w:tcPr>
          <w:p w14:paraId="1781BCF6">
            <w:pPr>
              <w:pStyle w:val="8"/>
              <w:rPr>
                <w:rFonts w:hint="eastAsia" w:ascii="仿宋" w:hAnsi="仿宋" w:eastAsia="仿宋" w:cs="仿宋"/>
                <w:color w:val="auto"/>
                <w:highlight w:val="none"/>
              </w:rPr>
            </w:pPr>
            <w:r>
              <w:rPr>
                <w:rFonts w:hint="eastAsia" w:ascii="仿宋" w:hAnsi="仿宋" w:eastAsia="仿宋" w:cs="仿宋"/>
                <w:color w:val="auto"/>
                <w:highlight w:val="none"/>
              </w:rPr>
              <w:t>法定代表人或其委托代理人：</w:t>
            </w:r>
          </w:p>
          <w:p w14:paraId="6C63C8DF">
            <w:pPr>
              <w:spacing w:line="360" w:lineRule="auto"/>
              <w:ind w:left="-2" w:leftChars="-1"/>
              <w:rPr>
                <w:rFonts w:hint="eastAsia" w:ascii="仿宋" w:hAnsi="仿宋" w:eastAsia="仿宋" w:cs="仿宋"/>
                <w:color w:val="auto"/>
                <w:sz w:val="24"/>
                <w:highlight w:val="none"/>
              </w:rPr>
            </w:pPr>
            <w:r>
              <w:rPr>
                <w:rFonts w:hint="eastAsia" w:ascii="仿宋" w:hAnsi="仿宋" w:eastAsia="仿宋" w:cs="仿宋"/>
                <w:color w:val="auto"/>
                <w:sz w:val="24"/>
                <w:highlight w:val="none"/>
              </w:rPr>
              <w:t>（签字）</w:t>
            </w:r>
          </w:p>
        </w:tc>
      </w:tr>
      <w:tr w14:paraId="42D97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395CD65B">
            <w:pPr>
              <w:pStyle w:val="8"/>
              <w:rPr>
                <w:rFonts w:hint="eastAsia" w:ascii="仿宋" w:hAnsi="仿宋" w:eastAsia="仿宋" w:cs="仿宋"/>
                <w:color w:val="auto"/>
                <w:highlight w:val="none"/>
              </w:rPr>
            </w:pPr>
            <w:r>
              <w:rPr>
                <w:rFonts w:hint="eastAsia" w:ascii="仿宋" w:hAnsi="仿宋" w:eastAsia="仿宋" w:cs="仿宋"/>
                <w:color w:val="auto"/>
                <w:highlight w:val="none"/>
              </w:rPr>
              <w:t xml:space="preserve">住所： </w:t>
            </w:r>
          </w:p>
        </w:tc>
        <w:tc>
          <w:tcPr>
            <w:tcW w:w="240" w:type="dxa"/>
            <w:vAlign w:val="center"/>
          </w:tcPr>
          <w:p w14:paraId="54B220E4">
            <w:pPr>
              <w:pStyle w:val="8"/>
              <w:rPr>
                <w:rFonts w:hint="eastAsia" w:ascii="仿宋" w:hAnsi="仿宋" w:eastAsia="仿宋" w:cs="仿宋"/>
                <w:color w:val="auto"/>
                <w:highlight w:val="none"/>
              </w:rPr>
            </w:pPr>
          </w:p>
        </w:tc>
        <w:tc>
          <w:tcPr>
            <w:tcW w:w="5203" w:type="dxa"/>
            <w:vAlign w:val="center"/>
          </w:tcPr>
          <w:p w14:paraId="37A3E25C">
            <w:pPr>
              <w:pStyle w:val="8"/>
              <w:rPr>
                <w:rFonts w:hint="eastAsia" w:ascii="仿宋" w:hAnsi="仿宋" w:eastAsia="仿宋" w:cs="仿宋"/>
                <w:color w:val="auto"/>
                <w:highlight w:val="none"/>
              </w:rPr>
            </w:pPr>
            <w:r>
              <w:rPr>
                <w:rFonts w:hint="eastAsia" w:ascii="仿宋" w:hAnsi="仿宋" w:eastAsia="仿宋" w:cs="仿宋"/>
                <w:color w:val="auto"/>
                <w:highlight w:val="none"/>
              </w:rPr>
              <w:t xml:space="preserve">住所： </w:t>
            </w:r>
          </w:p>
        </w:tc>
      </w:tr>
      <w:tr w14:paraId="3FB64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75" w:type="dxa"/>
            <w:vAlign w:val="center"/>
          </w:tcPr>
          <w:p w14:paraId="26CD7007">
            <w:pPr>
              <w:pStyle w:val="8"/>
              <w:rPr>
                <w:rFonts w:hint="eastAsia" w:ascii="仿宋" w:hAnsi="仿宋" w:eastAsia="仿宋" w:cs="仿宋"/>
                <w:color w:val="auto"/>
                <w:highlight w:val="none"/>
              </w:rPr>
            </w:pPr>
            <w:r>
              <w:rPr>
                <w:rFonts w:hint="eastAsia" w:ascii="仿宋" w:hAnsi="仿宋" w:eastAsia="仿宋" w:cs="仿宋"/>
                <w:color w:val="auto"/>
                <w:highlight w:val="none"/>
              </w:rPr>
              <w:t>法定代表人：</w:t>
            </w:r>
          </w:p>
        </w:tc>
        <w:tc>
          <w:tcPr>
            <w:tcW w:w="240" w:type="dxa"/>
            <w:vAlign w:val="center"/>
          </w:tcPr>
          <w:p w14:paraId="0C7BF05B">
            <w:pPr>
              <w:pStyle w:val="8"/>
              <w:rPr>
                <w:rFonts w:hint="eastAsia" w:ascii="仿宋" w:hAnsi="仿宋" w:eastAsia="仿宋" w:cs="仿宋"/>
                <w:color w:val="auto"/>
                <w:highlight w:val="none"/>
              </w:rPr>
            </w:pPr>
          </w:p>
        </w:tc>
        <w:tc>
          <w:tcPr>
            <w:tcW w:w="5203" w:type="dxa"/>
            <w:vAlign w:val="center"/>
          </w:tcPr>
          <w:p w14:paraId="704D6BE0">
            <w:pPr>
              <w:pStyle w:val="8"/>
              <w:rPr>
                <w:rFonts w:hint="eastAsia" w:ascii="仿宋" w:hAnsi="仿宋" w:eastAsia="仿宋" w:cs="仿宋"/>
                <w:color w:val="auto"/>
                <w:highlight w:val="none"/>
              </w:rPr>
            </w:pPr>
            <w:r>
              <w:rPr>
                <w:rFonts w:hint="eastAsia" w:ascii="仿宋" w:hAnsi="仿宋" w:eastAsia="仿宋" w:cs="仿宋"/>
                <w:color w:val="auto"/>
                <w:highlight w:val="none"/>
              </w:rPr>
              <w:t>法定代表人：</w:t>
            </w:r>
          </w:p>
        </w:tc>
      </w:tr>
      <w:tr w14:paraId="78F84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75" w:type="dxa"/>
            <w:vAlign w:val="center"/>
          </w:tcPr>
          <w:p w14:paraId="3E296180">
            <w:pPr>
              <w:pStyle w:val="8"/>
              <w:rPr>
                <w:rFonts w:hint="eastAsia" w:ascii="仿宋" w:hAnsi="仿宋" w:eastAsia="仿宋" w:cs="仿宋"/>
                <w:color w:val="auto"/>
                <w:highlight w:val="none"/>
              </w:rPr>
            </w:pPr>
            <w:r>
              <w:rPr>
                <w:rFonts w:hint="eastAsia" w:ascii="仿宋" w:hAnsi="仿宋" w:eastAsia="仿宋" w:cs="仿宋"/>
                <w:color w:val="auto"/>
                <w:highlight w:val="none"/>
              </w:rPr>
              <w:t>委托代理人：</w:t>
            </w:r>
          </w:p>
        </w:tc>
        <w:tc>
          <w:tcPr>
            <w:tcW w:w="240" w:type="dxa"/>
            <w:vAlign w:val="center"/>
          </w:tcPr>
          <w:p w14:paraId="302CAE64">
            <w:pPr>
              <w:pStyle w:val="8"/>
              <w:rPr>
                <w:rFonts w:hint="eastAsia" w:ascii="仿宋" w:hAnsi="仿宋" w:eastAsia="仿宋" w:cs="仿宋"/>
                <w:color w:val="auto"/>
                <w:highlight w:val="none"/>
              </w:rPr>
            </w:pPr>
          </w:p>
        </w:tc>
        <w:tc>
          <w:tcPr>
            <w:tcW w:w="5203" w:type="dxa"/>
            <w:vAlign w:val="center"/>
          </w:tcPr>
          <w:p w14:paraId="6872BFFD">
            <w:pPr>
              <w:pStyle w:val="8"/>
              <w:rPr>
                <w:rFonts w:hint="eastAsia" w:ascii="仿宋" w:hAnsi="仿宋" w:eastAsia="仿宋" w:cs="仿宋"/>
                <w:color w:val="auto"/>
                <w:highlight w:val="none"/>
              </w:rPr>
            </w:pPr>
            <w:r>
              <w:rPr>
                <w:rFonts w:hint="eastAsia" w:ascii="仿宋" w:hAnsi="仿宋" w:eastAsia="仿宋" w:cs="仿宋"/>
                <w:color w:val="auto"/>
                <w:highlight w:val="none"/>
              </w:rPr>
              <w:t>委托代理人：</w:t>
            </w:r>
          </w:p>
        </w:tc>
      </w:tr>
      <w:tr w14:paraId="780E7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390BB7C5">
            <w:pPr>
              <w:pStyle w:val="8"/>
              <w:rPr>
                <w:rFonts w:hint="eastAsia" w:ascii="仿宋" w:hAnsi="仿宋" w:eastAsia="仿宋" w:cs="仿宋"/>
                <w:color w:val="auto"/>
                <w:highlight w:val="none"/>
              </w:rPr>
            </w:pPr>
            <w:r>
              <w:rPr>
                <w:rFonts w:hint="eastAsia" w:ascii="仿宋" w:hAnsi="仿宋" w:eastAsia="仿宋" w:cs="仿宋"/>
                <w:color w:val="auto"/>
                <w:highlight w:val="none"/>
              </w:rPr>
              <w:t xml:space="preserve">电 话： </w:t>
            </w:r>
          </w:p>
        </w:tc>
        <w:tc>
          <w:tcPr>
            <w:tcW w:w="240" w:type="dxa"/>
            <w:vAlign w:val="center"/>
          </w:tcPr>
          <w:p w14:paraId="445310D4">
            <w:pPr>
              <w:pStyle w:val="8"/>
              <w:rPr>
                <w:rFonts w:hint="eastAsia" w:ascii="仿宋" w:hAnsi="仿宋" w:eastAsia="仿宋" w:cs="仿宋"/>
                <w:color w:val="auto"/>
                <w:highlight w:val="none"/>
              </w:rPr>
            </w:pPr>
          </w:p>
        </w:tc>
        <w:tc>
          <w:tcPr>
            <w:tcW w:w="5203" w:type="dxa"/>
            <w:vAlign w:val="center"/>
          </w:tcPr>
          <w:p w14:paraId="0D003F2B">
            <w:pPr>
              <w:pStyle w:val="8"/>
              <w:rPr>
                <w:rFonts w:hint="eastAsia" w:ascii="仿宋" w:hAnsi="仿宋" w:eastAsia="仿宋" w:cs="仿宋"/>
                <w:color w:val="auto"/>
                <w:highlight w:val="none"/>
              </w:rPr>
            </w:pPr>
            <w:r>
              <w:rPr>
                <w:rFonts w:hint="eastAsia" w:ascii="仿宋" w:hAnsi="仿宋" w:eastAsia="仿宋" w:cs="仿宋"/>
                <w:color w:val="auto"/>
                <w:highlight w:val="none"/>
              </w:rPr>
              <w:t xml:space="preserve">电 话： </w:t>
            </w:r>
          </w:p>
        </w:tc>
      </w:tr>
      <w:tr w14:paraId="51FB5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75" w:type="dxa"/>
            <w:vAlign w:val="center"/>
          </w:tcPr>
          <w:p w14:paraId="3870757D">
            <w:pPr>
              <w:pStyle w:val="8"/>
              <w:rPr>
                <w:rFonts w:hint="eastAsia" w:ascii="仿宋" w:hAnsi="仿宋" w:eastAsia="仿宋" w:cs="仿宋"/>
                <w:color w:val="auto"/>
                <w:highlight w:val="none"/>
              </w:rPr>
            </w:pPr>
            <w:r>
              <w:rPr>
                <w:rFonts w:hint="eastAsia" w:ascii="仿宋" w:hAnsi="仿宋" w:eastAsia="仿宋" w:cs="仿宋"/>
                <w:color w:val="auto"/>
                <w:highlight w:val="none"/>
              </w:rPr>
              <w:t>传真：</w:t>
            </w:r>
          </w:p>
        </w:tc>
        <w:tc>
          <w:tcPr>
            <w:tcW w:w="240" w:type="dxa"/>
            <w:vAlign w:val="center"/>
          </w:tcPr>
          <w:p w14:paraId="300853B9">
            <w:pPr>
              <w:pStyle w:val="8"/>
              <w:rPr>
                <w:rFonts w:hint="eastAsia" w:ascii="仿宋" w:hAnsi="仿宋" w:eastAsia="仿宋" w:cs="仿宋"/>
                <w:color w:val="auto"/>
                <w:highlight w:val="none"/>
              </w:rPr>
            </w:pPr>
          </w:p>
        </w:tc>
        <w:tc>
          <w:tcPr>
            <w:tcW w:w="5203" w:type="dxa"/>
            <w:vAlign w:val="center"/>
          </w:tcPr>
          <w:p w14:paraId="556EE5F9">
            <w:pPr>
              <w:pStyle w:val="8"/>
              <w:rPr>
                <w:rFonts w:hint="eastAsia" w:ascii="仿宋" w:hAnsi="仿宋" w:eastAsia="仿宋" w:cs="仿宋"/>
                <w:color w:val="auto"/>
                <w:highlight w:val="none"/>
              </w:rPr>
            </w:pPr>
            <w:r>
              <w:rPr>
                <w:rFonts w:hint="eastAsia" w:ascii="仿宋" w:hAnsi="仿宋" w:eastAsia="仿宋" w:cs="仿宋"/>
                <w:color w:val="auto"/>
                <w:highlight w:val="none"/>
              </w:rPr>
              <w:t>传真：</w:t>
            </w:r>
          </w:p>
        </w:tc>
      </w:tr>
      <w:tr w14:paraId="7E5B0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17B9957B">
            <w:pPr>
              <w:pStyle w:val="8"/>
              <w:rPr>
                <w:rFonts w:hint="eastAsia" w:ascii="仿宋" w:hAnsi="仿宋" w:eastAsia="仿宋" w:cs="仿宋"/>
                <w:color w:val="auto"/>
                <w:highlight w:val="none"/>
              </w:rPr>
            </w:pPr>
            <w:r>
              <w:rPr>
                <w:rFonts w:hint="eastAsia" w:ascii="仿宋" w:hAnsi="仿宋" w:eastAsia="仿宋" w:cs="仿宋"/>
                <w:color w:val="auto"/>
                <w:highlight w:val="none"/>
              </w:rPr>
              <w:t>开户银行：</w:t>
            </w:r>
          </w:p>
        </w:tc>
        <w:tc>
          <w:tcPr>
            <w:tcW w:w="240" w:type="dxa"/>
            <w:vAlign w:val="center"/>
          </w:tcPr>
          <w:p w14:paraId="099CDDA7">
            <w:pPr>
              <w:pStyle w:val="8"/>
              <w:rPr>
                <w:rFonts w:hint="eastAsia" w:ascii="仿宋" w:hAnsi="仿宋" w:eastAsia="仿宋" w:cs="仿宋"/>
                <w:color w:val="auto"/>
                <w:highlight w:val="none"/>
              </w:rPr>
            </w:pPr>
          </w:p>
        </w:tc>
        <w:tc>
          <w:tcPr>
            <w:tcW w:w="5203" w:type="dxa"/>
            <w:vAlign w:val="center"/>
          </w:tcPr>
          <w:p w14:paraId="76B101E9">
            <w:pPr>
              <w:pStyle w:val="8"/>
              <w:rPr>
                <w:rFonts w:hint="eastAsia" w:ascii="仿宋" w:hAnsi="仿宋" w:eastAsia="仿宋" w:cs="仿宋"/>
                <w:color w:val="auto"/>
                <w:highlight w:val="none"/>
              </w:rPr>
            </w:pPr>
            <w:r>
              <w:rPr>
                <w:rFonts w:hint="eastAsia" w:ascii="仿宋" w:hAnsi="仿宋" w:eastAsia="仿宋" w:cs="仿宋"/>
                <w:color w:val="auto"/>
                <w:highlight w:val="none"/>
              </w:rPr>
              <w:t xml:space="preserve">开户银行： </w:t>
            </w:r>
          </w:p>
        </w:tc>
      </w:tr>
      <w:tr w14:paraId="37CC3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3878135A">
            <w:pPr>
              <w:pStyle w:val="8"/>
              <w:rPr>
                <w:rFonts w:hint="eastAsia" w:ascii="仿宋" w:hAnsi="仿宋" w:eastAsia="仿宋" w:cs="仿宋"/>
                <w:color w:val="auto"/>
                <w:highlight w:val="none"/>
              </w:rPr>
            </w:pPr>
            <w:r>
              <w:rPr>
                <w:rFonts w:hint="eastAsia" w:ascii="仿宋" w:hAnsi="仿宋" w:eastAsia="仿宋" w:cs="仿宋"/>
                <w:color w:val="auto"/>
                <w:highlight w:val="none"/>
              </w:rPr>
              <w:t>账号：</w:t>
            </w:r>
          </w:p>
        </w:tc>
        <w:tc>
          <w:tcPr>
            <w:tcW w:w="240" w:type="dxa"/>
            <w:vAlign w:val="center"/>
          </w:tcPr>
          <w:p w14:paraId="57ADAABF">
            <w:pPr>
              <w:pStyle w:val="8"/>
              <w:rPr>
                <w:rFonts w:hint="eastAsia" w:ascii="仿宋" w:hAnsi="仿宋" w:eastAsia="仿宋" w:cs="仿宋"/>
                <w:color w:val="auto"/>
                <w:highlight w:val="none"/>
              </w:rPr>
            </w:pPr>
          </w:p>
        </w:tc>
        <w:tc>
          <w:tcPr>
            <w:tcW w:w="5203" w:type="dxa"/>
            <w:vAlign w:val="center"/>
          </w:tcPr>
          <w:p w14:paraId="24C739B1">
            <w:pPr>
              <w:pStyle w:val="8"/>
              <w:rPr>
                <w:rFonts w:hint="eastAsia" w:ascii="仿宋" w:hAnsi="仿宋" w:eastAsia="仿宋" w:cs="仿宋"/>
                <w:color w:val="auto"/>
                <w:highlight w:val="none"/>
              </w:rPr>
            </w:pPr>
            <w:r>
              <w:rPr>
                <w:rFonts w:hint="eastAsia" w:ascii="仿宋" w:hAnsi="仿宋" w:eastAsia="仿宋" w:cs="仿宋"/>
                <w:color w:val="auto"/>
                <w:highlight w:val="none"/>
              </w:rPr>
              <w:t xml:space="preserve">账号： </w:t>
            </w:r>
          </w:p>
        </w:tc>
      </w:tr>
      <w:tr w14:paraId="78039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22C4DD57">
            <w:pPr>
              <w:pStyle w:val="8"/>
              <w:rPr>
                <w:rFonts w:hint="eastAsia" w:ascii="仿宋" w:hAnsi="仿宋" w:eastAsia="仿宋" w:cs="仿宋"/>
                <w:color w:val="auto"/>
                <w:highlight w:val="none"/>
              </w:rPr>
            </w:pPr>
            <w:r>
              <w:rPr>
                <w:rFonts w:hint="eastAsia" w:ascii="仿宋" w:hAnsi="仿宋" w:eastAsia="仿宋" w:cs="仿宋"/>
                <w:color w:val="auto"/>
                <w:highlight w:val="none"/>
              </w:rPr>
              <w:t>邮政编码：</w:t>
            </w:r>
          </w:p>
        </w:tc>
        <w:tc>
          <w:tcPr>
            <w:tcW w:w="240" w:type="dxa"/>
            <w:vAlign w:val="center"/>
          </w:tcPr>
          <w:p w14:paraId="323E2E38">
            <w:pPr>
              <w:pStyle w:val="8"/>
              <w:rPr>
                <w:rFonts w:hint="eastAsia" w:ascii="仿宋" w:hAnsi="仿宋" w:eastAsia="仿宋" w:cs="仿宋"/>
                <w:color w:val="auto"/>
                <w:highlight w:val="none"/>
              </w:rPr>
            </w:pPr>
          </w:p>
        </w:tc>
        <w:tc>
          <w:tcPr>
            <w:tcW w:w="5203" w:type="dxa"/>
            <w:vAlign w:val="center"/>
          </w:tcPr>
          <w:p w14:paraId="56B7E298">
            <w:pPr>
              <w:pStyle w:val="8"/>
              <w:rPr>
                <w:rFonts w:hint="eastAsia" w:ascii="仿宋" w:hAnsi="仿宋" w:eastAsia="仿宋" w:cs="仿宋"/>
                <w:color w:val="auto"/>
                <w:highlight w:val="none"/>
              </w:rPr>
            </w:pPr>
            <w:r>
              <w:rPr>
                <w:rFonts w:hint="eastAsia" w:ascii="仿宋" w:hAnsi="仿宋" w:eastAsia="仿宋" w:cs="仿宋"/>
                <w:color w:val="auto"/>
                <w:highlight w:val="none"/>
              </w:rPr>
              <w:t>邮政编码：</w:t>
            </w:r>
          </w:p>
        </w:tc>
      </w:tr>
    </w:tbl>
    <w:p w14:paraId="265139BC">
      <w:pPr>
        <w:widowControl/>
        <w:jc w:val="left"/>
        <w:rPr>
          <w:rFonts w:hint="eastAsia" w:ascii="仿宋" w:hAnsi="仿宋" w:eastAsia="仿宋" w:cs="仿宋"/>
          <w:color w:val="auto"/>
          <w:sz w:val="24"/>
          <w:highlight w:val="none"/>
        </w:rPr>
      </w:pPr>
    </w:p>
    <w:p w14:paraId="199979CB">
      <w:pPr>
        <w:widowControl/>
        <w:jc w:val="left"/>
        <w:rPr>
          <w:rFonts w:hint="eastAsia" w:ascii="仿宋" w:hAnsi="仿宋" w:eastAsia="仿宋" w:cs="仿宋"/>
          <w:color w:val="auto"/>
          <w:sz w:val="24"/>
          <w:highlight w:val="none"/>
        </w:rPr>
      </w:pPr>
    </w:p>
    <w:p w14:paraId="07C9E8EA">
      <w:pPr>
        <w:spacing w:line="360" w:lineRule="auto"/>
        <w:jc w:val="center"/>
        <w:rPr>
          <w:rFonts w:hint="eastAsia" w:ascii="仿宋" w:hAnsi="仿宋" w:eastAsia="仿宋" w:cs="仿宋"/>
          <w:color w:val="auto"/>
          <w:sz w:val="24"/>
          <w:highlight w:val="none"/>
        </w:rPr>
      </w:pPr>
    </w:p>
    <w:p w14:paraId="7D92F87B">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合同条款</w:t>
      </w:r>
    </w:p>
    <w:p w14:paraId="7B587E2A">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1．采购与供应</w:t>
      </w:r>
    </w:p>
    <w:p w14:paraId="4DED747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 本合同价款最终双方以实际验收的数量结算。</w:t>
      </w:r>
    </w:p>
    <w:p w14:paraId="6B02513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 本合同所采购与供应设备的数量为暂定量，供应商按附件1《计划采购与供应设备清单》所列品种和规格供货，最终以经采购人验收合格实际数量为准。</w:t>
      </w:r>
    </w:p>
    <w:p w14:paraId="3F4A5F4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 本合同所采购与供应设备的计价、结算和支付货币均为人民币。</w:t>
      </w:r>
    </w:p>
    <w:p w14:paraId="473CFC8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 本合同所采购与供应设备的计量单位，为中华人民共和国法定公制计量单位（除技术规范标准另有规定外）。</w:t>
      </w:r>
    </w:p>
    <w:p w14:paraId="6A88CB8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1.5 本合同所采购与供应设备的单价，指运抵本项目现场指定地点交货综合价，包括设备费、加工费、包装费、检测费、装卸费、运输费、税金、供应商合理的利润、管理费、市场价格波动带来的风险、向有关部门缴纳的各项费用以及政策性文件所规定的各项应有费用等供应商履行本合同规定义务的全部价款与费税，除本合同第1.6条规定的因素外，不得因政府政策变动、市场环境改变、税率调整等而调整。</w:t>
      </w:r>
    </w:p>
    <w:p w14:paraId="0CE10B4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1.6本合同综合单价按下列第（1）种办法进行调整。</w:t>
      </w:r>
    </w:p>
    <w:p w14:paraId="0E9C8D0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（1）综合单价包干，价格不可调整。</w:t>
      </w:r>
    </w:p>
    <w:p w14:paraId="646FD6E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（2）具体调价办法： _______________________。  </w:t>
      </w:r>
    </w:p>
    <w:p w14:paraId="3FB4BF9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2．质量要求</w:t>
      </w:r>
    </w:p>
    <w:p w14:paraId="3493685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 供应商应在交货同时向采购人提供本合同所采购与供应设备制造商出具的书面质量保证书。</w:t>
      </w:r>
    </w:p>
    <w:p w14:paraId="09783EE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2.2 本合同所采购与供应的设备，应符合现行中华人民共和国国家标准及行业标准，各项技术性能指标经本项目所在地具有相应检测资质的专业机构或单位检测中心检验必须符合国标要求。合同执行过程中，若出现新的国家标准，则以更新后的标准为准。</w:t>
      </w:r>
    </w:p>
    <w:p w14:paraId="7A249D9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 供应商的设备供应与管理应符合国家有关环保法律、法规和ISO9000质量体系标准。</w:t>
      </w:r>
    </w:p>
    <w:p w14:paraId="1625FAB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2.4 本合同所采购与供应设备的质量保证期自验收合格之日起_________年。</w:t>
      </w:r>
    </w:p>
    <w:p w14:paraId="0D9B5FD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2.5质量保证期内，供应商无条件的向采购人提供缺陷产品的免费维修、更换等服务。针对采购人提出的书面要求，供应商必须在3日内给予书面答复。如有必要，供应商在3日内指派专人到现场解决，因此产生的所有费用均由供应商承担。</w:t>
      </w:r>
    </w:p>
    <w:p w14:paraId="2DD98E7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2.6 不论任何原因，供应商借故推脱或拒绝采购人提出的维修、更换等服务请求，采购人有权自行解决，实际发生的维修或更换等费用，从应支付给供应商的货款中扣除，并保留进一步索赔的权利。维修或更换设备的质量保证期相应延长6个月。</w:t>
      </w:r>
    </w:p>
    <w:p w14:paraId="39DCD96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2.7质量保证期内，如因供应商产品质量导致出现项目质量问题，由此造成的一切损失由供应商承担。</w:t>
      </w:r>
    </w:p>
    <w:p w14:paraId="6A11BCB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2.8其他质量要求：                     。</w:t>
      </w:r>
    </w:p>
    <w:p w14:paraId="00A3B21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3．供货时间及地点</w:t>
      </w:r>
    </w:p>
    <w:p w14:paraId="4AD262E5">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3.1供货及通知方式：</w:t>
      </w:r>
      <w:r>
        <w:rPr>
          <w:rFonts w:hint="eastAsia" w:ascii="仿宋" w:hAnsi="仿宋" w:eastAsia="仿宋" w:cs="仿宋"/>
          <w:color w:val="auto"/>
          <w:sz w:val="24"/>
          <w:highlight w:val="none"/>
          <w:u w:val="single"/>
        </w:rPr>
        <w:t>按批次供货，时间及数量以采购人书面通知为准。在运输、装卸过程中发生的安全事故责任，供应商自行承担。</w:t>
      </w:r>
    </w:p>
    <w:p w14:paraId="24CCC45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3.2供货地点：供应商负责送货至项目现场卸至采购人指定的卸货地点，并承担费用。</w:t>
      </w:r>
    </w:p>
    <w:p w14:paraId="4915588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4．验收标准、方法、地点及期限</w:t>
      </w:r>
    </w:p>
    <w:p w14:paraId="7C7CD3E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4.1数量验收：甲乙双方在交货现场以过磅、点数、检尺等约定方式进行数量验收，采购人应保证设备随到随验。供应商应对在采购人现场的计量数据进行确认。</w:t>
      </w:r>
    </w:p>
    <w:p w14:paraId="49EBF21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4.2质量验收：</w:t>
      </w:r>
    </w:p>
    <w:p w14:paraId="7B97BFA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（1）进行数量验收的同时，采购人按要求进行尺寸和外观质量验收，尺寸和外观质量符合要求方可卸车，否则不得卸车。</w:t>
      </w:r>
    </w:p>
    <w:p w14:paraId="4022B7F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外观质量符合要求的，采购人及时按规定取样送本项目所在地具有相应检测资质的专业机构或单位进行检测。检测合格视为最终合格。如采购人、本项目建设单位或监督单位提出异议，参照有关标准规范，结合现场情况解决，供应商必须满足上述三方的有关质量的意见。</w:t>
      </w:r>
    </w:p>
    <w:p w14:paraId="32D35EC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（3）经双方验收合格后，由采购人开具签收单作为最终结算依据。</w:t>
      </w:r>
    </w:p>
    <w:p w14:paraId="2ACE615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（4）抽检未发现不合格产品不代表供应商供应产品全部合格，如因供应商产品问题造成采购人供货期、质量、劳务等损失，全部责任均由供应商承担。</w:t>
      </w:r>
    </w:p>
    <w:p w14:paraId="26C8CB1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（5）外观及检验不合格的设备，供应商应在接采购人通知后24小时内清理出项目现场，并承担本次的检测费用，造成的一切损失由供应商承担。</w:t>
      </w:r>
    </w:p>
    <w:p w14:paraId="4040895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（6）其他：现场现货检验，采购人如有异议3日内提出，供应商24小时内负责处理。</w:t>
      </w:r>
    </w:p>
    <w:p w14:paraId="1B5CF8A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4.3标的物所有权自卸货完毕时起转移，但经验收确认为不合格的，供应商必须根据采购人要求无条件退换。</w:t>
      </w:r>
    </w:p>
    <w:p w14:paraId="207B6BD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5．安全文明施工与环境保护</w:t>
      </w:r>
    </w:p>
    <w:p w14:paraId="2BB916C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5.1安全文明施工</w:t>
      </w:r>
    </w:p>
    <w:p w14:paraId="491C9A2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5.1.1 项目安全生产的达标目标及相应事项的约定：_____________。</w:t>
      </w:r>
    </w:p>
    <w:p w14:paraId="33CEB49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5.1.2 文明施工</w:t>
      </w:r>
      <w:bookmarkStart w:id="439" w:name="_GoBack"/>
      <w:bookmarkEnd w:id="439"/>
    </w:p>
    <w:p w14:paraId="71B1D9F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合同当事人对文明施工的要求：________________。  </w:t>
      </w:r>
    </w:p>
    <w:p w14:paraId="09813D3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5.1.3 供应商负责在设备供货、指导安装、调试、售后服务整个过程中现场全部人员、设备的安全。供货服务期间发生的一切安全事故，由供应商承担全部责任，并承担由此发生的一切费用。</w:t>
      </w:r>
    </w:p>
    <w:p w14:paraId="5A741DE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采购人不承担供应商和其单位雇佣的工人或其他人员的伤亡赔偿或补偿责任，承包方必须为现场服务人员办理危险作业意外伤害保险，费用自行承担。本项目需特殊防护的内容:针对施工现场情况及迎检等需要，应采取不同的防护措施，费用自行承担。</w:t>
      </w:r>
    </w:p>
    <w:p w14:paraId="4827806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6．预付款</w:t>
      </w:r>
    </w:p>
    <w:p w14:paraId="03B861A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6.1 预付款的支付时间和金额（或占合同价款的比例）：   。</w:t>
      </w:r>
    </w:p>
    <w:p w14:paraId="699227E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6.2 扣回预付款的时间、比例：  /     。</w:t>
      </w:r>
    </w:p>
    <w:p w14:paraId="348D48DC">
      <w:pPr>
        <w:spacing w:line="360" w:lineRule="auto"/>
        <w:ind w:firstLine="480" w:firstLineChars="200"/>
        <w:rPr>
          <w:rFonts w:hint="eastAsia" w:ascii="仿宋" w:hAnsi="仿宋" w:eastAsia="仿宋" w:cs="仿宋"/>
          <w:b/>
          <w:color w:val="auto"/>
          <w:sz w:val="24"/>
          <w:highlight w:val="none"/>
          <w:u w:val="single"/>
        </w:rPr>
      </w:pPr>
      <w:r>
        <w:rPr>
          <w:rFonts w:hint="eastAsia" w:ascii="仿宋" w:hAnsi="仿宋" w:eastAsia="仿宋" w:cs="仿宋"/>
          <w:color w:val="auto"/>
          <w:sz w:val="24"/>
          <w:highlight w:val="none"/>
        </w:rPr>
        <w:t>7．货款支付：________________________</w:t>
      </w:r>
      <w:r>
        <w:rPr>
          <w:rFonts w:hint="eastAsia" w:ascii="仿宋" w:hAnsi="仿宋" w:eastAsia="仿宋" w:cs="仿宋"/>
          <w:b/>
          <w:color w:val="auto"/>
          <w:sz w:val="24"/>
          <w:highlight w:val="none"/>
          <w:u w:val="single"/>
        </w:rPr>
        <w:t>。</w:t>
      </w:r>
    </w:p>
    <w:p w14:paraId="3A1ED32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7.2供应商按照采购人要求的时间，依据甲乙双方共同确认的结算金额和结算明细向采购人开具结算100%的增值税发票，否则采购人有权拒绝支付货款且不构成违约。</w:t>
      </w:r>
    </w:p>
    <w:p w14:paraId="188E91D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7.3 货款支付方式可选择银行转账支票、网银转账、银行承兑汇票等常规支付方式的付款方式，具体付款方式以双方每次付款前协商确定为准。</w:t>
      </w:r>
    </w:p>
    <w:p w14:paraId="7DE7F6E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7.4其他</w:t>
      </w:r>
    </w:p>
    <w:p w14:paraId="1D7B2FE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由于不可抗力等原因导致资金不到位的，致使采购人不能按合同付款，采购人不承担延期付款利息及违约金。</w:t>
      </w:r>
    </w:p>
    <w:p w14:paraId="59DCCB7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若供应商不按要求开立银行账户，导致货款或项目款延期支付，采购人不承担延期付款利息及违约金，供应商不得因此停止合同的履行。</w:t>
      </w:r>
    </w:p>
    <w:p w14:paraId="52E4339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8．合同变更</w:t>
      </w:r>
    </w:p>
    <w:p w14:paraId="5630BE9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8.1 由于项目变更，采购人向供应商提出书面合同变更，供应商应予以接受。甲乙双方共同修订的合同条款，构成本合同的有效组成部分，与本合同具有同等效力。</w:t>
      </w:r>
    </w:p>
    <w:p w14:paraId="2165724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8.2 根据项目需要，采购人对所采购设备的数量和送货时间如有变更，及时书面通知供应商，供应商按变更后的数量和送货时间供货，新增或减少的设备价格不变。</w:t>
      </w:r>
    </w:p>
    <w:p w14:paraId="5C70D1B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9．双方责任</w:t>
      </w:r>
    </w:p>
    <w:p w14:paraId="6B644E4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9.1 双方指定现场收货及交货代表。</w:t>
      </w:r>
    </w:p>
    <w:p w14:paraId="1D9CA47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采购人收货代表：          ，联系电话:             。</w:t>
      </w:r>
    </w:p>
    <w:p w14:paraId="3E77A96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供应商交货代表：          ，联系电话:             。</w:t>
      </w:r>
    </w:p>
    <w:p w14:paraId="153AC72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双方更换各自代表时，应及时通知对方，以确保设备顺利交接。</w:t>
      </w:r>
    </w:p>
    <w:p w14:paraId="65F5668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9.2 供应商应将设备按合同约定时间运至采购人指定地点，并经采购人指定收货代表和采购人项目所属其他2人及以上签字验收确认后有效。</w:t>
      </w:r>
    </w:p>
    <w:p w14:paraId="5319A8B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9.3 本合同履行过程中，如果供应商不能按时交货，应在24小时内以书面形式通报采购人，采购人视情况确定是否同意变更供货时间。如采购人不同意变更供货时间，可自行采购部分或全部设备。采购人在自行采购和接收该违约部分设备时实际发生的所有额外费用和因此给采购人造成的损失，从应支付给供应商的货款中扣除，采购人同时保留进一步索赔的权利。</w:t>
      </w:r>
    </w:p>
    <w:p w14:paraId="57C0191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9.4 除另有规定和协议要求外，供应商提供的全部设备须采用国家、企业、行业标准要求包装，并同时满足方便所供设备长途及短途运输的要求，并有良好的防潮、防震、防锈、防爆等措施。</w:t>
      </w:r>
    </w:p>
    <w:p w14:paraId="338644D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9.5 装箱单应注明设备的名称、规格、型号、数量、质量、生产商、发货地、供应商、收货人、交货地、承运人等，并在显著位置标明装卸警示标志。</w:t>
      </w:r>
    </w:p>
    <w:p w14:paraId="124A842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9.6 供应商应对项目现场情况和当地政府运输时限和通道限制的正常及临时规定有充分了解和理解，不应因此提出索赔、要求延长或变更供货期限等。</w:t>
      </w:r>
    </w:p>
    <w:p w14:paraId="2CF55EC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9.7 供应商应提供本合同所采购与供应设备制造商的名称、法定地址、联系方法等，如果供应商是本合同所采购与供应设备生产厂商的指定代理销售单位，供应商还应向采购人提供生产厂商的销售代理委托书或其他证明文件。</w:t>
      </w:r>
    </w:p>
    <w:p w14:paraId="5BB831E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9.8 供应商运抵采购人指定现场的设备，交货单据上应详细列明当次供应设备的名称、品牌、产地、生产厂家、规格型号、计量单位、单价、数量、合计金额。</w:t>
      </w:r>
    </w:p>
    <w:p w14:paraId="71212D9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9.9 本合同所采购与供应设备在使用过程中，采购人打开包装进行质量、性能等的检验时，发现质量问题告知供应商，供应商应在三日内予以维修、更换或退货。</w:t>
      </w:r>
    </w:p>
    <w:p w14:paraId="6D418A4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9.10 供应商应向采购人提交本合同所采购与供应设备的技术文件，包括材质报告（设备质量检验报告）和生产合格检验报告，以及按照项目竣工验收规定及采购人要求，提供所有相关符合要求的资料。</w:t>
      </w:r>
    </w:p>
    <w:p w14:paraId="7B2C950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9.11 采购人、设计、相关内部监督单位审核供应商提交的资料仅是一般性的监督，并不减少供应商与此有关的合同责任。</w:t>
      </w:r>
    </w:p>
    <w:p w14:paraId="3ED392C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9.12 未经采购人同意，供应商不得将本合同项下的任何权利义务（包含债权、债务）转让给第三人。供应商即使向采购人发送了权利义务（包含债权、债务）转让通知书，供应商承诺该转让通知书对采购人不发生任何效力，供应商承担因其转让行为给采购人造成的一切经济损失。</w:t>
      </w:r>
    </w:p>
    <w:p w14:paraId="3096DCB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9.13当一方纳税人信息等关键企业信息发生变化时，必须书面通知对方，否则应承担因此给对方造成的损失。</w:t>
      </w:r>
    </w:p>
    <w:p w14:paraId="5F08627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9.14采购人依据本合同（供应商纳税人相关信息）约定收款单位（供应商公司名称）、开户银行、账号向供应商支付货款。</w:t>
      </w:r>
    </w:p>
    <w:p w14:paraId="7DFD277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10．违约与赔偿</w:t>
      </w:r>
    </w:p>
    <w:p w14:paraId="6BE28A2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10.1 除本合同中规定的不可抗力外，其他不论任何原因，本合同所采购与供应设备，供应商若不能按规定期限送至采购人指定现场存货地点，采购人向供应商收取逾期运达设备总额（含增值税）每日0.5％的违约金，并有权因供应商违约终止合同。</w:t>
      </w:r>
    </w:p>
    <w:p w14:paraId="34CD329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10.2 对本合同所采购与供应的设备，采购人有权邀请当地有关质量监督管理部门进行检验，并出具检验证书，发现供应商所供设备不符合要求，采购人向供应商提出索赔，供应商应予以接受。</w:t>
      </w:r>
    </w:p>
    <w:p w14:paraId="3DA8D6A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10.3 本合同所采购与供应的设备，在规定质量保证期限内采购人向供应商提出索赔，供应商应按下列条款向采购人赔偿：</w:t>
      </w:r>
    </w:p>
    <w:p w14:paraId="478DC53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（1）同意采购人拒收设备，并把被拒收设备的预付货款返还采购人。</w:t>
      </w:r>
    </w:p>
    <w:p w14:paraId="4A854B1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（2）承担退货过程中发生的一切损失和费用，包括利息、银行费用、运输和保险费、检验费、仓储和装卸费以及为保管和保护退货设备所需的其它费用。</w:t>
      </w:r>
    </w:p>
    <w:p w14:paraId="15E2A38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（3）根据设备的质量缺陷和受损程度以及采购人遭受损失，经双方协商同意降低设备价格。</w:t>
      </w:r>
    </w:p>
    <w:p w14:paraId="2AB4294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（4）更换或修理有缺陷的设备，以达到合同约定的质量和性能，供应商承担一切费用和风险，并承担采购人因此而造成的损失。同时相应延长被更换或修理设备的质量保证期。</w:t>
      </w:r>
    </w:p>
    <w:p w14:paraId="12A2D36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10.4 采购人提出索赔通知后，供应商应在28日内答复，如果在28日内未答复，视为供应商已接受该索赔，同时采购人保留进一步要求赔偿的权利。</w:t>
      </w:r>
    </w:p>
    <w:p w14:paraId="0861010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10.5 供应商应按采购人要求及时提供符合本合同约定的增值税发票，供应商必须确保发票票面信息全部真实，相关设备品类、价款等内容与本合同相一致。</w:t>
      </w:r>
    </w:p>
    <w:p w14:paraId="6498EAC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因供应商开具的发票不规范、不合法等导致发票不能抵扣税款或涉嫌虚开发票引起税务问题的，供应商应向采购人重新开具发票，并向采购人承担赔偿责任，包括但不限于税款、滞纳金、罚款及相关损失等。</w:t>
      </w:r>
    </w:p>
    <w:p w14:paraId="27B8D71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因供应商开具发票不及时给采购人造成无法及时认证、抵扣发票等情形的，供应商应向采购人承担赔偿责任，包括但不限于税款、滞纳金、罚款及相关损失等。</w:t>
      </w:r>
    </w:p>
    <w:p w14:paraId="0C4CBA3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供应商不得擅自作废或冲红已向采购人提供的发票，否则供应商须按发票金额（含增值税）的20%向采购人支付违约金，并向采购人承担赔偿责任，包括但不限于税款、滞纳金、罚款及相关损失等。</w:t>
      </w:r>
    </w:p>
    <w:p w14:paraId="51B446D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10.6 如供应商未按采购人要求的时间内足额足量供应设备，对采购人造成影响达3天及以上，则采购人有权单方面终止合同，另选择供应商，由此造成的一切损失由供应商承担，同时采购人保留向供应商进一步索赔的权利。</w:t>
      </w:r>
    </w:p>
    <w:p w14:paraId="64692DC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10.7 未经采购人同意，如供应商单方面终止供货，除承担给采购人造成的经济损失外，还应向采购人支付未供货货款总额（含增值税）20%的违约金。</w:t>
      </w:r>
    </w:p>
    <w:p w14:paraId="5949997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11．不可抗力</w:t>
      </w:r>
    </w:p>
    <w:p w14:paraId="231CF92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11.1 不可抗力系指签约双方在缔结合同时所不能预见，并且对其发生及后果无法避免和克服的事件。任何一方由于受到诸如战争、严重火灾、洪水、台风、地震等不可抗力的影响而不能执行合同时，履行合同的期限应予以延长，延长期限相当于不可抗力所影响的时间。</w:t>
      </w:r>
    </w:p>
    <w:p w14:paraId="39DEF12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11.2 受阻方应在不可抗力事件发生后尽快用电报、传真或电传等书面形式通知对方，并于事件发生后14日内将有关当局出具的证明文件用特快专递或挂号信寄给对方审阅确认，同时，受阻方应尽可能继续履行合同义务，积极采取合理的方案履行不受不可抗力影响的其他事项。</w:t>
      </w:r>
    </w:p>
    <w:p w14:paraId="0730C8B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11.3 不可抗力事件影响持续60日以上，双方通过友好协商，在合理时间内达成进一步履行或解除合同的协议。</w:t>
      </w:r>
    </w:p>
    <w:p w14:paraId="2436EDB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11.4 本条款所定义的不可抗力是指不能预见、不能避免并不能克服的客观情况，对于经营状况严重恶化、安排不周及税收政策的调整等情形，无论严重程度如何，均不理解为不可抗力。</w:t>
      </w:r>
    </w:p>
    <w:p w14:paraId="0769070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12．知识产权和专利权</w:t>
      </w:r>
    </w:p>
    <w:p w14:paraId="60338CA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12.1 涉及到知识产权（或专利权）标记的产品，供应商应提供知识产权（或专利权）及其权属的有效证明材料。供应商承诺其提供的设备不侵犯他人的知识产权（或专利权），若供应商提供设备侵犯他人知识产权（或专利权）导致他人向采购人索赔的，以及供应商违反本合同其他约定的，供应商承担由此给采购人造成的一切损失，包括但不限于采购人处理此纠纷发生的律师费、诉讼费、仲裁费、差旅费等一切损失。采购人针对上述一切损失有权从供应商结算货款中扣除或依法追索。</w:t>
      </w:r>
    </w:p>
    <w:p w14:paraId="26F506D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13．争议解决</w:t>
      </w:r>
    </w:p>
    <w:p w14:paraId="100615F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13.1 遇争议问题双方协商解决，协商不能达成一致意见时，提交下列第2程序解决：</w:t>
      </w:r>
    </w:p>
    <w:p w14:paraId="79E32B4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（1）向采购人所在地仲裁委员会申请仲裁。</w:t>
      </w:r>
    </w:p>
    <w:p w14:paraId="390A03D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（2）向采购人所在地人民法院起诉。</w:t>
      </w:r>
    </w:p>
    <w:p w14:paraId="067FA96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14．其他</w:t>
      </w:r>
    </w:p>
    <w:p w14:paraId="390B7E6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14.1 本合同是双方合作的法律文件，对双方具有法律约束力。本合同解除的条件：按《合同法》有关条款执行。</w:t>
      </w:r>
    </w:p>
    <w:p w14:paraId="42A3460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14.2 本合同包括合同履行过程中有关确定和变更合同实质性条件的会议纪要、往来信函、资料等。</w:t>
      </w:r>
    </w:p>
    <w:p w14:paraId="4EB7165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14.3.本合同中供应商注明的电子邮箱需是有效（须保证能够正常使用），若使用电子邮件等数据电文形式的，此数据电文进入供应商提供的电子邮箱运营商服务器即视为收到。</w:t>
      </w:r>
    </w:p>
    <w:p w14:paraId="1EF3F56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供应商电子邮箱（必填）：                    。</w:t>
      </w:r>
    </w:p>
    <w:p w14:paraId="0DC7409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14.4未尽事宜经采购人上级部门同意后，可签订补充协议，与本合同具有同等法律效力。</w:t>
      </w:r>
    </w:p>
    <w:p w14:paraId="4477791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本合同经双方签字盖章后即行生效，至双方履行完全部合同规定条款后失效。</w:t>
      </w:r>
    </w:p>
    <w:p w14:paraId="290335C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14.5补充条款：____________________________________。                                                               </w:t>
      </w:r>
    </w:p>
    <w:p w14:paraId="61866626">
      <w:pPr>
        <w:spacing w:line="360" w:lineRule="auto"/>
        <w:ind w:firstLine="480" w:firstLineChars="200"/>
        <w:rPr>
          <w:rFonts w:hint="eastAsia" w:ascii="仿宋" w:hAnsi="仿宋" w:eastAsia="仿宋" w:cs="仿宋"/>
          <w:color w:val="auto"/>
          <w:sz w:val="24"/>
          <w:highlight w:val="none"/>
        </w:rPr>
      </w:pPr>
    </w:p>
    <w:p w14:paraId="01669C8B">
      <w:pPr>
        <w:spacing w:line="360" w:lineRule="auto"/>
        <w:ind w:firstLine="480" w:firstLineChars="200"/>
        <w:rPr>
          <w:rFonts w:hint="eastAsia" w:ascii="仿宋" w:hAnsi="仿宋" w:eastAsia="仿宋" w:cs="仿宋"/>
          <w:color w:val="auto"/>
          <w:sz w:val="24"/>
          <w:highlight w:val="none"/>
        </w:rPr>
      </w:pPr>
    </w:p>
    <w:p w14:paraId="4BF22596">
      <w:pPr>
        <w:spacing w:line="360" w:lineRule="auto"/>
        <w:ind w:firstLine="480" w:firstLineChars="200"/>
        <w:rPr>
          <w:rFonts w:hint="eastAsia" w:ascii="仿宋" w:hAnsi="仿宋" w:eastAsia="仿宋" w:cs="仿宋"/>
          <w:color w:val="auto"/>
          <w:sz w:val="24"/>
          <w:highlight w:val="none"/>
        </w:rPr>
      </w:pPr>
    </w:p>
    <w:p w14:paraId="2E2FBF9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合同附件：</w:t>
      </w:r>
    </w:p>
    <w:p w14:paraId="66B3EA2E">
      <w:pPr>
        <w:spacing w:line="360" w:lineRule="auto"/>
        <w:ind w:firstLine="482" w:firstLineChars="200"/>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附件1：《计划采购与供应设备清单》</w:t>
      </w:r>
    </w:p>
    <w:p w14:paraId="60CCF8E4">
      <w:pPr>
        <w:spacing w:line="600" w:lineRule="exact"/>
        <w:rPr>
          <w:rFonts w:hint="eastAsia" w:ascii="仿宋" w:hAnsi="仿宋" w:eastAsia="仿宋" w:cs="仿宋"/>
          <w:color w:val="auto"/>
          <w:kern w:val="0"/>
          <w:sz w:val="24"/>
          <w:highlight w:val="none"/>
        </w:rPr>
      </w:pPr>
    </w:p>
    <w:p w14:paraId="5F743C27">
      <w:pPr>
        <w:rPr>
          <w:rFonts w:hint="eastAsia" w:ascii="仿宋" w:hAnsi="仿宋" w:eastAsia="仿宋" w:cs="仿宋"/>
          <w:color w:val="auto"/>
          <w:highlight w:val="none"/>
        </w:rPr>
      </w:pPr>
    </w:p>
    <w:sectPr>
      <w:headerReference r:id="rId14" w:type="default"/>
      <w:footerReference r:id="rId15" w:type="default"/>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DFKai-SB">
    <w:panose1 w:val="03000509000000000000"/>
    <w:charset w:val="88"/>
    <w:family w:val="script"/>
    <w:pitch w:val="default"/>
    <w:sig w:usb0="00000003" w:usb1="082E0000" w:usb2="00000016" w:usb3="00000000" w:csb0="00100001" w:csb1="00000000"/>
  </w:font>
  <w:font w:name="微软雅黑">
    <w:panose1 w:val="020B0503020204020204"/>
    <w:charset w:val="86"/>
    <w:family w:val="swiss"/>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8FAB8">
    <w:pPr>
      <w:pStyle w:val="21"/>
      <w:tabs>
        <w:tab w:val="center" w:pos="4156"/>
        <w:tab w:val="clear" w:pos="4153"/>
      </w:tabs>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49847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1647317604"/>
                          </w:sdtPr>
                          <w:sdtContent>
                            <w:p w14:paraId="34607B35">
                              <w:pPr>
                                <w:pStyle w:val="21"/>
                                <w:tabs>
                                  <w:tab w:val="center" w:pos="4156"/>
                                  <w:tab w:val="clear" w:pos="4153"/>
                                </w:tabs>
                                <w:jc w:val="center"/>
                              </w:pPr>
                              <w:r>
                                <w:fldChar w:fldCharType="begin"/>
                              </w:r>
                              <w:r>
                                <w:instrText xml:space="preserve">PAGE   \* MERGEFORMAT</w:instrText>
                              </w:r>
                              <w:r>
                                <w:fldChar w:fldCharType="separate"/>
                              </w:r>
                              <w:r>
                                <w:rPr>
                                  <w:lang w:val="zh-CN"/>
                                </w:rPr>
                                <w:t>1</w:t>
                              </w:r>
                              <w:r>
                                <w:fldChar w:fldCharType="end"/>
                              </w:r>
                            </w:p>
                          </w:sdtContent>
                        </w:sdt>
                        <w:p w14:paraId="138E063B">
                          <w:pPr>
                            <w:pStyle w:val="3"/>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39.25pt;width:9.05pt;mso-position-horizontal:center;mso-position-horizontal-relative:margin;mso-wrap-style:none;z-index:251661312;mso-width-relative:page;mso-height-relative:page;" filled="f" stroked="f" coordsize="21600,21600" o:gfxdata="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OLLRHRAAAAAwEAAA8AAAAAAAAAAQAgAAAAIgAAAGRycy9kb3ducmV2LnhtbFBLAQIUABQA&#10;AAAIAIdO4kBQeBxdMAIAAGMEAAAOAAAAAAAAAAEAIAAAACABAABkcnMvZTJvRG9jLnhtbFBLBQYA&#10;AAAABgAGAFkBAADCBQAAAAA=&#10;">
              <v:fill on="f" focussize="0,0"/>
              <v:stroke on="f" weight="0.5pt"/>
              <v:imagedata o:title=""/>
              <o:lock v:ext="edit" aspectratio="f"/>
              <v:textbox inset="0mm,0mm,0mm,0mm" style="mso-fit-shape-to-text:t;">
                <w:txbxContent>
                  <w:sdt>
                    <w:sdtPr>
                      <w:id w:val="1647317604"/>
                    </w:sdtPr>
                    <w:sdtContent>
                      <w:p w14:paraId="34607B35">
                        <w:pPr>
                          <w:pStyle w:val="21"/>
                          <w:tabs>
                            <w:tab w:val="center" w:pos="4156"/>
                            <w:tab w:val="clear" w:pos="4153"/>
                          </w:tabs>
                          <w:jc w:val="center"/>
                        </w:pPr>
                        <w:r>
                          <w:fldChar w:fldCharType="begin"/>
                        </w:r>
                        <w:r>
                          <w:instrText xml:space="preserve">PAGE   \* MERGEFORMAT</w:instrText>
                        </w:r>
                        <w:r>
                          <w:fldChar w:fldCharType="separate"/>
                        </w:r>
                        <w:r>
                          <w:rPr>
                            <w:lang w:val="zh-CN"/>
                          </w:rPr>
                          <w:t>1</w:t>
                        </w:r>
                        <w:r>
                          <w:fldChar w:fldCharType="end"/>
                        </w:r>
                      </w:p>
                    </w:sdtContent>
                  </w:sdt>
                  <w:p w14:paraId="138E063B">
                    <w:pPr>
                      <w:pStyle w:val="3"/>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4C5FDF">
    <w:pPr>
      <w:pStyle w:val="2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47955"/>
              <wp:effectExtent l="0" t="0" r="0" b="0"/>
              <wp:wrapNone/>
              <wp:docPr id="19"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6150B679">
                          <w:pPr>
                            <w:pStyle w:val="21"/>
                            <w:jc w:val="center"/>
                          </w:pPr>
                          <w:r>
                            <w:fldChar w:fldCharType="begin"/>
                          </w:r>
                          <w:r>
                            <w:instrText xml:space="preserve">PAGE   \* MERGEFORMAT</w:instrText>
                          </w:r>
                          <w:r>
                            <w:fldChar w:fldCharType="separate"/>
                          </w:r>
                          <w:r>
                            <w:rPr>
                              <w:lang w:val="zh-CN"/>
                            </w:rPr>
                            <w:t>99</w:t>
                          </w:r>
                          <w: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1.65pt;width:9.05pt;mso-position-horizontal:center;mso-position-horizontal-relative:margin;mso-wrap-style:none;z-index:251660288;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Gulvw/RAAAAAwEAAA8AAAAAAAAAAQAgAAAAIgAAAGRycy9k&#10;b3ducmV2LnhtbFBLAQIUABQAAAAIAIdO4kBtDShQ0AEAAKUDAAAOAAAAAAAAAAEAIAAAACABAABk&#10;cnMvZTJvRG9jLnhtbFBLBQYAAAAABgAGAFkBAABiBQAAAAA=&#10;">
              <v:fill on="f" focussize="0,0"/>
              <v:stroke on="f"/>
              <v:imagedata o:title=""/>
              <o:lock v:ext="edit" aspectratio="f"/>
              <v:textbox inset="0mm,0mm,0mm,0mm" style="mso-fit-shape-to-text:t;">
                <w:txbxContent>
                  <w:p w14:paraId="6150B679">
                    <w:pPr>
                      <w:pStyle w:val="21"/>
                      <w:jc w:val="center"/>
                    </w:pPr>
                    <w:r>
                      <w:fldChar w:fldCharType="begin"/>
                    </w:r>
                    <w:r>
                      <w:instrText xml:space="preserve">PAGE   \* MERGEFORMAT</w:instrText>
                    </w:r>
                    <w:r>
                      <w:fldChar w:fldCharType="separate"/>
                    </w:r>
                    <w:r>
                      <w:rPr>
                        <w:lang w:val="zh-CN"/>
                      </w:rPr>
                      <w:t>99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A9C727">
    <w:pPr>
      <w:pStyle w:val="21"/>
      <w:framePr w:wrap="around" w:vAnchor="text" w:hAnchor="margin" w:xAlign="center" w:y="1"/>
      <w:rPr>
        <w:rStyle w:val="37"/>
      </w:rPr>
    </w:pPr>
    <w:r>
      <w:fldChar w:fldCharType="begin"/>
    </w:r>
    <w:r>
      <w:rPr>
        <w:rStyle w:val="37"/>
      </w:rPr>
      <w:instrText xml:space="preserve">PAGE  </w:instrText>
    </w:r>
    <w:r>
      <w:fldChar w:fldCharType="end"/>
    </w:r>
  </w:p>
  <w:p w14:paraId="00782B0B">
    <w:pPr>
      <w:pStyle w:val="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9F37F">
    <w:pPr>
      <w:pStyle w:val="21"/>
      <w:ind w:right="360" w:firstLine="360"/>
      <w:jc w:val="right"/>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9A2815">
                          <w:pPr>
                            <w:pStyle w:val="21"/>
                          </w:pPr>
                          <w:r>
                            <w:fldChar w:fldCharType="begin"/>
                          </w:r>
                          <w:r>
                            <w:instrText xml:space="preserve"> PAGE  \* MERGEFORMAT </w:instrText>
                          </w:r>
                          <w:r>
                            <w:fldChar w:fldCharType="separate"/>
                          </w:r>
                          <w:r>
                            <w:t>54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39A2815">
                    <w:pPr>
                      <w:pStyle w:val="21"/>
                    </w:pPr>
                    <w:r>
                      <w:fldChar w:fldCharType="begin"/>
                    </w:r>
                    <w:r>
                      <w:instrText xml:space="preserve"> PAGE  \* MERGEFORMAT </w:instrText>
                    </w:r>
                    <w:r>
                      <w:fldChar w:fldCharType="separate"/>
                    </w:r>
                    <w:r>
                      <w:t>54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C1464">
    <w:pPr>
      <w:pStyle w:val="21"/>
      <w:framePr w:wrap="around" w:vAnchor="text" w:hAnchor="margin" w:xAlign="center" w:y="1"/>
      <w:rPr>
        <w:rStyle w:val="37"/>
      </w:rPr>
    </w:pPr>
    <w:r>
      <w:fldChar w:fldCharType="begin"/>
    </w:r>
    <w:r>
      <w:rPr>
        <w:rStyle w:val="37"/>
      </w:rPr>
      <w:instrText xml:space="preserve">PAGE  </w:instrText>
    </w:r>
    <w:r>
      <w:fldChar w:fldCharType="end"/>
    </w:r>
  </w:p>
  <w:p w14:paraId="031235CA">
    <w:pPr>
      <w:pStyle w:val="21"/>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69484">
    <w:pPr>
      <w:pStyle w:val="21"/>
      <w:framePr w:wrap="around" w:vAnchor="text" w:hAnchor="margin" w:xAlign="right" w:y="1"/>
      <w:rPr>
        <w:rStyle w:val="37"/>
      </w:rPr>
    </w:pPr>
  </w:p>
  <w:p w14:paraId="4FBDC3AC">
    <w:pPr>
      <w:pStyle w:val="21"/>
      <w:ind w:right="360"/>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BB41B3">
    <w:pPr>
      <w:pStyle w:val="8"/>
      <w:spacing w:line="14" w:lineRule="auto"/>
      <w:rPr>
        <w:rFonts w:hint="eastAsia"/>
        <w:sz w:val="20"/>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14935" cy="1479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F7866D5">
                          <w:pPr>
                            <w:pStyle w:val="21"/>
                          </w:pPr>
                          <w:r>
                            <w:fldChar w:fldCharType="begin"/>
                          </w:r>
                          <w:r>
                            <w:instrText xml:space="preserve"> PAGE  \* MERGEFORMAT </w:instrText>
                          </w:r>
                          <w:r>
                            <w:fldChar w:fldCharType="separate"/>
                          </w:r>
                          <w:r>
                            <w:t>90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65pt;width:9.05pt;mso-position-horizontal:center;mso-position-horizontal-relative:margin;mso-wrap-style:none;z-index:251662336;mso-width-relative:page;mso-height-relative:page;" filled="f" stroked="f" coordsize="21600,21600" o:gfxdata="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nKAz0QAAAAMBAAAPAAAAAAAAAAEAIAAAACIAAABkcnMvZG93bnJldi54bWxQSwECFAAU&#10;AAAACACHTuJAhvGZtDECAABjBAAADgAAAAAAAAABACAAAAAgAQAAZHJzL2Uyb0RvYy54bWxQSwUG&#10;AAAAAAYABgBZAQAAwwUAAAAA&#10;">
              <v:fill on="f" focussize="0,0"/>
              <v:stroke on="f" weight="0.5pt"/>
              <v:imagedata o:title=""/>
              <o:lock v:ext="edit" aspectratio="f"/>
              <v:textbox inset="0mm,0mm,0mm,0mm" style="mso-fit-shape-to-text:t;">
                <w:txbxContent>
                  <w:p w14:paraId="6F7866D5">
                    <w:pPr>
                      <w:pStyle w:val="21"/>
                    </w:pPr>
                    <w:r>
                      <w:fldChar w:fldCharType="begin"/>
                    </w:r>
                    <w:r>
                      <w:instrText xml:space="preserve"> PAGE  \* MERGEFORMAT </w:instrText>
                    </w:r>
                    <w:r>
                      <w:fldChar w:fldCharType="separate"/>
                    </w:r>
                    <w:r>
                      <w:t>90</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9AE2D2">
    <w:pPr>
      <w:pStyle w:val="21"/>
      <w:ind w:right="360" w:firstLine="360"/>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47955"/>
              <wp:effectExtent l="0" t="0" r="0" b="0"/>
              <wp:wrapNone/>
              <wp:docPr id="18"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1DD787A9">
                          <w:pPr>
                            <w:pStyle w:val="21"/>
                            <w:rPr>
                              <w:rStyle w:val="37"/>
                            </w:rPr>
                          </w:pPr>
                          <w:r>
                            <w:fldChar w:fldCharType="begin"/>
                          </w:r>
                          <w:r>
                            <w:rPr>
                              <w:rStyle w:val="37"/>
                            </w:rPr>
                            <w:instrText xml:space="preserve">PAGE  </w:instrText>
                          </w:r>
                          <w:r>
                            <w:fldChar w:fldCharType="separate"/>
                          </w:r>
                          <w:r>
                            <w:rPr>
                              <w:rStyle w:val="37"/>
                            </w:rPr>
                            <w:t>91</w:t>
                          </w:r>
                          <w:r>
                            <w:fldChar w:fldCharType="end"/>
                          </w:r>
                        </w:p>
                      </w:txbxContent>
                    </wps:txbx>
                    <wps:bodyPr wrap="none" lIns="0" tIns="0" rIns="0" bIns="0">
                      <a:spAutoFit/>
                    </wps:bodyPr>
                  </wps:wsp>
                </a:graphicData>
              </a:graphic>
            </wp:anchor>
          </w:drawing>
        </mc:Choice>
        <mc:Fallback>
          <w:pict>
            <v:shape id="文本框 4" o:spid="_x0000_s1026" o:spt="202" type="#_x0000_t202" style="position:absolute;left:0pt;margin-top:0pt;height:11.65pt;width:9.05pt;mso-position-horizontal:center;mso-position-horizontal-relative:margin;mso-wrap-style:none;z-index:251659264;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Gulvw/RAAAAAwEAAA8AAAAAAAAAAQAgAAAAIgAAAGRycy9k&#10;b3ducmV2LnhtbFBLAQIUABQAAAAIAIdO4kAs6rBc0AEAAKUDAAAOAAAAAAAAAAEAIAAAACABAABk&#10;cnMvZTJvRG9jLnhtbFBLBQYAAAAABgAGAFkBAABiBQAAAAA=&#10;">
              <v:fill on="f" focussize="0,0"/>
              <v:stroke on="f"/>
              <v:imagedata o:title=""/>
              <o:lock v:ext="edit" aspectratio="f"/>
              <v:textbox inset="0mm,0mm,0mm,0mm" style="mso-fit-shape-to-text:t;">
                <w:txbxContent>
                  <w:p w14:paraId="1DD787A9">
                    <w:pPr>
                      <w:pStyle w:val="21"/>
                      <w:rPr>
                        <w:rStyle w:val="37"/>
                      </w:rPr>
                    </w:pPr>
                    <w:r>
                      <w:fldChar w:fldCharType="begin"/>
                    </w:r>
                    <w:r>
                      <w:rPr>
                        <w:rStyle w:val="37"/>
                      </w:rPr>
                      <w:instrText xml:space="preserve">PAGE  </w:instrText>
                    </w:r>
                    <w:r>
                      <w:fldChar w:fldCharType="separate"/>
                    </w:r>
                    <w:r>
                      <w:rPr>
                        <w:rStyle w:val="37"/>
                      </w:rPr>
                      <w:t>91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A213F3">
    <w:pPr>
      <w:pStyle w:val="21"/>
      <w:framePr w:wrap="around" w:vAnchor="text" w:hAnchor="margin" w:xAlign="center" w:y="1"/>
      <w:rPr>
        <w:rStyle w:val="37"/>
      </w:rPr>
    </w:pPr>
    <w:r>
      <w:fldChar w:fldCharType="begin"/>
    </w:r>
    <w:r>
      <w:rPr>
        <w:rStyle w:val="37"/>
      </w:rPr>
      <w:instrText xml:space="preserve">PAGE  </w:instrText>
    </w:r>
    <w:r>
      <w:fldChar w:fldCharType="end"/>
    </w:r>
  </w:p>
  <w:p w14:paraId="4570364A">
    <w:pPr>
      <w:pStyle w:val="21"/>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E994C7">
    <w:pPr>
      <w:pStyle w:val="21"/>
      <w:framePr w:wrap="around" w:vAnchor="text" w:hAnchor="margin" w:xAlign="right" w:y="1"/>
      <w:rPr>
        <w:rStyle w:val="37"/>
      </w:rPr>
    </w:pPr>
  </w:p>
  <w:p w14:paraId="1F0E3A04">
    <w:pPr>
      <w:pStyle w:val="21"/>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142F1">
    <w:pPr>
      <w:pStyle w:val="2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B9D0AE">
    <w:pPr>
      <w:pStyle w:val="2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958D9">
    <w:pPr>
      <w:pStyle w:val="2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45F228"/>
    <w:multiLevelType w:val="singleLevel"/>
    <w:tmpl w:val="9545F228"/>
    <w:lvl w:ilvl="0" w:tentative="0">
      <w:start w:val="1"/>
      <w:numFmt w:val="decimal"/>
      <w:lvlText w:val="(%1)"/>
      <w:lvlJc w:val="left"/>
      <w:pPr>
        <w:tabs>
          <w:tab w:val="left" w:pos="312"/>
        </w:tabs>
      </w:pPr>
    </w:lvl>
  </w:abstractNum>
  <w:abstractNum w:abstractNumId="1">
    <w:nsid w:val="97D7E6EE"/>
    <w:multiLevelType w:val="singleLevel"/>
    <w:tmpl w:val="97D7E6EE"/>
    <w:lvl w:ilvl="0" w:tentative="0">
      <w:start w:val="7"/>
      <w:numFmt w:val="decimal"/>
      <w:lvlText w:val="%1."/>
      <w:lvlJc w:val="left"/>
      <w:pPr>
        <w:tabs>
          <w:tab w:val="left" w:pos="312"/>
        </w:tabs>
      </w:pPr>
    </w:lvl>
  </w:abstractNum>
  <w:abstractNum w:abstractNumId="2">
    <w:nsid w:val="D324F258"/>
    <w:multiLevelType w:val="multilevel"/>
    <w:tmpl w:val="D324F258"/>
    <w:lvl w:ilvl="0" w:tentative="0">
      <w:start w:val="1"/>
      <w:numFmt w:val="decimal"/>
      <w:suff w:val="space"/>
      <w:lvlText w:val="第%1章"/>
      <w:lvlJc w:val="left"/>
      <w:pPr>
        <w:ind w:left="0" w:firstLine="431"/>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
    <w:nsid w:val="D730396A"/>
    <w:multiLevelType w:val="singleLevel"/>
    <w:tmpl w:val="D730396A"/>
    <w:lvl w:ilvl="0" w:tentative="0">
      <w:start w:val="17"/>
      <w:numFmt w:val="decimal"/>
      <w:lvlText w:val="%1."/>
      <w:lvlJc w:val="left"/>
      <w:pPr>
        <w:tabs>
          <w:tab w:val="left" w:pos="312"/>
        </w:tabs>
      </w:pPr>
    </w:lvl>
  </w:abstractNum>
  <w:abstractNum w:abstractNumId="4">
    <w:nsid w:val="5C9AF5D2"/>
    <w:multiLevelType w:val="multilevel"/>
    <w:tmpl w:val="5C9AF5D2"/>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900"/>
        </w:tabs>
        <w:ind w:left="0" w:firstLine="431"/>
      </w:pPr>
      <w:rPr>
        <w:rFonts w:hint="eastAsia"/>
      </w:rPr>
    </w:lvl>
    <w:lvl w:ilvl="2" w:tentative="0">
      <w:start w:val="1"/>
      <w:numFmt w:val="decimal"/>
      <w:lvlText w:val="%1.%2.%3"/>
      <w:lvlJc w:val="left"/>
      <w:pPr>
        <w:tabs>
          <w:tab w:val="left" w:pos="900"/>
        </w:tabs>
        <w:ind w:left="90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hideSpellingErrors/>
  <w:revisionView w:markup="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c1OWMyNTI3NDQwODVhZWZlMjBjMzU5OTc4MDNjMTAifQ=="/>
    <w:docVar w:name="KSO_WPS_MARK_KEY" w:val="37f1e91a-ec21-4827-be6a-6d586a01ec2d"/>
  </w:docVars>
  <w:rsids>
    <w:rsidRoot w:val="00172A27"/>
    <w:rsid w:val="00014466"/>
    <w:rsid w:val="0003301B"/>
    <w:rsid w:val="00042CCC"/>
    <w:rsid w:val="00044A8E"/>
    <w:rsid w:val="000851EA"/>
    <w:rsid w:val="0008547F"/>
    <w:rsid w:val="000A01B2"/>
    <w:rsid w:val="000C1CEF"/>
    <w:rsid w:val="000C5A8B"/>
    <w:rsid w:val="000D250B"/>
    <w:rsid w:val="000D58A5"/>
    <w:rsid w:val="000F20B4"/>
    <w:rsid w:val="00113416"/>
    <w:rsid w:val="00117F32"/>
    <w:rsid w:val="0014392C"/>
    <w:rsid w:val="0014668B"/>
    <w:rsid w:val="001619AD"/>
    <w:rsid w:val="00172A27"/>
    <w:rsid w:val="00175F28"/>
    <w:rsid w:val="0018174D"/>
    <w:rsid w:val="00185D8C"/>
    <w:rsid w:val="001970B2"/>
    <w:rsid w:val="001C4780"/>
    <w:rsid w:val="001D7F89"/>
    <w:rsid w:val="001E084D"/>
    <w:rsid w:val="001E18CE"/>
    <w:rsid w:val="00204EF9"/>
    <w:rsid w:val="00205F1A"/>
    <w:rsid w:val="00220C83"/>
    <w:rsid w:val="00223365"/>
    <w:rsid w:val="00226229"/>
    <w:rsid w:val="00240C3E"/>
    <w:rsid w:val="002601FA"/>
    <w:rsid w:val="0027288A"/>
    <w:rsid w:val="00281AD7"/>
    <w:rsid w:val="00286F9E"/>
    <w:rsid w:val="00292666"/>
    <w:rsid w:val="002B6586"/>
    <w:rsid w:val="002C020D"/>
    <w:rsid w:val="002C384F"/>
    <w:rsid w:val="002D3BED"/>
    <w:rsid w:val="002D56E8"/>
    <w:rsid w:val="002E163B"/>
    <w:rsid w:val="002E53E7"/>
    <w:rsid w:val="0030246C"/>
    <w:rsid w:val="00324A71"/>
    <w:rsid w:val="00331D39"/>
    <w:rsid w:val="00332AAB"/>
    <w:rsid w:val="00335D89"/>
    <w:rsid w:val="0034121B"/>
    <w:rsid w:val="00345D13"/>
    <w:rsid w:val="00352481"/>
    <w:rsid w:val="00357293"/>
    <w:rsid w:val="00365F7F"/>
    <w:rsid w:val="00366F37"/>
    <w:rsid w:val="003728DF"/>
    <w:rsid w:val="003C68A7"/>
    <w:rsid w:val="003D2BE2"/>
    <w:rsid w:val="003D30D8"/>
    <w:rsid w:val="003E1425"/>
    <w:rsid w:val="00405392"/>
    <w:rsid w:val="00422CEF"/>
    <w:rsid w:val="00462556"/>
    <w:rsid w:val="004B2135"/>
    <w:rsid w:val="004B2876"/>
    <w:rsid w:val="004C0792"/>
    <w:rsid w:val="005105EC"/>
    <w:rsid w:val="00510960"/>
    <w:rsid w:val="00516673"/>
    <w:rsid w:val="00531699"/>
    <w:rsid w:val="00541941"/>
    <w:rsid w:val="00570A48"/>
    <w:rsid w:val="0059218B"/>
    <w:rsid w:val="005A0FB3"/>
    <w:rsid w:val="005A1055"/>
    <w:rsid w:val="005A30CE"/>
    <w:rsid w:val="005A5335"/>
    <w:rsid w:val="005B3D8D"/>
    <w:rsid w:val="005B47AB"/>
    <w:rsid w:val="005C2A22"/>
    <w:rsid w:val="005E4B00"/>
    <w:rsid w:val="005F755B"/>
    <w:rsid w:val="006058E7"/>
    <w:rsid w:val="00610312"/>
    <w:rsid w:val="006230D8"/>
    <w:rsid w:val="0062758A"/>
    <w:rsid w:val="00641454"/>
    <w:rsid w:val="006526D1"/>
    <w:rsid w:val="00662F6E"/>
    <w:rsid w:val="00663FB4"/>
    <w:rsid w:val="0067153F"/>
    <w:rsid w:val="006977AB"/>
    <w:rsid w:val="006B5B80"/>
    <w:rsid w:val="006D0611"/>
    <w:rsid w:val="006D3018"/>
    <w:rsid w:val="0070239C"/>
    <w:rsid w:val="0070347E"/>
    <w:rsid w:val="00723FDE"/>
    <w:rsid w:val="00726808"/>
    <w:rsid w:val="007403F6"/>
    <w:rsid w:val="007555F7"/>
    <w:rsid w:val="00764B9B"/>
    <w:rsid w:val="00772E29"/>
    <w:rsid w:val="00773EE7"/>
    <w:rsid w:val="007753E9"/>
    <w:rsid w:val="00782E59"/>
    <w:rsid w:val="007C319C"/>
    <w:rsid w:val="007C37AF"/>
    <w:rsid w:val="007C6AC9"/>
    <w:rsid w:val="007C7429"/>
    <w:rsid w:val="007F4D4F"/>
    <w:rsid w:val="00812159"/>
    <w:rsid w:val="00815ACC"/>
    <w:rsid w:val="00832BC5"/>
    <w:rsid w:val="00844E37"/>
    <w:rsid w:val="0086123F"/>
    <w:rsid w:val="00871354"/>
    <w:rsid w:val="00880E1B"/>
    <w:rsid w:val="00895679"/>
    <w:rsid w:val="008A6052"/>
    <w:rsid w:val="008B0356"/>
    <w:rsid w:val="008D6D9C"/>
    <w:rsid w:val="008E56F7"/>
    <w:rsid w:val="008F3D48"/>
    <w:rsid w:val="0090196D"/>
    <w:rsid w:val="009032DA"/>
    <w:rsid w:val="009061BA"/>
    <w:rsid w:val="00906279"/>
    <w:rsid w:val="00906C29"/>
    <w:rsid w:val="00914AED"/>
    <w:rsid w:val="00951AB1"/>
    <w:rsid w:val="009538EC"/>
    <w:rsid w:val="00973B26"/>
    <w:rsid w:val="009905C6"/>
    <w:rsid w:val="0099301F"/>
    <w:rsid w:val="009C659F"/>
    <w:rsid w:val="009D4EF9"/>
    <w:rsid w:val="009E0FC0"/>
    <w:rsid w:val="009E49C1"/>
    <w:rsid w:val="009F081C"/>
    <w:rsid w:val="00A056C0"/>
    <w:rsid w:val="00A1513F"/>
    <w:rsid w:val="00A358B0"/>
    <w:rsid w:val="00A37925"/>
    <w:rsid w:val="00A47BF0"/>
    <w:rsid w:val="00A51453"/>
    <w:rsid w:val="00A532CC"/>
    <w:rsid w:val="00A63285"/>
    <w:rsid w:val="00A8691E"/>
    <w:rsid w:val="00AA40A2"/>
    <w:rsid w:val="00AB06C6"/>
    <w:rsid w:val="00AB22B9"/>
    <w:rsid w:val="00AD1C4E"/>
    <w:rsid w:val="00AD22F6"/>
    <w:rsid w:val="00B01913"/>
    <w:rsid w:val="00B129AE"/>
    <w:rsid w:val="00B3045F"/>
    <w:rsid w:val="00B447A0"/>
    <w:rsid w:val="00B47576"/>
    <w:rsid w:val="00B47E75"/>
    <w:rsid w:val="00B51360"/>
    <w:rsid w:val="00B5197E"/>
    <w:rsid w:val="00B66A54"/>
    <w:rsid w:val="00BA4DC0"/>
    <w:rsid w:val="00BA5F85"/>
    <w:rsid w:val="00BA7055"/>
    <w:rsid w:val="00C019E7"/>
    <w:rsid w:val="00C0532A"/>
    <w:rsid w:val="00C1711F"/>
    <w:rsid w:val="00C23042"/>
    <w:rsid w:val="00C304B9"/>
    <w:rsid w:val="00C45960"/>
    <w:rsid w:val="00C62F79"/>
    <w:rsid w:val="00C73EB8"/>
    <w:rsid w:val="00C77422"/>
    <w:rsid w:val="00C90347"/>
    <w:rsid w:val="00C9528F"/>
    <w:rsid w:val="00C96B70"/>
    <w:rsid w:val="00CA7CEF"/>
    <w:rsid w:val="00CB7F8D"/>
    <w:rsid w:val="00CC4A0C"/>
    <w:rsid w:val="00CD4FCB"/>
    <w:rsid w:val="00CE33B7"/>
    <w:rsid w:val="00CF1891"/>
    <w:rsid w:val="00D06B85"/>
    <w:rsid w:val="00D06E29"/>
    <w:rsid w:val="00D23F67"/>
    <w:rsid w:val="00D26D70"/>
    <w:rsid w:val="00D644CF"/>
    <w:rsid w:val="00D71598"/>
    <w:rsid w:val="00D775A7"/>
    <w:rsid w:val="00D90CE5"/>
    <w:rsid w:val="00D94806"/>
    <w:rsid w:val="00DA5962"/>
    <w:rsid w:val="00DB5834"/>
    <w:rsid w:val="00DC159B"/>
    <w:rsid w:val="00DD28B6"/>
    <w:rsid w:val="00DE1AEF"/>
    <w:rsid w:val="00DE78DA"/>
    <w:rsid w:val="00DF703B"/>
    <w:rsid w:val="00E23B11"/>
    <w:rsid w:val="00E24BE7"/>
    <w:rsid w:val="00E323CC"/>
    <w:rsid w:val="00E40880"/>
    <w:rsid w:val="00E67A5E"/>
    <w:rsid w:val="00E720F5"/>
    <w:rsid w:val="00E75C20"/>
    <w:rsid w:val="00E874E3"/>
    <w:rsid w:val="00EB1063"/>
    <w:rsid w:val="00EB1944"/>
    <w:rsid w:val="00EF14AE"/>
    <w:rsid w:val="00EF4D30"/>
    <w:rsid w:val="00EF6A2F"/>
    <w:rsid w:val="00F03E88"/>
    <w:rsid w:val="00F147DD"/>
    <w:rsid w:val="00F351CC"/>
    <w:rsid w:val="00F35B32"/>
    <w:rsid w:val="00F93EB5"/>
    <w:rsid w:val="00FA6E48"/>
    <w:rsid w:val="00FB2855"/>
    <w:rsid w:val="00FB40D4"/>
    <w:rsid w:val="00FC348D"/>
    <w:rsid w:val="00FC6DF3"/>
    <w:rsid w:val="01086C64"/>
    <w:rsid w:val="010B405F"/>
    <w:rsid w:val="010F08CE"/>
    <w:rsid w:val="01351E79"/>
    <w:rsid w:val="01473B74"/>
    <w:rsid w:val="015C4CBF"/>
    <w:rsid w:val="016310A0"/>
    <w:rsid w:val="01795B53"/>
    <w:rsid w:val="018353CA"/>
    <w:rsid w:val="018427FD"/>
    <w:rsid w:val="01A111BB"/>
    <w:rsid w:val="01DA725E"/>
    <w:rsid w:val="01EC2FF5"/>
    <w:rsid w:val="01ED34BE"/>
    <w:rsid w:val="021B3D5F"/>
    <w:rsid w:val="023B2426"/>
    <w:rsid w:val="023F0464"/>
    <w:rsid w:val="02467A44"/>
    <w:rsid w:val="02696F80"/>
    <w:rsid w:val="029444A0"/>
    <w:rsid w:val="02954528"/>
    <w:rsid w:val="02B61C50"/>
    <w:rsid w:val="02DE2971"/>
    <w:rsid w:val="02DF7EB2"/>
    <w:rsid w:val="02E248D9"/>
    <w:rsid w:val="02E70E31"/>
    <w:rsid w:val="02F2197A"/>
    <w:rsid w:val="030003DF"/>
    <w:rsid w:val="03242B4E"/>
    <w:rsid w:val="032617BA"/>
    <w:rsid w:val="03342D85"/>
    <w:rsid w:val="034E21A3"/>
    <w:rsid w:val="035E3698"/>
    <w:rsid w:val="03620DC6"/>
    <w:rsid w:val="036B56CC"/>
    <w:rsid w:val="036C6B8A"/>
    <w:rsid w:val="03AD08B9"/>
    <w:rsid w:val="03BD6015"/>
    <w:rsid w:val="04050365"/>
    <w:rsid w:val="041B54D1"/>
    <w:rsid w:val="04207380"/>
    <w:rsid w:val="04211F15"/>
    <w:rsid w:val="04390EE3"/>
    <w:rsid w:val="043D0FA7"/>
    <w:rsid w:val="0477299D"/>
    <w:rsid w:val="048107E6"/>
    <w:rsid w:val="0484046F"/>
    <w:rsid w:val="04851B91"/>
    <w:rsid w:val="048645E5"/>
    <w:rsid w:val="048D74FC"/>
    <w:rsid w:val="04A9064F"/>
    <w:rsid w:val="04BE230C"/>
    <w:rsid w:val="04D4751A"/>
    <w:rsid w:val="04DC643E"/>
    <w:rsid w:val="04E03426"/>
    <w:rsid w:val="04E45C61"/>
    <w:rsid w:val="0534395A"/>
    <w:rsid w:val="05465F2C"/>
    <w:rsid w:val="0550445E"/>
    <w:rsid w:val="05A01219"/>
    <w:rsid w:val="05AD1B88"/>
    <w:rsid w:val="05FC3128"/>
    <w:rsid w:val="0603169C"/>
    <w:rsid w:val="06033D2B"/>
    <w:rsid w:val="0611354D"/>
    <w:rsid w:val="062025D3"/>
    <w:rsid w:val="06232F6F"/>
    <w:rsid w:val="06334A31"/>
    <w:rsid w:val="063F1AD6"/>
    <w:rsid w:val="06810E0F"/>
    <w:rsid w:val="06A344EC"/>
    <w:rsid w:val="06AC0AB9"/>
    <w:rsid w:val="06B754F2"/>
    <w:rsid w:val="06C85CCC"/>
    <w:rsid w:val="06CF789F"/>
    <w:rsid w:val="06DE4F40"/>
    <w:rsid w:val="06F11C4F"/>
    <w:rsid w:val="07041C64"/>
    <w:rsid w:val="070B4B7D"/>
    <w:rsid w:val="073568EE"/>
    <w:rsid w:val="076A180B"/>
    <w:rsid w:val="076A6A5D"/>
    <w:rsid w:val="07843CDE"/>
    <w:rsid w:val="078B7635"/>
    <w:rsid w:val="07937550"/>
    <w:rsid w:val="079A0D48"/>
    <w:rsid w:val="079F79DD"/>
    <w:rsid w:val="07A5035F"/>
    <w:rsid w:val="07A9226C"/>
    <w:rsid w:val="07B87610"/>
    <w:rsid w:val="07BA4C6C"/>
    <w:rsid w:val="07D373CA"/>
    <w:rsid w:val="07E469D5"/>
    <w:rsid w:val="07E555E9"/>
    <w:rsid w:val="07F04ED8"/>
    <w:rsid w:val="0804190C"/>
    <w:rsid w:val="081D060B"/>
    <w:rsid w:val="082512ED"/>
    <w:rsid w:val="082D62B4"/>
    <w:rsid w:val="0850166A"/>
    <w:rsid w:val="0889357C"/>
    <w:rsid w:val="088E72AC"/>
    <w:rsid w:val="089B252A"/>
    <w:rsid w:val="089B5B50"/>
    <w:rsid w:val="08B97086"/>
    <w:rsid w:val="08BB5AA2"/>
    <w:rsid w:val="08E55F6F"/>
    <w:rsid w:val="08F875BE"/>
    <w:rsid w:val="09082C95"/>
    <w:rsid w:val="0915775F"/>
    <w:rsid w:val="092E10BA"/>
    <w:rsid w:val="09337B11"/>
    <w:rsid w:val="094A7BFF"/>
    <w:rsid w:val="096422B6"/>
    <w:rsid w:val="098560BB"/>
    <w:rsid w:val="09872D2A"/>
    <w:rsid w:val="09AE2749"/>
    <w:rsid w:val="09B86425"/>
    <w:rsid w:val="0A1366A1"/>
    <w:rsid w:val="0A1E365A"/>
    <w:rsid w:val="0A5E3F18"/>
    <w:rsid w:val="0A7B6169"/>
    <w:rsid w:val="0A8B3DF8"/>
    <w:rsid w:val="0A9E61BC"/>
    <w:rsid w:val="0AA56EEA"/>
    <w:rsid w:val="0AAB32D3"/>
    <w:rsid w:val="0AC21C94"/>
    <w:rsid w:val="0AD31C14"/>
    <w:rsid w:val="0AE00560"/>
    <w:rsid w:val="0B065864"/>
    <w:rsid w:val="0B0A2231"/>
    <w:rsid w:val="0B3D750A"/>
    <w:rsid w:val="0B541164"/>
    <w:rsid w:val="0B5451BE"/>
    <w:rsid w:val="0B736C7F"/>
    <w:rsid w:val="0B9F46D6"/>
    <w:rsid w:val="0BAE4046"/>
    <w:rsid w:val="0BAF1C8A"/>
    <w:rsid w:val="0BB71C77"/>
    <w:rsid w:val="0BDE3FD6"/>
    <w:rsid w:val="0BF26DCF"/>
    <w:rsid w:val="0C0076D4"/>
    <w:rsid w:val="0C0B2FD3"/>
    <w:rsid w:val="0C0E6F01"/>
    <w:rsid w:val="0C1711CC"/>
    <w:rsid w:val="0C175E53"/>
    <w:rsid w:val="0C2852C1"/>
    <w:rsid w:val="0C37524C"/>
    <w:rsid w:val="0C570B77"/>
    <w:rsid w:val="0C67609F"/>
    <w:rsid w:val="0C831B32"/>
    <w:rsid w:val="0C9750DD"/>
    <w:rsid w:val="0CAB3482"/>
    <w:rsid w:val="0CEF443E"/>
    <w:rsid w:val="0D277388"/>
    <w:rsid w:val="0D58178B"/>
    <w:rsid w:val="0D7412C0"/>
    <w:rsid w:val="0D7959CF"/>
    <w:rsid w:val="0D9365A9"/>
    <w:rsid w:val="0DBC6E0C"/>
    <w:rsid w:val="0E0A1313"/>
    <w:rsid w:val="0E0D7668"/>
    <w:rsid w:val="0E295C47"/>
    <w:rsid w:val="0E417394"/>
    <w:rsid w:val="0E4219DB"/>
    <w:rsid w:val="0E5224C6"/>
    <w:rsid w:val="0E67436B"/>
    <w:rsid w:val="0E81185A"/>
    <w:rsid w:val="0EAA4EB7"/>
    <w:rsid w:val="0EB40753"/>
    <w:rsid w:val="0EC17BB8"/>
    <w:rsid w:val="0ED87944"/>
    <w:rsid w:val="0F1C25EB"/>
    <w:rsid w:val="0F3607F6"/>
    <w:rsid w:val="0F5945A6"/>
    <w:rsid w:val="0F680734"/>
    <w:rsid w:val="0F773331"/>
    <w:rsid w:val="0F8B2F3A"/>
    <w:rsid w:val="0F914B3E"/>
    <w:rsid w:val="0F955B67"/>
    <w:rsid w:val="0FB87C35"/>
    <w:rsid w:val="0FD8033F"/>
    <w:rsid w:val="0FE303D4"/>
    <w:rsid w:val="0FEE3B7F"/>
    <w:rsid w:val="0FEF36E8"/>
    <w:rsid w:val="0FF3216E"/>
    <w:rsid w:val="1002294D"/>
    <w:rsid w:val="10090303"/>
    <w:rsid w:val="10146895"/>
    <w:rsid w:val="10164DE0"/>
    <w:rsid w:val="101E5311"/>
    <w:rsid w:val="10204C0F"/>
    <w:rsid w:val="102B785D"/>
    <w:rsid w:val="1031756B"/>
    <w:rsid w:val="10545A22"/>
    <w:rsid w:val="107551C2"/>
    <w:rsid w:val="108E4AF5"/>
    <w:rsid w:val="109642E8"/>
    <w:rsid w:val="10B63FE7"/>
    <w:rsid w:val="10D63BEE"/>
    <w:rsid w:val="10E17C1E"/>
    <w:rsid w:val="10E82714"/>
    <w:rsid w:val="10EA2ACB"/>
    <w:rsid w:val="110A3FBD"/>
    <w:rsid w:val="11254CC9"/>
    <w:rsid w:val="113A3E57"/>
    <w:rsid w:val="113B3F06"/>
    <w:rsid w:val="11405FA6"/>
    <w:rsid w:val="11427FA0"/>
    <w:rsid w:val="114A0BD3"/>
    <w:rsid w:val="115B4DE3"/>
    <w:rsid w:val="11761CAB"/>
    <w:rsid w:val="117E40B5"/>
    <w:rsid w:val="11992DF2"/>
    <w:rsid w:val="11A11373"/>
    <w:rsid w:val="11FC6142"/>
    <w:rsid w:val="121E3FE8"/>
    <w:rsid w:val="122C5568"/>
    <w:rsid w:val="12302D4B"/>
    <w:rsid w:val="12372582"/>
    <w:rsid w:val="125F2FD7"/>
    <w:rsid w:val="126A32DB"/>
    <w:rsid w:val="12713EC0"/>
    <w:rsid w:val="12A0303B"/>
    <w:rsid w:val="12AB570E"/>
    <w:rsid w:val="12D43436"/>
    <w:rsid w:val="12EA4E60"/>
    <w:rsid w:val="12EF6486"/>
    <w:rsid w:val="130D6FC6"/>
    <w:rsid w:val="1311128A"/>
    <w:rsid w:val="133144E8"/>
    <w:rsid w:val="133761D1"/>
    <w:rsid w:val="133E1E2C"/>
    <w:rsid w:val="1345792A"/>
    <w:rsid w:val="135670DC"/>
    <w:rsid w:val="135A0AE2"/>
    <w:rsid w:val="1382755C"/>
    <w:rsid w:val="139174AA"/>
    <w:rsid w:val="1396399F"/>
    <w:rsid w:val="139D35FD"/>
    <w:rsid w:val="13A26AA4"/>
    <w:rsid w:val="13AA5959"/>
    <w:rsid w:val="13B41BCC"/>
    <w:rsid w:val="13BB7933"/>
    <w:rsid w:val="13C54541"/>
    <w:rsid w:val="13C92878"/>
    <w:rsid w:val="13CD371F"/>
    <w:rsid w:val="13CE4221"/>
    <w:rsid w:val="13DA4490"/>
    <w:rsid w:val="13DD6D1E"/>
    <w:rsid w:val="13EB1FA9"/>
    <w:rsid w:val="13F15336"/>
    <w:rsid w:val="13F267CB"/>
    <w:rsid w:val="14001E4A"/>
    <w:rsid w:val="14121DDD"/>
    <w:rsid w:val="14224B7A"/>
    <w:rsid w:val="1422631D"/>
    <w:rsid w:val="14347068"/>
    <w:rsid w:val="143A053C"/>
    <w:rsid w:val="14495172"/>
    <w:rsid w:val="144951AA"/>
    <w:rsid w:val="14513CC2"/>
    <w:rsid w:val="14541052"/>
    <w:rsid w:val="14550BCD"/>
    <w:rsid w:val="147C3B3D"/>
    <w:rsid w:val="147F57B4"/>
    <w:rsid w:val="14830D95"/>
    <w:rsid w:val="14B57065"/>
    <w:rsid w:val="14C07764"/>
    <w:rsid w:val="14DB0A50"/>
    <w:rsid w:val="14E629C1"/>
    <w:rsid w:val="1504728F"/>
    <w:rsid w:val="15092311"/>
    <w:rsid w:val="152B4405"/>
    <w:rsid w:val="155301A2"/>
    <w:rsid w:val="15584F79"/>
    <w:rsid w:val="15B45DF6"/>
    <w:rsid w:val="15BB06AF"/>
    <w:rsid w:val="15BD1974"/>
    <w:rsid w:val="15C9422F"/>
    <w:rsid w:val="15D60190"/>
    <w:rsid w:val="15EF3AF7"/>
    <w:rsid w:val="16296CE4"/>
    <w:rsid w:val="16314110"/>
    <w:rsid w:val="16360284"/>
    <w:rsid w:val="1636260B"/>
    <w:rsid w:val="1651030E"/>
    <w:rsid w:val="1664028D"/>
    <w:rsid w:val="16846844"/>
    <w:rsid w:val="16856693"/>
    <w:rsid w:val="169F731E"/>
    <w:rsid w:val="16AE750E"/>
    <w:rsid w:val="16C97E70"/>
    <w:rsid w:val="16E17C76"/>
    <w:rsid w:val="16EF3DAF"/>
    <w:rsid w:val="17055D43"/>
    <w:rsid w:val="1729600A"/>
    <w:rsid w:val="173C5686"/>
    <w:rsid w:val="17575DF8"/>
    <w:rsid w:val="1768590F"/>
    <w:rsid w:val="177156B4"/>
    <w:rsid w:val="17C0574B"/>
    <w:rsid w:val="17C92C48"/>
    <w:rsid w:val="182A0E14"/>
    <w:rsid w:val="1853538C"/>
    <w:rsid w:val="18543A93"/>
    <w:rsid w:val="18636D79"/>
    <w:rsid w:val="1881137E"/>
    <w:rsid w:val="188D3887"/>
    <w:rsid w:val="188E5849"/>
    <w:rsid w:val="18AE2D3E"/>
    <w:rsid w:val="18D7410D"/>
    <w:rsid w:val="19166E12"/>
    <w:rsid w:val="19306280"/>
    <w:rsid w:val="1968163F"/>
    <w:rsid w:val="196A3BC0"/>
    <w:rsid w:val="19933080"/>
    <w:rsid w:val="19B71096"/>
    <w:rsid w:val="19D15E4D"/>
    <w:rsid w:val="19FD2C86"/>
    <w:rsid w:val="1A137275"/>
    <w:rsid w:val="1A5007AE"/>
    <w:rsid w:val="1A695BD9"/>
    <w:rsid w:val="1A860C99"/>
    <w:rsid w:val="1A877CAB"/>
    <w:rsid w:val="1A985301"/>
    <w:rsid w:val="1AB44477"/>
    <w:rsid w:val="1ACE1869"/>
    <w:rsid w:val="1AED3EA9"/>
    <w:rsid w:val="1AEE4936"/>
    <w:rsid w:val="1B087C7A"/>
    <w:rsid w:val="1B0B4F05"/>
    <w:rsid w:val="1B221921"/>
    <w:rsid w:val="1B5878E5"/>
    <w:rsid w:val="1B617245"/>
    <w:rsid w:val="1B6F2617"/>
    <w:rsid w:val="1B986C25"/>
    <w:rsid w:val="1BA212AE"/>
    <w:rsid w:val="1BB429D7"/>
    <w:rsid w:val="1BCA1948"/>
    <w:rsid w:val="1BD45161"/>
    <w:rsid w:val="1BE000A1"/>
    <w:rsid w:val="1C092774"/>
    <w:rsid w:val="1C1D016B"/>
    <w:rsid w:val="1C305FAF"/>
    <w:rsid w:val="1C5F43A1"/>
    <w:rsid w:val="1C6452CE"/>
    <w:rsid w:val="1C81137F"/>
    <w:rsid w:val="1CA218C3"/>
    <w:rsid w:val="1CA22275"/>
    <w:rsid w:val="1CA61F6E"/>
    <w:rsid w:val="1CAD0994"/>
    <w:rsid w:val="1CBD4E69"/>
    <w:rsid w:val="1CCF3FB4"/>
    <w:rsid w:val="1CE870E1"/>
    <w:rsid w:val="1D26197C"/>
    <w:rsid w:val="1D370237"/>
    <w:rsid w:val="1D431725"/>
    <w:rsid w:val="1D550D4D"/>
    <w:rsid w:val="1D577A3C"/>
    <w:rsid w:val="1D5E2299"/>
    <w:rsid w:val="1D662B69"/>
    <w:rsid w:val="1D753F2D"/>
    <w:rsid w:val="1D7D0A84"/>
    <w:rsid w:val="1DAD0FAB"/>
    <w:rsid w:val="1DE21639"/>
    <w:rsid w:val="1DF0665E"/>
    <w:rsid w:val="1E0C793C"/>
    <w:rsid w:val="1E0D0FBE"/>
    <w:rsid w:val="1E222CBC"/>
    <w:rsid w:val="1E473787"/>
    <w:rsid w:val="1E57048B"/>
    <w:rsid w:val="1E5F4F2F"/>
    <w:rsid w:val="1E6908EA"/>
    <w:rsid w:val="1EA47B74"/>
    <w:rsid w:val="1EC61592"/>
    <w:rsid w:val="1EF215EE"/>
    <w:rsid w:val="1F0E185C"/>
    <w:rsid w:val="1F165B61"/>
    <w:rsid w:val="1F293DA1"/>
    <w:rsid w:val="1F457625"/>
    <w:rsid w:val="1F4C3C67"/>
    <w:rsid w:val="1F5F164C"/>
    <w:rsid w:val="1F8D23B7"/>
    <w:rsid w:val="1FAD2A59"/>
    <w:rsid w:val="1FF0676B"/>
    <w:rsid w:val="1FF51F55"/>
    <w:rsid w:val="1FF55129"/>
    <w:rsid w:val="200C3C4C"/>
    <w:rsid w:val="2014313B"/>
    <w:rsid w:val="201A3E36"/>
    <w:rsid w:val="20332396"/>
    <w:rsid w:val="2066060A"/>
    <w:rsid w:val="207060AC"/>
    <w:rsid w:val="20946AB2"/>
    <w:rsid w:val="20A538DC"/>
    <w:rsid w:val="20BA1F9F"/>
    <w:rsid w:val="20CE0B38"/>
    <w:rsid w:val="20D463D8"/>
    <w:rsid w:val="20E64474"/>
    <w:rsid w:val="20E67F32"/>
    <w:rsid w:val="20F322DC"/>
    <w:rsid w:val="20F9188E"/>
    <w:rsid w:val="210308C4"/>
    <w:rsid w:val="21071252"/>
    <w:rsid w:val="21093675"/>
    <w:rsid w:val="210E7527"/>
    <w:rsid w:val="21134EAA"/>
    <w:rsid w:val="213F05AF"/>
    <w:rsid w:val="214178FD"/>
    <w:rsid w:val="21482B47"/>
    <w:rsid w:val="218A7BA5"/>
    <w:rsid w:val="219267CC"/>
    <w:rsid w:val="219E5B97"/>
    <w:rsid w:val="21A72C37"/>
    <w:rsid w:val="21B34182"/>
    <w:rsid w:val="21BC4320"/>
    <w:rsid w:val="21C444E3"/>
    <w:rsid w:val="21C5052E"/>
    <w:rsid w:val="21E55858"/>
    <w:rsid w:val="21F52E12"/>
    <w:rsid w:val="22414EB9"/>
    <w:rsid w:val="224C6022"/>
    <w:rsid w:val="22944C50"/>
    <w:rsid w:val="22996A4F"/>
    <w:rsid w:val="229F2FF2"/>
    <w:rsid w:val="22AE046B"/>
    <w:rsid w:val="22B3482A"/>
    <w:rsid w:val="22BC3507"/>
    <w:rsid w:val="22C57A15"/>
    <w:rsid w:val="22DE7DB0"/>
    <w:rsid w:val="22F138BC"/>
    <w:rsid w:val="22F277AE"/>
    <w:rsid w:val="230000A2"/>
    <w:rsid w:val="231028F6"/>
    <w:rsid w:val="23201794"/>
    <w:rsid w:val="23393469"/>
    <w:rsid w:val="233A2B84"/>
    <w:rsid w:val="23453EE9"/>
    <w:rsid w:val="234D0F87"/>
    <w:rsid w:val="23706A5B"/>
    <w:rsid w:val="239D0DA6"/>
    <w:rsid w:val="23A73E21"/>
    <w:rsid w:val="23B413E8"/>
    <w:rsid w:val="23B60887"/>
    <w:rsid w:val="23C82D8A"/>
    <w:rsid w:val="23D5257E"/>
    <w:rsid w:val="23DD161C"/>
    <w:rsid w:val="23E0307C"/>
    <w:rsid w:val="23FB0889"/>
    <w:rsid w:val="24046CF1"/>
    <w:rsid w:val="2405389D"/>
    <w:rsid w:val="24066BDB"/>
    <w:rsid w:val="241348E2"/>
    <w:rsid w:val="241531ED"/>
    <w:rsid w:val="24157A46"/>
    <w:rsid w:val="2419175F"/>
    <w:rsid w:val="24201201"/>
    <w:rsid w:val="24283DD3"/>
    <w:rsid w:val="24651B54"/>
    <w:rsid w:val="247E13E4"/>
    <w:rsid w:val="24814C53"/>
    <w:rsid w:val="24970DA1"/>
    <w:rsid w:val="249C4648"/>
    <w:rsid w:val="24AF236E"/>
    <w:rsid w:val="24BB755C"/>
    <w:rsid w:val="24BC2F7E"/>
    <w:rsid w:val="24D0428B"/>
    <w:rsid w:val="25256CFB"/>
    <w:rsid w:val="25400CC7"/>
    <w:rsid w:val="25402DDD"/>
    <w:rsid w:val="256B08E6"/>
    <w:rsid w:val="256B2396"/>
    <w:rsid w:val="25782342"/>
    <w:rsid w:val="25861D82"/>
    <w:rsid w:val="25897985"/>
    <w:rsid w:val="25D31A00"/>
    <w:rsid w:val="25E0158E"/>
    <w:rsid w:val="25F56F08"/>
    <w:rsid w:val="26044D3F"/>
    <w:rsid w:val="26321C01"/>
    <w:rsid w:val="267B445B"/>
    <w:rsid w:val="269206F3"/>
    <w:rsid w:val="26BD08FE"/>
    <w:rsid w:val="26C12EB2"/>
    <w:rsid w:val="26CD5E98"/>
    <w:rsid w:val="26CD68D6"/>
    <w:rsid w:val="26D92C2C"/>
    <w:rsid w:val="26DF07B4"/>
    <w:rsid w:val="26F10933"/>
    <w:rsid w:val="270573EE"/>
    <w:rsid w:val="270A1E0C"/>
    <w:rsid w:val="271E2EB5"/>
    <w:rsid w:val="27225ADA"/>
    <w:rsid w:val="273442CB"/>
    <w:rsid w:val="27366D31"/>
    <w:rsid w:val="274725E4"/>
    <w:rsid w:val="27544573"/>
    <w:rsid w:val="27765E26"/>
    <w:rsid w:val="27C1364B"/>
    <w:rsid w:val="27D1679C"/>
    <w:rsid w:val="27DC47C7"/>
    <w:rsid w:val="27EB404E"/>
    <w:rsid w:val="27FE6EF0"/>
    <w:rsid w:val="280269C5"/>
    <w:rsid w:val="28061C86"/>
    <w:rsid w:val="28343156"/>
    <w:rsid w:val="28414191"/>
    <w:rsid w:val="28430CBE"/>
    <w:rsid w:val="28550131"/>
    <w:rsid w:val="285F2D3C"/>
    <w:rsid w:val="28734876"/>
    <w:rsid w:val="28842A73"/>
    <w:rsid w:val="2887206E"/>
    <w:rsid w:val="2887295F"/>
    <w:rsid w:val="289B4CDC"/>
    <w:rsid w:val="289D58E5"/>
    <w:rsid w:val="28A54468"/>
    <w:rsid w:val="28AC4989"/>
    <w:rsid w:val="28BA6ED0"/>
    <w:rsid w:val="28CC5021"/>
    <w:rsid w:val="28CF1C92"/>
    <w:rsid w:val="28DE0B92"/>
    <w:rsid w:val="28F00462"/>
    <w:rsid w:val="28F74945"/>
    <w:rsid w:val="29147329"/>
    <w:rsid w:val="291E22D1"/>
    <w:rsid w:val="291E563C"/>
    <w:rsid w:val="292C77DF"/>
    <w:rsid w:val="296323DA"/>
    <w:rsid w:val="296F5F30"/>
    <w:rsid w:val="297D4E86"/>
    <w:rsid w:val="29915B3D"/>
    <w:rsid w:val="299E3412"/>
    <w:rsid w:val="29A02529"/>
    <w:rsid w:val="29D742AC"/>
    <w:rsid w:val="29E259F5"/>
    <w:rsid w:val="29E55607"/>
    <w:rsid w:val="29EF598C"/>
    <w:rsid w:val="2A132E42"/>
    <w:rsid w:val="2A1B3D01"/>
    <w:rsid w:val="2A544FCD"/>
    <w:rsid w:val="2A70219C"/>
    <w:rsid w:val="2A834AE2"/>
    <w:rsid w:val="2AA43D67"/>
    <w:rsid w:val="2ABD4CEE"/>
    <w:rsid w:val="2ACC1DBB"/>
    <w:rsid w:val="2ADE29BE"/>
    <w:rsid w:val="2AE33C1F"/>
    <w:rsid w:val="2AF43C32"/>
    <w:rsid w:val="2B230073"/>
    <w:rsid w:val="2B2C6155"/>
    <w:rsid w:val="2B5E4708"/>
    <w:rsid w:val="2B5E631F"/>
    <w:rsid w:val="2B626DED"/>
    <w:rsid w:val="2B6B12F3"/>
    <w:rsid w:val="2B7B7E30"/>
    <w:rsid w:val="2B844FB6"/>
    <w:rsid w:val="2B907224"/>
    <w:rsid w:val="2BA03472"/>
    <w:rsid w:val="2BA15403"/>
    <w:rsid w:val="2BC36FED"/>
    <w:rsid w:val="2BE07DE7"/>
    <w:rsid w:val="2BE62BA4"/>
    <w:rsid w:val="2C155C0E"/>
    <w:rsid w:val="2C180812"/>
    <w:rsid w:val="2C1C70A9"/>
    <w:rsid w:val="2C2C7754"/>
    <w:rsid w:val="2C3266E3"/>
    <w:rsid w:val="2C4B311B"/>
    <w:rsid w:val="2C4F6669"/>
    <w:rsid w:val="2C5B2E16"/>
    <w:rsid w:val="2C680433"/>
    <w:rsid w:val="2C7E540C"/>
    <w:rsid w:val="2C951F18"/>
    <w:rsid w:val="2CA927FA"/>
    <w:rsid w:val="2CC7217A"/>
    <w:rsid w:val="2D061B9F"/>
    <w:rsid w:val="2D71594E"/>
    <w:rsid w:val="2D8A7249"/>
    <w:rsid w:val="2D96306F"/>
    <w:rsid w:val="2DCF0815"/>
    <w:rsid w:val="2DE30E97"/>
    <w:rsid w:val="2DE65F29"/>
    <w:rsid w:val="2DF45CF7"/>
    <w:rsid w:val="2DF86944"/>
    <w:rsid w:val="2E036B2B"/>
    <w:rsid w:val="2E215052"/>
    <w:rsid w:val="2E227150"/>
    <w:rsid w:val="2E2A1C9B"/>
    <w:rsid w:val="2E6764C9"/>
    <w:rsid w:val="2E722FF3"/>
    <w:rsid w:val="2E7B6CC4"/>
    <w:rsid w:val="2E801B1D"/>
    <w:rsid w:val="2E8C23C9"/>
    <w:rsid w:val="2EA6420F"/>
    <w:rsid w:val="2ECE3FBE"/>
    <w:rsid w:val="2EF34E1C"/>
    <w:rsid w:val="2EF421AE"/>
    <w:rsid w:val="2F0F3E75"/>
    <w:rsid w:val="2F176608"/>
    <w:rsid w:val="2F29442D"/>
    <w:rsid w:val="2F3A2079"/>
    <w:rsid w:val="2F467FE0"/>
    <w:rsid w:val="2F496D12"/>
    <w:rsid w:val="2F5729E1"/>
    <w:rsid w:val="2F5D3ABE"/>
    <w:rsid w:val="2F634BC4"/>
    <w:rsid w:val="2F80617D"/>
    <w:rsid w:val="2F8C4439"/>
    <w:rsid w:val="2F910753"/>
    <w:rsid w:val="2FEF2A02"/>
    <w:rsid w:val="2FF56771"/>
    <w:rsid w:val="2FFF6E2E"/>
    <w:rsid w:val="300C1B1C"/>
    <w:rsid w:val="30190135"/>
    <w:rsid w:val="302723B3"/>
    <w:rsid w:val="3038636F"/>
    <w:rsid w:val="306811AE"/>
    <w:rsid w:val="30711881"/>
    <w:rsid w:val="307B625B"/>
    <w:rsid w:val="30BD2C9E"/>
    <w:rsid w:val="30CC1916"/>
    <w:rsid w:val="30D454A8"/>
    <w:rsid w:val="30DC202D"/>
    <w:rsid w:val="30DE753E"/>
    <w:rsid w:val="3120277A"/>
    <w:rsid w:val="313A457C"/>
    <w:rsid w:val="316A1EE9"/>
    <w:rsid w:val="31927598"/>
    <w:rsid w:val="31940B2E"/>
    <w:rsid w:val="31AD4B3A"/>
    <w:rsid w:val="31B454D7"/>
    <w:rsid w:val="31B859B9"/>
    <w:rsid w:val="31DE1336"/>
    <w:rsid w:val="31E5482C"/>
    <w:rsid w:val="31EC6FB3"/>
    <w:rsid w:val="31F664E1"/>
    <w:rsid w:val="32364B30"/>
    <w:rsid w:val="32573BAD"/>
    <w:rsid w:val="325920F5"/>
    <w:rsid w:val="325A6A70"/>
    <w:rsid w:val="32685D3C"/>
    <w:rsid w:val="32743D72"/>
    <w:rsid w:val="32852767"/>
    <w:rsid w:val="328E5F9B"/>
    <w:rsid w:val="32A96C78"/>
    <w:rsid w:val="32EB7185"/>
    <w:rsid w:val="32FA6DD7"/>
    <w:rsid w:val="32FA790B"/>
    <w:rsid w:val="3318175B"/>
    <w:rsid w:val="33320B0E"/>
    <w:rsid w:val="334311DB"/>
    <w:rsid w:val="336A2FBD"/>
    <w:rsid w:val="336D433A"/>
    <w:rsid w:val="336E0462"/>
    <w:rsid w:val="337A0A4C"/>
    <w:rsid w:val="337C60F7"/>
    <w:rsid w:val="339E01E3"/>
    <w:rsid w:val="33A22EE1"/>
    <w:rsid w:val="33E032ED"/>
    <w:rsid w:val="33E953E5"/>
    <w:rsid w:val="34122679"/>
    <w:rsid w:val="34133D3B"/>
    <w:rsid w:val="342742C7"/>
    <w:rsid w:val="342D5ABF"/>
    <w:rsid w:val="343E3BE1"/>
    <w:rsid w:val="34441FB0"/>
    <w:rsid w:val="3454129D"/>
    <w:rsid w:val="34741DF5"/>
    <w:rsid w:val="348C0A37"/>
    <w:rsid w:val="349618B6"/>
    <w:rsid w:val="34A00932"/>
    <w:rsid w:val="34B12C54"/>
    <w:rsid w:val="34B166F0"/>
    <w:rsid w:val="34B63D06"/>
    <w:rsid w:val="34F64FBE"/>
    <w:rsid w:val="352307BA"/>
    <w:rsid w:val="352F2FB6"/>
    <w:rsid w:val="3533433C"/>
    <w:rsid w:val="35532A36"/>
    <w:rsid w:val="358F029F"/>
    <w:rsid w:val="359937D9"/>
    <w:rsid w:val="35C77327"/>
    <w:rsid w:val="35FA4C90"/>
    <w:rsid w:val="3618362B"/>
    <w:rsid w:val="361E1B63"/>
    <w:rsid w:val="36216B8A"/>
    <w:rsid w:val="362617E5"/>
    <w:rsid w:val="363060CB"/>
    <w:rsid w:val="36341386"/>
    <w:rsid w:val="363B0967"/>
    <w:rsid w:val="36411010"/>
    <w:rsid w:val="369F35F0"/>
    <w:rsid w:val="36DF4754"/>
    <w:rsid w:val="36E101CC"/>
    <w:rsid w:val="36E21514"/>
    <w:rsid w:val="36E354E6"/>
    <w:rsid w:val="36F31241"/>
    <w:rsid w:val="370C4D4D"/>
    <w:rsid w:val="3714347F"/>
    <w:rsid w:val="37895702"/>
    <w:rsid w:val="378D221E"/>
    <w:rsid w:val="379D160C"/>
    <w:rsid w:val="37C164BB"/>
    <w:rsid w:val="37C329C2"/>
    <w:rsid w:val="37CA01F4"/>
    <w:rsid w:val="37CB3755"/>
    <w:rsid w:val="37E36BE1"/>
    <w:rsid w:val="37E9224C"/>
    <w:rsid w:val="380A0E48"/>
    <w:rsid w:val="381C0324"/>
    <w:rsid w:val="386A600A"/>
    <w:rsid w:val="386E6AF7"/>
    <w:rsid w:val="389577BA"/>
    <w:rsid w:val="38A10829"/>
    <w:rsid w:val="38B22A36"/>
    <w:rsid w:val="38BC77D0"/>
    <w:rsid w:val="38D8503B"/>
    <w:rsid w:val="38F027DA"/>
    <w:rsid w:val="396F1B9F"/>
    <w:rsid w:val="39775FFB"/>
    <w:rsid w:val="39972B77"/>
    <w:rsid w:val="39D276DC"/>
    <w:rsid w:val="39E70118"/>
    <w:rsid w:val="3A04642E"/>
    <w:rsid w:val="3A2019F9"/>
    <w:rsid w:val="3A240899"/>
    <w:rsid w:val="3A243BAB"/>
    <w:rsid w:val="3A322081"/>
    <w:rsid w:val="3A50272B"/>
    <w:rsid w:val="3AAF36D1"/>
    <w:rsid w:val="3AD14283"/>
    <w:rsid w:val="3ADB0022"/>
    <w:rsid w:val="3AE07D2F"/>
    <w:rsid w:val="3AEF3ACE"/>
    <w:rsid w:val="3B0024F3"/>
    <w:rsid w:val="3B0532F1"/>
    <w:rsid w:val="3B106CFD"/>
    <w:rsid w:val="3B190B4B"/>
    <w:rsid w:val="3B204AE1"/>
    <w:rsid w:val="3B400458"/>
    <w:rsid w:val="3B5F0C53"/>
    <w:rsid w:val="3B6A3A4F"/>
    <w:rsid w:val="3B8556FB"/>
    <w:rsid w:val="3B88437F"/>
    <w:rsid w:val="3B8C664A"/>
    <w:rsid w:val="3B9106A9"/>
    <w:rsid w:val="3B9F1F52"/>
    <w:rsid w:val="3BBE0379"/>
    <w:rsid w:val="3BC65335"/>
    <w:rsid w:val="3BEC0B0C"/>
    <w:rsid w:val="3BF4732E"/>
    <w:rsid w:val="3C0331F7"/>
    <w:rsid w:val="3C074E47"/>
    <w:rsid w:val="3C183361"/>
    <w:rsid w:val="3C185763"/>
    <w:rsid w:val="3C1C4D96"/>
    <w:rsid w:val="3C577F90"/>
    <w:rsid w:val="3C797AF3"/>
    <w:rsid w:val="3C7A5FB7"/>
    <w:rsid w:val="3CA0739B"/>
    <w:rsid w:val="3CA84C67"/>
    <w:rsid w:val="3D023B44"/>
    <w:rsid w:val="3D1B43A5"/>
    <w:rsid w:val="3D2635E8"/>
    <w:rsid w:val="3D2B00DE"/>
    <w:rsid w:val="3D510A70"/>
    <w:rsid w:val="3D592957"/>
    <w:rsid w:val="3D604476"/>
    <w:rsid w:val="3D622C7D"/>
    <w:rsid w:val="3D75074E"/>
    <w:rsid w:val="3D8647E8"/>
    <w:rsid w:val="3D8850D0"/>
    <w:rsid w:val="3D8A5D30"/>
    <w:rsid w:val="3D9D63C8"/>
    <w:rsid w:val="3DA7335C"/>
    <w:rsid w:val="3DDD3667"/>
    <w:rsid w:val="3DEE10A9"/>
    <w:rsid w:val="3DFD59B6"/>
    <w:rsid w:val="3E0E1166"/>
    <w:rsid w:val="3E152367"/>
    <w:rsid w:val="3E4E0069"/>
    <w:rsid w:val="3E670C26"/>
    <w:rsid w:val="3E740E3A"/>
    <w:rsid w:val="3EAC2411"/>
    <w:rsid w:val="3EB64C8D"/>
    <w:rsid w:val="3EC214A6"/>
    <w:rsid w:val="3EED5CE2"/>
    <w:rsid w:val="3F1724CB"/>
    <w:rsid w:val="3F270D65"/>
    <w:rsid w:val="3F470F1A"/>
    <w:rsid w:val="3F4F26BF"/>
    <w:rsid w:val="3F577E93"/>
    <w:rsid w:val="3F590FAF"/>
    <w:rsid w:val="3F846221"/>
    <w:rsid w:val="3F9B421E"/>
    <w:rsid w:val="3FB62FA5"/>
    <w:rsid w:val="3FC67F26"/>
    <w:rsid w:val="3FD403DE"/>
    <w:rsid w:val="3FE058A8"/>
    <w:rsid w:val="3FE77469"/>
    <w:rsid w:val="3FF853BB"/>
    <w:rsid w:val="4019394B"/>
    <w:rsid w:val="401F5782"/>
    <w:rsid w:val="403845CB"/>
    <w:rsid w:val="406C1C0E"/>
    <w:rsid w:val="407F7738"/>
    <w:rsid w:val="408D47A1"/>
    <w:rsid w:val="409267C0"/>
    <w:rsid w:val="409E0BBC"/>
    <w:rsid w:val="40B350AC"/>
    <w:rsid w:val="40B53EEB"/>
    <w:rsid w:val="40D16B7C"/>
    <w:rsid w:val="40EF1A3F"/>
    <w:rsid w:val="40FE77A8"/>
    <w:rsid w:val="40FF6019"/>
    <w:rsid w:val="41184980"/>
    <w:rsid w:val="4136161D"/>
    <w:rsid w:val="413812ED"/>
    <w:rsid w:val="41617996"/>
    <w:rsid w:val="41873F65"/>
    <w:rsid w:val="418F600A"/>
    <w:rsid w:val="41A31DFF"/>
    <w:rsid w:val="41A55771"/>
    <w:rsid w:val="41AB5392"/>
    <w:rsid w:val="41AD0F53"/>
    <w:rsid w:val="41CF1649"/>
    <w:rsid w:val="41D75F92"/>
    <w:rsid w:val="41D82993"/>
    <w:rsid w:val="41E51510"/>
    <w:rsid w:val="41EF55F0"/>
    <w:rsid w:val="42101D95"/>
    <w:rsid w:val="42216AF2"/>
    <w:rsid w:val="42245E14"/>
    <w:rsid w:val="424E7465"/>
    <w:rsid w:val="42502BF0"/>
    <w:rsid w:val="425D3A13"/>
    <w:rsid w:val="42685985"/>
    <w:rsid w:val="426B5884"/>
    <w:rsid w:val="427B20EB"/>
    <w:rsid w:val="428B54BF"/>
    <w:rsid w:val="42B53EEA"/>
    <w:rsid w:val="42C4072D"/>
    <w:rsid w:val="42E163F2"/>
    <w:rsid w:val="43040EDD"/>
    <w:rsid w:val="431660B1"/>
    <w:rsid w:val="432D78B1"/>
    <w:rsid w:val="43473F7B"/>
    <w:rsid w:val="434834C8"/>
    <w:rsid w:val="434B5F61"/>
    <w:rsid w:val="437C3A80"/>
    <w:rsid w:val="438A0271"/>
    <w:rsid w:val="43903624"/>
    <w:rsid w:val="43AB1DF3"/>
    <w:rsid w:val="43C8773F"/>
    <w:rsid w:val="43CE4105"/>
    <w:rsid w:val="43DC22DC"/>
    <w:rsid w:val="43E00ECE"/>
    <w:rsid w:val="43EA2390"/>
    <w:rsid w:val="4411297D"/>
    <w:rsid w:val="442B1213"/>
    <w:rsid w:val="443A04B0"/>
    <w:rsid w:val="443D3AFC"/>
    <w:rsid w:val="44433667"/>
    <w:rsid w:val="445146B1"/>
    <w:rsid w:val="44561BDC"/>
    <w:rsid w:val="446D0881"/>
    <w:rsid w:val="447120F8"/>
    <w:rsid w:val="4479172F"/>
    <w:rsid w:val="44A0754E"/>
    <w:rsid w:val="44AB1848"/>
    <w:rsid w:val="44BE56B3"/>
    <w:rsid w:val="44E82C60"/>
    <w:rsid w:val="44F06DC0"/>
    <w:rsid w:val="450665E4"/>
    <w:rsid w:val="451D39F1"/>
    <w:rsid w:val="4522422D"/>
    <w:rsid w:val="452804BB"/>
    <w:rsid w:val="45362551"/>
    <w:rsid w:val="455138FB"/>
    <w:rsid w:val="45633A91"/>
    <w:rsid w:val="4577696A"/>
    <w:rsid w:val="4590424F"/>
    <w:rsid w:val="459218CF"/>
    <w:rsid w:val="46225DD2"/>
    <w:rsid w:val="462A23D9"/>
    <w:rsid w:val="46383771"/>
    <w:rsid w:val="463F2741"/>
    <w:rsid w:val="46450254"/>
    <w:rsid w:val="46556F93"/>
    <w:rsid w:val="46661E31"/>
    <w:rsid w:val="466B46A4"/>
    <w:rsid w:val="468329E1"/>
    <w:rsid w:val="46EB1C21"/>
    <w:rsid w:val="46FD2245"/>
    <w:rsid w:val="474358CD"/>
    <w:rsid w:val="476502BC"/>
    <w:rsid w:val="476F6E6D"/>
    <w:rsid w:val="47C60638"/>
    <w:rsid w:val="47D50955"/>
    <w:rsid w:val="47DE76AC"/>
    <w:rsid w:val="4804390F"/>
    <w:rsid w:val="48082FA7"/>
    <w:rsid w:val="482B758E"/>
    <w:rsid w:val="48436FDA"/>
    <w:rsid w:val="48603CA7"/>
    <w:rsid w:val="48650057"/>
    <w:rsid w:val="48743B34"/>
    <w:rsid w:val="48897173"/>
    <w:rsid w:val="488D7BE5"/>
    <w:rsid w:val="48933D90"/>
    <w:rsid w:val="48B27A5F"/>
    <w:rsid w:val="48D975D7"/>
    <w:rsid w:val="48E00FD8"/>
    <w:rsid w:val="48F02B48"/>
    <w:rsid w:val="49026298"/>
    <w:rsid w:val="49246968"/>
    <w:rsid w:val="493556E9"/>
    <w:rsid w:val="49686EB0"/>
    <w:rsid w:val="496F29A9"/>
    <w:rsid w:val="497E67A7"/>
    <w:rsid w:val="498B7E53"/>
    <w:rsid w:val="49D436F3"/>
    <w:rsid w:val="49EF7646"/>
    <w:rsid w:val="49F46740"/>
    <w:rsid w:val="49F73374"/>
    <w:rsid w:val="49F7658C"/>
    <w:rsid w:val="4A184643"/>
    <w:rsid w:val="4A4A08E2"/>
    <w:rsid w:val="4A694C98"/>
    <w:rsid w:val="4A6A0CC3"/>
    <w:rsid w:val="4A813DD4"/>
    <w:rsid w:val="4A8D099F"/>
    <w:rsid w:val="4ACE38D9"/>
    <w:rsid w:val="4ACF7353"/>
    <w:rsid w:val="4AE24F2F"/>
    <w:rsid w:val="4AEA3829"/>
    <w:rsid w:val="4AF80A32"/>
    <w:rsid w:val="4B4B51BF"/>
    <w:rsid w:val="4B4C4BB5"/>
    <w:rsid w:val="4B971D44"/>
    <w:rsid w:val="4B9A5647"/>
    <w:rsid w:val="4BA918F1"/>
    <w:rsid w:val="4BAF3531"/>
    <w:rsid w:val="4BBC2DAF"/>
    <w:rsid w:val="4BBD3F00"/>
    <w:rsid w:val="4BC25BA4"/>
    <w:rsid w:val="4BD43650"/>
    <w:rsid w:val="4BF46C19"/>
    <w:rsid w:val="4C683C8A"/>
    <w:rsid w:val="4C6C69EE"/>
    <w:rsid w:val="4C81207A"/>
    <w:rsid w:val="4C987718"/>
    <w:rsid w:val="4CD07C03"/>
    <w:rsid w:val="4CD62D3F"/>
    <w:rsid w:val="4CD76F3E"/>
    <w:rsid w:val="4CE0771A"/>
    <w:rsid w:val="4CE94821"/>
    <w:rsid w:val="4CF87845"/>
    <w:rsid w:val="4CFB7C6C"/>
    <w:rsid w:val="4D017206"/>
    <w:rsid w:val="4D2638A9"/>
    <w:rsid w:val="4D61085B"/>
    <w:rsid w:val="4D6A3FB6"/>
    <w:rsid w:val="4D706845"/>
    <w:rsid w:val="4DAE1984"/>
    <w:rsid w:val="4DAE49AA"/>
    <w:rsid w:val="4DCD70C0"/>
    <w:rsid w:val="4DCF4443"/>
    <w:rsid w:val="4DDC5D5F"/>
    <w:rsid w:val="4E014E47"/>
    <w:rsid w:val="4E0248BC"/>
    <w:rsid w:val="4E151645"/>
    <w:rsid w:val="4E1607A1"/>
    <w:rsid w:val="4E1A257B"/>
    <w:rsid w:val="4E2A3343"/>
    <w:rsid w:val="4E3B7237"/>
    <w:rsid w:val="4E4A5DE5"/>
    <w:rsid w:val="4E603FC2"/>
    <w:rsid w:val="4E611BC4"/>
    <w:rsid w:val="4F0C12FA"/>
    <w:rsid w:val="4F31350D"/>
    <w:rsid w:val="4F3D6A00"/>
    <w:rsid w:val="4F503807"/>
    <w:rsid w:val="4F604EA9"/>
    <w:rsid w:val="4F67050A"/>
    <w:rsid w:val="4F6B4A2D"/>
    <w:rsid w:val="4F6F1791"/>
    <w:rsid w:val="4F817E6C"/>
    <w:rsid w:val="4F8B6063"/>
    <w:rsid w:val="4F98443C"/>
    <w:rsid w:val="4F9C37C8"/>
    <w:rsid w:val="4FD8709F"/>
    <w:rsid w:val="4FDB4CD5"/>
    <w:rsid w:val="4FDD50F6"/>
    <w:rsid w:val="4FED2F84"/>
    <w:rsid w:val="4FF062C9"/>
    <w:rsid w:val="4FF260E2"/>
    <w:rsid w:val="4FF8222F"/>
    <w:rsid w:val="50114A42"/>
    <w:rsid w:val="50165AFC"/>
    <w:rsid w:val="50172448"/>
    <w:rsid w:val="50265D8C"/>
    <w:rsid w:val="503B1837"/>
    <w:rsid w:val="50560BF7"/>
    <w:rsid w:val="5058014A"/>
    <w:rsid w:val="50591CBD"/>
    <w:rsid w:val="506A7524"/>
    <w:rsid w:val="50801DAE"/>
    <w:rsid w:val="508B0A77"/>
    <w:rsid w:val="50C05085"/>
    <w:rsid w:val="50CC783B"/>
    <w:rsid w:val="50D13F4A"/>
    <w:rsid w:val="50D4431B"/>
    <w:rsid w:val="50D717BE"/>
    <w:rsid w:val="50DF0A37"/>
    <w:rsid w:val="50E47980"/>
    <w:rsid w:val="50F66FE5"/>
    <w:rsid w:val="50FA22D5"/>
    <w:rsid w:val="511300BE"/>
    <w:rsid w:val="5119144D"/>
    <w:rsid w:val="51221B71"/>
    <w:rsid w:val="512318ED"/>
    <w:rsid w:val="51363BF8"/>
    <w:rsid w:val="51402E7D"/>
    <w:rsid w:val="514300A6"/>
    <w:rsid w:val="51596F95"/>
    <w:rsid w:val="51A272E6"/>
    <w:rsid w:val="51AD516A"/>
    <w:rsid w:val="51B25F88"/>
    <w:rsid w:val="51E4586A"/>
    <w:rsid w:val="51E97621"/>
    <w:rsid w:val="51ED67A5"/>
    <w:rsid w:val="51F37EF0"/>
    <w:rsid w:val="51FF27DF"/>
    <w:rsid w:val="5213106A"/>
    <w:rsid w:val="521A31EE"/>
    <w:rsid w:val="52347646"/>
    <w:rsid w:val="52511B3C"/>
    <w:rsid w:val="525231A7"/>
    <w:rsid w:val="52693877"/>
    <w:rsid w:val="52A01E26"/>
    <w:rsid w:val="52C148E9"/>
    <w:rsid w:val="52C71F7E"/>
    <w:rsid w:val="52CA3AF2"/>
    <w:rsid w:val="52CD24EF"/>
    <w:rsid w:val="52DB1140"/>
    <w:rsid w:val="52DB667A"/>
    <w:rsid w:val="52EF637D"/>
    <w:rsid w:val="52F90126"/>
    <w:rsid w:val="53254E69"/>
    <w:rsid w:val="53446C55"/>
    <w:rsid w:val="53525F2D"/>
    <w:rsid w:val="53591424"/>
    <w:rsid w:val="53661AF5"/>
    <w:rsid w:val="536C5608"/>
    <w:rsid w:val="538A6632"/>
    <w:rsid w:val="53D02608"/>
    <w:rsid w:val="53E47AF0"/>
    <w:rsid w:val="53F51CFD"/>
    <w:rsid w:val="53F555C5"/>
    <w:rsid w:val="53F65A75"/>
    <w:rsid w:val="53FF492A"/>
    <w:rsid w:val="542720D3"/>
    <w:rsid w:val="542C1497"/>
    <w:rsid w:val="543D36A4"/>
    <w:rsid w:val="544031EF"/>
    <w:rsid w:val="548F6ED8"/>
    <w:rsid w:val="549635D9"/>
    <w:rsid w:val="54BE4F22"/>
    <w:rsid w:val="54DD0847"/>
    <w:rsid w:val="550D4C5D"/>
    <w:rsid w:val="551E18FF"/>
    <w:rsid w:val="5526710E"/>
    <w:rsid w:val="552D2247"/>
    <w:rsid w:val="55323A38"/>
    <w:rsid w:val="55553400"/>
    <w:rsid w:val="55655B2D"/>
    <w:rsid w:val="5588094F"/>
    <w:rsid w:val="559A115A"/>
    <w:rsid w:val="55A5271A"/>
    <w:rsid w:val="55C61C62"/>
    <w:rsid w:val="55D149C6"/>
    <w:rsid w:val="55E22755"/>
    <w:rsid w:val="55E66523"/>
    <w:rsid w:val="55FA3B3C"/>
    <w:rsid w:val="55FA47D7"/>
    <w:rsid w:val="560079CE"/>
    <w:rsid w:val="561568D6"/>
    <w:rsid w:val="561845EE"/>
    <w:rsid w:val="56282BD5"/>
    <w:rsid w:val="56633896"/>
    <w:rsid w:val="56660C90"/>
    <w:rsid w:val="56770491"/>
    <w:rsid w:val="567B7216"/>
    <w:rsid w:val="56871274"/>
    <w:rsid w:val="56885DD6"/>
    <w:rsid w:val="569A6A77"/>
    <w:rsid w:val="56A3729C"/>
    <w:rsid w:val="56B90C15"/>
    <w:rsid w:val="56CE3A1C"/>
    <w:rsid w:val="56D1094B"/>
    <w:rsid w:val="570D55B0"/>
    <w:rsid w:val="571248A2"/>
    <w:rsid w:val="57212689"/>
    <w:rsid w:val="572746BF"/>
    <w:rsid w:val="574A02C9"/>
    <w:rsid w:val="577030CD"/>
    <w:rsid w:val="578863A5"/>
    <w:rsid w:val="57A67219"/>
    <w:rsid w:val="57A86F75"/>
    <w:rsid w:val="57B05BC1"/>
    <w:rsid w:val="57CD4D3F"/>
    <w:rsid w:val="57D6563F"/>
    <w:rsid w:val="57D909D8"/>
    <w:rsid w:val="57EC78BB"/>
    <w:rsid w:val="57FB4A0D"/>
    <w:rsid w:val="583B30BA"/>
    <w:rsid w:val="584753EB"/>
    <w:rsid w:val="584B2834"/>
    <w:rsid w:val="586A23F6"/>
    <w:rsid w:val="5873505A"/>
    <w:rsid w:val="5879438E"/>
    <w:rsid w:val="58B43229"/>
    <w:rsid w:val="58BA31BA"/>
    <w:rsid w:val="58EF5343"/>
    <w:rsid w:val="58EF7E51"/>
    <w:rsid w:val="58FD377A"/>
    <w:rsid w:val="59012764"/>
    <w:rsid w:val="59130119"/>
    <w:rsid w:val="591A5D5D"/>
    <w:rsid w:val="591A7A71"/>
    <w:rsid w:val="5927657C"/>
    <w:rsid w:val="59292247"/>
    <w:rsid w:val="593A3E6A"/>
    <w:rsid w:val="593E3F48"/>
    <w:rsid w:val="59413AD4"/>
    <w:rsid w:val="594628AC"/>
    <w:rsid w:val="59572E1D"/>
    <w:rsid w:val="596C0CB3"/>
    <w:rsid w:val="597D4C6F"/>
    <w:rsid w:val="59812F30"/>
    <w:rsid w:val="59860F23"/>
    <w:rsid w:val="598D06AE"/>
    <w:rsid w:val="599865A7"/>
    <w:rsid w:val="599D6E60"/>
    <w:rsid w:val="59A73890"/>
    <w:rsid w:val="59AC7302"/>
    <w:rsid w:val="59B35838"/>
    <w:rsid w:val="59B63A4F"/>
    <w:rsid w:val="59F9006D"/>
    <w:rsid w:val="5A035E7C"/>
    <w:rsid w:val="5A1E2F13"/>
    <w:rsid w:val="5A1F1C28"/>
    <w:rsid w:val="5A20427A"/>
    <w:rsid w:val="5A364E1D"/>
    <w:rsid w:val="5A4B39E2"/>
    <w:rsid w:val="5A5374D6"/>
    <w:rsid w:val="5A585274"/>
    <w:rsid w:val="5A6C467C"/>
    <w:rsid w:val="5A6C4CE3"/>
    <w:rsid w:val="5A995029"/>
    <w:rsid w:val="5A9E51F0"/>
    <w:rsid w:val="5AA93841"/>
    <w:rsid w:val="5ABA4B2B"/>
    <w:rsid w:val="5ACE060B"/>
    <w:rsid w:val="5AD466AB"/>
    <w:rsid w:val="5AE519B6"/>
    <w:rsid w:val="5AF50DEF"/>
    <w:rsid w:val="5AF960A6"/>
    <w:rsid w:val="5B0D5C97"/>
    <w:rsid w:val="5B115394"/>
    <w:rsid w:val="5B3A68C5"/>
    <w:rsid w:val="5B3C5641"/>
    <w:rsid w:val="5B3E0E6D"/>
    <w:rsid w:val="5B5C08B4"/>
    <w:rsid w:val="5B6559BA"/>
    <w:rsid w:val="5B6E56D0"/>
    <w:rsid w:val="5B786213"/>
    <w:rsid w:val="5B820B25"/>
    <w:rsid w:val="5B9D6BBD"/>
    <w:rsid w:val="5BA41207"/>
    <w:rsid w:val="5BA66800"/>
    <w:rsid w:val="5BD83C2E"/>
    <w:rsid w:val="5BF84B47"/>
    <w:rsid w:val="5BFE426D"/>
    <w:rsid w:val="5C027B30"/>
    <w:rsid w:val="5C040116"/>
    <w:rsid w:val="5C232A1B"/>
    <w:rsid w:val="5C2B6E0A"/>
    <w:rsid w:val="5C2F00C3"/>
    <w:rsid w:val="5C4A52D1"/>
    <w:rsid w:val="5C505E7E"/>
    <w:rsid w:val="5C5D0F52"/>
    <w:rsid w:val="5C6A5252"/>
    <w:rsid w:val="5C8252B6"/>
    <w:rsid w:val="5C86163E"/>
    <w:rsid w:val="5CA639C5"/>
    <w:rsid w:val="5CD956A8"/>
    <w:rsid w:val="5CE15514"/>
    <w:rsid w:val="5CE94A09"/>
    <w:rsid w:val="5CFC6576"/>
    <w:rsid w:val="5D042FB1"/>
    <w:rsid w:val="5D1B0C10"/>
    <w:rsid w:val="5D3A4C16"/>
    <w:rsid w:val="5D592B21"/>
    <w:rsid w:val="5D5E4DB7"/>
    <w:rsid w:val="5D645B35"/>
    <w:rsid w:val="5D9E5000"/>
    <w:rsid w:val="5DAA7FFC"/>
    <w:rsid w:val="5DB4424F"/>
    <w:rsid w:val="5DF74BAB"/>
    <w:rsid w:val="5DFE20F6"/>
    <w:rsid w:val="5E013131"/>
    <w:rsid w:val="5E181C7E"/>
    <w:rsid w:val="5E2C4052"/>
    <w:rsid w:val="5E3C677A"/>
    <w:rsid w:val="5E585DFB"/>
    <w:rsid w:val="5E682EB3"/>
    <w:rsid w:val="5E9635DE"/>
    <w:rsid w:val="5E9A53BD"/>
    <w:rsid w:val="5EB54CBA"/>
    <w:rsid w:val="5EB629D1"/>
    <w:rsid w:val="5EBC6559"/>
    <w:rsid w:val="5ED02545"/>
    <w:rsid w:val="5F025DBC"/>
    <w:rsid w:val="5F5132F3"/>
    <w:rsid w:val="5F781673"/>
    <w:rsid w:val="5F847339"/>
    <w:rsid w:val="5F9A7BFD"/>
    <w:rsid w:val="5FEB59A4"/>
    <w:rsid w:val="5FF2649B"/>
    <w:rsid w:val="60024F19"/>
    <w:rsid w:val="60255B8F"/>
    <w:rsid w:val="60446E71"/>
    <w:rsid w:val="605801BB"/>
    <w:rsid w:val="605C4EFD"/>
    <w:rsid w:val="60D24BCA"/>
    <w:rsid w:val="60E03D35"/>
    <w:rsid w:val="615A0BDA"/>
    <w:rsid w:val="616A0404"/>
    <w:rsid w:val="618C2658"/>
    <w:rsid w:val="618D7A19"/>
    <w:rsid w:val="61A3729F"/>
    <w:rsid w:val="61AF3E33"/>
    <w:rsid w:val="61B40935"/>
    <w:rsid w:val="61B6037C"/>
    <w:rsid w:val="62077BE2"/>
    <w:rsid w:val="626307E4"/>
    <w:rsid w:val="62771F43"/>
    <w:rsid w:val="62811A99"/>
    <w:rsid w:val="628334C4"/>
    <w:rsid w:val="629B590E"/>
    <w:rsid w:val="62A83D74"/>
    <w:rsid w:val="62B40C5B"/>
    <w:rsid w:val="62C628A7"/>
    <w:rsid w:val="62DB0283"/>
    <w:rsid w:val="62ED223B"/>
    <w:rsid w:val="62F835B8"/>
    <w:rsid w:val="630038F0"/>
    <w:rsid w:val="63181608"/>
    <w:rsid w:val="631B6259"/>
    <w:rsid w:val="631F3CE7"/>
    <w:rsid w:val="63226099"/>
    <w:rsid w:val="632900C7"/>
    <w:rsid w:val="632C3B52"/>
    <w:rsid w:val="63435D34"/>
    <w:rsid w:val="63534C92"/>
    <w:rsid w:val="63541F29"/>
    <w:rsid w:val="636A63B3"/>
    <w:rsid w:val="636B23B7"/>
    <w:rsid w:val="636D7584"/>
    <w:rsid w:val="63705290"/>
    <w:rsid w:val="63776E44"/>
    <w:rsid w:val="637C5F97"/>
    <w:rsid w:val="63880907"/>
    <w:rsid w:val="638B31F4"/>
    <w:rsid w:val="639130BE"/>
    <w:rsid w:val="639173B5"/>
    <w:rsid w:val="63BE746A"/>
    <w:rsid w:val="63ED0098"/>
    <w:rsid w:val="64127E15"/>
    <w:rsid w:val="641F6425"/>
    <w:rsid w:val="643E324C"/>
    <w:rsid w:val="646C3855"/>
    <w:rsid w:val="64724E4F"/>
    <w:rsid w:val="64865144"/>
    <w:rsid w:val="649015CE"/>
    <w:rsid w:val="64983D08"/>
    <w:rsid w:val="649966D5"/>
    <w:rsid w:val="64D4595F"/>
    <w:rsid w:val="65093E07"/>
    <w:rsid w:val="652A5AD5"/>
    <w:rsid w:val="65390F50"/>
    <w:rsid w:val="6558272A"/>
    <w:rsid w:val="655A31BF"/>
    <w:rsid w:val="65801643"/>
    <w:rsid w:val="65802895"/>
    <w:rsid w:val="65817344"/>
    <w:rsid w:val="65A363C2"/>
    <w:rsid w:val="65AB66C0"/>
    <w:rsid w:val="65B80DDC"/>
    <w:rsid w:val="65CC2F1A"/>
    <w:rsid w:val="65D0343F"/>
    <w:rsid w:val="65F1697E"/>
    <w:rsid w:val="66022AF0"/>
    <w:rsid w:val="66292A60"/>
    <w:rsid w:val="663340D6"/>
    <w:rsid w:val="664633EE"/>
    <w:rsid w:val="66687ABB"/>
    <w:rsid w:val="668027A3"/>
    <w:rsid w:val="66975B74"/>
    <w:rsid w:val="66C97765"/>
    <w:rsid w:val="66F35CB5"/>
    <w:rsid w:val="67390FA4"/>
    <w:rsid w:val="67657F01"/>
    <w:rsid w:val="676677EB"/>
    <w:rsid w:val="67667E72"/>
    <w:rsid w:val="67A35325"/>
    <w:rsid w:val="67AF7FBD"/>
    <w:rsid w:val="67B97035"/>
    <w:rsid w:val="67BC26D1"/>
    <w:rsid w:val="67CE3DF3"/>
    <w:rsid w:val="67E20509"/>
    <w:rsid w:val="67F70EC1"/>
    <w:rsid w:val="681D54F9"/>
    <w:rsid w:val="683F7709"/>
    <w:rsid w:val="684600BB"/>
    <w:rsid w:val="686E5144"/>
    <w:rsid w:val="687B6C1E"/>
    <w:rsid w:val="688E4077"/>
    <w:rsid w:val="68BA07F6"/>
    <w:rsid w:val="68BB54F1"/>
    <w:rsid w:val="68C41DD3"/>
    <w:rsid w:val="68C84D7B"/>
    <w:rsid w:val="68C976DE"/>
    <w:rsid w:val="68CC61B4"/>
    <w:rsid w:val="68DC4941"/>
    <w:rsid w:val="68E24AF7"/>
    <w:rsid w:val="690D143F"/>
    <w:rsid w:val="69234908"/>
    <w:rsid w:val="693764BC"/>
    <w:rsid w:val="693D0227"/>
    <w:rsid w:val="693D5B23"/>
    <w:rsid w:val="693E784B"/>
    <w:rsid w:val="695B556F"/>
    <w:rsid w:val="69623E9A"/>
    <w:rsid w:val="696F20FA"/>
    <w:rsid w:val="697B450E"/>
    <w:rsid w:val="69926A05"/>
    <w:rsid w:val="69AC2640"/>
    <w:rsid w:val="69F44661"/>
    <w:rsid w:val="69F745C9"/>
    <w:rsid w:val="6A42366E"/>
    <w:rsid w:val="6A5135AE"/>
    <w:rsid w:val="6A552F15"/>
    <w:rsid w:val="6A63251A"/>
    <w:rsid w:val="6A7A2B04"/>
    <w:rsid w:val="6AB05EEE"/>
    <w:rsid w:val="6AB32932"/>
    <w:rsid w:val="6ABB2E6A"/>
    <w:rsid w:val="6AD23ECA"/>
    <w:rsid w:val="6AF85357"/>
    <w:rsid w:val="6B014607"/>
    <w:rsid w:val="6B0176D9"/>
    <w:rsid w:val="6B0808F6"/>
    <w:rsid w:val="6B144135"/>
    <w:rsid w:val="6B230809"/>
    <w:rsid w:val="6B401E4A"/>
    <w:rsid w:val="6B4328E0"/>
    <w:rsid w:val="6B44411B"/>
    <w:rsid w:val="6B94154F"/>
    <w:rsid w:val="6BA90FD6"/>
    <w:rsid w:val="6BDB059F"/>
    <w:rsid w:val="6BE224D1"/>
    <w:rsid w:val="6BE60A8F"/>
    <w:rsid w:val="6BF44EAF"/>
    <w:rsid w:val="6C121515"/>
    <w:rsid w:val="6C1748E2"/>
    <w:rsid w:val="6C5C7594"/>
    <w:rsid w:val="6C6156B9"/>
    <w:rsid w:val="6C68176D"/>
    <w:rsid w:val="6C6B27E3"/>
    <w:rsid w:val="6C7247A0"/>
    <w:rsid w:val="6C731F01"/>
    <w:rsid w:val="6C77637D"/>
    <w:rsid w:val="6C842CD2"/>
    <w:rsid w:val="6CCB201D"/>
    <w:rsid w:val="6CD81D64"/>
    <w:rsid w:val="6CE32C13"/>
    <w:rsid w:val="6CEB43F9"/>
    <w:rsid w:val="6D152027"/>
    <w:rsid w:val="6D1F4F4D"/>
    <w:rsid w:val="6D2531D4"/>
    <w:rsid w:val="6D355901"/>
    <w:rsid w:val="6D5A7E24"/>
    <w:rsid w:val="6D633994"/>
    <w:rsid w:val="6D6A3304"/>
    <w:rsid w:val="6D6E4FAC"/>
    <w:rsid w:val="6D733FCB"/>
    <w:rsid w:val="6D8F68C7"/>
    <w:rsid w:val="6DD15131"/>
    <w:rsid w:val="6DE074F7"/>
    <w:rsid w:val="6DE45B61"/>
    <w:rsid w:val="6E070CBD"/>
    <w:rsid w:val="6E0C4479"/>
    <w:rsid w:val="6E132974"/>
    <w:rsid w:val="6E3860C5"/>
    <w:rsid w:val="6E5378F4"/>
    <w:rsid w:val="6E8A2D4C"/>
    <w:rsid w:val="6E944260"/>
    <w:rsid w:val="6EA33C74"/>
    <w:rsid w:val="6EB62416"/>
    <w:rsid w:val="6EC30CFA"/>
    <w:rsid w:val="6EC5714C"/>
    <w:rsid w:val="6EE14E49"/>
    <w:rsid w:val="6F112898"/>
    <w:rsid w:val="6F1352BC"/>
    <w:rsid w:val="6F320296"/>
    <w:rsid w:val="6F4571C1"/>
    <w:rsid w:val="6F481423"/>
    <w:rsid w:val="6F6D5065"/>
    <w:rsid w:val="6F6D5B35"/>
    <w:rsid w:val="6F7246F2"/>
    <w:rsid w:val="6F7754B4"/>
    <w:rsid w:val="6F977AA0"/>
    <w:rsid w:val="6FAA08F4"/>
    <w:rsid w:val="6FAA5C3A"/>
    <w:rsid w:val="6FC10684"/>
    <w:rsid w:val="6FE9742F"/>
    <w:rsid w:val="6FEC2F2F"/>
    <w:rsid w:val="70016C1A"/>
    <w:rsid w:val="70121D8B"/>
    <w:rsid w:val="70457711"/>
    <w:rsid w:val="704F233D"/>
    <w:rsid w:val="706D7F34"/>
    <w:rsid w:val="709A3F00"/>
    <w:rsid w:val="70CE66FE"/>
    <w:rsid w:val="70FF2046"/>
    <w:rsid w:val="711122F9"/>
    <w:rsid w:val="711E0F97"/>
    <w:rsid w:val="714F204A"/>
    <w:rsid w:val="7167729A"/>
    <w:rsid w:val="716D6F1F"/>
    <w:rsid w:val="719947A2"/>
    <w:rsid w:val="719C15B2"/>
    <w:rsid w:val="71BA7C8A"/>
    <w:rsid w:val="71BD5BE1"/>
    <w:rsid w:val="71C417AC"/>
    <w:rsid w:val="71C4518B"/>
    <w:rsid w:val="71CB2F4D"/>
    <w:rsid w:val="71DF0CFE"/>
    <w:rsid w:val="71F72C8D"/>
    <w:rsid w:val="720D5677"/>
    <w:rsid w:val="721455EC"/>
    <w:rsid w:val="722F0B08"/>
    <w:rsid w:val="725E2D0C"/>
    <w:rsid w:val="72791582"/>
    <w:rsid w:val="72822E9E"/>
    <w:rsid w:val="72AB7C08"/>
    <w:rsid w:val="72B76C1B"/>
    <w:rsid w:val="72BB26E6"/>
    <w:rsid w:val="72D66D46"/>
    <w:rsid w:val="72F13D91"/>
    <w:rsid w:val="72FD4F73"/>
    <w:rsid w:val="7336701A"/>
    <w:rsid w:val="73491A49"/>
    <w:rsid w:val="734A37EF"/>
    <w:rsid w:val="735716B4"/>
    <w:rsid w:val="735A7931"/>
    <w:rsid w:val="736D2147"/>
    <w:rsid w:val="737C09CA"/>
    <w:rsid w:val="73830C7C"/>
    <w:rsid w:val="738D5858"/>
    <w:rsid w:val="73B33750"/>
    <w:rsid w:val="73B452D9"/>
    <w:rsid w:val="73CE424F"/>
    <w:rsid w:val="73D53E46"/>
    <w:rsid w:val="73D86543"/>
    <w:rsid w:val="73F07371"/>
    <w:rsid w:val="73FF4FB0"/>
    <w:rsid w:val="74292B37"/>
    <w:rsid w:val="747D07D0"/>
    <w:rsid w:val="7483680F"/>
    <w:rsid w:val="7483700E"/>
    <w:rsid w:val="74997D67"/>
    <w:rsid w:val="74A735EA"/>
    <w:rsid w:val="74BB4C36"/>
    <w:rsid w:val="74C86975"/>
    <w:rsid w:val="74E41BEE"/>
    <w:rsid w:val="7506045E"/>
    <w:rsid w:val="75226D4F"/>
    <w:rsid w:val="75443219"/>
    <w:rsid w:val="7544664E"/>
    <w:rsid w:val="75821FAC"/>
    <w:rsid w:val="75A541A2"/>
    <w:rsid w:val="75D1642C"/>
    <w:rsid w:val="75DD39E2"/>
    <w:rsid w:val="75ED12D5"/>
    <w:rsid w:val="760A7432"/>
    <w:rsid w:val="761D04BC"/>
    <w:rsid w:val="762503DD"/>
    <w:rsid w:val="763517AC"/>
    <w:rsid w:val="764B53CD"/>
    <w:rsid w:val="765B1439"/>
    <w:rsid w:val="7677439C"/>
    <w:rsid w:val="76BA60B3"/>
    <w:rsid w:val="76BB24DB"/>
    <w:rsid w:val="76CB3AC4"/>
    <w:rsid w:val="76DE6E42"/>
    <w:rsid w:val="76F833EE"/>
    <w:rsid w:val="77032F78"/>
    <w:rsid w:val="770A5210"/>
    <w:rsid w:val="77120C97"/>
    <w:rsid w:val="771259CD"/>
    <w:rsid w:val="773C3FEF"/>
    <w:rsid w:val="776E55D4"/>
    <w:rsid w:val="778D20C9"/>
    <w:rsid w:val="779C5642"/>
    <w:rsid w:val="77A33638"/>
    <w:rsid w:val="77AF5473"/>
    <w:rsid w:val="77CA24A3"/>
    <w:rsid w:val="77EB208A"/>
    <w:rsid w:val="77EC6C20"/>
    <w:rsid w:val="77F90AF6"/>
    <w:rsid w:val="77FF22B5"/>
    <w:rsid w:val="780B2856"/>
    <w:rsid w:val="78262F60"/>
    <w:rsid w:val="782A3662"/>
    <w:rsid w:val="783F08BF"/>
    <w:rsid w:val="785721B0"/>
    <w:rsid w:val="785E0196"/>
    <w:rsid w:val="78661DF0"/>
    <w:rsid w:val="78694459"/>
    <w:rsid w:val="7872079A"/>
    <w:rsid w:val="78856D19"/>
    <w:rsid w:val="78AD498F"/>
    <w:rsid w:val="78CE0C4D"/>
    <w:rsid w:val="78D81817"/>
    <w:rsid w:val="78D9133E"/>
    <w:rsid w:val="79041203"/>
    <w:rsid w:val="791665C1"/>
    <w:rsid w:val="792B6137"/>
    <w:rsid w:val="792C1100"/>
    <w:rsid w:val="792F37B7"/>
    <w:rsid w:val="79374494"/>
    <w:rsid w:val="793A6280"/>
    <w:rsid w:val="796A5788"/>
    <w:rsid w:val="797906C6"/>
    <w:rsid w:val="797E15C1"/>
    <w:rsid w:val="7987532C"/>
    <w:rsid w:val="79AC0A22"/>
    <w:rsid w:val="79AD5087"/>
    <w:rsid w:val="79B41B74"/>
    <w:rsid w:val="79D26C28"/>
    <w:rsid w:val="79FA27C6"/>
    <w:rsid w:val="7A0A77F9"/>
    <w:rsid w:val="7A175716"/>
    <w:rsid w:val="7A235667"/>
    <w:rsid w:val="7A3D0EE4"/>
    <w:rsid w:val="7A442B3A"/>
    <w:rsid w:val="7A646F3F"/>
    <w:rsid w:val="7A65156E"/>
    <w:rsid w:val="7A685187"/>
    <w:rsid w:val="7A7B2AF7"/>
    <w:rsid w:val="7A856975"/>
    <w:rsid w:val="7A8E41CC"/>
    <w:rsid w:val="7AA57550"/>
    <w:rsid w:val="7AA93F28"/>
    <w:rsid w:val="7B5B7656"/>
    <w:rsid w:val="7B776EB0"/>
    <w:rsid w:val="7B9A4A18"/>
    <w:rsid w:val="7BEE4592"/>
    <w:rsid w:val="7C0C3436"/>
    <w:rsid w:val="7C55517F"/>
    <w:rsid w:val="7C644FCD"/>
    <w:rsid w:val="7C6A6C95"/>
    <w:rsid w:val="7C85669D"/>
    <w:rsid w:val="7C8A4E29"/>
    <w:rsid w:val="7CE066F0"/>
    <w:rsid w:val="7CEA39BD"/>
    <w:rsid w:val="7CFD2C24"/>
    <w:rsid w:val="7CFE75C5"/>
    <w:rsid w:val="7D20704E"/>
    <w:rsid w:val="7D3730A7"/>
    <w:rsid w:val="7D5A61BA"/>
    <w:rsid w:val="7D6C4B01"/>
    <w:rsid w:val="7D974B5E"/>
    <w:rsid w:val="7DA21986"/>
    <w:rsid w:val="7DB3663A"/>
    <w:rsid w:val="7DCF59ED"/>
    <w:rsid w:val="7DD8263D"/>
    <w:rsid w:val="7E313A10"/>
    <w:rsid w:val="7E353820"/>
    <w:rsid w:val="7E5B4160"/>
    <w:rsid w:val="7E633B84"/>
    <w:rsid w:val="7E991353"/>
    <w:rsid w:val="7EA30090"/>
    <w:rsid w:val="7EA43850"/>
    <w:rsid w:val="7EAC0EDE"/>
    <w:rsid w:val="7EB60C84"/>
    <w:rsid w:val="7ECA59B1"/>
    <w:rsid w:val="7EE11E64"/>
    <w:rsid w:val="7EEF5417"/>
    <w:rsid w:val="7EF86162"/>
    <w:rsid w:val="7F011F00"/>
    <w:rsid w:val="7F194C30"/>
    <w:rsid w:val="7F1B1DB0"/>
    <w:rsid w:val="7F5205E9"/>
    <w:rsid w:val="7F5334A5"/>
    <w:rsid w:val="7F8F0994"/>
    <w:rsid w:val="7F9252CC"/>
    <w:rsid w:val="7F944FCB"/>
    <w:rsid w:val="7FA36268"/>
    <w:rsid w:val="7FC4754B"/>
    <w:rsid w:val="7FEE1802"/>
    <w:rsid w:val="7FF36D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iPriority="99"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47"/>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1"/>
    <w:link w:val="67"/>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5"/>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paragraph" w:styleId="6">
    <w:name w:val="heading 4"/>
    <w:basedOn w:val="1"/>
    <w:next w:val="1"/>
    <w:link w:val="48"/>
    <w:qFormat/>
    <w:uiPriority w:val="99"/>
    <w:pPr>
      <w:keepNext/>
      <w:keepLines/>
      <w:spacing w:before="280" w:after="290" w:line="376" w:lineRule="auto"/>
      <w:outlineLvl w:val="3"/>
    </w:pPr>
    <w:rPr>
      <w:rFonts w:ascii="Cambria" w:hAnsi="Cambria" w:cs="Cambria"/>
      <w:b/>
      <w:bCs/>
      <w:sz w:val="28"/>
      <w:szCs w:val="28"/>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7">
    <w:name w:val="List 3"/>
    <w:basedOn w:val="1"/>
    <w:next w:val="8"/>
    <w:qFormat/>
    <w:uiPriority w:val="0"/>
    <w:pPr>
      <w:ind w:left="100" w:leftChars="400" w:hanging="200" w:hangingChars="200"/>
    </w:pPr>
  </w:style>
  <w:style w:type="paragraph" w:styleId="8">
    <w:name w:val="Body Text"/>
    <w:basedOn w:val="1"/>
    <w:link w:val="66"/>
    <w:qFormat/>
    <w:uiPriority w:val="0"/>
    <w:pPr>
      <w:tabs>
        <w:tab w:val="left" w:pos="567"/>
      </w:tabs>
      <w:spacing w:before="120" w:line="22" w:lineRule="atLeast"/>
    </w:pPr>
    <w:rPr>
      <w:rFonts w:ascii="宋体" w:hAnsi="宋体"/>
      <w:sz w:val="24"/>
    </w:rPr>
  </w:style>
  <w:style w:type="paragraph" w:styleId="9">
    <w:name w:val="toc 7"/>
    <w:basedOn w:val="1"/>
    <w:next w:val="1"/>
    <w:unhideWhenUsed/>
    <w:qFormat/>
    <w:uiPriority w:val="39"/>
    <w:pPr>
      <w:ind w:left="1260"/>
      <w:jc w:val="left"/>
    </w:pPr>
    <w:rPr>
      <w:rFonts w:asciiTheme="minorHAnsi" w:hAnsiTheme="minorHAnsi" w:cstheme="minorHAnsi"/>
      <w:sz w:val="18"/>
      <w:szCs w:val="18"/>
    </w:rPr>
  </w:style>
  <w:style w:type="paragraph" w:styleId="10">
    <w:name w:val="caption"/>
    <w:basedOn w:val="1"/>
    <w:next w:val="1"/>
    <w:qFormat/>
    <w:uiPriority w:val="0"/>
    <w:pPr>
      <w:spacing w:before="152" w:after="160"/>
    </w:pPr>
    <w:rPr>
      <w:rFonts w:ascii="Arial" w:hAnsi="Arial" w:eastAsia="黑体" w:cs="Arial"/>
      <w:sz w:val="20"/>
    </w:rPr>
  </w:style>
  <w:style w:type="paragraph" w:styleId="11">
    <w:name w:val="annotation text"/>
    <w:basedOn w:val="1"/>
    <w:qFormat/>
    <w:uiPriority w:val="0"/>
    <w:pPr>
      <w:jc w:val="left"/>
    </w:pPr>
    <w:rPr>
      <w:rFonts w:ascii="Times New Roman" w:hAnsi="Times New Roman"/>
    </w:rPr>
  </w:style>
  <w:style w:type="paragraph" w:styleId="12">
    <w:name w:val="Body Text 3"/>
    <w:basedOn w:val="1"/>
    <w:semiHidden/>
    <w:unhideWhenUsed/>
    <w:qFormat/>
    <w:uiPriority w:val="99"/>
    <w:pPr>
      <w:spacing w:after="120"/>
    </w:pPr>
    <w:rPr>
      <w:sz w:val="16"/>
      <w:szCs w:val="16"/>
    </w:rPr>
  </w:style>
  <w:style w:type="paragraph" w:styleId="13">
    <w:name w:val="Body Text Indent"/>
    <w:basedOn w:val="1"/>
    <w:link w:val="80"/>
    <w:qFormat/>
    <w:uiPriority w:val="0"/>
    <w:pPr>
      <w:spacing w:line="360" w:lineRule="auto"/>
      <w:ind w:firstLine="570"/>
    </w:pPr>
    <w:rPr>
      <w:sz w:val="24"/>
    </w:rPr>
  </w:style>
  <w:style w:type="paragraph" w:styleId="14">
    <w:name w:val="List 2"/>
    <w:basedOn w:val="1"/>
    <w:next w:val="7"/>
    <w:qFormat/>
    <w:uiPriority w:val="0"/>
    <w:pPr>
      <w:ind w:left="100" w:leftChars="200" w:hanging="200" w:hangingChars="200"/>
    </w:pPr>
  </w:style>
  <w:style w:type="paragraph" w:styleId="15">
    <w:name w:val="index 4"/>
    <w:basedOn w:val="1"/>
    <w:next w:val="1"/>
    <w:qFormat/>
    <w:uiPriority w:val="0"/>
    <w:pPr>
      <w:widowControl/>
      <w:ind w:left="600" w:leftChars="600"/>
      <w:jc w:val="left"/>
    </w:pPr>
    <w:rPr>
      <w:rFonts w:ascii="DFKai-SB" w:eastAsia="DFKai-SB"/>
      <w:kern w:val="0"/>
      <w:sz w:val="28"/>
      <w:szCs w:val="20"/>
      <w:lang w:eastAsia="zh-TW"/>
    </w:rPr>
  </w:style>
  <w:style w:type="paragraph" w:styleId="16">
    <w:name w:val="toc 5"/>
    <w:basedOn w:val="1"/>
    <w:next w:val="1"/>
    <w:unhideWhenUsed/>
    <w:qFormat/>
    <w:uiPriority w:val="39"/>
    <w:pPr>
      <w:ind w:left="840"/>
      <w:jc w:val="left"/>
    </w:pPr>
    <w:rPr>
      <w:rFonts w:asciiTheme="minorHAnsi" w:hAnsiTheme="minorHAnsi" w:cstheme="minorHAnsi"/>
      <w:sz w:val="18"/>
      <w:szCs w:val="18"/>
    </w:rPr>
  </w:style>
  <w:style w:type="paragraph" w:styleId="17">
    <w:name w:val="toc 3"/>
    <w:basedOn w:val="1"/>
    <w:next w:val="1"/>
    <w:qFormat/>
    <w:uiPriority w:val="39"/>
    <w:pPr>
      <w:ind w:left="420"/>
      <w:jc w:val="left"/>
    </w:pPr>
    <w:rPr>
      <w:rFonts w:asciiTheme="minorHAnsi" w:hAnsiTheme="minorHAnsi" w:cstheme="minorHAnsi"/>
      <w:i/>
      <w:iCs/>
      <w:sz w:val="20"/>
      <w:szCs w:val="20"/>
    </w:rPr>
  </w:style>
  <w:style w:type="paragraph" w:styleId="18">
    <w:name w:val="Plain Text"/>
    <w:basedOn w:val="1"/>
    <w:next w:val="1"/>
    <w:link w:val="43"/>
    <w:qFormat/>
    <w:uiPriority w:val="0"/>
    <w:rPr>
      <w:rFonts w:ascii="宋体" w:hAnsi="Courier New"/>
      <w:szCs w:val="20"/>
    </w:rPr>
  </w:style>
  <w:style w:type="paragraph" w:styleId="19">
    <w:name w:val="toc 8"/>
    <w:basedOn w:val="1"/>
    <w:next w:val="1"/>
    <w:unhideWhenUsed/>
    <w:qFormat/>
    <w:uiPriority w:val="39"/>
    <w:pPr>
      <w:ind w:left="1470"/>
      <w:jc w:val="left"/>
    </w:pPr>
    <w:rPr>
      <w:rFonts w:asciiTheme="minorHAnsi" w:hAnsiTheme="minorHAnsi" w:cstheme="minorHAnsi"/>
      <w:sz w:val="18"/>
      <w:szCs w:val="18"/>
    </w:rPr>
  </w:style>
  <w:style w:type="paragraph" w:styleId="20">
    <w:name w:val="Balloon Text"/>
    <w:basedOn w:val="1"/>
    <w:link w:val="74"/>
    <w:qFormat/>
    <w:uiPriority w:val="0"/>
    <w:rPr>
      <w:sz w:val="18"/>
      <w:szCs w:val="18"/>
    </w:rPr>
  </w:style>
  <w:style w:type="paragraph" w:styleId="21">
    <w:name w:val="footer"/>
    <w:basedOn w:val="1"/>
    <w:link w:val="49"/>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22">
    <w:name w:val="envelope return"/>
    <w:basedOn w:val="1"/>
    <w:qFormat/>
    <w:uiPriority w:val="0"/>
    <w:pPr>
      <w:snapToGrid w:val="0"/>
      <w:spacing w:line="360" w:lineRule="auto"/>
    </w:pPr>
    <w:rPr>
      <w:rFonts w:ascii="Arial" w:hAnsi="Arial"/>
      <w:sz w:val="24"/>
    </w:rPr>
  </w:style>
  <w:style w:type="paragraph" w:styleId="2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4">
    <w:name w:val="toc 1"/>
    <w:basedOn w:val="1"/>
    <w:next w:val="1"/>
    <w:qFormat/>
    <w:uiPriority w:val="39"/>
    <w:pPr>
      <w:spacing w:before="120" w:after="120"/>
      <w:jc w:val="left"/>
    </w:pPr>
    <w:rPr>
      <w:rFonts w:asciiTheme="minorHAnsi" w:hAnsiTheme="minorHAnsi" w:cstheme="minorHAnsi"/>
      <w:b/>
      <w:bCs/>
      <w:caps/>
      <w:sz w:val="20"/>
      <w:szCs w:val="20"/>
    </w:rPr>
  </w:style>
  <w:style w:type="paragraph" w:styleId="25">
    <w:name w:val="toc 4"/>
    <w:basedOn w:val="1"/>
    <w:next w:val="1"/>
    <w:unhideWhenUsed/>
    <w:qFormat/>
    <w:uiPriority w:val="39"/>
    <w:pPr>
      <w:ind w:left="630"/>
      <w:jc w:val="left"/>
    </w:pPr>
    <w:rPr>
      <w:rFonts w:asciiTheme="minorHAnsi" w:hAnsiTheme="minorHAnsi" w:cstheme="minorHAnsi"/>
      <w:sz w:val="18"/>
      <w:szCs w:val="18"/>
    </w:rPr>
  </w:style>
  <w:style w:type="paragraph" w:styleId="26">
    <w:name w:val="toc 6"/>
    <w:basedOn w:val="1"/>
    <w:next w:val="1"/>
    <w:unhideWhenUsed/>
    <w:qFormat/>
    <w:uiPriority w:val="39"/>
    <w:pPr>
      <w:ind w:left="1050"/>
      <w:jc w:val="left"/>
    </w:pPr>
    <w:rPr>
      <w:rFonts w:asciiTheme="minorHAnsi" w:hAnsiTheme="minorHAnsi" w:cstheme="minorHAnsi"/>
      <w:sz w:val="18"/>
      <w:szCs w:val="18"/>
    </w:rPr>
  </w:style>
  <w:style w:type="paragraph" w:styleId="27">
    <w:name w:val="toc 2"/>
    <w:basedOn w:val="1"/>
    <w:next w:val="1"/>
    <w:qFormat/>
    <w:uiPriority w:val="39"/>
    <w:pPr>
      <w:ind w:left="210"/>
      <w:jc w:val="left"/>
    </w:pPr>
    <w:rPr>
      <w:rFonts w:asciiTheme="minorHAnsi" w:hAnsiTheme="minorHAnsi" w:cstheme="minorHAnsi"/>
      <w:smallCaps/>
      <w:sz w:val="20"/>
      <w:szCs w:val="20"/>
    </w:rPr>
  </w:style>
  <w:style w:type="paragraph" w:styleId="28">
    <w:name w:val="toc 9"/>
    <w:basedOn w:val="1"/>
    <w:next w:val="1"/>
    <w:unhideWhenUsed/>
    <w:qFormat/>
    <w:uiPriority w:val="39"/>
    <w:pPr>
      <w:ind w:left="1680"/>
      <w:jc w:val="left"/>
    </w:pPr>
    <w:rPr>
      <w:rFonts w:asciiTheme="minorHAnsi" w:hAnsiTheme="minorHAnsi" w:cstheme="minorHAnsi"/>
      <w:sz w:val="18"/>
      <w:szCs w:val="18"/>
    </w:rPr>
  </w:style>
  <w:style w:type="paragraph" w:styleId="29">
    <w:name w:val="Body Text 2"/>
    <w:basedOn w:val="1"/>
    <w:next w:val="14"/>
    <w:qFormat/>
    <w:uiPriority w:val="0"/>
    <w:pPr>
      <w:spacing w:after="120" w:line="480" w:lineRule="auto"/>
    </w:pPr>
  </w:style>
  <w:style w:type="paragraph" w:styleId="30">
    <w:name w:val="HTML Preformatted"/>
    <w:basedOn w:val="1"/>
    <w:next w:val="3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cs="宋体"/>
      <w:sz w:val="24"/>
      <w:szCs w:val="20"/>
    </w:rPr>
  </w:style>
  <w:style w:type="paragraph" w:styleId="31">
    <w:name w:val="Normal (Web)"/>
    <w:basedOn w:val="1"/>
    <w:qFormat/>
    <w:uiPriority w:val="0"/>
    <w:pPr>
      <w:spacing w:beforeAutospacing="1" w:afterAutospacing="1"/>
      <w:jc w:val="left"/>
    </w:pPr>
    <w:rPr>
      <w:kern w:val="0"/>
      <w:sz w:val="24"/>
    </w:rPr>
  </w:style>
  <w:style w:type="paragraph" w:styleId="32">
    <w:name w:val="Body Text First Indent"/>
    <w:basedOn w:val="8"/>
    <w:next w:val="26"/>
    <w:link w:val="75"/>
    <w:qFormat/>
    <w:uiPriority w:val="0"/>
    <w:pPr>
      <w:spacing w:before="0" w:after="120" w:line="240" w:lineRule="auto"/>
      <w:ind w:firstLine="420" w:firstLineChars="100"/>
    </w:pPr>
    <w:rPr>
      <w:rFonts w:ascii="Calibri" w:hAnsi="Calibri"/>
      <w:sz w:val="21"/>
    </w:rPr>
  </w:style>
  <w:style w:type="paragraph" w:styleId="33">
    <w:name w:val="Body Text First Indent 2"/>
    <w:basedOn w:val="13"/>
    <w:next w:val="32"/>
    <w:link w:val="81"/>
    <w:qFormat/>
    <w:uiPriority w:val="0"/>
    <w:pPr>
      <w:spacing w:after="120" w:line="240" w:lineRule="auto"/>
      <w:ind w:left="420" w:leftChars="200" w:firstLine="420" w:firstLineChars="200"/>
    </w:pPr>
    <w:rPr>
      <w:sz w:val="21"/>
    </w:rPr>
  </w:style>
  <w:style w:type="table" w:styleId="35">
    <w:name w:val="Table Grid"/>
    <w:basedOn w:val="3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page number"/>
    <w:basedOn w:val="36"/>
    <w:qFormat/>
    <w:uiPriority w:val="0"/>
  </w:style>
  <w:style w:type="character" w:styleId="38">
    <w:name w:val="FollowedHyperlink"/>
    <w:basedOn w:val="36"/>
    <w:qFormat/>
    <w:uiPriority w:val="0"/>
    <w:rPr>
      <w:rFonts w:hint="eastAsia" w:ascii="微软雅黑" w:hAnsi="微软雅黑" w:eastAsia="微软雅黑" w:cs="微软雅黑"/>
      <w:color w:val="02396F"/>
      <w:u w:val="single"/>
    </w:rPr>
  </w:style>
  <w:style w:type="character" w:styleId="39">
    <w:name w:val="Hyperlink"/>
    <w:basedOn w:val="36"/>
    <w:qFormat/>
    <w:uiPriority w:val="99"/>
    <w:rPr>
      <w:color w:val="333333"/>
      <w:u w:val="none"/>
    </w:rPr>
  </w:style>
  <w:style w:type="paragraph" w:customStyle="1" w:styleId="40">
    <w:name w:val="标准"/>
    <w:next w:val="1"/>
    <w:qFormat/>
    <w:uiPriority w:val="0"/>
    <w:pPr>
      <w:widowControl w:val="0"/>
      <w:spacing w:before="120" w:after="120" w:line="312" w:lineRule="atLeast"/>
      <w:ind w:firstLine="3584"/>
      <w:jc w:val="both"/>
    </w:pPr>
    <w:rPr>
      <w:rFonts w:ascii="Times New Roman" w:hAnsi="Times New Roman" w:eastAsia="宋体" w:cs="Times New Roman"/>
      <w:lang w:val="en-US" w:eastAsia="zh-CN" w:bidi="ar-SA"/>
    </w:rPr>
  </w:style>
  <w:style w:type="character" w:customStyle="1" w:styleId="41">
    <w:name w:val="fontstyle01"/>
    <w:basedOn w:val="36"/>
    <w:qFormat/>
    <w:uiPriority w:val="0"/>
    <w:rPr>
      <w:rFonts w:hint="eastAsia" w:ascii="宋体" w:hAnsi="宋体" w:eastAsia="宋体"/>
      <w:color w:val="000000"/>
      <w:sz w:val="22"/>
      <w:szCs w:val="22"/>
    </w:rPr>
  </w:style>
  <w:style w:type="character" w:customStyle="1" w:styleId="42">
    <w:name w:val="正文文本 字符"/>
    <w:qFormat/>
    <w:uiPriority w:val="0"/>
    <w:rPr>
      <w:rFonts w:ascii="宋体" w:hAnsi="宋体"/>
      <w:kern w:val="2"/>
      <w:sz w:val="24"/>
      <w:szCs w:val="24"/>
    </w:rPr>
  </w:style>
  <w:style w:type="character" w:customStyle="1" w:styleId="43">
    <w:name w:val="纯文本 字符"/>
    <w:link w:val="18"/>
    <w:qFormat/>
    <w:uiPriority w:val="0"/>
    <w:rPr>
      <w:rFonts w:ascii="宋体" w:hAnsi="Courier New"/>
      <w:kern w:val="2"/>
      <w:sz w:val="21"/>
    </w:rPr>
  </w:style>
  <w:style w:type="paragraph" w:customStyle="1" w:styleId="44">
    <w:name w:val="列出段落1"/>
    <w:basedOn w:val="1"/>
    <w:unhideWhenUsed/>
    <w:qFormat/>
    <w:uiPriority w:val="99"/>
    <w:pPr>
      <w:ind w:firstLine="420" w:firstLineChars="200"/>
    </w:pPr>
  </w:style>
  <w:style w:type="character" w:customStyle="1" w:styleId="45">
    <w:name w:val="正文缩进 Char1"/>
    <w:link w:val="46"/>
    <w:qFormat/>
    <w:uiPriority w:val="0"/>
    <w:rPr>
      <w:rFonts w:ascii="宋体"/>
      <w:sz w:val="24"/>
    </w:rPr>
  </w:style>
  <w:style w:type="paragraph" w:customStyle="1" w:styleId="46">
    <w:name w:val="正文缩进1"/>
    <w:basedOn w:val="1"/>
    <w:link w:val="45"/>
    <w:qFormat/>
    <w:uiPriority w:val="0"/>
    <w:pPr>
      <w:autoSpaceDE w:val="0"/>
      <w:autoSpaceDN w:val="0"/>
      <w:adjustRightInd w:val="0"/>
      <w:ind w:firstLine="420"/>
      <w:jc w:val="left"/>
    </w:pPr>
    <w:rPr>
      <w:rFonts w:ascii="宋体"/>
      <w:kern w:val="0"/>
      <w:sz w:val="24"/>
      <w:szCs w:val="20"/>
    </w:rPr>
  </w:style>
  <w:style w:type="character" w:customStyle="1" w:styleId="47">
    <w:name w:val="标题 1 字符"/>
    <w:link w:val="2"/>
    <w:qFormat/>
    <w:uiPriority w:val="0"/>
    <w:rPr>
      <w:rFonts w:ascii="宋体"/>
      <w:b/>
      <w:kern w:val="44"/>
      <w:sz w:val="32"/>
    </w:rPr>
  </w:style>
  <w:style w:type="character" w:customStyle="1" w:styleId="48">
    <w:name w:val="标题 4 字符"/>
    <w:basedOn w:val="36"/>
    <w:link w:val="6"/>
    <w:qFormat/>
    <w:uiPriority w:val="99"/>
    <w:rPr>
      <w:rFonts w:ascii="Cambria" w:hAnsi="Cambria" w:cs="Cambria"/>
      <w:b/>
      <w:bCs/>
      <w:kern w:val="2"/>
      <w:sz w:val="28"/>
      <w:szCs w:val="28"/>
    </w:rPr>
  </w:style>
  <w:style w:type="character" w:customStyle="1" w:styleId="49">
    <w:name w:val="页脚 字符"/>
    <w:basedOn w:val="36"/>
    <w:link w:val="21"/>
    <w:qFormat/>
    <w:uiPriority w:val="99"/>
    <w:rPr>
      <w:rFonts w:ascii="宋体" w:hAnsi="Calibri"/>
      <w:sz w:val="18"/>
    </w:rPr>
  </w:style>
  <w:style w:type="paragraph" w:customStyle="1" w:styleId="50">
    <w:name w:val="TOC 标题1"/>
    <w:basedOn w:val="2"/>
    <w:next w:val="1"/>
    <w:unhideWhenUsed/>
    <w:qFormat/>
    <w:uiPriority w:val="39"/>
    <w:pPr>
      <w:widowControl/>
      <w:autoSpaceDE/>
      <w:autoSpaceDN/>
      <w:adjustRightInd/>
      <w:spacing w:after="0" w:line="259" w:lineRule="auto"/>
      <w:jc w:val="left"/>
      <w:outlineLvl w:val="9"/>
    </w:pPr>
    <w:rPr>
      <w:rFonts w:asciiTheme="majorHAnsi" w:hAnsiTheme="majorHAnsi" w:eastAsiaTheme="majorEastAsia" w:cstheme="majorBidi"/>
      <w:b w:val="0"/>
      <w:color w:val="2E75B6" w:themeColor="accent1" w:themeShade="BF"/>
      <w:kern w:val="0"/>
      <w:szCs w:val="32"/>
    </w:rPr>
  </w:style>
  <w:style w:type="paragraph" w:styleId="51">
    <w:name w:val="No Spacing"/>
    <w:qFormat/>
    <w:uiPriority w:val="1"/>
    <w:pPr>
      <w:widowControl w:val="0"/>
      <w:ind w:firstLine="200" w:firstLineChars="200"/>
    </w:pPr>
    <w:rPr>
      <w:rFonts w:ascii="Calibri" w:hAnsi="Calibri" w:eastAsia="仿宋" w:cs="Times New Roman"/>
      <w:kern w:val="2"/>
      <w:sz w:val="24"/>
      <w:lang w:val="en-US" w:eastAsia="zh-CN" w:bidi="ar-SA"/>
    </w:rPr>
  </w:style>
  <w:style w:type="character" w:customStyle="1" w:styleId="52">
    <w:name w:val="next"/>
    <w:basedOn w:val="36"/>
    <w:qFormat/>
    <w:uiPriority w:val="0"/>
    <w:rPr>
      <w:rFonts w:ascii="微软雅黑" w:hAnsi="微软雅黑" w:eastAsia="微软雅黑" w:cs="微软雅黑"/>
      <w:sz w:val="21"/>
      <w:szCs w:val="21"/>
    </w:rPr>
  </w:style>
  <w:style w:type="character" w:customStyle="1" w:styleId="53">
    <w:name w:val="next1"/>
    <w:basedOn w:val="36"/>
    <w:qFormat/>
    <w:uiPriority w:val="0"/>
    <w:rPr>
      <w:color w:val="888888"/>
    </w:rPr>
  </w:style>
  <w:style w:type="character" w:customStyle="1" w:styleId="54">
    <w:name w:val="prev"/>
    <w:basedOn w:val="36"/>
    <w:qFormat/>
    <w:uiPriority w:val="0"/>
    <w:rPr>
      <w:rFonts w:hint="eastAsia" w:ascii="微软雅黑" w:hAnsi="微软雅黑" w:eastAsia="微软雅黑" w:cs="微软雅黑"/>
      <w:sz w:val="21"/>
      <w:szCs w:val="21"/>
    </w:rPr>
  </w:style>
  <w:style w:type="character" w:customStyle="1" w:styleId="55">
    <w:name w:val="prev1"/>
    <w:basedOn w:val="36"/>
    <w:qFormat/>
    <w:uiPriority w:val="0"/>
    <w:rPr>
      <w:color w:val="888888"/>
    </w:rPr>
  </w:style>
  <w:style w:type="character" w:customStyle="1" w:styleId="56">
    <w:name w:val="cfdate"/>
    <w:basedOn w:val="36"/>
    <w:qFormat/>
    <w:uiPriority w:val="0"/>
    <w:rPr>
      <w:color w:val="333333"/>
      <w:sz w:val="18"/>
      <w:szCs w:val="18"/>
    </w:rPr>
  </w:style>
  <w:style w:type="character" w:customStyle="1" w:styleId="57">
    <w:name w:val="redfilenumber"/>
    <w:basedOn w:val="36"/>
    <w:qFormat/>
    <w:uiPriority w:val="0"/>
    <w:rPr>
      <w:color w:val="BA2636"/>
      <w:sz w:val="18"/>
      <w:szCs w:val="18"/>
    </w:rPr>
  </w:style>
  <w:style w:type="character" w:customStyle="1" w:styleId="58">
    <w:name w:val="displayarti"/>
    <w:basedOn w:val="36"/>
    <w:qFormat/>
    <w:uiPriority w:val="0"/>
    <w:rPr>
      <w:color w:val="FFFFFF"/>
      <w:shd w:val="clear" w:color="auto" w:fill="A00000"/>
    </w:rPr>
  </w:style>
  <w:style w:type="character" w:customStyle="1" w:styleId="59">
    <w:name w:val="redfilefwwh"/>
    <w:basedOn w:val="36"/>
    <w:qFormat/>
    <w:uiPriority w:val="0"/>
    <w:rPr>
      <w:color w:val="BA2636"/>
      <w:sz w:val="18"/>
      <w:szCs w:val="18"/>
    </w:rPr>
  </w:style>
  <w:style w:type="character" w:customStyle="1" w:styleId="60">
    <w:name w:val="gjfg"/>
    <w:basedOn w:val="36"/>
    <w:qFormat/>
    <w:uiPriority w:val="0"/>
  </w:style>
  <w:style w:type="character" w:customStyle="1" w:styleId="61">
    <w:name w:val="qxdate"/>
    <w:basedOn w:val="36"/>
    <w:qFormat/>
    <w:uiPriority w:val="0"/>
    <w:rPr>
      <w:color w:val="333333"/>
      <w:sz w:val="18"/>
      <w:szCs w:val="18"/>
    </w:rPr>
  </w:style>
  <w:style w:type="character" w:customStyle="1" w:styleId="62">
    <w:name w:val="prev2"/>
    <w:basedOn w:val="36"/>
    <w:qFormat/>
    <w:uiPriority w:val="0"/>
    <w:rPr>
      <w:color w:val="888888"/>
    </w:rPr>
  </w:style>
  <w:style w:type="character" w:customStyle="1" w:styleId="63">
    <w:name w:val="prev3"/>
    <w:basedOn w:val="36"/>
    <w:qFormat/>
    <w:uiPriority w:val="0"/>
    <w:rPr>
      <w:rFonts w:hint="eastAsia" w:ascii="微软雅黑" w:hAnsi="微软雅黑" w:eastAsia="微软雅黑" w:cs="微软雅黑"/>
      <w:sz w:val="21"/>
      <w:szCs w:val="21"/>
    </w:rPr>
  </w:style>
  <w:style w:type="paragraph" w:styleId="64">
    <w:name w:val="List Paragraph"/>
    <w:basedOn w:val="1"/>
    <w:qFormat/>
    <w:uiPriority w:val="34"/>
    <w:pPr>
      <w:ind w:left="205" w:right="169" w:firstLine="655"/>
    </w:pPr>
    <w:rPr>
      <w:rFonts w:ascii="仿宋" w:hAnsi="仿宋" w:eastAsia="仿宋" w:cs="仿宋"/>
      <w:u w:val="single" w:color="000000"/>
      <w:lang w:val="zh-CN" w:bidi="zh-CN"/>
    </w:rPr>
  </w:style>
  <w:style w:type="character" w:customStyle="1" w:styleId="65">
    <w:name w:val="样式 仿宋"/>
    <w:qFormat/>
    <w:uiPriority w:val="0"/>
    <w:rPr>
      <w:rFonts w:ascii="仿宋" w:hAnsi="仿宋" w:eastAsia="仿宋"/>
      <w:kern w:val="1"/>
    </w:rPr>
  </w:style>
  <w:style w:type="character" w:customStyle="1" w:styleId="66">
    <w:name w:val="正文文本 字符1"/>
    <w:link w:val="8"/>
    <w:qFormat/>
    <w:uiPriority w:val="0"/>
    <w:rPr>
      <w:rFonts w:ascii="Tahoma" w:hAnsi="Tahoma" w:eastAsia="微软雅黑" w:cs="Times New Roman"/>
      <w:sz w:val="22"/>
      <w:szCs w:val="22"/>
    </w:rPr>
  </w:style>
  <w:style w:type="character" w:customStyle="1" w:styleId="67">
    <w:name w:val="标题 2 字符"/>
    <w:link w:val="3"/>
    <w:qFormat/>
    <w:uiPriority w:val="0"/>
    <w:rPr>
      <w:rFonts w:ascii="Arial" w:hAnsi="Arial" w:eastAsia="黑体"/>
      <w:b/>
      <w:kern w:val="0"/>
      <w:sz w:val="30"/>
      <w:szCs w:val="20"/>
    </w:rPr>
  </w:style>
  <w:style w:type="character" w:customStyle="1" w:styleId="68">
    <w:name w:val="font71"/>
    <w:basedOn w:val="36"/>
    <w:qFormat/>
    <w:uiPriority w:val="0"/>
    <w:rPr>
      <w:rFonts w:hint="default" w:ascii="Times New Roman" w:hAnsi="Times New Roman" w:cs="Times New Roman"/>
      <w:b/>
      <w:bCs/>
      <w:color w:val="000000"/>
      <w:sz w:val="22"/>
      <w:szCs w:val="22"/>
      <w:u w:val="none"/>
    </w:rPr>
  </w:style>
  <w:style w:type="character" w:customStyle="1" w:styleId="69">
    <w:name w:val="font31"/>
    <w:basedOn w:val="36"/>
    <w:qFormat/>
    <w:uiPriority w:val="0"/>
    <w:rPr>
      <w:rFonts w:hint="eastAsia" w:ascii="宋体" w:hAnsi="宋体" w:eastAsia="宋体" w:cs="宋体"/>
      <w:b/>
      <w:bCs/>
      <w:color w:val="000000"/>
      <w:sz w:val="22"/>
      <w:szCs w:val="22"/>
      <w:u w:val="none"/>
    </w:rPr>
  </w:style>
  <w:style w:type="character" w:customStyle="1" w:styleId="70">
    <w:name w:val="font11"/>
    <w:basedOn w:val="36"/>
    <w:qFormat/>
    <w:uiPriority w:val="0"/>
    <w:rPr>
      <w:rFonts w:hint="eastAsia" w:ascii="微软雅黑" w:hAnsi="微软雅黑" w:eastAsia="微软雅黑" w:cs="微软雅黑"/>
      <w:color w:val="000000"/>
      <w:sz w:val="20"/>
      <w:szCs w:val="20"/>
      <w:u w:val="none"/>
    </w:rPr>
  </w:style>
  <w:style w:type="character" w:customStyle="1" w:styleId="71">
    <w:name w:val="font51"/>
    <w:basedOn w:val="36"/>
    <w:qFormat/>
    <w:uiPriority w:val="0"/>
    <w:rPr>
      <w:rFonts w:hint="eastAsia" w:ascii="微软雅黑" w:hAnsi="微软雅黑" w:eastAsia="微软雅黑" w:cs="微软雅黑"/>
      <w:b/>
      <w:bCs/>
      <w:color w:val="000000"/>
      <w:sz w:val="20"/>
      <w:szCs w:val="20"/>
      <w:u w:val="none"/>
    </w:rPr>
  </w:style>
  <w:style w:type="character" w:customStyle="1" w:styleId="72">
    <w:name w:val="font01"/>
    <w:basedOn w:val="36"/>
    <w:qFormat/>
    <w:uiPriority w:val="0"/>
    <w:rPr>
      <w:rFonts w:hint="eastAsia" w:ascii="微软雅黑" w:hAnsi="微软雅黑" w:eastAsia="微软雅黑" w:cs="微软雅黑"/>
      <w:b/>
      <w:bCs/>
      <w:color w:val="000000"/>
      <w:sz w:val="20"/>
      <w:szCs w:val="20"/>
      <w:u w:val="single"/>
    </w:rPr>
  </w:style>
  <w:style w:type="paragraph" w:customStyle="1" w:styleId="7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74">
    <w:name w:val="批注框文本 字符"/>
    <w:basedOn w:val="36"/>
    <w:link w:val="20"/>
    <w:qFormat/>
    <w:uiPriority w:val="0"/>
    <w:rPr>
      <w:rFonts w:ascii="Calibri" w:hAnsi="Calibri"/>
      <w:kern w:val="2"/>
      <w:sz w:val="18"/>
      <w:szCs w:val="18"/>
    </w:rPr>
  </w:style>
  <w:style w:type="character" w:customStyle="1" w:styleId="75">
    <w:name w:val="正文文本首行缩进 字符"/>
    <w:basedOn w:val="66"/>
    <w:link w:val="32"/>
    <w:qFormat/>
    <w:uiPriority w:val="0"/>
    <w:rPr>
      <w:rFonts w:ascii="Calibri" w:hAnsi="Calibri" w:eastAsia="微软雅黑" w:cs="Times New Roman"/>
      <w:kern w:val="2"/>
      <w:sz w:val="21"/>
      <w:szCs w:val="24"/>
    </w:rPr>
  </w:style>
  <w:style w:type="paragraph" w:customStyle="1" w:styleId="76">
    <w:name w:val="Table Paragraph"/>
    <w:basedOn w:val="1"/>
    <w:qFormat/>
    <w:uiPriority w:val="1"/>
    <w:pPr>
      <w:autoSpaceDE w:val="0"/>
      <w:autoSpaceDN w:val="0"/>
    </w:pPr>
    <w:rPr>
      <w:rFonts w:ascii="宋体" w:hAnsi="宋体" w:cs="宋体"/>
      <w:lang w:val="zh-CN" w:bidi="zh-CN"/>
    </w:rPr>
  </w:style>
  <w:style w:type="character" w:customStyle="1" w:styleId="77">
    <w:name w:val="NormalCharacter"/>
    <w:qFormat/>
    <w:uiPriority w:val="0"/>
  </w:style>
  <w:style w:type="paragraph" w:customStyle="1" w:styleId="78">
    <w:name w:val="表格正文中"/>
    <w:basedOn w:val="1"/>
    <w:qFormat/>
    <w:uiPriority w:val="0"/>
    <w:pPr>
      <w:jc w:val="left"/>
    </w:pPr>
  </w:style>
  <w:style w:type="paragraph" w:customStyle="1" w:styleId="79">
    <w:name w:val="样式9 Char"/>
    <w:basedOn w:val="1"/>
    <w:qFormat/>
    <w:uiPriority w:val="99"/>
    <w:pPr>
      <w:widowControl/>
      <w:spacing w:line="440" w:lineRule="exact"/>
      <w:ind w:firstLine="200" w:firstLineChars="200"/>
      <w:jc w:val="left"/>
    </w:pPr>
    <w:rPr>
      <w:spacing w:val="6"/>
      <w:kern w:val="0"/>
      <w:sz w:val="24"/>
      <w:szCs w:val="20"/>
    </w:rPr>
  </w:style>
  <w:style w:type="character" w:customStyle="1" w:styleId="80">
    <w:name w:val="正文文本缩进 字符"/>
    <w:basedOn w:val="36"/>
    <w:link w:val="13"/>
    <w:qFormat/>
    <w:uiPriority w:val="0"/>
    <w:rPr>
      <w:rFonts w:ascii="Calibri" w:hAnsi="Calibri"/>
      <w:kern w:val="2"/>
      <w:sz w:val="24"/>
      <w:szCs w:val="24"/>
    </w:rPr>
  </w:style>
  <w:style w:type="character" w:customStyle="1" w:styleId="81">
    <w:name w:val="正文文本首行缩进 2 字符"/>
    <w:basedOn w:val="80"/>
    <w:link w:val="33"/>
    <w:qFormat/>
    <w:uiPriority w:val="0"/>
    <w:rPr>
      <w:rFonts w:ascii="Calibri" w:hAnsi="Calibri"/>
      <w:kern w:val="2"/>
      <w:sz w:val="21"/>
      <w:szCs w:val="24"/>
    </w:rPr>
  </w:style>
  <w:style w:type="character" w:customStyle="1" w:styleId="82">
    <w:name w:val="纯文本 字符1"/>
    <w:qFormat/>
    <w:uiPriority w:val="0"/>
    <w:rPr>
      <w:rFonts w:ascii="宋体" w:hAnsi="Courier New"/>
      <w:kern w:val="2"/>
      <w:sz w:val="21"/>
    </w:rPr>
  </w:style>
  <w:style w:type="paragraph" w:customStyle="1" w:styleId="83">
    <w:name w:val="List Paragraph1"/>
    <w:basedOn w:val="1"/>
    <w:qFormat/>
    <w:uiPriority w:val="99"/>
    <w:pPr>
      <w:ind w:left="205" w:right="169" w:firstLine="655"/>
    </w:pPr>
    <w:rPr>
      <w:rFonts w:ascii="仿宋" w:hAnsi="仿宋" w:eastAsia="仿宋" w:cs="仿宋"/>
      <w:u w:val="single" w:color="000000"/>
      <w:lang w:val="zh-CN"/>
    </w:rPr>
  </w:style>
  <w:style w:type="paragraph" w:customStyle="1" w:styleId="84">
    <w:name w:val="Normal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5">
    <w:name w:val="Revision"/>
    <w:hidden/>
    <w:unhideWhenUsed/>
    <w:qFormat/>
    <w:uiPriority w:val="99"/>
    <w:rPr>
      <w:rFonts w:ascii="Calibri" w:hAnsi="Calibri" w:eastAsia="宋体" w:cs="Times New Roman"/>
      <w:kern w:val="2"/>
      <w:sz w:val="21"/>
      <w:szCs w:val="24"/>
      <w:lang w:val="en-US" w:eastAsia="zh-CN" w:bidi="ar-SA"/>
    </w:rPr>
  </w:style>
  <w:style w:type="paragraph" w:customStyle="1" w:styleId="86">
    <w:name w:val="Fließtext"/>
    <w:basedOn w:val="1"/>
    <w:qFormat/>
    <w:uiPriority w:val="0"/>
    <w:pPr>
      <w:overflowPunct w:val="0"/>
      <w:autoSpaceDE w:val="0"/>
      <w:autoSpaceDN w:val="0"/>
      <w:adjustRightInd w:val="0"/>
      <w:textAlignment w:val="baseline"/>
    </w:pPr>
    <w:rPr>
      <w:kern w:val="28"/>
      <w:szCs w:val="20"/>
    </w:rPr>
  </w:style>
  <w:style w:type="character" w:customStyle="1" w:styleId="87">
    <w:name w:val="font21"/>
    <w:basedOn w:val="36"/>
    <w:qFormat/>
    <w:uiPriority w:val="0"/>
    <w:rPr>
      <w:rFonts w:hint="eastAsia" w:ascii="宋体" w:hAnsi="宋体" w:eastAsia="宋体" w:cs="宋体"/>
      <w:color w:val="000000"/>
      <w:sz w:val="18"/>
      <w:szCs w:val="18"/>
      <w:u w:val="none"/>
    </w:rPr>
  </w:style>
  <w:style w:type="character" w:customStyle="1" w:styleId="88">
    <w:name w:val="font61"/>
    <w:basedOn w:val="36"/>
    <w:qFormat/>
    <w:uiPriority w:val="0"/>
    <w:rPr>
      <w:rFonts w:hint="default" w:ascii="Times New Roman" w:hAnsi="Times New Roman" w:cs="Times New Roman"/>
      <w:color w:val="000000"/>
      <w:sz w:val="18"/>
      <w:szCs w:val="18"/>
      <w:u w:val="none"/>
    </w:rPr>
  </w:style>
  <w:style w:type="character" w:customStyle="1" w:styleId="89">
    <w:name w:val="font81"/>
    <w:basedOn w:val="36"/>
    <w:qFormat/>
    <w:uiPriority w:val="0"/>
    <w:rPr>
      <w:rFonts w:ascii="Symbol" w:hAnsi="Symbol" w:cs="Symbol"/>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10.xml"/><Relationship Id="rId14" Type="http://schemas.openxmlformats.org/officeDocument/2006/relationships/header" Target="header3.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AD54E6-F49C-40D9-B983-E97A9C8A87A4}">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81</Pages>
  <Words>15305</Words>
  <Characters>16300</Characters>
  <Lines>316</Lines>
  <Paragraphs>89</Paragraphs>
  <TotalTime>0</TotalTime>
  <ScaleCrop>false</ScaleCrop>
  <LinksUpToDate>false</LinksUpToDate>
  <CharactersWithSpaces>16907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2022-04-01T07:59:00Z</dcterms:created>
  <dc:creator>Administrator</dc:creator>
  <cp:lastModifiedBy>Administrator</cp:lastModifiedBy>
  <cp:lastPrinted>2024-06-20T04:48:00Z</cp:lastPrinted>
  <dcterms:modified xsi:type="dcterms:W3CDTF">2025-07-29T08:52:31Z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B679264039A24C10859283D7962C2D4F_13</vt:lpwstr>
  </property>
  <property fmtid="{D5CDD505-2E9C-101B-9397-08002B2CF9AE}" pid="4" name="KSOTemplateDocerSaveRecord">
    <vt:lpwstr>eyJoZGlkIjoiMTc1OWMyNTI3NDQwODVhZWZlMjBjMzU5OTc4MDNjMTAiLCJ1c2VySWQiOiIzNjcyMTA4OTkifQ==</vt:lpwstr>
  </property>
</Properties>
</file>