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BDF7D">
      <w:pPr>
        <w:spacing w:line="600" w:lineRule="exact"/>
        <w:ind w:left="1080" w:leftChars="257" w:hanging="540"/>
        <w:jc w:val="center"/>
        <w:rPr>
          <w:rFonts w:hint="eastAsia" w:ascii="宋体" w:hAnsi="宋体"/>
          <w:b/>
          <w:color w:val="auto"/>
          <w:sz w:val="52"/>
          <w:szCs w:val="52"/>
          <w:highlight w:val="none"/>
        </w:rPr>
      </w:pPr>
    </w:p>
    <w:p w14:paraId="6486D4AF">
      <w:pPr>
        <w:pStyle w:val="41"/>
        <w:rPr>
          <w:rFonts w:hint="eastAsia"/>
          <w:color w:val="auto"/>
          <w:highlight w:val="none"/>
        </w:rPr>
      </w:pPr>
    </w:p>
    <w:p w14:paraId="51E0C260">
      <w:pPr>
        <w:spacing w:line="600" w:lineRule="exact"/>
        <w:ind w:left="1080" w:leftChars="257" w:hanging="540"/>
        <w:jc w:val="center"/>
        <w:rPr>
          <w:rFonts w:ascii="宋体" w:hAnsi="宋体"/>
          <w:b/>
          <w:color w:val="auto"/>
          <w:sz w:val="52"/>
          <w:szCs w:val="52"/>
          <w:highlight w:val="none"/>
        </w:rPr>
      </w:pPr>
    </w:p>
    <w:p w14:paraId="22121609">
      <w:pPr>
        <w:pStyle w:val="76"/>
        <w:rPr>
          <w:color w:val="auto"/>
          <w:highlight w:val="none"/>
        </w:rPr>
      </w:pPr>
    </w:p>
    <w:p w14:paraId="07F0A33F">
      <w:pPr>
        <w:spacing w:line="600" w:lineRule="exact"/>
        <w:ind w:left="1080" w:leftChars="257" w:hanging="540"/>
        <w:jc w:val="center"/>
        <w:rPr>
          <w:rFonts w:ascii="宋体" w:hAnsi="宋体"/>
          <w:b/>
          <w:color w:val="auto"/>
          <w:sz w:val="52"/>
          <w:szCs w:val="52"/>
          <w:highlight w:val="none"/>
        </w:rPr>
      </w:pPr>
    </w:p>
    <w:p w14:paraId="58ABA18C">
      <w:pPr>
        <w:spacing w:line="840" w:lineRule="exact"/>
        <w:ind w:firstLine="1"/>
        <w:jc w:val="center"/>
        <w:rPr>
          <w:rFonts w:hint="eastAsia" w:ascii="宋体" w:hAnsi="宋体" w:cs="华文中宋"/>
          <w:b/>
          <w:bCs/>
          <w:color w:val="auto"/>
          <w:sz w:val="68"/>
          <w:szCs w:val="52"/>
          <w:highlight w:val="none"/>
        </w:rPr>
      </w:pPr>
      <w:r>
        <w:rPr>
          <w:rFonts w:hint="eastAsia" w:ascii="宋体" w:hAnsi="宋体" w:cs="华文中宋"/>
          <w:b/>
          <w:bCs/>
          <w:color w:val="auto"/>
          <w:sz w:val="68"/>
          <w:szCs w:val="52"/>
          <w:highlight w:val="none"/>
        </w:rPr>
        <w:t>政府采购公开招标文件</w:t>
      </w:r>
    </w:p>
    <w:p w14:paraId="426F80B1">
      <w:pPr>
        <w:spacing w:line="600" w:lineRule="exact"/>
        <w:ind w:left="1080" w:leftChars="257" w:hanging="540"/>
        <w:jc w:val="center"/>
        <w:rPr>
          <w:rFonts w:hint="eastAsia" w:ascii="宋体" w:hAnsi="宋体"/>
          <w:b/>
          <w:color w:val="auto"/>
          <w:sz w:val="32"/>
          <w:szCs w:val="32"/>
          <w:highlight w:val="none"/>
        </w:rPr>
      </w:pPr>
    </w:p>
    <w:p w14:paraId="16898DB7">
      <w:pPr>
        <w:spacing w:line="600" w:lineRule="exact"/>
        <w:ind w:left="1080" w:leftChars="257" w:hanging="540"/>
        <w:rPr>
          <w:rFonts w:hint="eastAsia" w:ascii="宋体" w:hAnsi="宋体"/>
          <w:b/>
          <w:color w:val="auto"/>
          <w:sz w:val="28"/>
          <w:highlight w:val="none"/>
        </w:rPr>
      </w:pPr>
    </w:p>
    <w:p w14:paraId="25CD1197">
      <w:pPr>
        <w:spacing w:line="600" w:lineRule="exact"/>
        <w:ind w:left="1080" w:leftChars="257" w:hanging="540"/>
        <w:rPr>
          <w:rFonts w:hint="eastAsia" w:ascii="宋体" w:hAnsi="宋体"/>
          <w:b/>
          <w:color w:val="auto"/>
          <w:sz w:val="28"/>
          <w:highlight w:val="none"/>
        </w:rPr>
      </w:pPr>
    </w:p>
    <w:p w14:paraId="313D014F">
      <w:pPr>
        <w:spacing w:line="600" w:lineRule="exact"/>
        <w:ind w:left="1080" w:leftChars="257" w:hanging="540"/>
        <w:jc w:val="center"/>
        <w:rPr>
          <w:rFonts w:hint="eastAsia" w:ascii="宋体" w:hAnsi="宋体"/>
          <w:b/>
          <w:color w:val="auto"/>
          <w:sz w:val="32"/>
          <w:szCs w:val="32"/>
          <w:highlight w:val="none"/>
        </w:rPr>
      </w:pPr>
      <w:r>
        <w:rPr>
          <w:rFonts w:hint="eastAsia" w:ascii="宋体" w:hAnsi="宋体"/>
          <w:b/>
          <w:color w:val="auto"/>
          <w:sz w:val="32"/>
          <w:szCs w:val="32"/>
          <w:highlight w:val="none"/>
        </w:rPr>
        <w:t>第一册</w:t>
      </w:r>
    </w:p>
    <w:p w14:paraId="7BE5E137">
      <w:pPr>
        <w:spacing w:line="600" w:lineRule="exact"/>
        <w:ind w:left="1080" w:leftChars="257" w:hanging="540"/>
        <w:jc w:val="center"/>
        <w:rPr>
          <w:rFonts w:hint="eastAsia" w:ascii="宋体" w:hAnsi="宋体"/>
          <w:b/>
          <w:color w:val="auto"/>
          <w:sz w:val="52"/>
          <w:highlight w:val="none"/>
        </w:rPr>
      </w:pPr>
    </w:p>
    <w:p w14:paraId="30ACDF64">
      <w:pPr>
        <w:spacing w:line="600" w:lineRule="exact"/>
        <w:ind w:left="0" w:leftChars="0" w:firstLine="641" w:firstLineChars="213"/>
        <w:jc w:val="left"/>
        <w:rPr>
          <w:rFonts w:hint="eastAsia" w:ascii="宋体" w:hAnsi="宋体" w:eastAsia="宋体"/>
          <w:b/>
          <w:color w:val="auto"/>
          <w:sz w:val="30"/>
          <w:szCs w:val="30"/>
          <w:highlight w:val="none"/>
          <w:lang w:eastAsia="zh-CN"/>
        </w:rPr>
      </w:pPr>
      <w:r>
        <w:rPr>
          <w:rFonts w:hint="eastAsia" w:ascii="宋体" w:hAnsi="宋体"/>
          <w:b/>
          <w:color w:val="auto"/>
          <w:sz w:val="30"/>
          <w:szCs w:val="30"/>
          <w:highlight w:val="none"/>
        </w:rPr>
        <w:t>项目编号：</w:t>
      </w:r>
      <w:r>
        <w:rPr>
          <w:rFonts w:hint="eastAsia" w:ascii="宋体" w:hAnsi="宋体"/>
          <w:b/>
          <w:color w:val="auto"/>
          <w:sz w:val="30"/>
          <w:szCs w:val="30"/>
          <w:highlight w:val="none"/>
          <w:lang w:eastAsia="zh-CN"/>
        </w:rPr>
        <w:t>SDGP370000000202502003605</w:t>
      </w:r>
    </w:p>
    <w:p w14:paraId="73190191">
      <w:pPr>
        <w:spacing w:line="600" w:lineRule="exact"/>
        <w:ind w:left="643" w:leftChars="304" w:hanging="5" w:firstLineChars="0"/>
        <w:jc w:val="left"/>
        <w:rPr>
          <w:rFonts w:hint="eastAsia" w:ascii="宋体" w:hAnsi="宋体" w:eastAsia="宋体"/>
          <w:b/>
          <w:color w:val="auto"/>
          <w:sz w:val="30"/>
          <w:szCs w:val="30"/>
          <w:highlight w:val="none"/>
          <w:u w:val="single"/>
          <w:lang w:eastAsia="zh-CN"/>
        </w:rPr>
      </w:pPr>
      <w:r>
        <w:rPr>
          <w:rFonts w:hint="eastAsia" w:ascii="宋体" w:hAnsi="宋体"/>
          <w:b/>
          <w:color w:val="auto"/>
          <w:sz w:val="30"/>
          <w:szCs w:val="30"/>
          <w:highlight w:val="none"/>
        </w:rPr>
        <w:t>项目名称:</w:t>
      </w:r>
      <w:r>
        <w:rPr>
          <w:rFonts w:hint="eastAsia" w:ascii="宋体" w:hAnsi="宋体"/>
          <w:b/>
          <w:color w:val="auto"/>
          <w:sz w:val="30"/>
          <w:szCs w:val="30"/>
          <w:highlight w:val="none"/>
          <w:lang w:eastAsia="zh-CN"/>
        </w:rPr>
        <w:t>临沂大学第一生活区D8、D9学生公寓楼物业管理与服务采购项目</w:t>
      </w:r>
    </w:p>
    <w:p w14:paraId="4D3B4A84">
      <w:pPr>
        <w:spacing w:line="600" w:lineRule="exact"/>
        <w:ind w:left="1080" w:leftChars="257" w:hanging="540"/>
        <w:jc w:val="center"/>
        <w:rPr>
          <w:rFonts w:hint="eastAsia" w:ascii="宋体" w:hAnsi="宋体"/>
          <w:b/>
          <w:color w:val="auto"/>
          <w:sz w:val="52"/>
          <w:highlight w:val="none"/>
        </w:rPr>
      </w:pPr>
    </w:p>
    <w:p w14:paraId="697420F1">
      <w:pPr>
        <w:pStyle w:val="42"/>
        <w:rPr>
          <w:rFonts w:hint="eastAsia"/>
          <w:color w:val="auto"/>
          <w:highlight w:val="none"/>
        </w:rPr>
      </w:pPr>
    </w:p>
    <w:p w14:paraId="3AB02ACA">
      <w:pPr>
        <w:spacing w:line="600" w:lineRule="exact"/>
        <w:ind w:left="1080" w:leftChars="257" w:hanging="540"/>
        <w:jc w:val="center"/>
        <w:rPr>
          <w:rFonts w:hint="eastAsia" w:ascii="宋体" w:hAnsi="宋体"/>
          <w:b/>
          <w:color w:val="auto"/>
          <w:sz w:val="52"/>
          <w:highlight w:val="none"/>
        </w:rPr>
      </w:pPr>
    </w:p>
    <w:p w14:paraId="15B16320">
      <w:pPr>
        <w:spacing w:line="600" w:lineRule="exact"/>
        <w:ind w:left="1080" w:leftChars="257" w:hanging="540"/>
        <w:jc w:val="center"/>
        <w:rPr>
          <w:rFonts w:hint="eastAsia" w:ascii="宋体" w:hAnsi="宋体"/>
          <w:b/>
          <w:color w:val="auto"/>
          <w:sz w:val="52"/>
          <w:highlight w:val="none"/>
        </w:rPr>
      </w:pPr>
    </w:p>
    <w:p w14:paraId="3467866E">
      <w:pPr>
        <w:spacing w:line="600" w:lineRule="exact"/>
        <w:ind w:left="1080" w:leftChars="257" w:hanging="540"/>
        <w:jc w:val="center"/>
        <w:rPr>
          <w:rFonts w:hint="eastAsia" w:ascii="宋体" w:hAnsi="宋体"/>
          <w:b/>
          <w:color w:val="auto"/>
          <w:sz w:val="52"/>
          <w:highlight w:val="none"/>
        </w:rPr>
      </w:pPr>
    </w:p>
    <w:p w14:paraId="0B4A6E39">
      <w:pPr>
        <w:spacing w:line="600" w:lineRule="exact"/>
        <w:ind w:firstLine="1285" w:firstLineChars="400"/>
        <w:rPr>
          <w:rFonts w:hint="eastAsia" w:ascii="宋体" w:hAnsi="宋体" w:eastAsia="宋体" w:cs="黑体"/>
          <w:b/>
          <w:bCs/>
          <w:color w:val="auto"/>
          <w:sz w:val="32"/>
          <w:szCs w:val="32"/>
          <w:highlight w:val="none"/>
          <w:lang w:eastAsia="zh-CN"/>
        </w:rPr>
      </w:pPr>
      <w:r>
        <w:rPr>
          <w:rFonts w:ascii="宋体" w:hAnsi="宋体" w:cs="黑体"/>
          <w:b/>
          <w:bCs/>
          <w:color w:val="auto"/>
          <w:sz w:val="32"/>
          <w:szCs w:val="32"/>
          <w:highlight w:val="none"/>
        </w:rPr>
        <w:t>采</w:t>
      </w:r>
      <w:r>
        <w:rPr>
          <w:rFonts w:hint="eastAsia" w:ascii="宋体" w:hAnsi="宋体" w:cs="黑体"/>
          <w:b/>
          <w:bCs/>
          <w:color w:val="auto"/>
          <w:sz w:val="32"/>
          <w:szCs w:val="32"/>
          <w:highlight w:val="none"/>
        </w:rPr>
        <w:t xml:space="preserve"> </w:t>
      </w:r>
      <w:r>
        <w:rPr>
          <w:rFonts w:ascii="宋体" w:hAnsi="宋体" w:cs="黑体"/>
          <w:b/>
          <w:bCs/>
          <w:color w:val="auto"/>
          <w:sz w:val="32"/>
          <w:szCs w:val="32"/>
          <w:highlight w:val="none"/>
        </w:rPr>
        <w:t>购</w:t>
      </w:r>
      <w:r>
        <w:rPr>
          <w:rFonts w:hint="eastAsia" w:ascii="宋体" w:hAnsi="宋体" w:cs="黑体"/>
          <w:b/>
          <w:bCs/>
          <w:color w:val="auto"/>
          <w:sz w:val="32"/>
          <w:szCs w:val="32"/>
          <w:highlight w:val="none"/>
        </w:rPr>
        <w:t xml:space="preserve"> </w:t>
      </w:r>
      <w:r>
        <w:rPr>
          <w:rFonts w:ascii="宋体" w:hAnsi="宋体" w:cs="黑体"/>
          <w:b/>
          <w:bCs/>
          <w:color w:val="auto"/>
          <w:sz w:val="32"/>
          <w:szCs w:val="32"/>
          <w:highlight w:val="none"/>
        </w:rPr>
        <w:t>人</w:t>
      </w:r>
      <w:r>
        <w:rPr>
          <w:rFonts w:hint="eastAsia" w:ascii="宋体" w:hAnsi="宋体" w:cs="黑体"/>
          <w:b/>
          <w:bCs/>
          <w:color w:val="auto"/>
          <w:sz w:val="32"/>
          <w:szCs w:val="32"/>
          <w:highlight w:val="none"/>
        </w:rPr>
        <w:t xml:space="preserve">: </w:t>
      </w:r>
      <w:r>
        <w:rPr>
          <w:rFonts w:hint="eastAsia" w:ascii="宋体" w:hAnsi="宋体" w:cs="黑体"/>
          <w:b/>
          <w:bCs/>
          <w:color w:val="auto"/>
          <w:sz w:val="32"/>
          <w:szCs w:val="32"/>
          <w:highlight w:val="none"/>
          <w:lang w:eastAsia="zh-CN"/>
        </w:rPr>
        <w:t>临沂大学</w:t>
      </w:r>
    </w:p>
    <w:p w14:paraId="309D0BB0">
      <w:pPr>
        <w:spacing w:line="600" w:lineRule="exact"/>
        <w:ind w:firstLine="1282" w:firstLineChars="399"/>
        <w:rPr>
          <w:rFonts w:ascii="宋体" w:hAnsi="宋体"/>
          <w:b/>
          <w:bCs/>
          <w:color w:val="auto"/>
          <w:sz w:val="32"/>
          <w:szCs w:val="32"/>
          <w:highlight w:val="none"/>
        </w:rPr>
      </w:pPr>
      <w:r>
        <w:rPr>
          <w:rFonts w:hint="eastAsia" w:ascii="宋体" w:hAnsi="宋体" w:cs="黑体"/>
          <w:b/>
          <w:bCs/>
          <w:color w:val="auto"/>
          <w:sz w:val="32"/>
          <w:szCs w:val="32"/>
          <w:highlight w:val="none"/>
        </w:rPr>
        <w:t>采购</w:t>
      </w:r>
      <w:r>
        <w:rPr>
          <w:rFonts w:ascii="宋体" w:hAnsi="宋体" w:cs="黑体"/>
          <w:b/>
          <w:bCs/>
          <w:color w:val="auto"/>
          <w:sz w:val="32"/>
          <w:szCs w:val="32"/>
          <w:highlight w:val="none"/>
        </w:rPr>
        <w:t>代理机构</w:t>
      </w:r>
      <w:r>
        <w:rPr>
          <w:rFonts w:hint="eastAsia" w:ascii="宋体" w:hAnsi="宋体" w:cs="黑体"/>
          <w:b/>
          <w:bCs/>
          <w:color w:val="auto"/>
          <w:sz w:val="32"/>
          <w:szCs w:val="32"/>
          <w:highlight w:val="none"/>
        </w:rPr>
        <w:t>：临沂市沂蒙国际招标有限公司</w:t>
      </w:r>
      <w:r>
        <w:rPr>
          <w:rFonts w:ascii="宋体" w:hAnsi="宋体"/>
          <w:b/>
          <w:bCs/>
          <w:color w:val="auto"/>
          <w:sz w:val="32"/>
          <w:szCs w:val="32"/>
          <w:highlight w:val="none"/>
        </w:rPr>
        <w:t xml:space="preserve"> </w:t>
      </w:r>
    </w:p>
    <w:p w14:paraId="722CBE2B">
      <w:pPr>
        <w:spacing w:line="600" w:lineRule="exact"/>
        <w:ind w:left="1080" w:leftChars="257" w:hanging="540"/>
        <w:rPr>
          <w:rFonts w:hint="eastAsia" w:ascii="宋体" w:hAnsi="宋体"/>
          <w:b/>
          <w:color w:val="auto"/>
          <w:szCs w:val="21"/>
          <w:highlight w:val="none"/>
        </w:rPr>
      </w:pPr>
    </w:p>
    <w:p w14:paraId="7157CD58">
      <w:pPr>
        <w:spacing w:line="600" w:lineRule="exact"/>
        <w:ind w:left="-397" w:leftChars="-189"/>
        <w:jc w:val="center"/>
        <w:rPr>
          <w:rFonts w:hint="eastAsia" w:ascii="宋体" w:hAnsi="宋体" w:cs="黑体"/>
          <w:b/>
          <w:bCs/>
          <w:color w:val="auto"/>
          <w:sz w:val="30"/>
          <w:szCs w:val="30"/>
          <w:highlight w:val="none"/>
          <w:lang w:eastAsia="zh-CN"/>
        </w:rPr>
      </w:pPr>
      <w:r>
        <w:rPr>
          <w:rFonts w:hint="eastAsia" w:ascii="宋体" w:hAnsi="宋体" w:cs="黑体"/>
          <w:b/>
          <w:bCs/>
          <w:color w:val="auto"/>
          <w:sz w:val="30"/>
          <w:szCs w:val="30"/>
          <w:highlight w:val="none"/>
        </w:rPr>
        <w:t>发</w:t>
      </w:r>
      <w:r>
        <w:rPr>
          <w:rFonts w:ascii="宋体" w:hAnsi="宋体" w:cs="黑体"/>
          <w:b/>
          <w:bCs/>
          <w:color w:val="auto"/>
          <w:sz w:val="30"/>
          <w:szCs w:val="30"/>
          <w:highlight w:val="none"/>
        </w:rPr>
        <w:t xml:space="preserve"> </w:t>
      </w:r>
      <w:r>
        <w:rPr>
          <w:rFonts w:hint="eastAsia" w:ascii="宋体" w:hAnsi="宋体" w:cs="黑体"/>
          <w:b/>
          <w:bCs/>
          <w:color w:val="auto"/>
          <w:sz w:val="30"/>
          <w:szCs w:val="30"/>
          <w:highlight w:val="none"/>
        </w:rPr>
        <w:t>出</w:t>
      </w:r>
      <w:r>
        <w:rPr>
          <w:rFonts w:ascii="宋体" w:hAnsi="宋体" w:cs="黑体"/>
          <w:b/>
          <w:bCs/>
          <w:color w:val="auto"/>
          <w:sz w:val="30"/>
          <w:szCs w:val="30"/>
          <w:highlight w:val="none"/>
        </w:rPr>
        <w:t xml:space="preserve"> </w:t>
      </w:r>
      <w:r>
        <w:rPr>
          <w:rFonts w:hint="eastAsia" w:ascii="宋体" w:hAnsi="宋体" w:cs="黑体"/>
          <w:b/>
          <w:bCs/>
          <w:color w:val="auto"/>
          <w:sz w:val="30"/>
          <w:szCs w:val="30"/>
          <w:highlight w:val="none"/>
        </w:rPr>
        <w:t>日</w:t>
      </w:r>
      <w:r>
        <w:rPr>
          <w:rFonts w:ascii="宋体" w:hAnsi="宋体" w:cs="黑体"/>
          <w:b/>
          <w:bCs/>
          <w:color w:val="auto"/>
          <w:sz w:val="30"/>
          <w:szCs w:val="30"/>
          <w:highlight w:val="none"/>
        </w:rPr>
        <w:t xml:space="preserve"> </w:t>
      </w:r>
      <w:r>
        <w:rPr>
          <w:rFonts w:hint="eastAsia" w:ascii="宋体" w:hAnsi="宋体" w:cs="黑体"/>
          <w:b/>
          <w:bCs/>
          <w:color w:val="auto"/>
          <w:sz w:val="30"/>
          <w:szCs w:val="30"/>
          <w:highlight w:val="none"/>
        </w:rPr>
        <w:t>期：</w:t>
      </w:r>
      <w:r>
        <w:rPr>
          <w:rFonts w:hint="eastAsia" w:ascii="宋体" w:hAnsi="宋体" w:cs="黑体"/>
          <w:b/>
          <w:bCs/>
          <w:color w:val="auto"/>
          <w:sz w:val="30"/>
          <w:szCs w:val="30"/>
          <w:highlight w:val="none"/>
          <w:lang w:eastAsia="zh-CN"/>
        </w:rPr>
        <w:t>2025年6月3日</w:t>
      </w:r>
    </w:p>
    <w:p w14:paraId="154CC98D">
      <w:pPr>
        <w:rPr>
          <w:rFonts w:hint="eastAsia" w:ascii="宋体" w:hAnsi="宋体" w:cs="黑体"/>
          <w:b/>
          <w:bCs/>
          <w:color w:val="auto"/>
          <w:sz w:val="30"/>
          <w:szCs w:val="30"/>
          <w:highlight w:val="none"/>
          <w:lang w:eastAsia="zh-CN"/>
        </w:rPr>
      </w:pPr>
      <w:r>
        <w:rPr>
          <w:rFonts w:hint="eastAsia" w:ascii="宋体" w:hAnsi="宋体" w:cs="黑体"/>
          <w:b/>
          <w:bCs/>
          <w:color w:val="auto"/>
          <w:sz w:val="30"/>
          <w:szCs w:val="30"/>
          <w:highlight w:val="none"/>
          <w:lang w:eastAsia="zh-CN"/>
        </w:rPr>
        <w:br w:type="page"/>
      </w:r>
    </w:p>
    <w:p w14:paraId="74DD8353">
      <w:pPr>
        <w:pStyle w:val="41"/>
        <w:ind w:left="0" w:firstLine="0"/>
        <w:jc w:val="center"/>
        <w:rPr>
          <w:rFonts w:ascii="宋体" w:hAnsi="宋体" w:cs="宋体"/>
          <w:b/>
          <w:bCs/>
          <w:color w:val="auto"/>
          <w:sz w:val="40"/>
          <w:szCs w:val="40"/>
          <w:highlight w:val="none"/>
        </w:rPr>
      </w:pPr>
      <w:r>
        <w:rPr>
          <w:rFonts w:hint="eastAsia" w:ascii="宋体" w:hAnsi="宋体" w:cs="宋体"/>
          <w:b/>
          <w:color w:val="auto"/>
          <w:sz w:val="32"/>
          <w:highlight w:val="none"/>
        </w:rPr>
        <w:t>临沂大学特别公告</w:t>
      </w:r>
    </w:p>
    <w:p w14:paraId="61AD8F8A">
      <w:pPr>
        <w:pStyle w:val="41"/>
        <w:tabs>
          <w:tab w:val="left" w:pos="840"/>
        </w:tabs>
        <w:spacing w:line="480" w:lineRule="exact"/>
        <w:ind w:left="0" w:firstLine="0"/>
        <w:rPr>
          <w:rFonts w:ascii="宋体" w:hAnsi="宋体" w:cs="宋体"/>
          <w:color w:val="auto"/>
          <w:sz w:val="28"/>
          <w:szCs w:val="28"/>
          <w:highlight w:val="none"/>
        </w:rPr>
      </w:pPr>
    </w:p>
    <w:p w14:paraId="35F926B1">
      <w:pPr>
        <w:pStyle w:val="41"/>
        <w:keepNext w:val="0"/>
        <w:keepLines w:val="0"/>
        <w:pageBreakBefore w:val="0"/>
        <w:widowControl w:val="0"/>
        <w:tabs>
          <w:tab w:val="left" w:pos="840"/>
        </w:tabs>
        <w:kinsoku/>
        <w:wordWrap/>
        <w:overflowPunct/>
        <w:topLinePunct w:val="0"/>
        <w:autoSpaceDE/>
        <w:autoSpaceDN/>
        <w:bidi w:val="0"/>
        <w:adjustRightInd/>
        <w:snapToGrid/>
        <w:spacing w:line="520" w:lineRule="exact"/>
        <w:ind w:left="0" w:leftChars="0" w:firstLine="0" w:firstLineChars="0"/>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各</w:t>
      </w:r>
      <w:r>
        <w:rPr>
          <w:rFonts w:hint="eastAsia" w:ascii="宋体" w:hAnsi="宋体" w:cs="宋体"/>
          <w:color w:val="auto"/>
          <w:sz w:val="24"/>
          <w:szCs w:val="24"/>
          <w:highlight w:val="none"/>
          <w:lang w:val="en-US" w:eastAsia="zh-CN"/>
        </w:rPr>
        <w:t>投标人</w:t>
      </w:r>
      <w:r>
        <w:rPr>
          <w:rFonts w:ascii="宋体" w:hAnsi="宋体" w:eastAsia="宋体" w:cs="宋体"/>
          <w:color w:val="auto"/>
          <w:sz w:val="24"/>
          <w:szCs w:val="24"/>
          <w:highlight w:val="none"/>
        </w:rPr>
        <w:t xml:space="preserve">： </w:t>
      </w:r>
    </w:p>
    <w:p w14:paraId="390ECAC0">
      <w:pPr>
        <w:pStyle w:val="41"/>
        <w:keepNext w:val="0"/>
        <w:keepLines w:val="0"/>
        <w:pageBreakBefore w:val="0"/>
        <w:widowControl w:val="0"/>
        <w:tabs>
          <w:tab w:val="left" w:pos="840"/>
        </w:tabs>
        <w:kinsoku/>
        <w:wordWrap/>
        <w:overflowPunct/>
        <w:topLinePunct w:val="0"/>
        <w:autoSpaceDE/>
        <w:autoSpaceDN/>
        <w:bidi w:val="0"/>
        <w:adjustRightInd/>
        <w:snapToGrid/>
        <w:spacing w:line="520" w:lineRule="exact"/>
        <w:ind w:left="0" w:leftChars="0" w:firstLine="420" w:firstLineChars="175"/>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热忱欢迎大家投标竞标，响应</w:t>
      </w: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招标项目！</w:t>
      </w: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 xml:space="preserve">承诺该项目在公正公开的原则下公平竞争，客观评审。 </w:t>
      </w:r>
    </w:p>
    <w:p w14:paraId="39F33A90">
      <w:pPr>
        <w:pStyle w:val="41"/>
        <w:keepNext w:val="0"/>
        <w:keepLines w:val="0"/>
        <w:pageBreakBefore w:val="0"/>
        <w:widowControl w:val="0"/>
        <w:tabs>
          <w:tab w:val="left" w:pos="840"/>
        </w:tabs>
        <w:kinsoku/>
        <w:wordWrap/>
        <w:overflowPunct/>
        <w:topLinePunct w:val="0"/>
        <w:autoSpaceDE/>
        <w:autoSpaceDN/>
        <w:bidi w:val="0"/>
        <w:adjustRightInd/>
        <w:snapToGrid/>
        <w:spacing w:line="520" w:lineRule="exact"/>
        <w:ind w:left="0" w:leftChars="0" w:firstLine="420" w:firstLineChars="175"/>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本采购文件已经多位专家审核修订，若仍存在涉及指向性、排他性参数指标，请及时与代理机构或</w:t>
      </w: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采购部门反映。</w:t>
      </w:r>
    </w:p>
    <w:p w14:paraId="4516E7B5">
      <w:pPr>
        <w:pStyle w:val="41"/>
        <w:keepNext w:val="0"/>
        <w:keepLines w:val="0"/>
        <w:pageBreakBefore w:val="0"/>
        <w:widowControl w:val="0"/>
        <w:tabs>
          <w:tab w:val="left" w:pos="840"/>
        </w:tabs>
        <w:kinsoku/>
        <w:wordWrap w:val="0"/>
        <w:overflowPunct/>
        <w:topLinePunct w:val="0"/>
        <w:autoSpaceDE/>
        <w:autoSpaceDN/>
        <w:bidi w:val="0"/>
        <w:adjustRightInd/>
        <w:snapToGrid/>
        <w:spacing w:line="520" w:lineRule="exact"/>
        <w:ind w:left="0" w:leftChars="0" w:firstLine="420" w:firstLineChars="175"/>
        <w:textAlignment w:val="auto"/>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所有项目严格执行“回避”制度，对可能影响评标结果的潜在因素及人员关系（含代理机构、评标专家、工作人员、其他类人员等），请及时与</w:t>
      </w: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 xml:space="preserve">采购科反映（临沂大学采购科 </w:t>
      </w:r>
      <w:r>
        <w:rPr>
          <w:rFonts w:hint="eastAsia" w:ascii="宋体" w:hAnsi="宋体" w:cs="宋体"/>
          <w:color w:val="auto"/>
          <w:sz w:val="24"/>
          <w:szCs w:val="24"/>
          <w:highlight w:val="none"/>
          <w:lang w:eastAsia="zh-CN"/>
        </w:rPr>
        <w:t>李</w:t>
      </w:r>
      <w:r>
        <w:rPr>
          <w:rFonts w:hint="eastAsia" w:ascii="宋体" w:hAnsi="宋体" w:eastAsia="宋体" w:cs="宋体"/>
          <w:color w:val="auto"/>
          <w:sz w:val="24"/>
          <w:szCs w:val="24"/>
          <w:highlight w:val="none"/>
        </w:rPr>
        <w:t xml:space="preserve">老师 </w:t>
      </w:r>
      <w:r>
        <w:rPr>
          <w:rFonts w:hint="eastAsia" w:ascii="宋体" w:hAnsi="宋体" w:eastAsia="宋体" w:cs="宋体"/>
          <w:color w:val="auto"/>
          <w:sz w:val="24"/>
          <w:szCs w:val="24"/>
          <w:highlight w:val="none"/>
          <w:lang w:eastAsia="zh-CN"/>
        </w:rPr>
        <w:t>0539-</w:t>
      </w:r>
      <w:r>
        <w:rPr>
          <w:rFonts w:hint="eastAsia" w:ascii="宋体" w:hAnsi="宋体" w:cs="宋体"/>
          <w:color w:val="auto"/>
          <w:sz w:val="24"/>
          <w:szCs w:val="24"/>
          <w:highlight w:val="none"/>
          <w:lang w:eastAsia="zh-CN"/>
        </w:rPr>
        <w:t>7258758</w:t>
      </w:r>
      <w:r>
        <w:rPr>
          <w:rFonts w:ascii="宋体" w:hAnsi="宋体" w:eastAsia="宋体" w:cs="宋体"/>
          <w:color w:val="auto"/>
          <w:sz w:val="24"/>
          <w:szCs w:val="24"/>
          <w:highlight w:val="none"/>
        </w:rPr>
        <w:t xml:space="preserve">）。 </w:t>
      </w:r>
    </w:p>
    <w:p w14:paraId="03A9C938">
      <w:pPr>
        <w:pStyle w:val="41"/>
        <w:keepNext w:val="0"/>
        <w:keepLines w:val="0"/>
        <w:pageBreakBefore w:val="0"/>
        <w:widowControl w:val="0"/>
        <w:tabs>
          <w:tab w:val="left" w:pos="840"/>
        </w:tabs>
        <w:kinsoku/>
        <w:wordWrap/>
        <w:overflowPunct/>
        <w:topLinePunct w:val="0"/>
        <w:autoSpaceDE/>
        <w:autoSpaceDN/>
        <w:bidi w:val="0"/>
        <w:adjustRightInd/>
        <w:snapToGrid/>
        <w:spacing w:line="520" w:lineRule="exact"/>
        <w:ind w:left="0" w:leftChars="0" w:firstLine="420" w:firstLineChars="175"/>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若报名过程中存在差别性待遇或排他性暗示，请做好取证。及时与</w:t>
      </w:r>
      <w:r>
        <w:rPr>
          <w:rFonts w:hint="eastAsia" w:ascii="宋体" w:hAnsi="宋体" w:cs="宋体"/>
          <w:color w:val="auto"/>
          <w:sz w:val="24"/>
          <w:szCs w:val="24"/>
          <w:highlight w:val="none"/>
          <w:lang w:eastAsia="zh-CN"/>
        </w:rPr>
        <w:t>学校</w:t>
      </w:r>
      <w:r>
        <w:rPr>
          <w:rFonts w:ascii="宋体" w:hAnsi="宋体" w:eastAsia="宋体" w:cs="宋体"/>
          <w:color w:val="auto"/>
          <w:sz w:val="24"/>
          <w:szCs w:val="24"/>
          <w:highlight w:val="none"/>
        </w:rPr>
        <w:t xml:space="preserve">纪委联系（0539-7258030）进行举报查处。 </w:t>
      </w:r>
    </w:p>
    <w:p w14:paraId="2AB5CAD7">
      <w:pPr>
        <w:pStyle w:val="41"/>
        <w:keepNext w:val="0"/>
        <w:keepLines w:val="0"/>
        <w:pageBreakBefore w:val="0"/>
        <w:widowControl w:val="0"/>
        <w:tabs>
          <w:tab w:val="left" w:pos="840"/>
        </w:tabs>
        <w:kinsoku/>
        <w:wordWrap/>
        <w:overflowPunct/>
        <w:topLinePunct w:val="0"/>
        <w:autoSpaceDE/>
        <w:autoSpaceDN/>
        <w:bidi w:val="0"/>
        <w:adjustRightInd/>
        <w:snapToGrid/>
        <w:spacing w:line="520" w:lineRule="exact"/>
        <w:ind w:left="0" w:leftChars="0" w:firstLine="420" w:firstLineChars="175"/>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临沂大学采购部门联系方式： </w:t>
      </w:r>
    </w:p>
    <w:p w14:paraId="51F0E97E">
      <w:pPr>
        <w:pStyle w:val="41"/>
        <w:keepNext w:val="0"/>
        <w:keepLines w:val="0"/>
        <w:pageBreakBefore w:val="0"/>
        <w:widowControl w:val="0"/>
        <w:tabs>
          <w:tab w:val="left" w:pos="840"/>
        </w:tabs>
        <w:kinsoku/>
        <w:wordWrap/>
        <w:overflowPunct/>
        <w:topLinePunct w:val="0"/>
        <w:autoSpaceDE/>
        <w:autoSpaceDN/>
        <w:bidi w:val="0"/>
        <w:adjustRightInd/>
        <w:snapToGrid/>
        <w:spacing w:line="520" w:lineRule="exact"/>
        <w:ind w:left="0" w:leftChars="0" w:firstLine="420" w:firstLineChars="175"/>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电话：0539-</w:t>
      </w:r>
      <w:r>
        <w:rPr>
          <w:rFonts w:hint="eastAsia" w:ascii="宋体" w:hAnsi="宋体" w:cs="宋体"/>
          <w:color w:val="auto"/>
          <w:sz w:val="24"/>
          <w:szCs w:val="24"/>
          <w:highlight w:val="none"/>
          <w:lang w:eastAsia="zh-CN"/>
        </w:rPr>
        <w:t>7258758</w:t>
      </w:r>
      <w:r>
        <w:rPr>
          <w:rFonts w:ascii="宋体" w:hAnsi="宋体" w:eastAsia="宋体" w:cs="宋体"/>
          <w:color w:val="auto"/>
          <w:sz w:val="24"/>
          <w:szCs w:val="24"/>
          <w:highlight w:val="none"/>
        </w:rPr>
        <w:t xml:space="preserve"> 邮箱：lyuzbb@126.com </w:t>
      </w:r>
    </w:p>
    <w:p w14:paraId="2B48A9F8">
      <w:pPr>
        <w:pStyle w:val="41"/>
        <w:keepNext w:val="0"/>
        <w:keepLines w:val="0"/>
        <w:pageBreakBefore w:val="0"/>
        <w:widowControl w:val="0"/>
        <w:tabs>
          <w:tab w:val="left" w:pos="840"/>
        </w:tabs>
        <w:kinsoku/>
        <w:wordWrap/>
        <w:overflowPunct/>
        <w:topLinePunct w:val="0"/>
        <w:autoSpaceDE/>
        <w:autoSpaceDN/>
        <w:bidi w:val="0"/>
        <w:adjustRightInd/>
        <w:snapToGrid/>
        <w:spacing w:line="520" w:lineRule="exact"/>
        <w:ind w:left="0" w:leftChars="0" w:firstLine="420" w:firstLineChars="175"/>
        <w:textAlignment w:val="auto"/>
        <w:rPr>
          <w:rFonts w:ascii="宋体" w:hAnsi="宋体" w:eastAsia="宋体" w:cs="宋体"/>
          <w:color w:val="auto"/>
          <w:sz w:val="24"/>
          <w:szCs w:val="24"/>
          <w:highlight w:val="none"/>
        </w:rPr>
      </w:pPr>
    </w:p>
    <w:p w14:paraId="00CDD9FB">
      <w:pPr>
        <w:pStyle w:val="41"/>
        <w:keepNext w:val="0"/>
        <w:keepLines w:val="0"/>
        <w:pageBreakBefore w:val="0"/>
        <w:widowControl w:val="0"/>
        <w:tabs>
          <w:tab w:val="left" w:pos="840"/>
        </w:tabs>
        <w:kinsoku/>
        <w:wordWrap/>
        <w:overflowPunct/>
        <w:topLinePunct w:val="0"/>
        <w:autoSpaceDE/>
        <w:autoSpaceDN/>
        <w:bidi w:val="0"/>
        <w:adjustRightInd/>
        <w:snapToGrid/>
        <w:spacing w:line="520" w:lineRule="exact"/>
        <w:ind w:left="0" w:leftChars="0" w:firstLine="420" w:firstLineChars="175"/>
        <w:textAlignment w:val="auto"/>
        <w:rPr>
          <w:color w:val="auto"/>
          <w:sz w:val="24"/>
          <w:szCs w:val="24"/>
          <w:highlight w:val="none"/>
        </w:rPr>
      </w:pPr>
      <w:r>
        <w:rPr>
          <w:rFonts w:ascii="宋体" w:hAnsi="宋体" w:eastAsia="宋体" w:cs="宋体"/>
          <w:color w:val="auto"/>
          <w:sz w:val="24"/>
          <w:szCs w:val="24"/>
          <w:highlight w:val="none"/>
        </w:rPr>
        <w:t>打造风清气正的招投标环境，让我们一起努力…</w:t>
      </w:r>
    </w:p>
    <w:p w14:paraId="5E57F4FE">
      <w:pPr>
        <w:keepNext w:val="0"/>
        <w:keepLines w:val="0"/>
        <w:pageBreakBefore w:val="0"/>
        <w:widowControl w:val="0"/>
        <w:kinsoku/>
        <w:overflowPunct/>
        <w:topLinePunct w:val="0"/>
        <w:autoSpaceDE/>
        <w:autoSpaceDN/>
        <w:bidi w:val="0"/>
        <w:adjustRightInd/>
        <w:snapToGrid/>
        <w:spacing w:line="520" w:lineRule="exact"/>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p>
    <w:p w14:paraId="65A5BC1A">
      <w:pPr>
        <w:pStyle w:val="41"/>
        <w:ind w:left="0" w:firstLine="0"/>
        <w:rPr>
          <w:rFonts w:hint="eastAsia" w:ascii="宋体" w:hAnsi="宋体" w:cs="宋体"/>
          <w:b/>
          <w:bCs/>
          <w:color w:val="auto"/>
          <w:sz w:val="24"/>
          <w:highlight w:val="none"/>
        </w:rPr>
      </w:pPr>
      <w:r>
        <w:rPr>
          <w:rFonts w:hint="eastAsia" w:ascii="宋体" w:hAnsi="宋体" w:cs="宋体"/>
          <w:b/>
          <w:bCs/>
          <w:color w:val="auto"/>
          <w:sz w:val="24"/>
          <w:highlight w:val="none"/>
        </w:rPr>
        <w:t>附表：</w:t>
      </w:r>
    </w:p>
    <w:p w14:paraId="628ABE6C">
      <w:pPr>
        <w:pStyle w:val="41"/>
        <w:ind w:firstLine="0"/>
        <w:rPr>
          <w:rFonts w:ascii="宋体" w:hAnsi="宋体" w:cs="宋体"/>
          <w:b/>
          <w:bCs/>
          <w:color w:val="auto"/>
          <w:sz w:val="24"/>
          <w:highlight w:val="none"/>
        </w:rPr>
      </w:pPr>
      <w:r>
        <w:rPr>
          <w:rFonts w:hint="eastAsia" w:ascii="宋体" w:hAnsi="宋体" w:cs="宋体"/>
          <w:b/>
          <w:bCs/>
          <w:color w:val="auto"/>
          <w:sz w:val="24"/>
          <w:highlight w:val="none"/>
        </w:rPr>
        <w:t>致各报名</w:t>
      </w:r>
      <w:r>
        <w:rPr>
          <w:rFonts w:hint="eastAsia" w:ascii="宋体" w:hAnsi="宋体" w:cs="宋体"/>
          <w:b/>
          <w:bCs/>
          <w:color w:val="auto"/>
          <w:sz w:val="24"/>
          <w:highlight w:val="none"/>
          <w:lang w:eastAsia="zh-CN"/>
        </w:rPr>
        <w:t>投标人</w:t>
      </w:r>
      <w:r>
        <w:rPr>
          <w:rFonts w:hint="eastAsia" w:ascii="宋体" w:hAnsi="宋体" w:cs="宋体"/>
          <w:b/>
          <w:bCs/>
          <w:color w:val="auto"/>
          <w:sz w:val="24"/>
          <w:highlight w:val="none"/>
        </w:rPr>
        <w:t>，如发现采购文件存在不合理问题，请填写该表。</w:t>
      </w:r>
    </w:p>
    <w:p w14:paraId="0CE25748">
      <w:pPr>
        <w:pStyle w:val="41"/>
        <w:ind w:firstLine="0"/>
        <w:jc w:val="center"/>
        <w:rPr>
          <w:rFonts w:hint="eastAsia" w:ascii="宋体" w:hAnsi="宋体" w:cs="宋体"/>
          <w:b/>
          <w:bCs/>
          <w:color w:val="auto"/>
          <w:sz w:val="32"/>
          <w:szCs w:val="32"/>
          <w:highlight w:val="none"/>
        </w:rPr>
      </w:pPr>
    </w:p>
    <w:p w14:paraId="5D7A7EA3">
      <w:pPr>
        <w:pStyle w:val="41"/>
        <w:ind w:firstLine="0"/>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本项目采购文件存在不合理性问题反馈单</w:t>
      </w:r>
    </w:p>
    <w:p w14:paraId="06F0C2BB">
      <w:pPr>
        <w:pStyle w:val="41"/>
        <w:ind w:firstLine="0"/>
        <w:jc w:val="center"/>
        <w:rPr>
          <w:rFonts w:hint="eastAsia" w:ascii="宋体" w:hAnsi="宋体" w:cs="宋体"/>
          <w:b/>
          <w:bCs/>
          <w:color w:val="auto"/>
          <w:sz w:val="24"/>
          <w:highlight w:val="none"/>
        </w:rPr>
      </w:pPr>
      <w:r>
        <w:rPr>
          <w:rFonts w:hint="eastAsia" w:ascii="宋体" w:hAnsi="宋体" w:cs="宋体"/>
          <w:b/>
          <w:bCs/>
          <w:color w:val="auto"/>
          <w:sz w:val="24"/>
          <w:highlight w:val="none"/>
        </w:rPr>
        <w:t>（已报名</w:t>
      </w:r>
      <w:r>
        <w:rPr>
          <w:rFonts w:hint="eastAsia" w:ascii="宋体" w:hAnsi="宋体" w:cs="宋体"/>
          <w:b/>
          <w:bCs/>
          <w:color w:val="auto"/>
          <w:sz w:val="24"/>
          <w:highlight w:val="none"/>
          <w:lang w:eastAsia="zh-CN"/>
        </w:rPr>
        <w:t>投标人</w:t>
      </w:r>
      <w:r>
        <w:rPr>
          <w:rFonts w:hint="eastAsia" w:ascii="宋体" w:hAnsi="宋体" w:cs="宋体"/>
          <w:b/>
          <w:bCs/>
          <w:color w:val="auto"/>
          <w:sz w:val="24"/>
          <w:highlight w:val="none"/>
        </w:rPr>
        <w:t>使用）</w:t>
      </w:r>
    </w:p>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878"/>
        <w:gridCol w:w="3156"/>
        <w:gridCol w:w="2745"/>
      </w:tblGrid>
      <w:tr w14:paraId="0D88E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14:paraId="3A4C02BE">
            <w:pPr>
              <w:pStyle w:val="41"/>
              <w:ind w:left="0" w:leftChars="0"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2031" w:type="dxa"/>
            <w:noWrap w:val="0"/>
            <w:vAlign w:val="center"/>
          </w:tcPr>
          <w:p w14:paraId="1C1F055C">
            <w:pPr>
              <w:pStyle w:val="41"/>
              <w:ind w:left="0" w:leftChars="0"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t>服务</w:t>
            </w:r>
            <w:r>
              <w:rPr>
                <w:rFonts w:hint="eastAsia" w:ascii="仿宋" w:hAnsi="仿宋" w:eastAsia="仿宋" w:cs="仿宋"/>
                <w:b/>
                <w:bCs/>
                <w:color w:val="auto"/>
                <w:sz w:val="24"/>
                <w:highlight w:val="none"/>
              </w:rPr>
              <w:t>名称</w:t>
            </w:r>
          </w:p>
        </w:tc>
        <w:tc>
          <w:tcPr>
            <w:tcW w:w="3448" w:type="dxa"/>
            <w:noWrap w:val="0"/>
            <w:vAlign w:val="center"/>
          </w:tcPr>
          <w:p w14:paraId="37AA71F0">
            <w:pPr>
              <w:pStyle w:val="41"/>
              <w:ind w:left="0" w:leftChars="0"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相关参数</w:t>
            </w:r>
          </w:p>
        </w:tc>
        <w:tc>
          <w:tcPr>
            <w:tcW w:w="2992" w:type="dxa"/>
            <w:noWrap w:val="0"/>
            <w:vAlign w:val="center"/>
          </w:tcPr>
          <w:p w14:paraId="3E58D176">
            <w:pPr>
              <w:pStyle w:val="41"/>
              <w:ind w:left="0" w:leftChars="0"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存在问题说明</w:t>
            </w:r>
          </w:p>
        </w:tc>
      </w:tr>
      <w:tr w14:paraId="2E0F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279945E7">
            <w:pPr>
              <w:pStyle w:val="41"/>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1</w:t>
            </w:r>
          </w:p>
        </w:tc>
        <w:tc>
          <w:tcPr>
            <w:tcW w:w="2031" w:type="dxa"/>
            <w:noWrap w:val="0"/>
            <w:vAlign w:val="center"/>
          </w:tcPr>
          <w:p w14:paraId="7F19A534">
            <w:pPr>
              <w:pStyle w:val="41"/>
              <w:ind w:left="0" w:leftChars="0" w:firstLine="0" w:firstLineChars="0"/>
              <w:rPr>
                <w:rFonts w:hint="eastAsia" w:ascii="仿宋" w:hAnsi="仿宋" w:eastAsia="仿宋" w:cs="仿宋"/>
                <w:b/>
                <w:bCs/>
                <w:color w:val="auto"/>
                <w:sz w:val="32"/>
                <w:szCs w:val="32"/>
                <w:highlight w:val="none"/>
              </w:rPr>
            </w:pPr>
          </w:p>
          <w:p w14:paraId="7371F885">
            <w:pPr>
              <w:pStyle w:val="41"/>
              <w:ind w:left="0" w:leftChars="0" w:firstLine="0" w:firstLineChars="0"/>
              <w:rPr>
                <w:rFonts w:hint="eastAsia" w:ascii="仿宋" w:hAnsi="仿宋" w:eastAsia="仿宋" w:cs="仿宋"/>
                <w:b/>
                <w:bCs/>
                <w:color w:val="auto"/>
                <w:sz w:val="32"/>
                <w:szCs w:val="32"/>
                <w:highlight w:val="none"/>
              </w:rPr>
            </w:pPr>
          </w:p>
          <w:p w14:paraId="1EB07B85">
            <w:pPr>
              <w:pStyle w:val="41"/>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14:paraId="55AE22D7">
            <w:pPr>
              <w:pStyle w:val="41"/>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14:paraId="2FE07C8F">
            <w:pPr>
              <w:pStyle w:val="41"/>
              <w:ind w:left="0" w:leftChars="0" w:firstLine="0" w:firstLineChars="0"/>
              <w:rPr>
                <w:rFonts w:hint="eastAsia" w:ascii="仿宋" w:hAnsi="仿宋" w:eastAsia="仿宋" w:cs="仿宋"/>
                <w:b/>
                <w:bCs/>
                <w:color w:val="auto"/>
                <w:sz w:val="32"/>
                <w:szCs w:val="32"/>
                <w:highlight w:val="none"/>
              </w:rPr>
            </w:pPr>
          </w:p>
        </w:tc>
      </w:tr>
      <w:tr w14:paraId="041A4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136E4A00">
            <w:pPr>
              <w:pStyle w:val="41"/>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w:t>
            </w:r>
          </w:p>
        </w:tc>
        <w:tc>
          <w:tcPr>
            <w:tcW w:w="2031" w:type="dxa"/>
            <w:noWrap w:val="0"/>
            <w:vAlign w:val="center"/>
          </w:tcPr>
          <w:p w14:paraId="5F873AAE">
            <w:pPr>
              <w:pStyle w:val="41"/>
              <w:ind w:left="0" w:leftChars="0" w:firstLine="0" w:firstLineChars="0"/>
              <w:rPr>
                <w:rFonts w:hint="eastAsia" w:ascii="仿宋" w:hAnsi="仿宋" w:eastAsia="仿宋" w:cs="仿宋"/>
                <w:b/>
                <w:bCs/>
                <w:color w:val="auto"/>
                <w:sz w:val="32"/>
                <w:szCs w:val="32"/>
                <w:highlight w:val="none"/>
              </w:rPr>
            </w:pPr>
          </w:p>
          <w:p w14:paraId="544D5C60">
            <w:pPr>
              <w:pStyle w:val="41"/>
              <w:ind w:left="0" w:leftChars="0" w:firstLine="0" w:firstLineChars="0"/>
              <w:rPr>
                <w:rFonts w:hint="eastAsia" w:ascii="仿宋" w:hAnsi="仿宋" w:eastAsia="仿宋" w:cs="仿宋"/>
                <w:b/>
                <w:bCs/>
                <w:color w:val="auto"/>
                <w:sz w:val="32"/>
                <w:szCs w:val="32"/>
                <w:highlight w:val="none"/>
              </w:rPr>
            </w:pPr>
          </w:p>
          <w:p w14:paraId="2984C50A">
            <w:pPr>
              <w:pStyle w:val="41"/>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14:paraId="42711AFF">
            <w:pPr>
              <w:pStyle w:val="41"/>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14:paraId="3D9D0052">
            <w:pPr>
              <w:pStyle w:val="41"/>
              <w:ind w:left="0" w:leftChars="0" w:firstLine="0" w:firstLineChars="0"/>
              <w:rPr>
                <w:rFonts w:hint="eastAsia" w:ascii="仿宋" w:hAnsi="仿宋" w:eastAsia="仿宋" w:cs="仿宋"/>
                <w:b/>
                <w:bCs/>
                <w:color w:val="auto"/>
                <w:sz w:val="32"/>
                <w:szCs w:val="32"/>
                <w:highlight w:val="none"/>
              </w:rPr>
            </w:pPr>
          </w:p>
        </w:tc>
      </w:tr>
      <w:tr w14:paraId="6EBDA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7C9A88EC">
            <w:pPr>
              <w:pStyle w:val="41"/>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3</w:t>
            </w:r>
          </w:p>
        </w:tc>
        <w:tc>
          <w:tcPr>
            <w:tcW w:w="2031" w:type="dxa"/>
            <w:noWrap w:val="0"/>
            <w:vAlign w:val="center"/>
          </w:tcPr>
          <w:p w14:paraId="0861C44A">
            <w:pPr>
              <w:pStyle w:val="41"/>
              <w:ind w:left="0" w:leftChars="0" w:firstLine="0" w:firstLineChars="0"/>
              <w:rPr>
                <w:rFonts w:hint="eastAsia" w:ascii="仿宋" w:hAnsi="仿宋" w:eastAsia="仿宋" w:cs="仿宋"/>
                <w:b/>
                <w:bCs/>
                <w:color w:val="auto"/>
                <w:sz w:val="32"/>
                <w:szCs w:val="32"/>
                <w:highlight w:val="none"/>
              </w:rPr>
            </w:pPr>
          </w:p>
          <w:p w14:paraId="58706C37">
            <w:pPr>
              <w:pStyle w:val="41"/>
              <w:ind w:left="0" w:leftChars="0" w:firstLine="0" w:firstLineChars="0"/>
              <w:rPr>
                <w:rFonts w:hint="eastAsia" w:ascii="仿宋" w:hAnsi="仿宋" w:eastAsia="仿宋" w:cs="仿宋"/>
                <w:b/>
                <w:bCs/>
                <w:color w:val="auto"/>
                <w:sz w:val="32"/>
                <w:szCs w:val="32"/>
                <w:highlight w:val="none"/>
              </w:rPr>
            </w:pPr>
          </w:p>
          <w:p w14:paraId="709048E9">
            <w:pPr>
              <w:pStyle w:val="41"/>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14:paraId="60F10844">
            <w:pPr>
              <w:pStyle w:val="41"/>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14:paraId="0E311BA9">
            <w:pPr>
              <w:pStyle w:val="41"/>
              <w:ind w:left="0" w:leftChars="0" w:firstLine="0" w:firstLineChars="0"/>
              <w:rPr>
                <w:rFonts w:hint="eastAsia" w:ascii="仿宋" w:hAnsi="仿宋" w:eastAsia="仿宋" w:cs="仿宋"/>
                <w:b/>
                <w:bCs/>
                <w:color w:val="auto"/>
                <w:sz w:val="32"/>
                <w:szCs w:val="32"/>
                <w:highlight w:val="none"/>
              </w:rPr>
            </w:pPr>
          </w:p>
        </w:tc>
      </w:tr>
      <w:tr w14:paraId="720AC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14:paraId="04FEE5C3">
            <w:pPr>
              <w:pStyle w:val="41"/>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其他问题</w:t>
            </w:r>
          </w:p>
        </w:tc>
        <w:tc>
          <w:tcPr>
            <w:tcW w:w="8471" w:type="dxa"/>
            <w:gridSpan w:val="3"/>
            <w:noWrap w:val="0"/>
            <w:vAlign w:val="center"/>
          </w:tcPr>
          <w:p w14:paraId="17D34943">
            <w:pPr>
              <w:pStyle w:val="41"/>
              <w:ind w:left="0" w:leftChars="0" w:firstLine="0" w:firstLineChars="0"/>
              <w:jc w:val="center"/>
              <w:rPr>
                <w:rFonts w:hint="eastAsia" w:ascii="仿宋" w:hAnsi="仿宋" w:eastAsia="仿宋" w:cs="仿宋"/>
                <w:b/>
                <w:bCs/>
                <w:color w:val="auto"/>
                <w:sz w:val="32"/>
                <w:szCs w:val="32"/>
                <w:highlight w:val="none"/>
              </w:rPr>
            </w:pPr>
          </w:p>
          <w:p w14:paraId="1397D858">
            <w:pPr>
              <w:pStyle w:val="41"/>
              <w:ind w:left="0" w:leftChars="0" w:firstLine="0" w:firstLineChars="0"/>
              <w:jc w:val="center"/>
              <w:rPr>
                <w:rFonts w:hint="eastAsia" w:ascii="仿宋" w:hAnsi="仿宋" w:eastAsia="仿宋" w:cs="仿宋"/>
                <w:b/>
                <w:bCs/>
                <w:color w:val="auto"/>
                <w:sz w:val="32"/>
                <w:szCs w:val="32"/>
                <w:highlight w:val="none"/>
              </w:rPr>
            </w:pPr>
          </w:p>
          <w:p w14:paraId="6B3A539E">
            <w:pPr>
              <w:pStyle w:val="41"/>
              <w:ind w:left="0" w:leftChars="0" w:firstLine="0" w:firstLineChars="0"/>
              <w:jc w:val="center"/>
              <w:rPr>
                <w:rFonts w:hint="eastAsia" w:ascii="仿宋" w:hAnsi="仿宋" w:eastAsia="仿宋" w:cs="仿宋"/>
                <w:b/>
                <w:bCs/>
                <w:color w:val="auto"/>
                <w:sz w:val="32"/>
                <w:szCs w:val="32"/>
                <w:highlight w:val="none"/>
              </w:rPr>
            </w:pPr>
          </w:p>
          <w:p w14:paraId="07117082">
            <w:pPr>
              <w:pStyle w:val="41"/>
              <w:ind w:left="0" w:leftChars="0" w:firstLine="0" w:firstLineChars="0"/>
              <w:jc w:val="center"/>
              <w:rPr>
                <w:rFonts w:hint="eastAsia" w:ascii="仿宋" w:hAnsi="仿宋" w:eastAsia="仿宋" w:cs="仿宋"/>
                <w:b/>
                <w:bCs/>
                <w:color w:val="auto"/>
                <w:sz w:val="32"/>
                <w:szCs w:val="32"/>
                <w:highlight w:val="none"/>
              </w:rPr>
            </w:pPr>
          </w:p>
          <w:p w14:paraId="02D0241F">
            <w:pPr>
              <w:pStyle w:val="41"/>
              <w:ind w:left="0" w:leftChars="0" w:firstLine="0" w:firstLineChars="0"/>
              <w:jc w:val="center"/>
              <w:rPr>
                <w:rFonts w:hint="eastAsia" w:ascii="仿宋" w:hAnsi="仿宋" w:eastAsia="仿宋" w:cs="仿宋"/>
                <w:b/>
                <w:bCs/>
                <w:color w:val="auto"/>
                <w:sz w:val="32"/>
                <w:szCs w:val="32"/>
                <w:highlight w:val="none"/>
              </w:rPr>
            </w:pPr>
          </w:p>
          <w:p w14:paraId="628A2893">
            <w:pPr>
              <w:pStyle w:val="41"/>
              <w:ind w:left="0" w:leftChars="0" w:firstLine="0" w:firstLineChars="0"/>
              <w:jc w:val="center"/>
              <w:rPr>
                <w:rFonts w:hint="eastAsia" w:ascii="仿宋" w:hAnsi="仿宋" w:eastAsia="仿宋" w:cs="仿宋"/>
                <w:b/>
                <w:bCs/>
                <w:color w:val="auto"/>
                <w:sz w:val="32"/>
                <w:szCs w:val="32"/>
                <w:highlight w:val="none"/>
              </w:rPr>
            </w:pPr>
          </w:p>
          <w:p w14:paraId="360B8BC9">
            <w:pPr>
              <w:pStyle w:val="41"/>
              <w:ind w:left="0" w:leftChars="0" w:firstLine="0" w:firstLineChars="0"/>
              <w:jc w:val="center"/>
              <w:rPr>
                <w:rFonts w:hint="eastAsia" w:ascii="仿宋" w:hAnsi="仿宋" w:eastAsia="仿宋" w:cs="仿宋"/>
                <w:b/>
                <w:bCs/>
                <w:color w:val="auto"/>
                <w:sz w:val="32"/>
                <w:szCs w:val="32"/>
                <w:highlight w:val="none"/>
              </w:rPr>
            </w:pPr>
          </w:p>
          <w:p w14:paraId="25DB830A">
            <w:pPr>
              <w:pStyle w:val="41"/>
              <w:ind w:left="0" w:leftChars="0" w:firstLine="0" w:firstLineChars="0"/>
              <w:jc w:val="center"/>
              <w:rPr>
                <w:rFonts w:hint="eastAsia" w:ascii="仿宋" w:hAnsi="仿宋" w:eastAsia="仿宋" w:cs="仿宋"/>
                <w:b/>
                <w:bCs/>
                <w:color w:val="auto"/>
                <w:sz w:val="32"/>
                <w:szCs w:val="32"/>
                <w:highlight w:val="none"/>
              </w:rPr>
            </w:pPr>
          </w:p>
          <w:p w14:paraId="0B6CC6CE">
            <w:pPr>
              <w:pStyle w:val="41"/>
              <w:ind w:left="0" w:leftChars="0" w:firstLine="0" w:firstLineChars="0"/>
              <w:jc w:val="center"/>
              <w:rPr>
                <w:rFonts w:hint="eastAsia" w:ascii="仿宋" w:hAnsi="仿宋" w:eastAsia="仿宋" w:cs="仿宋"/>
                <w:b/>
                <w:bCs/>
                <w:color w:val="auto"/>
                <w:sz w:val="32"/>
                <w:szCs w:val="32"/>
                <w:highlight w:val="none"/>
              </w:rPr>
            </w:pPr>
          </w:p>
        </w:tc>
      </w:tr>
    </w:tbl>
    <w:p w14:paraId="1914BEA1">
      <w:pPr>
        <w:pStyle w:val="41"/>
        <w:widowControl/>
        <w:adjustRightInd w:val="0"/>
        <w:snapToGrid w:val="0"/>
        <w:spacing w:line="520" w:lineRule="exact"/>
        <w:ind w:left="0"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说明：</w:t>
      </w:r>
      <w:r>
        <w:rPr>
          <w:rFonts w:hint="eastAsia" w:ascii="仿宋" w:hAnsi="仿宋" w:eastAsia="仿宋" w:cs="仿宋"/>
          <w:b/>
          <w:bCs/>
          <w:color w:val="auto"/>
          <w:sz w:val="24"/>
          <w:highlight w:val="none"/>
        </w:rPr>
        <w:fldChar w:fldCharType="begin"/>
      </w:r>
      <w:r>
        <w:rPr>
          <w:rFonts w:hint="eastAsia" w:ascii="仿宋" w:hAnsi="仿宋" w:eastAsia="仿宋" w:cs="仿宋"/>
          <w:b/>
          <w:bCs/>
          <w:color w:val="auto"/>
          <w:sz w:val="24"/>
          <w:highlight w:val="none"/>
        </w:rPr>
        <w:instrText xml:space="preserve"> HYPERLINK "mailto:本表填写并盖章后，请发至邮箱lyuzbb@126.com。" </w:instrText>
      </w:r>
      <w:r>
        <w:rPr>
          <w:rFonts w:hint="eastAsia" w:ascii="仿宋" w:hAnsi="仿宋" w:eastAsia="仿宋" w:cs="仿宋"/>
          <w:b/>
          <w:bCs/>
          <w:color w:val="auto"/>
          <w:sz w:val="24"/>
          <w:highlight w:val="none"/>
        </w:rPr>
        <w:fldChar w:fldCharType="separate"/>
      </w:r>
      <w:r>
        <w:rPr>
          <w:rStyle w:val="39"/>
          <w:rFonts w:hint="eastAsia" w:ascii="仿宋" w:hAnsi="仿宋" w:eastAsia="仿宋" w:cs="仿宋"/>
          <w:b/>
          <w:bCs/>
          <w:color w:val="auto"/>
          <w:sz w:val="24"/>
          <w:highlight w:val="none"/>
        </w:rPr>
        <w:t>本表填写并盖章后，请发至邮箱lyuzbb@126.com。</w:t>
      </w:r>
      <w:r>
        <w:rPr>
          <w:rFonts w:hint="eastAsia" w:ascii="仿宋" w:hAnsi="仿宋" w:eastAsia="仿宋" w:cs="仿宋"/>
          <w:b/>
          <w:bCs/>
          <w:color w:val="auto"/>
          <w:sz w:val="24"/>
          <w:highlight w:val="none"/>
        </w:rPr>
        <w:fldChar w:fldCharType="end"/>
      </w:r>
      <w:r>
        <w:rPr>
          <w:rFonts w:hint="eastAsia" w:ascii="仿宋" w:hAnsi="仿宋" w:eastAsia="仿宋" w:cs="仿宋"/>
          <w:b/>
          <w:bCs/>
          <w:color w:val="auto"/>
          <w:sz w:val="24"/>
          <w:highlight w:val="none"/>
        </w:rPr>
        <w:t xml:space="preserve"> 并致电临沂大学采购科 </w:t>
      </w:r>
      <w:r>
        <w:rPr>
          <w:rFonts w:hint="eastAsia" w:ascii="仿宋" w:hAnsi="仿宋" w:eastAsia="仿宋" w:cs="仿宋"/>
          <w:b/>
          <w:bCs/>
          <w:color w:val="auto"/>
          <w:sz w:val="24"/>
          <w:highlight w:val="none"/>
          <w:lang w:eastAsia="zh-CN"/>
        </w:rPr>
        <w:t>李</w:t>
      </w:r>
      <w:r>
        <w:rPr>
          <w:rFonts w:hint="eastAsia" w:ascii="仿宋" w:hAnsi="仿宋" w:eastAsia="仿宋" w:cs="仿宋"/>
          <w:b/>
          <w:bCs/>
          <w:color w:val="auto"/>
          <w:sz w:val="24"/>
          <w:highlight w:val="none"/>
        </w:rPr>
        <w:t xml:space="preserve">老师 </w:t>
      </w:r>
      <w:r>
        <w:rPr>
          <w:rFonts w:hint="eastAsia" w:ascii="仿宋" w:hAnsi="仿宋" w:eastAsia="仿宋" w:cs="仿宋"/>
          <w:b/>
          <w:bCs/>
          <w:color w:val="auto"/>
          <w:sz w:val="24"/>
          <w:highlight w:val="none"/>
          <w:lang w:eastAsia="zh-CN"/>
        </w:rPr>
        <w:t>0539-7258758</w:t>
      </w:r>
      <w:r>
        <w:rPr>
          <w:rFonts w:hint="eastAsia" w:ascii="仿宋" w:hAnsi="仿宋" w:eastAsia="仿宋" w:cs="仿宋"/>
          <w:b/>
          <w:bCs/>
          <w:color w:val="auto"/>
          <w:sz w:val="24"/>
          <w:highlight w:val="none"/>
        </w:rPr>
        <w:t>。</w:t>
      </w:r>
    </w:p>
    <w:p w14:paraId="4CF6641C">
      <w:pPr>
        <w:pStyle w:val="41"/>
        <w:widowControl/>
        <w:adjustRightInd w:val="0"/>
        <w:snapToGrid w:val="0"/>
        <w:spacing w:line="520" w:lineRule="exact"/>
        <w:ind w:left="0"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非常感谢您的反馈问题！</w:t>
      </w:r>
    </w:p>
    <w:p w14:paraId="4815DCBD">
      <w:pPr>
        <w:pStyle w:val="41"/>
        <w:widowControl/>
        <w:adjustRightInd w:val="0"/>
        <w:snapToGrid w:val="0"/>
        <w:spacing w:line="520" w:lineRule="exact"/>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 xml:space="preserve">                      单位名称（盖章）：</w:t>
      </w:r>
    </w:p>
    <w:p w14:paraId="56506EE1">
      <w:pPr>
        <w:pStyle w:val="41"/>
        <w:widowControl/>
        <w:adjustRightInd w:val="0"/>
        <w:snapToGrid w:val="0"/>
        <w:spacing w:line="520" w:lineRule="exact"/>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 xml:space="preserve">                    联系人：        电话：</w:t>
      </w:r>
    </w:p>
    <w:p w14:paraId="0D3960D7">
      <w:pPr>
        <w:spacing w:line="600" w:lineRule="exact"/>
        <w:ind w:left="-397" w:leftChars="-189"/>
        <w:jc w:val="center"/>
        <w:rPr>
          <w:rFonts w:hint="eastAsia" w:ascii="宋体" w:hAnsi="宋体"/>
          <w:b/>
          <w:color w:val="auto"/>
          <w:sz w:val="32"/>
          <w:highlight w:val="none"/>
        </w:rPr>
      </w:pPr>
      <w:r>
        <w:rPr>
          <w:rFonts w:hint="eastAsia" w:ascii="宋体" w:hAnsi="宋体" w:cs="宋体"/>
          <w:b/>
          <w:bCs/>
          <w:color w:val="auto"/>
          <w:sz w:val="24"/>
          <w:highlight w:val="none"/>
        </w:rPr>
        <w:t xml:space="preserve">                                   年   月   日         </w:t>
      </w:r>
      <w:r>
        <w:rPr>
          <w:rFonts w:ascii="宋体" w:hAnsi="宋体"/>
          <w:b/>
          <w:color w:val="auto"/>
          <w:sz w:val="52"/>
          <w:highlight w:val="none"/>
        </w:rPr>
        <w:br w:type="page"/>
      </w:r>
      <w:r>
        <w:rPr>
          <w:rFonts w:hint="eastAsia" w:ascii="宋体" w:hAnsi="宋体"/>
          <w:b/>
          <w:color w:val="auto"/>
          <w:sz w:val="32"/>
          <w:highlight w:val="none"/>
        </w:rPr>
        <w:t>目  录</w:t>
      </w:r>
    </w:p>
    <w:p w14:paraId="470E5EE4">
      <w:pPr>
        <w:pStyle w:val="22"/>
        <w:pageBreakBefore w:val="0"/>
        <w:widowControl w:val="0"/>
        <w:tabs>
          <w:tab w:val="right" w:leader="dot" w:pos="8302"/>
        </w:tabs>
        <w:kinsoku/>
        <w:wordWrap/>
        <w:overflowPunct/>
        <w:topLinePunct w:val="0"/>
        <w:bidi w:val="0"/>
        <w:snapToGrid/>
        <w:spacing w:line="440" w:lineRule="exact"/>
        <w:textAlignment w:val="auto"/>
        <w:rPr>
          <w:rFonts w:ascii="Calibri" w:hAnsi="宋体" w:eastAsia="宋体" w:cs="Times New Roman"/>
          <w:color w:val="auto"/>
          <w:kern w:val="2"/>
          <w:sz w:val="21"/>
          <w:szCs w:val="24"/>
          <w:highlight w:val="none"/>
          <w:lang w:val="en-US" w:eastAsia="zh-CN" w:bidi="ar-SA"/>
        </w:rPr>
      </w:pPr>
      <w:bookmarkStart w:id="0" w:name="_Toc22782"/>
      <w:bookmarkStart w:id="1" w:name="_Toc216582804"/>
      <w:bookmarkStart w:id="2" w:name="_Toc17230"/>
      <w:r>
        <w:rPr>
          <w:rFonts w:hint="eastAsia" w:ascii="宋体" w:hAnsi="宋体"/>
          <w:b/>
          <w:color w:val="auto"/>
          <w:highlight w:val="none"/>
        </w:rPr>
        <w:t xml:space="preserve">    </w:t>
      </w:r>
      <w:r>
        <w:rPr>
          <w:rFonts w:ascii="宋体" w:hAnsi="宋体"/>
          <w:b/>
          <w:color w:val="auto"/>
          <w:highlight w:val="none"/>
        </w:rPr>
        <w:fldChar w:fldCharType="begin"/>
      </w:r>
      <w:r>
        <w:rPr>
          <w:rFonts w:ascii="宋体" w:hAnsi="宋体"/>
          <w:b/>
          <w:color w:val="auto"/>
          <w:highlight w:val="none"/>
        </w:rPr>
        <w:instrText xml:space="preserve"> TOC \o "1-3" \h \z \u </w:instrText>
      </w:r>
      <w:r>
        <w:rPr>
          <w:rFonts w:ascii="宋体" w:hAnsi="宋体"/>
          <w:b/>
          <w:color w:val="auto"/>
          <w:highlight w:val="none"/>
        </w:rPr>
        <w:fldChar w:fldCharType="separate"/>
      </w:r>
    </w:p>
    <w:p w14:paraId="1975C04A">
      <w:pPr>
        <w:pStyle w:val="22"/>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_Toc789 </w:instrText>
      </w:r>
      <w:r>
        <w:rPr>
          <w:rFonts w:hAnsi="宋体"/>
          <w:color w:val="auto"/>
          <w:highlight w:val="none"/>
        </w:rPr>
        <w:fldChar w:fldCharType="separate"/>
      </w:r>
      <w:r>
        <w:rPr>
          <w:rFonts w:hint="eastAsia" w:hAnsi="宋体"/>
          <w:color w:val="auto"/>
          <w:highlight w:val="none"/>
        </w:rPr>
        <w:t>第1章 投标人须知</w:t>
      </w:r>
      <w:r>
        <w:rPr>
          <w:color w:val="auto"/>
          <w:highlight w:val="none"/>
        </w:rPr>
        <w:tab/>
      </w:r>
      <w:r>
        <w:rPr>
          <w:color w:val="auto"/>
          <w:highlight w:val="none"/>
        </w:rPr>
        <w:fldChar w:fldCharType="begin"/>
      </w:r>
      <w:r>
        <w:rPr>
          <w:color w:val="auto"/>
          <w:highlight w:val="none"/>
        </w:rPr>
        <w:instrText xml:space="preserve"> PAGEREF _Toc789 \h </w:instrText>
      </w:r>
      <w:r>
        <w:rPr>
          <w:color w:val="auto"/>
          <w:highlight w:val="none"/>
        </w:rPr>
        <w:fldChar w:fldCharType="separate"/>
      </w:r>
      <w:r>
        <w:rPr>
          <w:color w:val="auto"/>
          <w:highlight w:val="none"/>
        </w:rPr>
        <w:t>7</w:t>
      </w:r>
      <w:r>
        <w:rPr>
          <w:color w:val="auto"/>
          <w:highlight w:val="none"/>
        </w:rPr>
        <w:fldChar w:fldCharType="end"/>
      </w:r>
      <w:r>
        <w:rPr>
          <w:rFonts w:hAnsi="宋体"/>
          <w:color w:val="auto"/>
          <w:highlight w:val="none"/>
        </w:rPr>
        <w:fldChar w:fldCharType="end"/>
      </w:r>
    </w:p>
    <w:p w14:paraId="0A6B6DE8">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_Toc3765 </w:instrText>
      </w:r>
      <w:r>
        <w:rPr>
          <w:rFonts w:hAnsi="宋体"/>
          <w:color w:val="auto"/>
          <w:highlight w:val="none"/>
        </w:rPr>
        <w:fldChar w:fldCharType="separate"/>
      </w:r>
      <w:r>
        <w:rPr>
          <w:rFonts w:hint="eastAsia" w:ascii="宋体" w:hAnsi="宋体"/>
          <w:color w:val="auto"/>
          <w:highlight w:val="none"/>
        </w:rPr>
        <w:t>一</w:t>
      </w:r>
      <w:r>
        <w:rPr>
          <w:rFonts w:hint="eastAsia" w:ascii="宋体" w:hAnsi="宋体"/>
          <w:color w:val="auto"/>
          <w:highlight w:val="none"/>
          <w:lang w:eastAsia="zh-CN"/>
        </w:rPr>
        <w:t>、</w:t>
      </w:r>
      <w:r>
        <w:rPr>
          <w:rFonts w:hint="eastAsia" w:ascii="宋体" w:hAnsi="宋体"/>
          <w:color w:val="auto"/>
          <w:highlight w:val="none"/>
        </w:rPr>
        <w:t>总 则</w:t>
      </w:r>
      <w:r>
        <w:rPr>
          <w:color w:val="auto"/>
          <w:highlight w:val="none"/>
        </w:rPr>
        <w:tab/>
      </w:r>
      <w:r>
        <w:rPr>
          <w:color w:val="auto"/>
          <w:highlight w:val="none"/>
        </w:rPr>
        <w:fldChar w:fldCharType="begin"/>
      </w:r>
      <w:r>
        <w:rPr>
          <w:color w:val="auto"/>
          <w:highlight w:val="none"/>
        </w:rPr>
        <w:instrText xml:space="preserve"> PAGEREF _Toc3765 \h </w:instrText>
      </w:r>
      <w:r>
        <w:rPr>
          <w:color w:val="auto"/>
          <w:highlight w:val="none"/>
        </w:rPr>
        <w:fldChar w:fldCharType="separate"/>
      </w:r>
      <w:r>
        <w:rPr>
          <w:color w:val="auto"/>
          <w:highlight w:val="none"/>
        </w:rPr>
        <w:t>7</w:t>
      </w:r>
      <w:r>
        <w:rPr>
          <w:color w:val="auto"/>
          <w:highlight w:val="none"/>
        </w:rPr>
        <w:fldChar w:fldCharType="end"/>
      </w:r>
      <w:r>
        <w:rPr>
          <w:rFonts w:hAnsi="宋体"/>
          <w:color w:val="auto"/>
          <w:highlight w:val="none"/>
        </w:rPr>
        <w:fldChar w:fldCharType="end"/>
      </w:r>
    </w:p>
    <w:p w14:paraId="0F962980">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_Toc26387 </w:instrText>
      </w:r>
      <w:r>
        <w:rPr>
          <w:rFonts w:hAnsi="宋体"/>
          <w:color w:val="auto"/>
          <w:highlight w:val="none"/>
        </w:rPr>
        <w:fldChar w:fldCharType="separate"/>
      </w:r>
      <w:r>
        <w:rPr>
          <w:rFonts w:hint="eastAsia" w:hAnsi="宋体"/>
          <w:color w:val="auto"/>
          <w:highlight w:val="none"/>
        </w:rPr>
        <w:t>1.采购人、采购代理机构及投标人</w:t>
      </w:r>
      <w:r>
        <w:rPr>
          <w:color w:val="auto"/>
          <w:highlight w:val="none"/>
        </w:rPr>
        <w:tab/>
      </w:r>
      <w:r>
        <w:rPr>
          <w:color w:val="auto"/>
          <w:highlight w:val="none"/>
        </w:rPr>
        <w:fldChar w:fldCharType="begin"/>
      </w:r>
      <w:r>
        <w:rPr>
          <w:color w:val="auto"/>
          <w:highlight w:val="none"/>
        </w:rPr>
        <w:instrText xml:space="preserve"> PAGEREF _Toc26387 \h </w:instrText>
      </w:r>
      <w:r>
        <w:rPr>
          <w:color w:val="auto"/>
          <w:highlight w:val="none"/>
        </w:rPr>
        <w:fldChar w:fldCharType="separate"/>
      </w:r>
      <w:r>
        <w:rPr>
          <w:color w:val="auto"/>
          <w:highlight w:val="none"/>
        </w:rPr>
        <w:t>7</w:t>
      </w:r>
      <w:r>
        <w:rPr>
          <w:color w:val="auto"/>
          <w:highlight w:val="none"/>
        </w:rPr>
        <w:fldChar w:fldCharType="end"/>
      </w:r>
      <w:r>
        <w:rPr>
          <w:rFonts w:hAnsi="宋体"/>
          <w:color w:val="auto"/>
          <w:highlight w:val="none"/>
        </w:rPr>
        <w:fldChar w:fldCharType="end"/>
      </w:r>
    </w:p>
    <w:p w14:paraId="6E284A49">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_Toc30023 </w:instrText>
      </w:r>
      <w:r>
        <w:rPr>
          <w:rFonts w:hAnsi="宋体"/>
          <w:color w:val="auto"/>
          <w:highlight w:val="none"/>
        </w:rPr>
        <w:fldChar w:fldCharType="separate"/>
      </w:r>
      <w:r>
        <w:rPr>
          <w:rFonts w:hint="eastAsia" w:hAnsi="宋体"/>
          <w:color w:val="auto"/>
          <w:highlight w:val="none"/>
        </w:rPr>
        <w:t>2.资金来源</w:t>
      </w:r>
      <w:r>
        <w:rPr>
          <w:color w:val="auto"/>
          <w:highlight w:val="none"/>
        </w:rPr>
        <w:tab/>
      </w:r>
      <w:r>
        <w:rPr>
          <w:color w:val="auto"/>
          <w:highlight w:val="none"/>
        </w:rPr>
        <w:fldChar w:fldCharType="begin"/>
      </w:r>
      <w:r>
        <w:rPr>
          <w:color w:val="auto"/>
          <w:highlight w:val="none"/>
        </w:rPr>
        <w:instrText xml:space="preserve"> PAGEREF _Toc30023 \h </w:instrText>
      </w:r>
      <w:r>
        <w:rPr>
          <w:color w:val="auto"/>
          <w:highlight w:val="none"/>
        </w:rPr>
        <w:fldChar w:fldCharType="separate"/>
      </w:r>
      <w:r>
        <w:rPr>
          <w:color w:val="auto"/>
          <w:highlight w:val="none"/>
        </w:rPr>
        <w:t>9</w:t>
      </w:r>
      <w:r>
        <w:rPr>
          <w:color w:val="auto"/>
          <w:highlight w:val="none"/>
        </w:rPr>
        <w:fldChar w:fldCharType="end"/>
      </w:r>
      <w:r>
        <w:rPr>
          <w:rFonts w:hAnsi="宋体"/>
          <w:color w:val="auto"/>
          <w:highlight w:val="none"/>
        </w:rPr>
        <w:fldChar w:fldCharType="end"/>
      </w:r>
    </w:p>
    <w:p w14:paraId="664CEB59">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_Toc6837 </w:instrText>
      </w:r>
      <w:r>
        <w:rPr>
          <w:rFonts w:hAnsi="宋体"/>
          <w:color w:val="auto"/>
          <w:highlight w:val="none"/>
        </w:rPr>
        <w:fldChar w:fldCharType="separate"/>
      </w:r>
      <w:r>
        <w:rPr>
          <w:rFonts w:hint="eastAsia" w:hAnsi="宋体"/>
          <w:color w:val="auto"/>
          <w:highlight w:val="none"/>
        </w:rPr>
        <w:t>3.投标费用</w:t>
      </w:r>
      <w:r>
        <w:rPr>
          <w:color w:val="auto"/>
          <w:highlight w:val="none"/>
        </w:rPr>
        <w:tab/>
      </w:r>
      <w:r>
        <w:rPr>
          <w:color w:val="auto"/>
          <w:highlight w:val="none"/>
        </w:rPr>
        <w:fldChar w:fldCharType="begin"/>
      </w:r>
      <w:r>
        <w:rPr>
          <w:color w:val="auto"/>
          <w:highlight w:val="none"/>
        </w:rPr>
        <w:instrText xml:space="preserve"> PAGEREF _Toc6837 \h </w:instrText>
      </w:r>
      <w:r>
        <w:rPr>
          <w:color w:val="auto"/>
          <w:highlight w:val="none"/>
        </w:rPr>
        <w:fldChar w:fldCharType="separate"/>
      </w:r>
      <w:r>
        <w:rPr>
          <w:color w:val="auto"/>
          <w:highlight w:val="none"/>
        </w:rPr>
        <w:t>9</w:t>
      </w:r>
      <w:r>
        <w:rPr>
          <w:color w:val="auto"/>
          <w:highlight w:val="none"/>
        </w:rPr>
        <w:fldChar w:fldCharType="end"/>
      </w:r>
      <w:r>
        <w:rPr>
          <w:rFonts w:hAnsi="宋体"/>
          <w:color w:val="auto"/>
          <w:highlight w:val="none"/>
        </w:rPr>
        <w:fldChar w:fldCharType="end"/>
      </w:r>
    </w:p>
    <w:p w14:paraId="3A76C244">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_Toc14462 </w:instrText>
      </w:r>
      <w:r>
        <w:rPr>
          <w:rFonts w:hAnsi="宋体"/>
          <w:color w:val="auto"/>
          <w:highlight w:val="none"/>
        </w:rPr>
        <w:fldChar w:fldCharType="separate"/>
      </w:r>
      <w:r>
        <w:rPr>
          <w:rFonts w:hint="eastAsia" w:hAnsi="宋体"/>
          <w:color w:val="auto"/>
          <w:highlight w:val="none"/>
        </w:rPr>
        <w:t>4.适用法律</w:t>
      </w:r>
      <w:r>
        <w:rPr>
          <w:color w:val="auto"/>
          <w:highlight w:val="none"/>
        </w:rPr>
        <w:tab/>
      </w:r>
      <w:r>
        <w:rPr>
          <w:color w:val="auto"/>
          <w:highlight w:val="none"/>
        </w:rPr>
        <w:fldChar w:fldCharType="begin"/>
      </w:r>
      <w:r>
        <w:rPr>
          <w:color w:val="auto"/>
          <w:highlight w:val="none"/>
        </w:rPr>
        <w:instrText xml:space="preserve"> PAGEREF _Toc14462 \h </w:instrText>
      </w:r>
      <w:r>
        <w:rPr>
          <w:color w:val="auto"/>
          <w:highlight w:val="none"/>
        </w:rPr>
        <w:fldChar w:fldCharType="separate"/>
      </w:r>
      <w:r>
        <w:rPr>
          <w:color w:val="auto"/>
          <w:highlight w:val="none"/>
        </w:rPr>
        <w:t>9</w:t>
      </w:r>
      <w:r>
        <w:rPr>
          <w:color w:val="auto"/>
          <w:highlight w:val="none"/>
        </w:rPr>
        <w:fldChar w:fldCharType="end"/>
      </w:r>
      <w:r>
        <w:rPr>
          <w:rFonts w:hAnsi="宋体"/>
          <w:color w:val="auto"/>
          <w:highlight w:val="none"/>
        </w:rPr>
        <w:fldChar w:fldCharType="end"/>
      </w:r>
    </w:p>
    <w:p w14:paraId="363E8075">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_Toc31322 </w:instrText>
      </w:r>
      <w:r>
        <w:rPr>
          <w:rFonts w:hAnsi="宋体"/>
          <w:color w:val="auto"/>
          <w:highlight w:val="none"/>
        </w:rPr>
        <w:fldChar w:fldCharType="separate"/>
      </w:r>
      <w:r>
        <w:rPr>
          <w:rFonts w:hint="eastAsia" w:ascii="宋体" w:hAnsi="宋体"/>
          <w:color w:val="auto"/>
          <w:highlight w:val="none"/>
        </w:rPr>
        <w:t>二</w:t>
      </w:r>
      <w:r>
        <w:rPr>
          <w:rFonts w:hint="eastAsia" w:ascii="宋体" w:hAnsi="宋体"/>
          <w:color w:val="auto"/>
          <w:highlight w:val="none"/>
          <w:lang w:eastAsia="zh-CN"/>
        </w:rPr>
        <w:t>、</w:t>
      </w:r>
      <w:r>
        <w:rPr>
          <w:rFonts w:hint="eastAsia" w:ascii="宋体" w:hAnsi="宋体"/>
          <w:color w:val="auto"/>
          <w:highlight w:val="none"/>
        </w:rPr>
        <w:t>招标文件</w:t>
      </w:r>
      <w:r>
        <w:rPr>
          <w:color w:val="auto"/>
          <w:highlight w:val="none"/>
        </w:rPr>
        <w:tab/>
      </w:r>
      <w:r>
        <w:rPr>
          <w:color w:val="auto"/>
          <w:highlight w:val="none"/>
        </w:rPr>
        <w:fldChar w:fldCharType="begin"/>
      </w:r>
      <w:r>
        <w:rPr>
          <w:color w:val="auto"/>
          <w:highlight w:val="none"/>
        </w:rPr>
        <w:instrText xml:space="preserve"> PAGEREF _Toc31322 \h </w:instrText>
      </w:r>
      <w:r>
        <w:rPr>
          <w:color w:val="auto"/>
          <w:highlight w:val="none"/>
        </w:rPr>
        <w:fldChar w:fldCharType="separate"/>
      </w:r>
      <w:r>
        <w:rPr>
          <w:color w:val="auto"/>
          <w:highlight w:val="none"/>
        </w:rPr>
        <w:t>9</w:t>
      </w:r>
      <w:r>
        <w:rPr>
          <w:color w:val="auto"/>
          <w:highlight w:val="none"/>
        </w:rPr>
        <w:fldChar w:fldCharType="end"/>
      </w:r>
      <w:r>
        <w:rPr>
          <w:rFonts w:hAnsi="宋体"/>
          <w:color w:val="auto"/>
          <w:highlight w:val="none"/>
        </w:rPr>
        <w:fldChar w:fldCharType="end"/>
      </w:r>
    </w:p>
    <w:p w14:paraId="53D92477">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_Toc21196 </w:instrText>
      </w:r>
      <w:r>
        <w:rPr>
          <w:rFonts w:hAnsi="宋体"/>
          <w:color w:val="auto"/>
          <w:highlight w:val="none"/>
        </w:rPr>
        <w:fldChar w:fldCharType="separate"/>
      </w:r>
      <w:r>
        <w:rPr>
          <w:rFonts w:hint="eastAsia" w:hAnsi="宋体"/>
          <w:color w:val="auto"/>
          <w:highlight w:val="none"/>
        </w:rPr>
        <w:t>5.招标文件构成</w:t>
      </w:r>
      <w:r>
        <w:rPr>
          <w:color w:val="auto"/>
          <w:highlight w:val="none"/>
        </w:rPr>
        <w:tab/>
      </w:r>
      <w:r>
        <w:rPr>
          <w:color w:val="auto"/>
          <w:highlight w:val="none"/>
        </w:rPr>
        <w:fldChar w:fldCharType="begin"/>
      </w:r>
      <w:r>
        <w:rPr>
          <w:color w:val="auto"/>
          <w:highlight w:val="none"/>
        </w:rPr>
        <w:instrText xml:space="preserve"> PAGEREF _Toc21196 \h </w:instrText>
      </w:r>
      <w:r>
        <w:rPr>
          <w:color w:val="auto"/>
          <w:highlight w:val="none"/>
        </w:rPr>
        <w:fldChar w:fldCharType="separate"/>
      </w:r>
      <w:r>
        <w:rPr>
          <w:color w:val="auto"/>
          <w:highlight w:val="none"/>
        </w:rPr>
        <w:t>9</w:t>
      </w:r>
      <w:r>
        <w:rPr>
          <w:color w:val="auto"/>
          <w:highlight w:val="none"/>
        </w:rPr>
        <w:fldChar w:fldCharType="end"/>
      </w:r>
      <w:r>
        <w:rPr>
          <w:rFonts w:hAnsi="宋体"/>
          <w:color w:val="auto"/>
          <w:highlight w:val="none"/>
        </w:rPr>
        <w:fldChar w:fldCharType="end"/>
      </w:r>
    </w:p>
    <w:p w14:paraId="1BAAC95E">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_Toc24656 </w:instrText>
      </w:r>
      <w:r>
        <w:rPr>
          <w:rFonts w:hAnsi="宋体"/>
          <w:color w:val="auto"/>
          <w:highlight w:val="none"/>
        </w:rPr>
        <w:fldChar w:fldCharType="separate"/>
      </w:r>
      <w:r>
        <w:rPr>
          <w:rFonts w:hint="eastAsia" w:hAnsi="宋体"/>
          <w:color w:val="auto"/>
          <w:highlight w:val="none"/>
        </w:rPr>
        <w:t>6.招标文件的澄清与</w:t>
      </w:r>
      <w:r>
        <w:rPr>
          <w:rFonts w:hAnsi="宋体"/>
          <w:color w:val="auto"/>
          <w:highlight w:val="none"/>
        </w:rPr>
        <w:t>修改</w:t>
      </w:r>
      <w:r>
        <w:rPr>
          <w:color w:val="auto"/>
          <w:highlight w:val="none"/>
        </w:rPr>
        <w:tab/>
      </w:r>
      <w:r>
        <w:rPr>
          <w:color w:val="auto"/>
          <w:highlight w:val="none"/>
        </w:rPr>
        <w:fldChar w:fldCharType="begin"/>
      </w:r>
      <w:r>
        <w:rPr>
          <w:color w:val="auto"/>
          <w:highlight w:val="none"/>
        </w:rPr>
        <w:instrText xml:space="preserve"> PAGEREF _Toc24656 \h </w:instrText>
      </w:r>
      <w:r>
        <w:rPr>
          <w:color w:val="auto"/>
          <w:highlight w:val="none"/>
        </w:rPr>
        <w:fldChar w:fldCharType="separate"/>
      </w:r>
      <w:r>
        <w:rPr>
          <w:color w:val="auto"/>
          <w:highlight w:val="none"/>
        </w:rPr>
        <w:t>11</w:t>
      </w:r>
      <w:r>
        <w:rPr>
          <w:color w:val="auto"/>
          <w:highlight w:val="none"/>
        </w:rPr>
        <w:fldChar w:fldCharType="end"/>
      </w:r>
      <w:r>
        <w:rPr>
          <w:rFonts w:hAnsi="宋体"/>
          <w:color w:val="auto"/>
          <w:highlight w:val="none"/>
        </w:rPr>
        <w:fldChar w:fldCharType="end"/>
      </w:r>
    </w:p>
    <w:p w14:paraId="40B73381">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_Toc24680 </w:instrText>
      </w:r>
      <w:r>
        <w:rPr>
          <w:rFonts w:hAnsi="宋体"/>
          <w:color w:val="auto"/>
          <w:highlight w:val="none"/>
        </w:rPr>
        <w:fldChar w:fldCharType="separate"/>
      </w:r>
      <w:r>
        <w:rPr>
          <w:rFonts w:hint="eastAsia" w:hAnsi="宋体"/>
          <w:color w:val="auto"/>
          <w:highlight w:val="none"/>
        </w:rPr>
        <w:t>7.投标截止</w:t>
      </w:r>
      <w:r>
        <w:rPr>
          <w:rFonts w:hAnsi="宋体"/>
          <w:color w:val="auto"/>
          <w:highlight w:val="none"/>
        </w:rPr>
        <w:t>时间的顺延</w:t>
      </w:r>
      <w:r>
        <w:rPr>
          <w:color w:val="auto"/>
          <w:highlight w:val="none"/>
        </w:rPr>
        <w:tab/>
      </w:r>
      <w:r>
        <w:rPr>
          <w:color w:val="auto"/>
          <w:highlight w:val="none"/>
        </w:rPr>
        <w:fldChar w:fldCharType="begin"/>
      </w:r>
      <w:r>
        <w:rPr>
          <w:color w:val="auto"/>
          <w:highlight w:val="none"/>
        </w:rPr>
        <w:instrText xml:space="preserve"> PAGEREF _Toc24680 \h </w:instrText>
      </w:r>
      <w:r>
        <w:rPr>
          <w:color w:val="auto"/>
          <w:highlight w:val="none"/>
        </w:rPr>
        <w:fldChar w:fldCharType="separate"/>
      </w:r>
      <w:r>
        <w:rPr>
          <w:color w:val="auto"/>
          <w:highlight w:val="none"/>
        </w:rPr>
        <w:t>11</w:t>
      </w:r>
      <w:r>
        <w:rPr>
          <w:color w:val="auto"/>
          <w:highlight w:val="none"/>
        </w:rPr>
        <w:fldChar w:fldCharType="end"/>
      </w:r>
      <w:r>
        <w:rPr>
          <w:rFonts w:hAnsi="宋体"/>
          <w:color w:val="auto"/>
          <w:highlight w:val="none"/>
        </w:rPr>
        <w:fldChar w:fldCharType="end"/>
      </w:r>
    </w:p>
    <w:p w14:paraId="0C0D5990">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_Toc24230 </w:instrText>
      </w:r>
      <w:r>
        <w:rPr>
          <w:rFonts w:hAnsi="宋体"/>
          <w:color w:val="auto"/>
          <w:highlight w:val="none"/>
        </w:rPr>
        <w:fldChar w:fldCharType="separate"/>
      </w:r>
      <w:r>
        <w:rPr>
          <w:rFonts w:hint="eastAsia" w:ascii="宋体" w:hAnsi="宋体"/>
          <w:color w:val="auto"/>
          <w:highlight w:val="none"/>
        </w:rPr>
        <w:t>三</w:t>
      </w:r>
      <w:r>
        <w:rPr>
          <w:rFonts w:hint="eastAsia" w:ascii="宋体" w:hAnsi="宋体"/>
          <w:color w:val="auto"/>
          <w:highlight w:val="none"/>
          <w:lang w:eastAsia="zh-CN"/>
        </w:rPr>
        <w:t>、</w:t>
      </w:r>
      <w:r>
        <w:rPr>
          <w:rFonts w:hint="eastAsia" w:ascii="宋体" w:hAnsi="宋体"/>
          <w:color w:val="auto"/>
          <w:highlight w:val="none"/>
        </w:rPr>
        <w:t>投标文件的编制</w:t>
      </w:r>
      <w:r>
        <w:rPr>
          <w:color w:val="auto"/>
          <w:highlight w:val="none"/>
        </w:rPr>
        <w:tab/>
      </w:r>
      <w:r>
        <w:rPr>
          <w:color w:val="auto"/>
          <w:highlight w:val="none"/>
        </w:rPr>
        <w:fldChar w:fldCharType="begin"/>
      </w:r>
      <w:r>
        <w:rPr>
          <w:color w:val="auto"/>
          <w:highlight w:val="none"/>
        </w:rPr>
        <w:instrText xml:space="preserve"> PAGEREF _Toc24230 \h </w:instrText>
      </w:r>
      <w:r>
        <w:rPr>
          <w:color w:val="auto"/>
          <w:highlight w:val="none"/>
        </w:rPr>
        <w:fldChar w:fldCharType="separate"/>
      </w:r>
      <w:r>
        <w:rPr>
          <w:color w:val="auto"/>
          <w:highlight w:val="none"/>
        </w:rPr>
        <w:t>11</w:t>
      </w:r>
      <w:r>
        <w:rPr>
          <w:color w:val="auto"/>
          <w:highlight w:val="none"/>
        </w:rPr>
        <w:fldChar w:fldCharType="end"/>
      </w:r>
      <w:r>
        <w:rPr>
          <w:rFonts w:hAnsi="宋体"/>
          <w:color w:val="auto"/>
          <w:highlight w:val="none"/>
        </w:rPr>
        <w:fldChar w:fldCharType="end"/>
      </w:r>
    </w:p>
    <w:p w14:paraId="69F721D0">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_Toc16140 </w:instrText>
      </w:r>
      <w:r>
        <w:rPr>
          <w:rFonts w:hAnsi="宋体"/>
          <w:color w:val="auto"/>
          <w:highlight w:val="none"/>
        </w:rPr>
        <w:fldChar w:fldCharType="separate"/>
      </w:r>
      <w:r>
        <w:rPr>
          <w:rFonts w:hint="eastAsia" w:hAnsi="宋体"/>
          <w:color w:val="auto"/>
          <w:highlight w:val="none"/>
        </w:rPr>
        <w:t>8</w:t>
      </w:r>
      <w:r>
        <w:rPr>
          <w:rFonts w:hAnsi="宋体"/>
          <w:color w:val="auto"/>
          <w:highlight w:val="none"/>
        </w:rPr>
        <w:t>.</w:t>
      </w:r>
      <w:r>
        <w:rPr>
          <w:rFonts w:hint="eastAsia" w:hAnsi="宋体"/>
          <w:color w:val="auto"/>
          <w:highlight w:val="none"/>
        </w:rPr>
        <w:t xml:space="preserve"> 编制要求</w:t>
      </w:r>
      <w:r>
        <w:rPr>
          <w:color w:val="auto"/>
          <w:highlight w:val="none"/>
        </w:rPr>
        <w:tab/>
      </w:r>
      <w:r>
        <w:rPr>
          <w:color w:val="auto"/>
          <w:highlight w:val="none"/>
        </w:rPr>
        <w:fldChar w:fldCharType="begin"/>
      </w:r>
      <w:r>
        <w:rPr>
          <w:color w:val="auto"/>
          <w:highlight w:val="none"/>
        </w:rPr>
        <w:instrText xml:space="preserve"> PAGEREF _Toc16140 \h </w:instrText>
      </w:r>
      <w:r>
        <w:rPr>
          <w:color w:val="auto"/>
          <w:highlight w:val="none"/>
        </w:rPr>
        <w:fldChar w:fldCharType="separate"/>
      </w:r>
      <w:r>
        <w:rPr>
          <w:color w:val="auto"/>
          <w:highlight w:val="none"/>
        </w:rPr>
        <w:t>11</w:t>
      </w:r>
      <w:r>
        <w:rPr>
          <w:color w:val="auto"/>
          <w:highlight w:val="none"/>
        </w:rPr>
        <w:fldChar w:fldCharType="end"/>
      </w:r>
      <w:r>
        <w:rPr>
          <w:rFonts w:hAnsi="宋体"/>
          <w:color w:val="auto"/>
          <w:highlight w:val="none"/>
        </w:rPr>
        <w:fldChar w:fldCharType="end"/>
      </w:r>
    </w:p>
    <w:p w14:paraId="237F46DB">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_Toc18543 </w:instrText>
      </w:r>
      <w:r>
        <w:rPr>
          <w:rFonts w:hAnsi="宋体"/>
          <w:color w:val="auto"/>
          <w:highlight w:val="none"/>
        </w:rPr>
        <w:fldChar w:fldCharType="separate"/>
      </w:r>
      <w:r>
        <w:rPr>
          <w:rFonts w:hint="eastAsia" w:hAnsi="宋体"/>
          <w:color w:val="auto"/>
          <w:highlight w:val="none"/>
        </w:rPr>
        <w:t>9.投标范围及投标文件中标准和计量单位的使用</w:t>
      </w:r>
      <w:r>
        <w:rPr>
          <w:color w:val="auto"/>
          <w:highlight w:val="none"/>
        </w:rPr>
        <w:tab/>
      </w:r>
      <w:r>
        <w:rPr>
          <w:color w:val="auto"/>
          <w:highlight w:val="none"/>
        </w:rPr>
        <w:fldChar w:fldCharType="begin"/>
      </w:r>
      <w:r>
        <w:rPr>
          <w:color w:val="auto"/>
          <w:highlight w:val="none"/>
        </w:rPr>
        <w:instrText xml:space="preserve"> PAGEREF _Toc18543 \h </w:instrText>
      </w:r>
      <w:r>
        <w:rPr>
          <w:color w:val="auto"/>
          <w:highlight w:val="none"/>
        </w:rPr>
        <w:fldChar w:fldCharType="separate"/>
      </w:r>
      <w:r>
        <w:rPr>
          <w:color w:val="auto"/>
          <w:highlight w:val="none"/>
        </w:rPr>
        <w:t>12</w:t>
      </w:r>
      <w:r>
        <w:rPr>
          <w:color w:val="auto"/>
          <w:highlight w:val="none"/>
        </w:rPr>
        <w:fldChar w:fldCharType="end"/>
      </w:r>
      <w:r>
        <w:rPr>
          <w:rFonts w:hAnsi="宋体"/>
          <w:color w:val="auto"/>
          <w:highlight w:val="none"/>
        </w:rPr>
        <w:fldChar w:fldCharType="end"/>
      </w:r>
    </w:p>
    <w:p w14:paraId="044A8E63">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_Toc14518 </w:instrText>
      </w:r>
      <w:r>
        <w:rPr>
          <w:rFonts w:hAnsi="宋体"/>
          <w:color w:val="auto"/>
          <w:highlight w:val="none"/>
        </w:rPr>
        <w:fldChar w:fldCharType="separate"/>
      </w:r>
      <w:r>
        <w:rPr>
          <w:rFonts w:hint="eastAsia" w:hAnsi="宋体"/>
          <w:color w:val="auto"/>
          <w:highlight w:val="none"/>
        </w:rPr>
        <w:t>10</w:t>
      </w:r>
      <w:r>
        <w:rPr>
          <w:rFonts w:hAnsi="宋体"/>
          <w:color w:val="auto"/>
          <w:highlight w:val="none"/>
        </w:rPr>
        <w:t>.</w:t>
      </w:r>
      <w:r>
        <w:rPr>
          <w:rFonts w:hint="eastAsia" w:hAnsi="宋体"/>
          <w:color w:val="auto"/>
          <w:highlight w:val="none"/>
        </w:rPr>
        <w:t>投标文件构成</w:t>
      </w:r>
      <w:r>
        <w:rPr>
          <w:color w:val="auto"/>
          <w:highlight w:val="none"/>
        </w:rPr>
        <w:tab/>
      </w:r>
      <w:r>
        <w:rPr>
          <w:color w:val="auto"/>
          <w:highlight w:val="none"/>
        </w:rPr>
        <w:fldChar w:fldCharType="begin"/>
      </w:r>
      <w:r>
        <w:rPr>
          <w:color w:val="auto"/>
          <w:highlight w:val="none"/>
        </w:rPr>
        <w:instrText xml:space="preserve"> PAGEREF _Toc14518 \h </w:instrText>
      </w:r>
      <w:r>
        <w:rPr>
          <w:color w:val="auto"/>
          <w:highlight w:val="none"/>
        </w:rPr>
        <w:fldChar w:fldCharType="separate"/>
      </w:r>
      <w:r>
        <w:rPr>
          <w:color w:val="auto"/>
          <w:highlight w:val="none"/>
        </w:rPr>
        <w:t>12</w:t>
      </w:r>
      <w:r>
        <w:rPr>
          <w:color w:val="auto"/>
          <w:highlight w:val="none"/>
        </w:rPr>
        <w:fldChar w:fldCharType="end"/>
      </w:r>
      <w:r>
        <w:rPr>
          <w:rFonts w:hAnsi="宋体"/>
          <w:color w:val="auto"/>
          <w:highlight w:val="none"/>
        </w:rPr>
        <w:fldChar w:fldCharType="end"/>
      </w:r>
    </w:p>
    <w:p w14:paraId="55A85586">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_Toc24063 </w:instrText>
      </w:r>
      <w:r>
        <w:rPr>
          <w:rFonts w:hAnsi="宋体"/>
          <w:color w:val="auto"/>
          <w:highlight w:val="none"/>
        </w:rPr>
        <w:fldChar w:fldCharType="separate"/>
      </w:r>
      <w:r>
        <w:rPr>
          <w:rFonts w:hAnsi="宋体"/>
          <w:color w:val="auto"/>
          <w:highlight w:val="none"/>
        </w:rPr>
        <w:t>1</w:t>
      </w:r>
      <w:r>
        <w:rPr>
          <w:rFonts w:hint="eastAsia" w:hAnsi="宋体"/>
          <w:color w:val="auto"/>
          <w:highlight w:val="none"/>
        </w:rPr>
        <w:t>1.投标报价</w:t>
      </w:r>
      <w:r>
        <w:rPr>
          <w:color w:val="auto"/>
          <w:highlight w:val="none"/>
        </w:rPr>
        <w:tab/>
      </w:r>
      <w:r>
        <w:rPr>
          <w:color w:val="auto"/>
          <w:highlight w:val="none"/>
        </w:rPr>
        <w:fldChar w:fldCharType="begin"/>
      </w:r>
      <w:r>
        <w:rPr>
          <w:color w:val="auto"/>
          <w:highlight w:val="none"/>
        </w:rPr>
        <w:instrText xml:space="preserve"> PAGEREF _Toc24063 \h </w:instrText>
      </w:r>
      <w:r>
        <w:rPr>
          <w:color w:val="auto"/>
          <w:highlight w:val="none"/>
        </w:rPr>
        <w:fldChar w:fldCharType="separate"/>
      </w:r>
      <w:r>
        <w:rPr>
          <w:color w:val="auto"/>
          <w:highlight w:val="none"/>
        </w:rPr>
        <w:t>13</w:t>
      </w:r>
      <w:r>
        <w:rPr>
          <w:color w:val="auto"/>
          <w:highlight w:val="none"/>
        </w:rPr>
        <w:fldChar w:fldCharType="end"/>
      </w:r>
      <w:r>
        <w:rPr>
          <w:rFonts w:hAnsi="宋体"/>
          <w:color w:val="auto"/>
          <w:highlight w:val="none"/>
        </w:rPr>
        <w:fldChar w:fldCharType="end"/>
      </w:r>
    </w:p>
    <w:p w14:paraId="4F780C9B">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_Toc31095 </w:instrText>
      </w:r>
      <w:r>
        <w:rPr>
          <w:rFonts w:hAnsi="宋体"/>
          <w:color w:val="auto"/>
          <w:highlight w:val="none"/>
        </w:rPr>
        <w:fldChar w:fldCharType="separate"/>
      </w:r>
      <w:r>
        <w:rPr>
          <w:rFonts w:hAnsi="宋体"/>
          <w:color w:val="auto"/>
          <w:highlight w:val="none"/>
        </w:rPr>
        <w:t>1</w:t>
      </w:r>
      <w:r>
        <w:rPr>
          <w:rFonts w:hint="eastAsia" w:hAnsi="宋体"/>
          <w:color w:val="auto"/>
          <w:highlight w:val="none"/>
        </w:rPr>
        <w:t>2.投标保证金</w:t>
      </w:r>
      <w:r>
        <w:rPr>
          <w:color w:val="auto"/>
          <w:highlight w:val="none"/>
        </w:rPr>
        <w:tab/>
      </w:r>
      <w:r>
        <w:rPr>
          <w:color w:val="auto"/>
          <w:highlight w:val="none"/>
        </w:rPr>
        <w:fldChar w:fldCharType="begin"/>
      </w:r>
      <w:r>
        <w:rPr>
          <w:color w:val="auto"/>
          <w:highlight w:val="none"/>
        </w:rPr>
        <w:instrText xml:space="preserve"> PAGEREF _Toc31095 \h </w:instrText>
      </w:r>
      <w:r>
        <w:rPr>
          <w:color w:val="auto"/>
          <w:highlight w:val="none"/>
        </w:rPr>
        <w:fldChar w:fldCharType="separate"/>
      </w:r>
      <w:r>
        <w:rPr>
          <w:color w:val="auto"/>
          <w:highlight w:val="none"/>
        </w:rPr>
        <w:t>14</w:t>
      </w:r>
      <w:r>
        <w:rPr>
          <w:color w:val="auto"/>
          <w:highlight w:val="none"/>
        </w:rPr>
        <w:fldChar w:fldCharType="end"/>
      </w:r>
      <w:r>
        <w:rPr>
          <w:rFonts w:hAnsi="宋体"/>
          <w:color w:val="auto"/>
          <w:highlight w:val="none"/>
        </w:rPr>
        <w:fldChar w:fldCharType="end"/>
      </w:r>
    </w:p>
    <w:p w14:paraId="508F0159">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_Toc31755 </w:instrText>
      </w:r>
      <w:r>
        <w:rPr>
          <w:rFonts w:hAnsi="宋体"/>
          <w:color w:val="auto"/>
          <w:highlight w:val="none"/>
        </w:rPr>
        <w:fldChar w:fldCharType="separate"/>
      </w:r>
      <w:r>
        <w:rPr>
          <w:rFonts w:hint="eastAsia" w:hAnsi="宋体"/>
          <w:color w:val="auto"/>
          <w:highlight w:val="none"/>
        </w:rPr>
        <w:t>13.投标有效期</w:t>
      </w:r>
      <w:r>
        <w:rPr>
          <w:color w:val="auto"/>
          <w:highlight w:val="none"/>
        </w:rPr>
        <w:tab/>
      </w:r>
      <w:r>
        <w:rPr>
          <w:color w:val="auto"/>
          <w:highlight w:val="none"/>
        </w:rPr>
        <w:fldChar w:fldCharType="begin"/>
      </w:r>
      <w:r>
        <w:rPr>
          <w:color w:val="auto"/>
          <w:highlight w:val="none"/>
        </w:rPr>
        <w:instrText xml:space="preserve"> PAGEREF _Toc31755 \h </w:instrText>
      </w:r>
      <w:r>
        <w:rPr>
          <w:color w:val="auto"/>
          <w:highlight w:val="none"/>
        </w:rPr>
        <w:fldChar w:fldCharType="separate"/>
      </w:r>
      <w:r>
        <w:rPr>
          <w:color w:val="auto"/>
          <w:highlight w:val="none"/>
        </w:rPr>
        <w:t>14</w:t>
      </w:r>
      <w:r>
        <w:rPr>
          <w:color w:val="auto"/>
          <w:highlight w:val="none"/>
        </w:rPr>
        <w:fldChar w:fldCharType="end"/>
      </w:r>
      <w:r>
        <w:rPr>
          <w:rFonts w:hAnsi="宋体"/>
          <w:color w:val="auto"/>
          <w:highlight w:val="none"/>
        </w:rPr>
        <w:fldChar w:fldCharType="end"/>
      </w:r>
    </w:p>
    <w:p w14:paraId="011B1361">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_Toc20614 </w:instrText>
      </w:r>
      <w:r>
        <w:rPr>
          <w:rFonts w:hAnsi="宋体"/>
          <w:color w:val="auto"/>
          <w:highlight w:val="none"/>
        </w:rPr>
        <w:fldChar w:fldCharType="separate"/>
      </w:r>
      <w:r>
        <w:rPr>
          <w:rFonts w:hint="eastAsia" w:hAnsi="宋体"/>
          <w:color w:val="auto"/>
          <w:highlight w:val="none"/>
        </w:rPr>
        <w:t>14. 投标文件的签署及规定</w:t>
      </w:r>
      <w:r>
        <w:rPr>
          <w:color w:val="auto"/>
          <w:highlight w:val="none"/>
        </w:rPr>
        <w:tab/>
      </w:r>
      <w:r>
        <w:rPr>
          <w:color w:val="auto"/>
          <w:highlight w:val="none"/>
        </w:rPr>
        <w:fldChar w:fldCharType="begin"/>
      </w:r>
      <w:r>
        <w:rPr>
          <w:color w:val="auto"/>
          <w:highlight w:val="none"/>
        </w:rPr>
        <w:instrText xml:space="preserve"> PAGEREF _Toc20614 \h </w:instrText>
      </w:r>
      <w:r>
        <w:rPr>
          <w:color w:val="auto"/>
          <w:highlight w:val="none"/>
        </w:rPr>
        <w:fldChar w:fldCharType="separate"/>
      </w:r>
      <w:r>
        <w:rPr>
          <w:color w:val="auto"/>
          <w:highlight w:val="none"/>
        </w:rPr>
        <w:t>14</w:t>
      </w:r>
      <w:r>
        <w:rPr>
          <w:color w:val="auto"/>
          <w:highlight w:val="none"/>
        </w:rPr>
        <w:fldChar w:fldCharType="end"/>
      </w:r>
      <w:r>
        <w:rPr>
          <w:rFonts w:hAnsi="宋体"/>
          <w:color w:val="auto"/>
          <w:highlight w:val="none"/>
        </w:rPr>
        <w:fldChar w:fldCharType="end"/>
      </w:r>
    </w:p>
    <w:p w14:paraId="7A768C19">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_Toc27867 </w:instrText>
      </w:r>
      <w:r>
        <w:rPr>
          <w:rFonts w:hAnsi="宋体"/>
          <w:color w:val="auto"/>
          <w:highlight w:val="none"/>
        </w:rPr>
        <w:fldChar w:fldCharType="separate"/>
      </w:r>
      <w:r>
        <w:rPr>
          <w:rFonts w:hint="eastAsia" w:ascii="宋体" w:hAnsi="宋体"/>
          <w:color w:val="auto"/>
          <w:highlight w:val="none"/>
        </w:rPr>
        <w:t>四</w:t>
      </w:r>
      <w:r>
        <w:rPr>
          <w:rFonts w:hint="eastAsia" w:ascii="宋体" w:hAnsi="宋体"/>
          <w:color w:val="auto"/>
          <w:highlight w:val="none"/>
          <w:lang w:eastAsia="zh-CN"/>
        </w:rPr>
        <w:t>、</w:t>
      </w:r>
      <w:r>
        <w:rPr>
          <w:rFonts w:hint="eastAsia" w:ascii="宋体" w:hAnsi="宋体"/>
          <w:color w:val="auto"/>
          <w:highlight w:val="none"/>
        </w:rPr>
        <w:t>投标文件的递交</w:t>
      </w:r>
      <w:r>
        <w:rPr>
          <w:color w:val="auto"/>
          <w:highlight w:val="none"/>
        </w:rPr>
        <w:tab/>
      </w:r>
      <w:r>
        <w:rPr>
          <w:color w:val="auto"/>
          <w:highlight w:val="none"/>
        </w:rPr>
        <w:fldChar w:fldCharType="begin"/>
      </w:r>
      <w:r>
        <w:rPr>
          <w:color w:val="auto"/>
          <w:highlight w:val="none"/>
        </w:rPr>
        <w:instrText xml:space="preserve"> PAGEREF _Toc27867 \h </w:instrText>
      </w:r>
      <w:r>
        <w:rPr>
          <w:color w:val="auto"/>
          <w:highlight w:val="none"/>
        </w:rPr>
        <w:fldChar w:fldCharType="separate"/>
      </w:r>
      <w:r>
        <w:rPr>
          <w:color w:val="auto"/>
          <w:highlight w:val="none"/>
        </w:rPr>
        <w:t>15</w:t>
      </w:r>
      <w:r>
        <w:rPr>
          <w:color w:val="auto"/>
          <w:highlight w:val="none"/>
        </w:rPr>
        <w:fldChar w:fldCharType="end"/>
      </w:r>
      <w:r>
        <w:rPr>
          <w:rFonts w:hAnsi="宋体"/>
          <w:color w:val="auto"/>
          <w:highlight w:val="none"/>
        </w:rPr>
        <w:fldChar w:fldCharType="end"/>
      </w:r>
    </w:p>
    <w:p w14:paraId="206A040C">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_Toc32573 </w:instrText>
      </w:r>
      <w:r>
        <w:rPr>
          <w:rFonts w:hAnsi="宋体"/>
          <w:color w:val="auto"/>
          <w:highlight w:val="none"/>
        </w:rPr>
        <w:fldChar w:fldCharType="separate"/>
      </w:r>
      <w:r>
        <w:rPr>
          <w:rFonts w:hint="eastAsia" w:hAnsi="宋体"/>
          <w:color w:val="auto"/>
          <w:highlight w:val="none"/>
        </w:rPr>
        <w:t>15.投标文件的递交</w:t>
      </w:r>
      <w:r>
        <w:rPr>
          <w:color w:val="auto"/>
          <w:highlight w:val="none"/>
        </w:rPr>
        <w:tab/>
      </w:r>
      <w:r>
        <w:rPr>
          <w:color w:val="auto"/>
          <w:highlight w:val="none"/>
        </w:rPr>
        <w:fldChar w:fldCharType="begin"/>
      </w:r>
      <w:r>
        <w:rPr>
          <w:color w:val="auto"/>
          <w:highlight w:val="none"/>
        </w:rPr>
        <w:instrText xml:space="preserve"> PAGEREF _Toc32573 \h </w:instrText>
      </w:r>
      <w:r>
        <w:rPr>
          <w:color w:val="auto"/>
          <w:highlight w:val="none"/>
        </w:rPr>
        <w:fldChar w:fldCharType="separate"/>
      </w:r>
      <w:r>
        <w:rPr>
          <w:color w:val="auto"/>
          <w:highlight w:val="none"/>
        </w:rPr>
        <w:t>15</w:t>
      </w:r>
      <w:r>
        <w:rPr>
          <w:color w:val="auto"/>
          <w:highlight w:val="none"/>
        </w:rPr>
        <w:fldChar w:fldCharType="end"/>
      </w:r>
      <w:r>
        <w:rPr>
          <w:rFonts w:hAnsi="宋体"/>
          <w:color w:val="auto"/>
          <w:highlight w:val="none"/>
        </w:rPr>
        <w:fldChar w:fldCharType="end"/>
      </w:r>
    </w:p>
    <w:p w14:paraId="182546D8">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_Toc13287 </w:instrText>
      </w:r>
      <w:r>
        <w:rPr>
          <w:rFonts w:hAnsi="宋体"/>
          <w:color w:val="auto"/>
          <w:highlight w:val="none"/>
        </w:rPr>
        <w:fldChar w:fldCharType="separate"/>
      </w:r>
      <w:r>
        <w:rPr>
          <w:rFonts w:hint="eastAsia" w:hAnsi="宋体"/>
          <w:color w:val="auto"/>
          <w:highlight w:val="none"/>
        </w:rPr>
        <w:t>16. 递交投标文件的截止时间</w:t>
      </w:r>
      <w:r>
        <w:rPr>
          <w:color w:val="auto"/>
          <w:highlight w:val="none"/>
        </w:rPr>
        <w:tab/>
      </w:r>
      <w:r>
        <w:rPr>
          <w:color w:val="auto"/>
          <w:highlight w:val="none"/>
        </w:rPr>
        <w:fldChar w:fldCharType="begin"/>
      </w:r>
      <w:r>
        <w:rPr>
          <w:color w:val="auto"/>
          <w:highlight w:val="none"/>
        </w:rPr>
        <w:instrText xml:space="preserve"> PAGEREF _Toc13287 \h </w:instrText>
      </w:r>
      <w:r>
        <w:rPr>
          <w:color w:val="auto"/>
          <w:highlight w:val="none"/>
        </w:rPr>
        <w:fldChar w:fldCharType="separate"/>
      </w:r>
      <w:r>
        <w:rPr>
          <w:color w:val="auto"/>
          <w:highlight w:val="none"/>
        </w:rPr>
        <w:t>16</w:t>
      </w:r>
      <w:r>
        <w:rPr>
          <w:color w:val="auto"/>
          <w:highlight w:val="none"/>
        </w:rPr>
        <w:fldChar w:fldCharType="end"/>
      </w:r>
      <w:r>
        <w:rPr>
          <w:rFonts w:hAnsi="宋体"/>
          <w:color w:val="auto"/>
          <w:highlight w:val="none"/>
        </w:rPr>
        <w:fldChar w:fldCharType="end"/>
      </w:r>
    </w:p>
    <w:p w14:paraId="4A0F7059">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_Toc11431 </w:instrText>
      </w:r>
      <w:r>
        <w:rPr>
          <w:rFonts w:hAnsi="宋体"/>
          <w:color w:val="auto"/>
          <w:highlight w:val="none"/>
        </w:rPr>
        <w:fldChar w:fldCharType="separate"/>
      </w:r>
      <w:r>
        <w:rPr>
          <w:rFonts w:hint="eastAsia" w:hAnsi="宋体"/>
          <w:color w:val="auto"/>
          <w:highlight w:val="none"/>
        </w:rPr>
        <w:t>17.投标文件的接收、修改与撤回</w:t>
      </w:r>
      <w:r>
        <w:rPr>
          <w:color w:val="auto"/>
          <w:highlight w:val="none"/>
        </w:rPr>
        <w:tab/>
      </w:r>
      <w:r>
        <w:rPr>
          <w:color w:val="auto"/>
          <w:highlight w:val="none"/>
        </w:rPr>
        <w:fldChar w:fldCharType="begin"/>
      </w:r>
      <w:r>
        <w:rPr>
          <w:color w:val="auto"/>
          <w:highlight w:val="none"/>
        </w:rPr>
        <w:instrText xml:space="preserve"> PAGEREF _Toc11431 \h </w:instrText>
      </w:r>
      <w:r>
        <w:rPr>
          <w:color w:val="auto"/>
          <w:highlight w:val="none"/>
        </w:rPr>
        <w:fldChar w:fldCharType="separate"/>
      </w:r>
      <w:r>
        <w:rPr>
          <w:color w:val="auto"/>
          <w:highlight w:val="none"/>
        </w:rPr>
        <w:t>16</w:t>
      </w:r>
      <w:r>
        <w:rPr>
          <w:color w:val="auto"/>
          <w:highlight w:val="none"/>
        </w:rPr>
        <w:fldChar w:fldCharType="end"/>
      </w:r>
      <w:r>
        <w:rPr>
          <w:rFonts w:hAnsi="宋体"/>
          <w:color w:val="auto"/>
          <w:highlight w:val="none"/>
        </w:rPr>
        <w:fldChar w:fldCharType="end"/>
      </w:r>
    </w:p>
    <w:p w14:paraId="760B8014">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_Toc12191 </w:instrText>
      </w:r>
      <w:r>
        <w:rPr>
          <w:rFonts w:hAnsi="宋体"/>
          <w:color w:val="auto"/>
          <w:highlight w:val="none"/>
        </w:rPr>
        <w:fldChar w:fldCharType="separate"/>
      </w:r>
      <w:r>
        <w:rPr>
          <w:rFonts w:hint="eastAsia" w:ascii="宋体" w:hAnsi="宋体"/>
          <w:color w:val="auto"/>
          <w:highlight w:val="none"/>
        </w:rPr>
        <w:t>五</w:t>
      </w:r>
      <w:r>
        <w:rPr>
          <w:rFonts w:hint="eastAsia" w:ascii="宋体" w:hAnsi="宋体"/>
          <w:color w:val="auto"/>
          <w:highlight w:val="none"/>
          <w:lang w:eastAsia="zh-CN"/>
        </w:rPr>
        <w:t>、</w:t>
      </w:r>
      <w:r>
        <w:rPr>
          <w:rFonts w:hint="eastAsia" w:ascii="宋体" w:hAnsi="宋体"/>
          <w:color w:val="auto"/>
          <w:highlight w:val="none"/>
        </w:rPr>
        <w:t>开标及评标</w:t>
      </w:r>
      <w:r>
        <w:rPr>
          <w:color w:val="auto"/>
          <w:highlight w:val="none"/>
        </w:rPr>
        <w:tab/>
      </w:r>
      <w:r>
        <w:rPr>
          <w:color w:val="auto"/>
          <w:highlight w:val="none"/>
        </w:rPr>
        <w:fldChar w:fldCharType="begin"/>
      </w:r>
      <w:r>
        <w:rPr>
          <w:color w:val="auto"/>
          <w:highlight w:val="none"/>
        </w:rPr>
        <w:instrText xml:space="preserve"> PAGEREF _Toc12191 \h </w:instrText>
      </w:r>
      <w:r>
        <w:rPr>
          <w:color w:val="auto"/>
          <w:highlight w:val="none"/>
        </w:rPr>
        <w:fldChar w:fldCharType="separate"/>
      </w:r>
      <w:r>
        <w:rPr>
          <w:color w:val="auto"/>
          <w:highlight w:val="none"/>
        </w:rPr>
        <w:t>16</w:t>
      </w:r>
      <w:r>
        <w:rPr>
          <w:color w:val="auto"/>
          <w:highlight w:val="none"/>
        </w:rPr>
        <w:fldChar w:fldCharType="end"/>
      </w:r>
      <w:r>
        <w:rPr>
          <w:rFonts w:hAnsi="宋体"/>
          <w:color w:val="auto"/>
          <w:highlight w:val="none"/>
        </w:rPr>
        <w:fldChar w:fldCharType="end"/>
      </w:r>
    </w:p>
    <w:p w14:paraId="2268EC1F">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_Toc2753 </w:instrText>
      </w:r>
      <w:r>
        <w:rPr>
          <w:rFonts w:hAnsi="宋体"/>
          <w:color w:val="auto"/>
          <w:highlight w:val="none"/>
        </w:rPr>
        <w:fldChar w:fldCharType="separate"/>
      </w:r>
      <w:r>
        <w:rPr>
          <w:rFonts w:hint="eastAsia" w:hAnsi="宋体"/>
          <w:color w:val="auto"/>
          <w:highlight w:val="none"/>
        </w:rPr>
        <w:t>18.开标</w:t>
      </w:r>
      <w:r>
        <w:rPr>
          <w:color w:val="auto"/>
          <w:highlight w:val="none"/>
        </w:rPr>
        <w:tab/>
      </w:r>
      <w:r>
        <w:rPr>
          <w:color w:val="auto"/>
          <w:highlight w:val="none"/>
        </w:rPr>
        <w:fldChar w:fldCharType="begin"/>
      </w:r>
      <w:r>
        <w:rPr>
          <w:color w:val="auto"/>
          <w:highlight w:val="none"/>
        </w:rPr>
        <w:instrText xml:space="preserve"> PAGEREF _Toc2753 \h </w:instrText>
      </w:r>
      <w:r>
        <w:rPr>
          <w:color w:val="auto"/>
          <w:highlight w:val="none"/>
        </w:rPr>
        <w:fldChar w:fldCharType="separate"/>
      </w:r>
      <w:r>
        <w:rPr>
          <w:color w:val="auto"/>
          <w:highlight w:val="none"/>
        </w:rPr>
        <w:t>16</w:t>
      </w:r>
      <w:r>
        <w:rPr>
          <w:color w:val="auto"/>
          <w:highlight w:val="none"/>
        </w:rPr>
        <w:fldChar w:fldCharType="end"/>
      </w:r>
      <w:r>
        <w:rPr>
          <w:rFonts w:hAnsi="宋体"/>
          <w:color w:val="auto"/>
          <w:highlight w:val="none"/>
        </w:rPr>
        <w:fldChar w:fldCharType="end"/>
      </w:r>
    </w:p>
    <w:p w14:paraId="05C63CD4">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_Toc2603 </w:instrText>
      </w:r>
      <w:r>
        <w:rPr>
          <w:rFonts w:hAnsi="宋体"/>
          <w:color w:val="auto"/>
          <w:highlight w:val="none"/>
        </w:rPr>
        <w:fldChar w:fldCharType="separate"/>
      </w:r>
      <w:r>
        <w:rPr>
          <w:rFonts w:hint="eastAsia" w:hAnsi="宋体"/>
          <w:color w:val="auto"/>
          <w:highlight w:val="none"/>
        </w:rPr>
        <w:t>19.资格审查</w:t>
      </w:r>
      <w:r>
        <w:rPr>
          <w:color w:val="auto"/>
          <w:highlight w:val="none"/>
        </w:rPr>
        <w:tab/>
      </w:r>
      <w:r>
        <w:rPr>
          <w:color w:val="auto"/>
          <w:highlight w:val="none"/>
        </w:rPr>
        <w:fldChar w:fldCharType="begin"/>
      </w:r>
      <w:r>
        <w:rPr>
          <w:color w:val="auto"/>
          <w:highlight w:val="none"/>
        </w:rPr>
        <w:instrText xml:space="preserve"> PAGEREF _Toc2603 \h </w:instrText>
      </w:r>
      <w:r>
        <w:rPr>
          <w:color w:val="auto"/>
          <w:highlight w:val="none"/>
        </w:rPr>
        <w:fldChar w:fldCharType="separate"/>
      </w:r>
      <w:r>
        <w:rPr>
          <w:color w:val="auto"/>
          <w:highlight w:val="none"/>
        </w:rPr>
        <w:t>17</w:t>
      </w:r>
      <w:r>
        <w:rPr>
          <w:color w:val="auto"/>
          <w:highlight w:val="none"/>
        </w:rPr>
        <w:fldChar w:fldCharType="end"/>
      </w:r>
      <w:r>
        <w:rPr>
          <w:rFonts w:hAnsi="宋体"/>
          <w:color w:val="auto"/>
          <w:highlight w:val="none"/>
        </w:rPr>
        <w:fldChar w:fldCharType="end"/>
      </w:r>
    </w:p>
    <w:p w14:paraId="452C274E">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_Toc25258 </w:instrText>
      </w:r>
      <w:r>
        <w:rPr>
          <w:rFonts w:hAnsi="宋体"/>
          <w:color w:val="auto"/>
          <w:highlight w:val="none"/>
        </w:rPr>
        <w:fldChar w:fldCharType="separate"/>
      </w:r>
      <w:r>
        <w:rPr>
          <w:rFonts w:hint="eastAsia" w:hAnsi="宋体"/>
          <w:color w:val="auto"/>
          <w:highlight w:val="none"/>
        </w:rPr>
        <w:t>20.组建评标委员会</w:t>
      </w:r>
      <w:r>
        <w:rPr>
          <w:color w:val="auto"/>
          <w:highlight w:val="none"/>
        </w:rPr>
        <w:tab/>
      </w:r>
      <w:r>
        <w:rPr>
          <w:color w:val="auto"/>
          <w:highlight w:val="none"/>
        </w:rPr>
        <w:fldChar w:fldCharType="begin"/>
      </w:r>
      <w:r>
        <w:rPr>
          <w:color w:val="auto"/>
          <w:highlight w:val="none"/>
        </w:rPr>
        <w:instrText xml:space="preserve"> PAGEREF _Toc25258 \h </w:instrText>
      </w:r>
      <w:r>
        <w:rPr>
          <w:color w:val="auto"/>
          <w:highlight w:val="none"/>
        </w:rPr>
        <w:fldChar w:fldCharType="separate"/>
      </w:r>
      <w:r>
        <w:rPr>
          <w:color w:val="auto"/>
          <w:highlight w:val="none"/>
        </w:rPr>
        <w:t>18</w:t>
      </w:r>
      <w:r>
        <w:rPr>
          <w:color w:val="auto"/>
          <w:highlight w:val="none"/>
        </w:rPr>
        <w:fldChar w:fldCharType="end"/>
      </w:r>
      <w:r>
        <w:rPr>
          <w:rFonts w:hAnsi="宋体"/>
          <w:color w:val="auto"/>
          <w:highlight w:val="none"/>
        </w:rPr>
        <w:fldChar w:fldCharType="end"/>
      </w:r>
    </w:p>
    <w:p w14:paraId="4030C138">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_Toc31075 </w:instrText>
      </w:r>
      <w:r>
        <w:rPr>
          <w:rFonts w:hAnsi="宋体"/>
          <w:color w:val="auto"/>
          <w:highlight w:val="none"/>
        </w:rPr>
        <w:fldChar w:fldCharType="separate"/>
      </w:r>
      <w:r>
        <w:rPr>
          <w:rFonts w:hint="eastAsia" w:hAnsi="宋体"/>
          <w:color w:val="auto"/>
          <w:highlight w:val="none"/>
        </w:rPr>
        <w:t>21.投标文件符合性审查与澄清</w:t>
      </w:r>
      <w:r>
        <w:rPr>
          <w:color w:val="auto"/>
          <w:highlight w:val="none"/>
        </w:rPr>
        <w:tab/>
      </w:r>
      <w:r>
        <w:rPr>
          <w:color w:val="auto"/>
          <w:highlight w:val="none"/>
        </w:rPr>
        <w:fldChar w:fldCharType="begin"/>
      </w:r>
      <w:r>
        <w:rPr>
          <w:color w:val="auto"/>
          <w:highlight w:val="none"/>
        </w:rPr>
        <w:instrText xml:space="preserve"> PAGEREF _Toc31075 \h </w:instrText>
      </w:r>
      <w:r>
        <w:rPr>
          <w:color w:val="auto"/>
          <w:highlight w:val="none"/>
        </w:rPr>
        <w:fldChar w:fldCharType="separate"/>
      </w:r>
      <w:r>
        <w:rPr>
          <w:color w:val="auto"/>
          <w:highlight w:val="none"/>
        </w:rPr>
        <w:t>19</w:t>
      </w:r>
      <w:r>
        <w:rPr>
          <w:color w:val="auto"/>
          <w:highlight w:val="none"/>
        </w:rPr>
        <w:fldChar w:fldCharType="end"/>
      </w:r>
      <w:r>
        <w:rPr>
          <w:rFonts w:hAnsi="宋体"/>
          <w:color w:val="auto"/>
          <w:highlight w:val="none"/>
        </w:rPr>
        <w:fldChar w:fldCharType="end"/>
      </w:r>
    </w:p>
    <w:p w14:paraId="469F2114">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_Toc10059 </w:instrText>
      </w:r>
      <w:r>
        <w:rPr>
          <w:rFonts w:hAnsi="宋体"/>
          <w:color w:val="auto"/>
          <w:highlight w:val="none"/>
        </w:rPr>
        <w:fldChar w:fldCharType="separate"/>
      </w:r>
      <w:r>
        <w:rPr>
          <w:rFonts w:hint="eastAsia" w:hAnsi="宋体"/>
          <w:color w:val="auto"/>
          <w:highlight w:val="none"/>
        </w:rPr>
        <w:t>22.投标偏离</w:t>
      </w:r>
      <w:r>
        <w:rPr>
          <w:color w:val="auto"/>
          <w:highlight w:val="none"/>
        </w:rPr>
        <w:tab/>
      </w:r>
      <w:r>
        <w:rPr>
          <w:color w:val="auto"/>
          <w:highlight w:val="none"/>
        </w:rPr>
        <w:fldChar w:fldCharType="begin"/>
      </w:r>
      <w:r>
        <w:rPr>
          <w:color w:val="auto"/>
          <w:highlight w:val="none"/>
        </w:rPr>
        <w:instrText xml:space="preserve"> PAGEREF _Toc10059 \h </w:instrText>
      </w:r>
      <w:r>
        <w:rPr>
          <w:color w:val="auto"/>
          <w:highlight w:val="none"/>
        </w:rPr>
        <w:fldChar w:fldCharType="separate"/>
      </w:r>
      <w:r>
        <w:rPr>
          <w:color w:val="auto"/>
          <w:highlight w:val="none"/>
        </w:rPr>
        <w:t>20</w:t>
      </w:r>
      <w:r>
        <w:rPr>
          <w:color w:val="auto"/>
          <w:highlight w:val="none"/>
        </w:rPr>
        <w:fldChar w:fldCharType="end"/>
      </w:r>
      <w:r>
        <w:rPr>
          <w:rFonts w:hAnsi="宋体"/>
          <w:color w:val="auto"/>
          <w:highlight w:val="none"/>
        </w:rPr>
        <w:fldChar w:fldCharType="end"/>
      </w:r>
    </w:p>
    <w:p w14:paraId="1D26532F">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_Toc3919 </w:instrText>
      </w:r>
      <w:r>
        <w:rPr>
          <w:rFonts w:hAnsi="宋体"/>
          <w:color w:val="auto"/>
          <w:highlight w:val="none"/>
        </w:rPr>
        <w:fldChar w:fldCharType="separate"/>
      </w:r>
      <w:r>
        <w:rPr>
          <w:rFonts w:hint="eastAsia" w:hAnsi="宋体"/>
          <w:color w:val="auto"/>
          <w:highlight w:val="none"/>
        </w:rPr>
        <w:t>23.投标无效</w:t>
      </w:r>
      <w:r>
        <w:rPr>
          <w:color w:val="auto"/>
          <w:highlight w:val="none"/>
        </w:rPr>
        <w:tab/>
      </w:r>
      <w:r>
        <w:rPr>
          <w:color w:val="auto"/>
          <w:highlight w:val="none"/>
        </w:rPr>
        <w:fldChar w:fldCharType="begin"/>
      </w:r>
      <w:r>
        <w:rPr>
          <w:color w:val="auto"/>
          <w:highlight w:val="none"/>
        </w:rPr>
        <w:instrText xml:space="preserve"> PAGEREF _Toc3919 \h </w:instrText>
      </w:r>
      <w:r>
        <w:rPr>
          <w:color w:val="auto"/>
          <w:highlight w:val="none"/>
        </w:rPr>
        <w:fldChar w:fldCharType="separate"/>
      </w:r>
      <w:r>
        <w:rPr>
          <w:color w:val="auto"/>
          <w:highlight w:val="none"/>
        </w:rPr>
        <w:t>20</w:t>
      </w:r>
      <w:r>
        <w:rPr>
          <w:color w:val="auto"/>
          <w:highlight w:val="none"/>
        </w:rPr>
        <w:fldChar w:fldCharType="end"/>
      </w:r>
      <w:r>
        <w:rPr>
          <w:rFonts w:hAnsi="宋体"/>
          <w:color w:val="auto"/>
          <w:highlight w:val="none"/>
        </w:rPr>
        <w:fldChar w:fldCharType="end"/>
      </w:r>
    </w:p>
    <w:p w14:paraId="5889629C">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_Toc27196 </w:instrText>
      </w:r>
      <w:r>
        <w:rPr>
          <w:rFonts w:hAnsi="宋体"/>
          <w:color w:val="auto"/>
          <w:highlight w:val="none"/>
        </w:rPr>
        <w:fldChar w:fldCharType="separate"/>
      </w:r>
      <w:r>
        <w:rPr>
          <w:rFonts w:hAnsi="宋体"/>
          <w:color w:val="auto"/>
          <w:highlight w:val="none"/>
        </w:rPr>
        <w:t>2</w:t>
      </w:r>
      <w:r>
        <w:rPr>
          <w:rFonts w:hint="eastAsia" w:hAnsi="宋体"/>
          <w:color w:val="auto"/>
          <w:highlight w:val="none"/>
        </w:rPr>
        <w:t>4.比较和评价</w:t>
      </w:r>
      <w:r>
        <w:rPr>
          <w:color w:val="auto"/>
          <w:highlight w:val="none"/>
        </w:rPr>
        <w:tab/>
      </w:r>
      <w:r>
        <w:rPr>
          <w:color w:val="auto"/>
          <w:highlight w:val="none"/>
        </w:rPr>
        <w:fldChar w:fldCharType="begin"/>
      </w:r>
      <w:r>
        <w:rPr>
          <w:color w:val="auto"/>
          <w:highlight w:val="none"/>
        </w:rPr>
        <w:instrText xml:space="preserve"> PAGEREF _Toc27196 \h </w:instrText>
      </w:r>
      <w:r>
        <w:rPr>
          <w:color w:val="auto"/>
          <w:highlight w:val="none"/>
        </w:rPr>
        <w:fldChar w:fldCharType="separate"/>
      </w:r>
      <w:r>
        <w:rPr>
          <w:color w:val="auto"/>
          <w:highlight w:val="none"/>
        </w:rPr>
        <w:t>21</w:t>
      </w:r>
      <w:r>
        <w:rPr>
          <w:color w:val="auto"/>
          <w:highlight w:val="none"/>
        </w:rPr>
        <w:fldChar w:fldCharType="end"/>
      </w:r>
      <w:r>
        <w:rPr>
          <w:rFonts w:hAnsi="宋体"/>
          <w:color w:val="auto"/>
          <w:highlight w:val="none"/>
        </w:rPr>
        <w:fldChar w:fldCharType="end"/>
      </w:r>
    </w:p>
    <w:p w14:paraId="364362A6">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_Toc10229 </w:instrText>
      </w:r>
      <w:r>
        <w:rPr>
          <w:rFonts w:hAnsi="宋体"/>
          <w:color w:val="auto"/>
          <w:highlight w:val="none"/>
        </w:rPr>
        <w:fldChar w:fldCharType="separate"/>
      </w:r>
      <w:r>
        <w:rPr>
          <w:rFonts w:hint="eastAsia" w:hAnsi="宋体"/>
          <w:color w:val="auto"/>
          <w:highlight w:val="none"/>
        </w:rPr>
        <w:t>25.废标</w:t>
      </w:r>
      <w:r>
        <w:rPr>
          <w:color w:val="auto"/>
          <w:highlight w:val="none"/>
        </w:rPr>
        <w:tab/>
      </w:r>
      <w:r>
        <w:rPr>
          <w:color w:val="auto"/>
          <w:highlight w:val="none"/>
        </w:rPr>
        <w:fldChar w:fldCharType="begin"/>
      </w:r>
      <w:r>
        <w:rPr>
          <w:color w:val="auto"/>
          <w:highlight w:val="none"/>
        </w:rPr>
        <w:instrText xml:space="preserve"> PAGEREF _Toc10229 \h </w:instrText>
      </w:r>
      <w:r>
        <w:rPr>
          <w:color w:val="auto"/>
          <w:highlight w:val="none"/>
        </w:rPr>
        <w:fldChar w:fldCharType="separate"/>
      </w:r>
      <w:r>
        <w:rPr>
          <w:color w:val="auto"/>
          <w:highlight w:val="none"/>
        </w:rPr>
        <w:t>22</w:t>
      </w:r>
      <w:r>
        <w:rPr>
          <w:color w:val="auto"/>
          <w:highlight w:val="none"/>
        </w:rPr>
        <w:fldChar w:fldCharType="end"/>
      </w:r>
      <w:r>
        <w:rPr>
          <w:rFonts w:hAnsi="宋体"/>
          <w:color w:val="auto"/>
          <w:highlight w:val="none"/>
        </w:rPr>
        <w:fldChar w:fldCharType="end"/>
      </w:r>
    </w:p>
    <w:p w14:paraId="36D5DEAA">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_Toc11516 </w:instrText>
      </w:r>
      <w:r>
        <w:rPr>
          <w:rFonts w:hAnsi="宋体"/>
          <w:color w:val="auto"/>
          <w:highlight w:val="none"/>
        </w:rPr>
        <w:fldChar w:fldCharType="separate"/>
      </w:r>
      <w:r>
        <w:rPr>
          <w:rFonts w:hAnsi="宋体"/>
          <w:color w:val="auto"/>
          <w:highlight w:val="none"/>
        </w:rPr>
        <w:t>2</w:t>
      </w:r>
      <w:r>
        <w:rPr>
          <w:rFonts w:hint="eastAsia" w:hAnsi="宋体"/>
          <w:color w:val="auto"/>
          <w:highlight w:val="none"/>
        </w:rPr>
        <w:t>6.保密要求</w:t>
      </w:r>
      <w:r>
        <w:rPr>
          <w:color w:val="auto"/>
          <w:highlight w:val="none"/>
        </w:rPr>
        <w:tab/>
      </w:r>
      <w:r>
        <w:rPr>
          <w:color w:val="auto"/>
          <w:highlight w:val="none"/>
        </w:rPr>
        <w:fldChar w:fldCharType="begin"/>
      </w:r>
      <w:r>
        <w:rPr>
          <w:color w:val="auto"/>
          <w:highlight w:val="none"/>
        </w:rPr>
        <w:instrText xml:space="preserve"> PAGEREF _Toc11516 \h </w:instrText>
      </w:r>
      <w:r>
        <w:rPr>
          <w:color w:val="auto"/>
          <w:highlight w:val="none"/>
        </w:rPr>
        <w:fldChar w:fldCharType="separate"/>
      </w:r>
      <w:r>
        <w:rPr>
          <w:color w:val="auto"/>
          <w:highlight w:val="none"/>
        </w:rPr>
        <w:t>23</w:t>
      </w:r>
      <w:r>
        <w:rPr>
          <w:color w:val="auto"/>
          <w:highlight w:val="none"/>
        </w:rPr>
        <w:fldChar w:fldCharType="end"/>
      </w:r>
      <w:r>
        <w:rPr>
          <w:rFonts w:hAnsi="宋体"/>
          <w:color w:val="auto"/>
          <w:highlight w:val="none"/>
        </w:rPr>
        <w:fldChar w:fldCharType="end"/>
      </w:r>
    </w:p>
    <w:p w14:paraId="3D055572">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_Toc9787 </w:instrText>
      </w:r>
      <w:r>
        <w:rPr>
          <w:rFonts w:hAnsi="宋体"/>
          <w:color w:val="auto"/>
          <w:highlight w:val="none"/>
        </w:rPr>
        <w:fldChar w:fldCharType="separate"/>
      </w:r>
      <w:r>
        <w:rPr>
          <w:rFonts w:hint="eastAsia" w:ascii="宋体" w:hAnsi="宋体"/>
          <w:color w:val="auto"/>
          <w:highlight w:val="none"/>
        </w:rPr>
        <w:t>六</w:t>
      </w:r>
      <w:r>
        <w:rPr>
          <w:rFonts w:hint="eastAsia" w:ascii="宋体" w:hAnsi="宋体"/>
          <w:color w:val="auto"/>
          <w:highlight w:val="none"/>
          <w:lang w:eastAsia="zh-CN"/>
        </w:rPr>
        <w:t>、</w:t>
      </w:r>
      <w:r>
        <w:rPr>
          <w:rFonts w:hint="eastAsia" w:ascii="宋体" w:hAnsi="宋体"/>
          <w:color w:val="auto"/>
          <w:highlight w:val="none"/>
        </w:rPr>
        <w:t>确定中标</w:t>
      </w:r>
      <w:r>
        <w:rPr>
          <w:color w:val="auto"/>
          <w:highlight w:val="none"/>
        </w:rPr>
        <w:tab/>
      </w:r>
      <w:r>
        <w:rPr>
          <w:color w:val="auto"/>
          <w:highlight w:val="none"/>
        </w:rPr>
        <w:fldChar w:fldCharType="begin"/>
      </w:r>
      <w:r>
        <w:rPr>
          <w:color w:val="auto"/>
          <w:highlight w:val="none"/>
        </w:rPr>
        <w:instrText xml:space="preserve"> PAGEREF _Toc9787 \h </w:instrText>
      </w:r>
      <w:r>
        <w:rPr>
          <w:color w:val="auto"/>
          <w:highlight w:val="none"/>
        </w:rPr>
        <w:fldChar w:fldCharType="separate"/>
      </w:r>
      <w:r>
        <w:rPr>
          <w:color w:val="auto"/>
          <w:highlight w:val="none"/>
        </w:rPr>
        <w:t>23</w:t>
      </w:r>
      <w:r>
        <w:rPr>
          <w:color w:val="auto"/>
          <w:highlight w:val="none"/>
        </w:rPr>
        <w:fldChar w:fldCharType="end"/>
      </w:r>
      <w:r>
        <w:rPr>
          <w:rFonts w:hAnsi="宋体"/>
          <w:color w:val="auto"/>
          <w:highlight w:val="none"/>
        </w:rPr>
        <w:fldChar w:fldCharType="end"/>
      </w:r>
    </w:p>
    <w:p w14:paraId="4CD6A2A6">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_Toc6323 </w:instrText>
      </w:r>
      <w:r>
        <w:rPr>
          <w:rFonts w:hAnsi="宋体"/>
          <w:color w:val="auto"/>
          <w:highlight w:val="none"/>
        </w:rPr>
        <w:fldChar w:fldCharType="separate"/>
      </w:r>
      <w:r>
        <w:rPr>
          <w:rFonts w:hAnsi="宋体"/>
          <w:color w:val="auto"/>
          <w:highlight w:val="none"/>
        </w:rPr>
        <w:t>2</w:t>
      </w:r>
      <w:r>
        <w:rPr>
          <w:rFonts w:hint="eastAsia" w:hAnsi="宋体"/>
          <w:color w:val="auto"/>
          <w:highlight w:val="none"/>
        </w:rPr>
        <w:t>7.中标候选人的确定原则及标准</w:t>
      </w:r>
      <w:r>
        <w:rPr>
          <w:color w:val="auto"/>
          <w:highlight w:val="none"/>
        </w:rPr>
        <w:tab/>
      </w:r>
      <w:r>
        <w:rPr>
          <w:color w:val="auto"/>
          <w:highlight w:val="none"/>
        </w:rPr>
        <w:fldChar w:fldCharType="begin"/>
      </w:r>
      <w:r>
        <w:rPr>
          <w:color w:val="auto"/>
          <w:highlight w:val="none"/>
        </w:rPr>
        <w:instrText xml:space="preserve"> PAGEREF _Toc6323 \h </w:instrText>
      </w:r>
      <w:r>
        <w:rPr>
          <w:color w:val="auto"/>
          <w:highlight w:val="none"/>
        </w:rPr>
        <w:fldChar w:fldCharType="separate"/>
      </w:r>
      <w:r>
        <w:rPr>
          <w:color w:val="auto"/>
          <w:highlight w:val="none"/>
        </w:rPr>
        <w:t>23</w:t>
      </w:r>
      <w:r>
        <w:rPr>
          <w:color w:val="auto"/>
          <w:highlight w:val="none"/>
        </w:rPr>
        <w:fldChar w:fldCharType="end"/>
      </w:r>
      <w:r>
        <w:rPr>
          <w:rFonts w:hAnsi="宋体"/>
          <w:color w:val="auto"/>
          <w:highlight w:val="none"/>
        </w:rPr>
        <w:fldChar w:fldCharType="end"/>
      </w:r>
    </w:p>
    <w:p w14:paraId="734113DB">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_Toc289 </w:instrText>
      </w:r>
      <w:r>
        <w:rPr>
          <w:rFonts w:hAnsi="宋体"/>
          <w:color w:val="auto"/>
          <w:highlight w:val="none"/>
        </w:rPr>
        <w:fldChar w:fldCharType="separate"/>
      </w:r>
      <w:r>
        <w:rPr>
          <w:rFonts w:hint="eastAsia" w:hAnsi="宋体"/>
          <w:color w:val="auto"/>
          <w:highlight w:val="none"/>
        </w:rPr>
        <w:t>28.确定中标候选人和中标人</w:t>
      </w:r>
      <w:r>
        <w:rPr>
          <w:color w:val="auto"/>
          <w:highlight w:val="none"/>
        </w:rPr>
        <w:tab/>
      </w:r>
      <w:r>
        <w:rPr>
          <w:color w:val="auto"/>
          <w:highlight w:val="none"/>
        </w:rPr>
        <w:fldChar w:fldCharType="begin"/>
      </w:r>
      <w:r>
        <w:rPr>
          <w:color w:val="auto"/>
          <w:highlight w:val="none"/>
        </w:rPr>
        <w:instrText xml:space="preserve"> PAGEREF _Toc289 \h </w:instrText>
      </w:r>
      <w:r>
        <w:rPr>
          <w:color w:val="auto"/>
          <w:highlight w:val="none"/>
        </w:rPr>
        <w:fldChar w:fldCharType="separate"/>
      </w:r>
      <w:r>
        <w:rPr>
          <w:color w:val="auto"/>
          <w:highlight w:val="none"/>
        </w:rPr>
        <w:t>23</w:t>
      </w:r>
      <w:r>
        <w:rPr>
          <w:color w:val="auto"/>
          <w:highlight w:val="none"/>
        </w:rPr>
        <w:fldChar w:fldCharType="end"/>
      </w:r>
      <w:r>
        <w:rPr>
          <w:rFonts w:hAnsi="宋体"/>
          <w:color w:val="auto"/>
          <w:highlight w:val="none"/>
        </w:rPr>
        <w:fldChar w:fldCharType="end"/>
      </w:r>
    </w:p>
    <w:p w14:paraId="6CDC9350">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_Toc14600 </w:instrText>
      </w:r>
      <w:r>
        <w:rPr>
          <w:rFonts w:hAnsi="宋体"/>
          <w:color w:val="auto"/>
          <w:highlight w:val="none"/>
        </w:rPr>
        <w:fldChar w:fldCharType="separate"/>
      </w:r>
      <w:r>
        <w:rPr>
          <w:rFonts w:hint="eastAsia" w:hAnsi="宋体"/>
          <w:color w:val="auto"/>
          <w:highlight w:val="none"/>
        </w:rPr>
        <w:t>29.采购任务取消</w:t>
      </w:r>
      <w:r>
        <w:rPr>
          <w:color w:val="auto"/>
          <w:highlight w:val="none"/>
        </w:rPr>
        <w:tab/>
      </w:r>
      <w:r>
        <w:rPr>
          <w:color w:val="auto"/>
          <w:highlight w:val="none"/>
        </w:rPr>
        <w:fldChar w:fldCharType="begin"/>
      </w:r>
      <w:r>
        <w:rPr>
          <w:color w:val="auto"/>
          <w:highlight w:val="none"/>
        </w:rPr>
        <w:instrText xml:space="preserve"> PAGEREF _Toc14600 \h </w:instrText>
      </w:r>
      <w:r>
        <w:rPr>
          <w:color w:val="auto"/>
          <w:highlight w:val="none"/>
        </w:rPr>
        <w:fldChar w:fldCharType="separate"/>
      </w:r>
      <w:r>
        <w:rPr>
          <w:color w:val="auto"/>
          <w:highlight w:val="none"/>
        </w:rPr>
        <w:t>23</w:t>
      </w:r>
      <w:r>
        <w:rPr>
          <w:color w:val="auto"/>
          <w:highlight w:val="none"/>
        </w:rPr>
        <w:fldChar w:fldCharType="end"/>
      </w:r>
      <w:r>
        <w:rPr>
          <w:rFonts w:hAnsi="宋体"/>
          <w:color w:val="auto"/>
          <w:highlight w:val="none"/>
        </w:rPr>
        <w:fldChar w:fldCharType="end"/>
      </w:r>
    </w:p>
    <w:p w14:paraId="26372172">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_Toc27565 </w:instrText>
      </w:r>
      <w:r>
        <w:rPr>
          <w:rFonts w:hAnsi="宋体"/>
          <w:color w:val="auto"/>
          <w:highlight w:val="none"/>
        </w:rPr>
        <w:fldChar w:fldCharType="separate"/>
      </w:r>
      <w:r>
        <w:rPr>
          <w:rFonts w:hint="eastAsia" w:hAnsi="宋体"/>
          <w:color w:val="auto"/>
          <w:highlight w:val="none"/>
        </w:rPr>
        <w:t>30.中标通知书和招标结果通知书</w:t>
      </w:r>
      <w:r>
        <w:rPr>
          <w:color w:val="auto"/>
          <w:highlight w:val="none"/>
        </w:rPr>
        <w:tab/>
      </w:r>
      <w:r>
        <w:rPr>
          <w:color w:val="auto"/>
          <w:highlight w:val="none"/>
        </w:rPr>
        <w:fldChar w:fldCharType="begin"/>
      </w:r>
      <w:r>
        <w:rPr>
          <w:color w:val="auto"/>
          <w:highlight w:val="none"/>
        </w:rPr>
        <w:instrText xml:space="preserve"> PAGEREF _Toc27565 \h </w:instrText>
      </w:r>
      <w:r>
        <w:rPr>
          <w:color w:val="auto"/>
          <w:highlight w:val="none"/>
        </w:rPr>
        <w:fldChar w:fldCharType="separate"/>
      </w:r>
      <w:r>
        <w:rPr>
          <w:color w:val="auto"/>
          <w:highlight w:val="none"/>
        </w:rPr>
        <w:t>23</w:t>
      </w:r>
      <w:r>
        <w:rPr>
          <w:color w:val="auto"/>
          <w:highlight w:val="none"/>
        </w:rPr>
        <w:fldChar w:fldCharType="end"/>
      </w:r>
      <w:r>
        <w:rPr>
          <w:rFonts w:hAnsi="宋体"/>
          <w:color w:val="auto"/>
          <w:highlight w:val="none"/>
        </w:rPr>
        <w:fldChar w:fldCharType="end"/>
      </w:r>
    </w:p>
    <w:p w14:paraId="7DA07C77">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_Toc31462 </w:instrText>
      </w:r>
      <w:r>
        <w:rPr>
          <w:rFonts w:hAnsi="宋体"/>
          <w:color w:val="auto"/>
          <w:highlight w:val="none"/>
        </w:rPr>
        <w:fldChar w:fldCharType="separate"/>
      </w:r>
      <w:r>
        <w:rPr>
          <w:rFonts w:hint="eastAsia" w:hAnsi="宋体"/>
          <w:color w:val="auto"/>
          <w:highlight w:val="none"/>
        </w:rPr>
        <w:t>31.签订合同</w:t>
      </w:r>
      <w:r>
        <w:rPr>
          <w:color w:val="auto"/>
          <w:highlight w:val="none"/>
        </w:rPr>
        <w:tab/>
      </w:r>
      <w:r>
        <w:rPr>
          <w:color w:val="auto"/>
          <w:highlight w:val="none"/>
        </w:rPr>
        <w:fldChar w:fldCharType="begin"/>
      </w:r>
      <w:r>
        <w:rPr>
          <w:color w:val="auto"/>
          <w:highlight w:val="none"/>
        </w:rPr>
        <w:instrText xml:space="preserve"> PAGEREF _Toc31462 \h </w:instrText>
      </w:r>
      <w:r>
        <w:rPr>
          <w:color w:val="auto"/>
          <w:highlight w:val="none"/>
        </w:rPr>
        <w:fldChar w:fldCharType="separate"/>
      </w:r>
      <w:r>
        <w:rPr>
          <w:color w:val="auto"/>
          <w:highlight w:val="none"/>
        </w:rPr>
        <w:t>24</w:t>
      </w:r>
      <w:r>
        <w:rPr>
          <w:color w:val="auto"/>
          <w:highlight w:val="none"/>
        </w:rPr>
        <w:fldChar w:fldCharType="end"/>
      </w:r>
      <w:r>
        <w:rPr>
          <w:rFonts w:hAnsi="宋体"/>
          <w:color w:val="auto"/>
          <w:highlight w:val="none"/>
        </w:rPr>
        <w:fldChar w:fldCharType="end"/>
      </w:r>
    </w:p>
    <w:p w14:paraId="35B859F3">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_Toc30000 </w:instrText>
      </w:r>
      <w:r>
        <w:rPr>
          <w:rFonts w:hAnsi="宋体"/>
          <w:color w:val="auto"/>
          <w:highlight w:val="none"/>
        </w:rPr>
        <w:fldChar w:fldCharType="separate"/>
      </w:r>
      <w:r>
        <w:rPr>
          <w:rFonts w:hint="eastAsia"/>
          <w:color w:val="auto"/>
          <w:highlight w:val="none"/>
        </w:rPr>
        <w:t>32.履约保证金</w:t>
      </w:r>
      <w:r>
        <w:rPr>
          <w:color w:val="auto"/>
          <w:highlight w:val="none"/>
        </w:rPr>
        <w:tab/>
      </w:r>
      <w:r>
        <w:rPr>
          <w:color w:val="auto"/>
          <w:highlight w:val="none"/>
        </w:rPr>
        <w:fldChar w:fldCharType="begin"/>
      </w:r>
      <w:r>
        <w:rPr>
          <w:color w:val="auto"/>
          <w:highlight w:val="none"/>
        </w:rPr>
        <w:instrText xml:space="preserve"> PAGEREF _Toc30000 \h </w:instrText>
      </w:r>
      <w:r>
        <w:rPr>
          <w:color w:val="auto"/>
          <w:highlight w:val="none"/>
        </w:rPr>
        <w:fldChar w:fldCharType="separate"/>
      </w:r>
      <w:r>
        <w:rPr>
          <w:color w:val="auto"/>
          <w:highlight w:val="none"/>
        </w:rPr>
        <w:t>24</w:t>
      </w:r>
      <w:r>
        <w:rPr>
          <w:color w:val="auto"/>
          <w:highlight w:val="none"/>
        </w:rPr>
        <w:fldChar w:fldCharType="end"/>
      </w:r>
      <w:r>
        <w:rPr>
          <w:rFonts w:hAnsi="宋体"/>
          <w:color w:val="auto"/>
          <w:highlight w:val="none"/>
        </w:rPr>
        <w:fldChar w:fldCharType="end"/>
      </w:r>
    </w:p>
    <w:p w14:paraId="3A8FA297">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_Toc30239 </w:instrText>
      </w:r>
      <w:r>
        <w:rPr>
          <w:rFonts w:hAnsi="宋体"/>
          <w:color w:val="auto"/>
          <w:highlight w:val="none"/>
        </w:rPr>
        <w:fldChar w:fldCharType="separate"/>
      </w:r>
      <w:r>
        <w:rPr>
          <w:rFonts w:hint="eastAsia" w:cs="Times New Roman"/>
          <w:color w:val="auto"/>
          <w:highlight w:val="none"/>
        </w:rPr>
        <w:t>33.政府采购信用担保</w:t>
      </w:r>
      <w:r>
        <w:rPr>
          <w:color w:val="auto"/>
          <w:highlight w:val="none"/>
        </w:rPr>
        <w:tab/>
      </w:r>
      <w:r>
        <w:rPr>
          <w:color w:val="auto"/>
          <w:highlight w:val="none"/>
        </w:rPr>
        <w:fldChar w:fldCharType="begin"/>
      </w:r>
      <w:r>
        <w:rPr>
          <w:color w:val="auto"/>
          <w:highlight w:val="none"/>
        </w:rPr>
        <w:instrText xml:space="preserve"> PAGEREF _Toc30239 \h </w:instrText>
      </w:r>
      <w:r>
        <w:rPr>
          <w:color w:val="auto"/>
          <w:highlight w:val="none"/>
        </w:rPr>
        <w:fldChar w:fldCharType="separate"/>
      </w:r>
      <w:r>
        <w:rPr>
          <w:color w:val="auto"/>
          <w:highlight w:val="none"/>
        </w:rPr>
        <w:t>24</w:t>
      </w:r>
      <w:r>
        <w:rPr>
          <w:color w:val="auto"/>
          <w:highlight w:val="none"/>
        </w:rPr>
        <w:fldChar w:fldCharType="end"/>
      </w:r>
      <w:r>
        <w:rPr>
          <w:rFonts w:hAnsi="宋体"/>
          <w:color w:val="auto"/>
          <w:highlight w:val="none"/>
        </w:rPr>
        <w:fldChar w:fldCharType="end"/>
      </w:r>
    </w:p>
    <w:p w14:paraId="74D7C1DA">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_Toc11482 </w:instrText>
      </w:r>
      <w:r>
        <w:rPr>
          <w:rFonts w:hAnsi="宋体"/>
          <w:color w:val="auto"/>
          <w:highlight w:val="none"/>
        </w:rPr>
        <w:fldChar w:fldCharType="separate"/>
      </w:r>
      <w:r>
        <w:rPr>
          <w:rFonts w:hint="eastAsia" w:cs="Times New Roman"/>
          <w:color w:val="auto"/>
          <w:highlight w:val="none"/>
        </w:rPr>
        <w:t>3</w:t>
      </w:r>
      <w:r>
        <w:rPr>
          <w:rFonts w:hint="eastAsia" w:cs="Times New Roman"/>
          <w:color w:val="auto"/>
          <w:highlight w:val="none"/>
          <w:lang w:val="en-US" w:eastAsia="zh-CN"/>
        </w:rPr>
        <w:t>4</w:t>
      </w:r>
      <w:r>
        <w:rPr>
          <w:rFonts w:hint="eastAsia" w:cs="Times New Roman"/>
          <w:color w:val="auto"/>
          <w:highlight w:val="none"/>
        </w:rPr>
        <w:t>.政府采购合同融资</w:t>
      </w:r>
      <w:r>
        <w:rPr>
          <w:color w:val="auto"/>
          <w:highlight w:val="none"/>
        </w:rPr>
        <w:tab/>
      </w:r>
      <w:r>
        <w:rPr>
          <w:color w:val="auto"/>
          <w:highlight w:val="none"/>
        </w:rPr>
        <w:fldChar w:fldCharType="begin"/>
      </w:r>
      <w:r>
        <w:rPr>
          <w:color w:val="auto"/>
          <w:highlight w:val="none"/>
        </w:rPr>
        <w:instrText xml:space="preserve"> PAGEREF _Toc11482 \h </w:instrText>
      </w:r>
      <w:r>
        <w:rPr>
          <w:color w:val="auto"/>
          <w:highlight w:val="none"/>
        </w:rPr>
        <w:fldChar w:fldCharType="separate"/>
      </w:r>
      <w:r>
        <w:rPr>
          <w:color w:val="auto"/>
          <w:highlight w:val="none"/>
        </w:rPr>
        <w:t>24</w:t>
      </w:r>
      <w:r>
        <w:rPr>
          <w:color w:val="auto"/>
          <w:highlight w:val="none"/>
        </w:rPr>
        <w:fldChar w:fldCharType="end"/>
      </w:r>
      <w:r>
        <w:rPr>
          <w:rFonts w:hAnsi="宋体"/>
          <w:color w:val="auto"/>
          <w:highlight w:val="none"/>
        </w:rPr>
        <w:fldChar w:fldCharType="end"/>
      </w:r>
    </w:p>
    <w:p w14:paraId="202AFA57">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_Toc322 </w:instrText>
      </w:r>
      <w:r>
        <w:rPr>
          <w:rFonts w:hAnsi="宋体"/>
          <w:color w:val="auto"/>
          <w:highlight w:val="none"/>
        </w:rPr>
        <w:fldChar w:fldCharType="separate"/>
      </w:r>
      <w:r>
        <w:rPr>
          <w:rFonts w:hint="eastAsia" w:hAnsi="宋体" w:cs="宋体"/>
          <w:color w:val="auto"/>
          <w:highlight w:val="none"/>
        </w:rPr>
        <w:t>3</w:t>
      </w:r>
      <w:r>
        <w:rPr>
          <w:rFonts w:hint="eastAsia" w:hAnsi="宋体" w:cs="宋体"/>
          <w:color w:val="auto"/>
          <w:highlight w:val="none"/>
          <w:lang w:val="en-US" w:eastAsia="zh-CN"/>
        </w:rPr>
        <w:t>5</w:t>
      </w:r>
      <w:r>
        <w:rPr>
          <w:rFonts w:hint="eastAsia" w:hAnsi="宋体" w:cs="宋体"/>
          <w:color w:val="auto"/>
          <w:highlight w:val="none"/>
        </w:rPr>
        <w:t>.预付款</w:t>
      </w:r>
      <w:r>
        <w:rPr>
          <w:color w:val="auto"/>
          <w:highlight w:val="none"/>
        </w:rPr>
        <w:tab/>
      </w:r>
      <w:r>
        <w:rPr>
          <w:color w:val="auto"/>
          <w:highlight w:val="none"/>
        </w:rPr>
        <w:fldChar w:fldCharType="begin"/>
      </w:r>
      <w:r>
        <w:rPr>
          <w:color w:val="auto"/>
          <w:highlight w:val="none"/>
        </w:rPr>
        <w:instrText xml:space="preserve"> PAGEREF _Toc322 \h </w:instrText>
      </w:r>
      <w:r>
        <w:rPr>
          <w:color w:val="auto"/>
          <w:highlight w:val="none"/>
        </w:rPr>
        <w:fldChar w:fldCharType="separate"/>
      </w:r>
      <w:r>
        <w:rPr>
          <w:color w:val="auto"/>
          <w:highlight w:val="none"/>
        </w:rPr>
        <w:t>25</w:t>
      </w:r>
      <w:r>
        <w:rPr>
          <w:color w:val="auto"/>
          <w:highlight w:val="none"/>
        </w:rPr>
        <w:fldChar w:fldCharType="end"/>
      </w:r>
      <w:r>
        <w:rPr>
          <w:rFonts w:hAnsi="宋体"/>
          <w:color w:val="auto"/>
          <w:highlight w:val="none"/>
        </w:rPr>
        <w:fldChar w:fldCharType="end"/>
      </w:r>
    </w:p>
    <w:p w14:paraId="60A881BB">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_Toc27311 </w:instrText>
      </w:r>
      <w:r>
        <w:rPr>
          <w:rFonts w:hAnsi="宋体"/>
          <w:color w:val="auto"/>
          <w:highlight w:val="none"/>
        </w:rPr>
        <w:fldChar w:fldCharType="separate"/>
      </w:r>
      <w:r>
        <w:rPr>
          <w:rFonts w:hint="eastAsia" w:hAnsi="宋体" w:cs="宋体"/>
          <w:color w:val="auto"/>
          <w:highlight w:val="none"/>
        </w:rPr>
        <w:t>3</w:t>
      </w:r>
      <w:r>
        <w:rPr>
          <w:rFonts w:hint="eastAsia" w:hAnsi="宋体" w:cs="宋体"/>
          <w:color w:val="auto"/>
          <w:highlight w:val="none"/>
          <w:lang w:val="en-US" w:eastAsia="zh-CN"/>
        </w:rPr>
        <w:t>6</w:t>
      </w:r>
      <w:r>
        <w:rPr>
          <w:rFonts w:hint="eastAsia" w:hAnsi="宋体" w:cs="宋体"/>
          <w:color w:val="auto"/>
          <w:highlight w:val="none"/>
        </w:rPr>
        <w:t>.廉洁自律规定</w:t>
      </w:r>
      <w:r>
        <w:rPr>
          <w:color w:val="auto"/>
          <w:highlight w:val="none"/>
        </w:rPr>
        <w:tab/>
      </w:r>
      <w:r>
        <w:rPr>
          <w:color w:val="auto"/>
          <w:highlight w:val="none"/>
        </w:rPr>
        <w:fldChar w:fldCharType="begin"/>
      </w:r>
      <w:r>
        <w:rPr>
          <w:color w:val="auto"/>
          <w:highlight w:val="none"/>
        </w:rPr>
        <w:instrText xml:space="preserve"> PAGEREF _Toc27311 \h </w:instrText>
      </w:r>
      <w:r>
        <w:rPr>
          <w:color w:val="auto"/>
          <w:highlight w:val="none"/>
        </w:rPr>
        <w:fldChar w:fldCharType="separate"/>
      </w:r>
      <w:r>
        <w:rPr>
          <w:color w:val="auto"/>
          <w:highlight w:val="none"/>
        </w:rPr>
        <w:t>25</w:t>
      </w:r>
      <w:r>
        <w:rPr>
          <w:color w:val="auto"/>
          <w:highlight w:val="none"/>
        </w:rPr>
        <w:fldChar w:fldCharType="end"/>
      </w:r>
      <w:r>
        <w:rPr>
          <w:rFonts w:hAnsi="宋体"/>
          <w:color w:val="auto"/>
          <w:highlight w:val="none"/>
        </w:rPr>
        <w:fldChar w:fldCharType="end"/>
      </w:r>
    </w:p>
    <w:p w14:paraId="397B8275">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_Toc18732 </w:instrText>
      </w:r>
      <w:r>
        <w:rPr>
          <w:rFonts w:hAnsi="宋体"/>
          <w:color w:val="auto"/>
          <w:highlight w:val="none"/>
        </w:rPr>
        <w:fldChar w:fldCharType="separate"/>
      </w:r>
      <w:r>
        <w:rPr>
          <w:rFonts w:hint="eastAsia" w:hAnsi="宋体" w:cs="宋体"/>
          <w:color w:val="auto"/>
          <w:highlight w:val="none"/>
        </w:rPr>
        <w:t>3</w:t>
      </w:r>
      <w:r>
        <w:rPr>
          <w:rFonts w:hint="eastAsia" w:hAnsi="宋体" w:cs="宋体"/>
          <w:color w:val="auto"/>
          <w:highlight w:val="none"/>
          <w:lang w:val="en-US" w:eastAsia="zh-CN"/>
        </w:rPr>
        <w:t>7</w:t>
      </w:r>
      <w:r>
        <w:rPr>
          <w:rFonts w:hint="eastAsia" w:hAnsi="宋体" w:cs="宋体"/>
          <w:color w:val="auto"/>
          <w:highlight w:val="none"/>
        </w:rPr>
        <w:t>.人员回避</w:t>
      </w:r>
      <w:r>
        <w:rPr>
          <w:color w:val="auto"/>
          <w:highlight w:val="none"/>
        </w:rPr>
        <w:tab/>
      </w:r>
      <w:r>
        <w:rPr>
          <w:color w:val="auto"/>
          <w:highlight w:val="none"/>
        </w:rPr>
        <w:fldChar w:fldCharType="begin"/>
      </w:r>
      <w:r>
        <w:rPr>
          <w:color w:val="auto"/>
          <w:highlight w:val="none"/>
        </w:rPr>
        <w:instrText xml:space="preserve"> PAGEREF _Toc18732 \h </w:instrText>
      </w:r>
      <w:r>
        <w:rPr>
          <w:color w:val="auto"/>
          <w:highlight w:val="none"/>
        </w:rPr>
        <w:fldChar w:fldCharType="separate"/>
      </w:r>
      <w:r>
        <w:rPr>
          <w:color w:val="auto"/>
          <w:highlight w:val="none"/>
        </w:rPr>
        <w:t>26</w:t>
      </w:r>
      <w:r>
        <w:rPr>
          <w:color w:val="auto"/>
          <w:highlight w:val="none"/>
        </w:rPr>
        <w:fldChar w:fldCharType="end"/>
      </w:r>
      <w:r>
        <w:rPr>
          <w:rFonts w:hAnsi="宋体"/>
          <w:color w:val="auto"/>
          <w:highlight w:val="none"/>
        </w:rPr>
        <w:fldChar w:fldCharType="end"/>
      </w:r>
    </w:p>
    <w:p w14:paraId="24BD7792">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_Toc12632 </w:instrText>
      </w:r>
      <w:r>
        <w:rPr>
          <w:rFonts w:hAnsi="宋体"/>
          <w:color w:val="auto"/>
          <w:highlight w:val="none"/>
        </w:rPr>
        <w:fldChar w:fldCharType="separate"/>
      </w:r>
      <w:r>
        <w:rPr>
          <w:rFonts w:hint="eastAsia" w:hAnsi="宋体" w:cs="宋体"/>
          <w:color w:val="auto"/>
          <w:highlight w:val="none"/>
        </w:rPr>
        <w:t>3</w:t>
      </w:r>
      <w:r>
        <w:rPr>
          <w:rFonts w:hint="eastAsia" w:hAnsi="宋体" w:cs="宋体"/>
          <w:color w:val="auto"/>
          <w:highlight w:val="none"/>
          <w:lang w:val="en-US" w:eastAsia="zh-CN"/>
        </w:rPr>
        <w:t>8</w:t>
      </w:r>
      <w:r>
        <w:rPr>
          <w:rFonts w:hint="eastAsia" w:hAnsi="宋体" w:cs="宋体"/>
          <w:color w:val="auto"/>
          <w:highlight w:val="none"/>
        </w:rPr>
        <w:t>.质疑与接收</w:t>
      </w:r>
      <w:r>
        <w:rPr>
          <w:color w:val="auto"/>
          <w:highlight w:val="none"/>
        </w:rPr>
        <w:tab/>
      </w:r>
      <w:r>
        <w:rPr>
          <w:color w:val="auto"/>
          <w:highlight w:val="none"/>
        </w:rPr>
        <w:fldChar w:fldCharType="begin"/>
      </w:r>
      <w:r>
        <w:rPr>
          <w:color w:val="auto"/>
          <w:highlight w:val="none"/>
        </w:rPr>
        <w:instrText xml:space="preserve"> PAGEREF _Toc12632 \h </w:instrText>
      </w:r>
      <w:r>
        <w:rPr>
          <w:color w:val="auto"/>
          <w:highlight w:val="none"/>
        </w:rPr>
        <w:fldChar w:fldCharType="separate"/>
      </w:r>
      <w:r>
        <w:rPr>
          <w:color w:val="auto"/>
          <w:highlight w:val="none"/>
        </w:rPr>
        <w:t>26</w:t>
      </w:r>
      <w:r>
        <w:rPr>
          <w:color w:val="auto"/>
          <w:highlight w:val="none"/>
        </w:rPr>
        <w:fldChar w:fldCharType="end"/>
      </w:r>
      <w:r>
        <w:rPr>
          <w:rFonts w:hAnsi="宋体"/>
          <w:color w:val="auto"/>
          <w:highlight w:val="none"/>
        </w:rPr>
        <w:fldChar w:fldCharType="end"/>
      </w:r>
    </w:p>
    <w:p w14:paraId="3D8289EA">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_Toc12826 </w:instrText>
      </w:r>
      <w:r>
        <w:rPr>
          <w:rFonts w:hAnsi="宋体"/>
          <w:color w:val="auto"/>
          <w:highlight w:val="none"/>
        </w:rPr>
        <w:fldChar w:fldCharType="separate"/>
      </w:r>
      <w:r>
        <w:rPr>
          <w:rFonts w:hint="eastAsia" w:hAnsi="宋体" w:cs="宋体"/>
          <w:color w:val="auto"/>
          <w:highlight w:val="none"/>
        </w:rPr>
        <w:t>3</w:t>
      </w:r>
      <w:r>
        <w:rPr>
          <w:rFonts w:hint="eastAsia" w:hAnsi="宋体" w:cs="宋体"/>
          <w:color w:val="auto"/>
          <w:highlight w:val="none"/>
          <w:lang w:val="en-US" w:eastAsia="zh-CN"/>
        </w:rPr>
        <w:t>9</w:t>
      </w:r>
      <w:r>
        <w:rPr>
          <w:rFonts w:hint="eastAsia" w:hAnsi="宋体" w:cs="宋体"/>
          <w:color w:val="auto"/>
          <w:highlight w:val="none"/>
        </w:rPr>
        <w:t>.项目其他相关费用</w:t>
      </w:r>
      <w:r>
        <w:rPr>
          <w:color w:val="auto"/>
          <w:highlight w:val="none"/>
        </w:rPr>
        <w:tab/>
      </w:r>
      <w:r>
        <w:rPr>
          <w:color w:val="auto"/>
          <w:highlight w:val="none"/>
        </w:rPr>
        <w:fldChar w:fldCharType="begin"/>
      </w:r>
      <w:r>
        <w:rPr>
          <w:color w:val="auto"/>
          <w:highlight w:val="none"/>
        </w:rPr>
        <w:instrText xml:space="preserve"> PAGEREF _Toc12826 \h </w:instrText>
      </w:r>
      <w:r>
        <w:rPr>
          <w:color w:val="auto"/>
          <w:highlight w:val="none"/>
        </w:rPr>
        <w:fldChar w:fldCharType="separate"/>
      </w:r>
      <w:r>
        <w:rPr>
          <w:color w:val="auto"/>
          <w:highlight w:val="none"/>
        </w:rPr>
        <w:t>26</w:t>
      </w:r>
      <w:r>
        <w:rPr>
          <w:color w:val="auto"/>
          <w:highlight w:val="none"/>
        </w:rPr>
        <w:fldChar w:fldCharType="end"/>
      </w:r>
      <w:r>
        <w:rPr>
          <w:rFonts w:hAnsi="宋体"/>
          <w:color w:val="auto"/>
          <w:highlight w:val="none"/>
        </w:rPr>
        <w:fldChar w:fldCharType="end"/>
      </w:r>
    </w:p>
    <w:p w14:paraId="4C57DA65">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_Toc30578 </w:instrText>
      </w:r>
      <w:r>
        <w:rPr>
          <w:rFonts w:hAnsi="宋体"/>
          <w:color w:val="auto"/>
          <w:highlight w:val="none"/>
        </w:rPr>
        <w:fldChar w:fldCharType="separate"/>
      </w:r>
      <w:r>
        <w:rPr>
          <w:rFonts w:hint="eastAsia" w:hAnsi="宋体" w:cs="宋体"/>
          <w:color w:val="auto"/>
          <w:szCs w:val="28"/>
          <w:highlight w:val="none"/>
          <w:lang w:val="en-US" w:eastAsia="zh-CN"/>
        </w:rPr>
        <w:t>40</w:t>
      </w:r>
      <w:r>
        <w:rPr>
          <w:rFonts w:hint="eastAsia" w:hAnsi="宋体" w:cs="宋体"/>
          <w:color w:val="auto"/>
          <w:highlight w:val="none"/>
        </w:rPr>
        <w:t>.</w:t>
      </w:r>
      <w:r>
        <w:rPr>
          <w:rFonts w:hint="eastAsia" w:hAnsi="宋体" w:cs="宋体"/>
          <w:color w:val="auto"/>
          <w:szCs w:val="28"/>
          <w:highlight w:val="none"/>
          <w:lang w:eastAsia="zh-CN"/>
        </w:rPr>
        <w:t>招标文件</w:t>
      </w:r>
      <w:r>
        <w:rPr>
          <w:rFonts w:hint="eastAsia" w:hAnsi="宋体" w:cs="宋体"/>
          <w:color w:val="auto"/>
          <w:szCs w:val="28"/>
          <w:highlight w:val="none"/>
        </w:rPr>
        <w:t>解释权</w:t>
      </w:r>
      <w:r>
        <w:rPr>
          <w:color w:val="auto"/>
          <w:highlight w:val="none"/>
        </w:rPr>
        <w:tab/>
      </w:r>
      <w:r>
        <w:rPr>
          <w:color w:val="auto"/>
          <w:highlight w:val="none"/>
        </w:rPr>
        <w:fldChar w:fldCharType="begin"/>
      </w:r>
      <w:r>
        <w:rPr>
          <w:color w:val="auto"/>
          <w:highlight w:val="none"/>
        </w:rPr>
        <w:instrText xml:space="preserve"> PAGEREF _Toc30578 \h </w:instrText>
      </w:r>
      <w:r>
        <w:rPr>
          <w:color w:val="auto"/>
          <w:highlight w:val="none"/>
        </w:rPr>
        <w:fldChar w:fldCharType="separate"/>
      </w:r>
      <w:r>
        <w:rPr>
          <w:color w:val="auto"/>
          <w:highlight w:val="none"/>
        </w:rPr>
        <w:t>26</w:t>
      </w:r>
      <w:r>
        <w:rPr>
          <w:color w:val="auto"/>
          <w:highlight w:val="none"/>
        </w:rPr>
        <w:fldChar w:fldCharType="end"/>
      </w:r>
      <w:r>
        <w:rPr>
          <w:rFonts w:hAnsi="宋体"/>
          <w:color w:val="auto"/>
          <w:highlight w:val="none"/>
        </w:rPr>
        <w:fldChar w:fldCharType="end"/>
      </w:r>
    </w:p>
    <w:p w14:paraId="48ECB8DB">
      <w:pPr>
        <w:pStyle w:val="22"/>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_Toc13890 </w:instrText>
      </w:r>
      <w:r>
        <w:rPr>
          <w:rFonts w:hAnsi="宋体"/>
          <w:color w:val="auto"/>
          <w:highlight w:val="none"/>
        </w:rPr>
        <w:fldChar w:fldCharType="separate"/>
      </w:r>
      <w:r>
        <w:rPr>
          <w:rFonts w:hint="eastAsia" w:hAnsi="宋体"/>
          <w:color w:val="auto"/>
          <w:highlight w:val="none"/>
        </w:rPr>
        <w:t>第3章  投标人须知</w:t>
      </w:r>
      <w:r>
        <w:rPr>
          <w:rFonts w:hint="eastAsia" w:hAnsi="宋体"/>
          <w:color w:val="auto"/>
          <w:szCs w:val="32"/>
          <w:highlight w:val="none"/>
        </w:rPr>
        <w:t>资料表</w:t>
      </w:r>
      <w:r>
        <w:rPr>
          <w:color w:val="auto"/>
          <w:highlight w:val="none"/>
        </w:rPr>
        <w:tab/>
      </w:r>
      <w:r>
        <w:rPr>
          <w:color w:val="auto"/>
          <w:highlight w:val="none"/>
        </w:rPr>
        <w:fldChar w:fldCharType="begin"/>
      </w:r>
      <w:r>
        <w:rPr>
          <w:color w:val="auto"/>
          <w:highlight w:val="none"/>
        </w:rPr>
        <w:instrText xml:space="preserve"> PAGEREF _Toc13890 \h </w:instrText>
      </w:r>
      <w:r>
        <w:rPr>
          <w:color w:val="auto"/>
          <w:highlight w:val="none"/>
        </w:rPr>
        <w:fldChar w:fldCharType="separate"/>
      </w:r>
      <w:r>
        <w:rPr>
          <w:color w:val="auto"/>
          <w:highlight w:val="none"/>
        </w:rPr>
        <w:t>31</w:t>
      </w:r>
      <w:r>
        <w:rPr>
          <w:color w:val="auto"/>
          <w:highlight w:val="none"/>
        </w:rPr>
        <w:fldChar w:fldCharType="end"/>
      </w:r>
      <w:r>
        <w:rPr>
          <w:rFonts w:hAnsi="宋体"/>
          <w:color w:val="auto"/>
          <w:highlight w:val="none"/>
        </w:rPr>
        <w:fldChar w:fldCharType="end"/>
      </w:r>
    </w:p>
    <w:p w14:paraId="524ACD89">
      <w:pPr>
        <w:pStyle w:val="22"/>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_Toc23611 </w:instrText>
      </w:r>
      <w:r>
        <w:rPr>
          <w:rFonts w:hAnsi="宋体"/>
          <w:color w:val="auto"/>
          <w:highlight w:val="none"/>
        </w:rPr>
        <w:fldChar w:fldCharType="separate"/>
      </w:r>
      <w:r>
        <w:rPr>
          <w:rFonts w:hint="eastAsia" w:hAnsi="宋体"/>
          <w:color w:val="auto"/>
          <w:highlight w:val="none"/>
        </w:rPr>
        <w:t xml:space="preserve">第4章  </w:t>
      </w:r>
      <w:r>
        <w:rPr>
          <w:rFonts w:hint="eastAsia" w:hAnsi="宋体"/>
          <w:color w:val="auto"/>
          <w:highlight w:val="none"/>
          <w:lang w:eastAsia="zh-CN"/>
        </w:rPr>
        <w:t>服务需求</w:t>
      </w:r>
      <w:r>
        <w:rPr>
          <w:color w:val="auto"/>
          <w:highlight w:val="none"/>
        </w:rPr>
        <w:tab/>
      </w:r>
      <w:r>
        <w:rPr>
          <w:color w:val="auto"/>
          <w:highlight w:val="none"/>
        </w:rPr>
        <w:fldChar w:fldCharType="begin"/>
      </w:r>
      <w:r>
        <w:rPr>
          <w:color w:val="auto"/>
          <w:highlight w:val="none"/>
        </w:rPr>
        <w:instrText xml:space="preserve"> PAGEREF _Toc23611 \h </w:instrText>
      </w:r>
      <w:r>
        <w:rPr>
          <w:color w:val="auto"/>
          <w:highlight w:val="none"/>
        </w:rPr>
        <w:fldChar w:fldCharType="separate"/>
      </w:r>
      <w:r>
        <w:rPr>
          <w:color w:val="auto"/>
          <w:highlight w:val="none"/>
        </w:rPr>
        <w:t>34</w:t>
      </w:r>
      <w:r>
        <w:rPr>
          <w:color w:val="auto"/>
          <w:highlight w:val="none"/>
        </w:rPr>
        <w:fldChar w:fldCharType="end"/>
      </w:r>
      <w:r>
        <w:rPr>
          <w:rFonts w:hAnsi="宋体"/>
          <w:color w:val="auto"/>
          <w:highlight w:val="none"/>
        </w:rPr>
        <w:fldChar w:fldCharType="end"/>
      </w:r>
    </w:p>
    <w:p w14:paraId="61D5A460">
      <w:pPr>
        <w:pStyle w:val="22"/>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_Toc10968 </w:instrText>
      </w:r>
      <w:r>
        <w:rPr>
          <w:rFonts w:hAnsi="宋体"/>
          <w:color w:val="auto"/>
          <w:highlight w:val="none"/>
        </w:rPr>
        <w:fldChar w:fldCharType="separate"/>
      </w:r>
      <w:r>
        <w:rPr>
          <w:rFonts w:hint="eastAsia" w:ascii="宋体" w:hAnsi="宋体" w:eastAsia="宋体" w:cs="Times New Roman"/>
          <w:color w:val="auto"/>
          <w:highlight w:val="none"/>
          <w:lang w:val="en-US" w:eastAsia="zh-CN"/>
        </w:rPr>
        <w:t>第5章  评标方法和标准</w:t>
      </w:r>
      <w:r>
        <w:rPr>
          <w:color w:val="auto"/>
          <w:highlight w:val="none"/>
        </w:rPr>
        <w:tab/>
      </w:r>
      <w:r>
        <w:rPr>
          <w:color w:val="auto"/>
          <w:highlight w:val="none"/>
        </w:rPr>
        <w:fldChar w:fldCharType="begin"/>
      </w:r>
      <w:r>
        <w:rPr>
          <w:color w:val="auto"/>
          <w:highlight w:val="none"/>
        </w:rPr>
        <w:instrText xml:space="preserve"> PAGEREF _Toc10968 \h </w:instrText>
      </w:r>
      <w:r>
        <w:rPr>
          <w:color w:val="auto"/>
          <w:highlight w:val="none"/>
        </w:rPr>
        <w:fldChar w:fldCharType="separate"/>
      </w:r>
      <w:r>
        <w:rPr>
          <w:color w:val="auto"/>
          <w:highlight w:val="none"/>
        </w:rPr>
        <w:t>53</w:t>
      </w:r>
      <w:r>
        <w:rPr>
          <w:color w:val="auto"/>
          <w:highlight w:val="none"/>
        </w:rPr>
        <w:fldChar w:fldCharType="end"/>
      </w:r>
      <w:r>
        <w:rPr>
          <w:rFonts w:hAnsi="宋体"/>
          <w:color w:val="auto"/>
          <w:highlight w:val="none"/>
        </w:rPr>
        <w:fldChar w:fldCharType="end"/>
      </w:r>
    </w:p>
    <w:p w14:paraId="5F334BA9">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_Toc4563 </w:instrText>
      </w:r>
      <w:r>
        <w:rPr>
          <w:rFonts w:hAnsi="宋体"/>
          <w:color w:val="auto"/>
          <w:highlight w:val="none"/>
        </w:rPr>
        <w:fldChar w:fldCharType="separate"/>
      </w:r>
      <w:r>
        <w:rPr>
          <w:rFonts w:hint="eastAsia" w:ascii="宋体" w:hAnsi="宋体"/>
          <w:color w:val="auto"/>
          <w:highlight w:val="none"/>
        </w:rPr>
        <w:t>（一）初步评审</w:t>
      </w:r>
      <w:r>
        <w:rPr>
          <w:color w:val="auto"/>
          <w:highlight w:val="none"/>
        </w:rPr>
        <w:tab/>
      </w:r>
      <w:r>
        <w:rPr>
          <w:color w:val="auto"/>
          <w:highlight w:val="none"/>
        </w:rPr>
        <w:fldChar w:fldCharType="begin"/>
      </w:r>
      <w:r>
        <w:rPr>
          <w:color w:val="auto"/>
          <w:highlight w:val="none"/>
        </w:rPr>
        <w:instrText xml:space="preserve"> PAGEREF _Toc4563 \h </w:instrText>
      </w:r>
      <w:r>
        <w:rPr>
          <w:color w:val="auto"/>
          <w:highlight w:val="none"/>
        </w:rPr>
        <w:fldChar w:fldCharType="separate"/>
      </w:r>
      <w:r>
        <w:rPr>
          <w:color w:val="auto"/>
          <w:highlight w:val="none"/>
        </w:rPr>
        <w:t>53</w:t>
      </w:r>
      <w:r>
        <w:rPr>
          <w:color w:val="auto"/>
          <w:highlight w:val="none"/>
        </w:rPr>
        <w:fldChar w:fldCharType="end"/>
      </w:r>
      <w:r>
        <w:rPr>
          <w:rFonts w:hAnsi="宋体"/>
          <w:color w:val="auto"/>
          <w:highlight w:val="none"/>
        </w:rPr>
        <w:fldChar w:fldCharType="end"/>
      </w:r>
    </w:p>
    <w:p w14:paraId="3847C079">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_Toc26751 </w:instrText>
      </w:r>
      <w:r>
        <w:rPr>
          <w:rFonts w:hAnsi="宋体"/>
          <w:color w:val="auto"/>
          <w:highlight w:val="none"/>
        </w:rPr>
        <w:fldChar w:fldCharType="separate"/>
      </w:r>
      <w:r>
        <w:rPr>
          <w:rFonts w:hint="eastAsia" w:ascii="宋体" w:hAnsi="宋体"/>
          <w:color w:val="auto"/>
          <w:highlight w:val="none"/>
        </w:rPr>
        <w:t>（二）评分细则</w:t>
      </w:r>
      <w:r>
        <w:rPr>
          <w:color w:val="auto"/>
          <w:highlight w:val="none"/>
        </w:rPr>
        <w:tab/>
      </w:r>
      <w:r>
        <w:rPr>
          <w:color w:val="auto"/>
          <w:highlight w:val="none"/>
        </w:rPr>
        <w:fldChar w:fldCharType="begin"/>
      </w:r>
      <w:r>
        <w:rPr>
          <w:color w:val="auto"/>
          <w:highlight w:val="none"/>
        </w:rPr>
        <w:instrText xml:space="preserve"> PAGEREF _Toc26751 \h </w:instrText>
      </w:r>
      <w:r>
        <w:rPr>
          <w:color w:val="auto"/>
          <w:highlight w:val="none"/>
        </w:rPr>
        <w:fldChar w:fldCharType="separate"/>
      </w:r>
      <w:r>
        <w:rPr>
          <w:color w:val="auto"/>
          <w:highlight w:val="none"/>
        </w:rPr>
        <w:t>55</w:t>
      </w:r>
      <w:r>
        <w:rPr>
          <w:color w:val="auto"/>
          <w:highlight w:val="none"/>
        </w:rPr>
        <w:fldChar w:fldCharType="end"/>
      </w:r>
      <w:r>
        <w:rPr>
          <w:rFonts w:hAnsi="宋体"/>
          <w:color w:val="auto"/>
          <w:highlight w:val="none"/>
        </w:rPr>
        <w:fldChar w:fldCharType="end"/>
      </w:r>
    </w:p>
    <w:p w14:paraId="0E268A5A">
      <w:pPr>
        <w:pStyle w:val="22"/>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_Toc21457 </w:instrText>
      </w:r>
      <w:r>
        <w:rPr>
          <w:rFonts w:hAnsi="宋体"/>
          <w:color w:val="auto"/>
          <w:highlight w:val="none"/>
        </w:rPr>
        <w:fldChar w:fldCharType="separate"/>
      </w:r>
      <w:r>
        <w:rPr>
          <w:rFonts w:hint="eastAsia" w:hAnsi="宋体"/>
          <w:color w:val="auto"/>
          <w:highlight w:val="none"/>
        </w:rPr>
        <w:t>第6章 投标文件格式</w:t>
      </w:r>
      <w:r>
        <w:rPr>
          <w:color w:val="auto"/>
          <w:highlight w:val="none"/>
        </w:rPr>
        <w:tab/>
      </w:r>
      <w:r>
        <w:rPr>
          <w:color w:val="auto"/>
          <w:highlight w:val="none"/>
        </w:rPr>
        <w:fldChar w:fldCharType="begin"/>
      </w:r>
      <w:r>
        <w:rPr>
          <w:color w:val="auto"/>
          <w:highlight w:val="none"/>
        </w:rPr>
        <w:instrText xml:space="preserve"> PAGEREF _Toc21457 \h </w:instrText>
      </w:r>
      <w:r>
        <w:rPr>
          <w:color w:val="auto"/>
          <w:highlight w:val="none"/>
        </w:rPr>
        <w:fldChar w:fldCharType="separate"/>
      </w:r>
      <w:r>
        <w:rPr>
          <w:color w:val="auto"/>
          <w:highlight w:val="none"/>
        </w:rPr>
        <w:t>58</w:t>
      </w:r>
      <w:r>
        <w:rPr>
          <w:color w:val="auto"/>
          <w:highlight w:val="none"/>
        </w:rPr>
        <w:fldChar w:fldCharType="end"/>
      </w:r>
      <w:r>
        <w:rPr>
          <w:rFonts w:hAnsi="宋体"/>
          <w:color w:val="auto"/>
          <w:highlight w:val="none"/>
        </w:rPr>
        <w:fldChar w:fldCharType="end"/>
      </w:r>
    </w:p>
    <w:p w14:paraId="3683E426">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_Toc19791 </w:instrText>
      </w:r>
      <w:r>
        <w:rPr>
          <w:rFonts w:hAnsi="宋体"/>
          <w:color w:val="auto"/>
          <w:highlight w:val="none"/>
        </w:rPr>
        <w:fldChar w:fldCharType="separate"/>
      </w:r>
      <w:r>
        <w:rPr>
          <w:rFonts w:hint="eastAsia" w:ascii="宋体" w:hAnsi="宋体"/>
          <w:color w:val="auto"/>
          <w:highlight w:val="none"/>
        </w:rPr>
        <w:t>一、封面格式</w:t>
      </w:r>
      <w:r>
        <w:rPr>
          <w:color w:val="auto"/>
          <w:highlight w:val="none"/>
        </w:rPr>
        <w:tab/>
      </w:r>
      <w:r>
        <w:rPr>
          <w:color w:val="auto"/>
          <w:highlight w:val="none"/>
        </w:rPr>
        <w:fldChar w:fldCharType="begin"/>
      </w:r>
      <w:r>
        <w:rPr>
          <w:color w:val="auto"/>
          <w:highlight w:val="none"/>
        </w:rPr>
        <w:instrText xml:space="preserve"> PAGEREF _Toc19791 \h </w:instrText>
      </w:r>
      <w:r>
        <w:rPr>
          <w:color w:val="auto"/>
          <w:highlight w:val="none"/>
        </w:rPr>
        <w:fldChar w:fldCharType="separate"/>
      </w:r>
      <w:r>
        <w:rPr>
          <w:color w:val="auto"/>
          <w:highlight w:val="none"/>
        </w:rPr>
        <w:t>58</w:t>
      </w:r>
      <w:r>
        <w:rPr>
          <w:color w:val="auto"/>
          <w:highlight w:val="none"/>
        </w:rPr>
        <w:fldChar w:fldCharType="end"/>
      </w:r>
      <w:r>
        <w:rPr>
          <w:rFonts w:hAnsi="宋体"/>
          <w:color w:val="auto"/>
          <w:highlight w:val="none"/>
        </w:rPr>
        <w:fldChar w:fldCharType="end"/>
      </w:r>
    </w:p>
    <w:p w14:paraId="5E630408">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_Toc21028 </w:instrText>
      </w:r>
      <w:r>
        <w:rPr>
          <w:rFonts w:hAnsi="宋体"/>
          <w:color w:val="auto"/>
          <w:highlight w:val="none"/>
        </w:rPr>
        <w:fldChar w:fldCharType="separate"/>
      </w:r>
      <w:r>
        <w:rPr>
          <w:rFonts w:hint="eastAsia" w:ascii="宋体" w:hAnsi="宋体"/>
          <w:color w:val="auto"/>
          <w:highlight w:val="none"/>
        </w:rPr>
        <w:t>二、</w:t>
      </w:r>
      <w:r>
        <w:rPr>
          <w:rFonts w:hint="eastAsia" w:ascii="宋体" w:hAnsi="宋体" w:eastAsia="宋体" w:cs="宋体"/>
          <w:color w:val="auto"/>
          <w:highlight w:val="none"/>
        </w:rPr>
        <w:t>评审因素索引表</w:t>
      </w:r>
      <w:r>
        <w:rPr>
          <w:color w:val="auto"/>
          <w:highlight w:val="none"/>
        </w:rPr>
        <w:tab/>
      </w:r>
      <w:r>
        <w:rPr>
          <w:color w:val="auto"/>
          <w:highlight w:val="none"/>
        </w:rPr>
        <w:fldChar w:fldCharType="begin"/>
      </w:r>
      <w:r>
        <w:rPr>
          <w:color w:val="auto"/>
          <w:highlight w:val="none"/>
        </w:rPr>
        <w:instrText xml:space="preserve"> PAGEREF _Toc21028 \h </w:instrText>
      </w:r>
      <w:r>
        <w:rPr>
          <w:color w:val="auto"/>
          <w:highlight w:val="none"/>
        </w:rPr>
        <w:fldChar w:fldCharType="separate"/>
      </w:r>
      <w:r>
        <w:rPr>
          <w:color w:val="auto"/>
          <w:highlight w:val="none"/>
        </w:rPr>
        <w:t>59</w:t>
      </w:r>
      <w:r>
        <w:rPr>
          <w:color w:val="auto"/>
          <w:highlight w:val="none"/>
        </w:rPr>
        <w:fldChar w:fldCharType="end"/>
      </w:r>
      <w:r>
        <w:rPr>
          <w:rFonts w:hAnsi="宋体"/>
          <w:color w:val="auto"/>
          <w:highlight w:val="none"/>
        </w:rPr>
        <w:fldChar w:fldCharType="end"/>
      </w:r>
    </w:p>
    <w:p w14:paraId="534D5D82">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_Toc17574 </w:instrText>
      </w:r>
      <w:r>
        <w:rPr>
          <w:rFonts w:hAnsi="宋体"/>
          <w:color w:val="auto"/>
          <w:highlight w:val="none"/>
        </w:rPr>
        <w:fldChar w:fldCharType="separate"/>
      </w:r>
      <w:r>
        <w:rPr>
          <w:rFonts w:hint="eastAsia" w:ascii="宋体" w:hAnsi="宋体" w:eastAsia="宋体" w:cs="宋体"/>
          <w:bCs/>
          <w:color w:val="auto"/>
          <w:kern w:val="2"/>
          <w:szCs w:val="24"/>
          <w:highlight w:val="none"/>
          <w:lang w:val="en-US" w:eastAsia="zh-CN" w:bidi="ar-SA"/>
        </w:rPr>
        <w:t>法定代表人身份证明书</w:t>
      </w:r>
      <w:r>
        <w:rPr>
          <w:color w:val="auto"/>
          <w:highlight w:val="none"/>
        </w:rPr>
        <w:tab/>
      </w:r>
      <w:r>
        <w:rPr>
          <w:color w:val="auto"/>
          <w:highlight w:val="none"/>
        </w:rPr>
        <w:fldChar w:fldCharType="begin"/>
      </w:r>
      <w:r>
        <w:rPr>
          <w:color w:val="auto"/>
          <w:highlight w:val="none"/>
        </w:rPr>
        <w:instrText xml:space="preserve"> PAGEREF _Toc17574 \h </w:instrText>
      </w:r>
      <w:r>
        <w:rPr>
          <w:color w:val="auto"/>
          <w:highlight w:val="none"/>
        </w:rPr>
        <w:fldChar w:fldCharType="separate"/>
      </w:r>
      <w:r>
        <w:rPr>
          <w:color w:val="auto"/>
          <w:highlight w:val="none"/>
        </w:rPr>
        <w:t>59</w:t>
      </w:r>
      <w:r>
        <w:rPr>
          <w:color w:val="auto"/>
          <w:highlight w:val="none"/>
        </w:rPr>
        <w:fldChar w:fldCharType="end"/>
      </w:r>
      <w:r>
        <w:rPr>
          <w:rFonts w:hAnsi="宋体"/>
          <w:color w:val="auto"/>
          <w:highlight w:val="none"/>
        </w:rPr>
        <w:fldChar w:fldCharType="end"/>
      </w:r>
    </w:p>
    <w:p w14:paraId="1444FED4">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_Toc11092 </w:instrText>
      </w:r>
      <w:r>
        <w:rPr>
          <w:rFonts w:hAnsi="宋体"/>
          <w:color w:val="auto"/>
          <w:highlight w:val="none"/>
        </w:rPr>
        <w:fldChar w:fldCharType="separate"/>
      </w:r>
      <w:r>
        <w:rPr>
          <w:rFonts w:hint="eastAsia" w:ascii="宋体" w:hAnsi="宋体"/>
          <w:color w:val="auto"/>
          <w:highlight w:val="none"/>
          <w:lang w:val="en-US" w:eastAsia="zh-CN"/>
        </w:rPr>
        <w:t>三、</w:t>
      </w:r>
      <w:r>
        <w:rPr>
          <w:rFonts w:hint="eastAsia" w:ascii="宋体" w:hAnsi="宋体"/>
          <w:color w:val="auto"/>
          <w:highlight w:val="none"/>
        </w:rPr>
        <w:t>开标一览表</w:t>
      </w:r>
      <w:r>
        <w:rPr>
          <w:color w:val="auto"/>
          <w:highlight w:val="none"/>
        </w:rPr>
        <w:tab/>
      </w:r>
      <w:r>
        <w:rPr>
          <w:color w:val="auto"/>
          <w:highlight w:val="none"/>
        </w:rPr>
        <w:fldChar w:fldCharType="begin"/>
      </w:r>
      <w:r>
        <w:rPr>
          <w:color w:val="auto"/>
          <w:highlight w:val="none"/>
        </w:rPr>
        <w:instrText xml:space="preserve"> PAGEREF _Toc11092 \h </w:instrText>
      </w:r>
      <w:r>
        <w:rPr>
          <w:color w:val="auto"/>
          <w:highlight w:val="none"/>
        </w:rPr>
        <w:fldChar w:fldCharType="separate"/>
      </w:r>
      <w:r>
        <w:rPr>
          <w:color w:val="auto"/>
          <w:highlight w:val="none"/>
        </w:rPr>
        <w:t>62</w:t>
      </w:r>
      <w:r>
        <w:rPr>
          <w:color w:val="auto"/>
          <w:highlight w:val="none"/>
        </w:rPr>
        <w:fldChar w:fldCharType="end"/>
      </w:r>
      <w:r>
        <w:rPr>
          <w:rFonts w:hAnsi="宋体"/>
          <w:color w:val="auto"/>
          <w:highlight w:val="none"/>
        </w:rPr>
        <w:fldChar w:fldCharType="end"/>
      </w:r>
    </w:p>
    <w:p w14:paraId="50889B37">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_Toc14619 </w:instrText>
      </w:r>
      <w:r>
        <w:rPr>
          <w:rFonts w:hAnsi="宋体"/>
          <w:color w:val="auto"/>
          <w:highlight w:val="none"/>
        </w:rPr>
        <w:fldChar w:fldCharType="separate"/>
      </w:r>
      <w:r>
        <w:rPr>
          <w:rFonts w:hint="eastAsia" w:hAnsi="宋体"/>
          <w:color w:val="auto"/>
          <w:highlight w:val="none"/>
        </w:rPr>
        <w:t>1.开标一览表</w:t>
      </w:r>
      <w:r>
        <w:rPr>
          <w:color w:val="auto"/>
          <w:highlight w:val="none"/>
        </w:rPr>
        <w:tab/>
      </w:r>
      <w:r>
        <w:rPr>
          <w:color w:val="auto"/>
          <w:highlight w:val="none"/>
        </w:rPr>
        <w:fldChar w:fldCharType="begin"/>
      </w:r>
      <w:r>
        <w:rPr>
          <w:color w:val="auto"/>
          <w:highlight w:val="none"/>
        </w:rPr>
        <w:instrText xml:space="preserve"> PAGEREF _Toc14619 \h </w:instrText>
      </w:r>
      <w:r>
        <w:rPr>
          <w:color w:val="auto"/>
          <w:highlight w:val="none"/>
        </w:rPr>
        <w:fldChar w:fldCharType="separate"/>
      </w:r>
      <w:r>
        <w:rPr>
          <w:color w:val="auto"/>
          <w:highlight w:val="none"/>
        </w:rPr>
        <w:t>62</w:t>
      </w:r>
      <w:r>
        <w:rPr>
          <w:color w:val="auto"/>
          <w:highlight w:val="none"/>
        </w:rPr>
        <w:fldChar w:fldCharType="end"/>
      </w:r>
      <w:r>
        <w:rPr>
          <w:rFonts w:hAnsi="宋体"/>
          <w:color w:val="auto"/>
          <w:highlight w:val="none"/>
        </w:rPr>
        <w:fldChar w:fldCharType="end"/>
      </w:r>
    </w:p>
    <w:p w14:paraId="59DE08B5">
      <w:pPr>
        <w:pStyle w:val="26"/>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_Toc5373 </w:instrText>
      </w:r>
      <w:r>
        <w:rPr>
          <w:rFonts w:hAnsi="宋体"/>
          <w:color w:val="auto"/>
          <w:highlight w:val="none"/>
        </w:rPr>
        <w:fldChar w:fldCharType="separate"/>
      </w:r>
      <w:r>
        <w:rPr>
          <w:rFonts w:hint="eastAsia" w:ascii="宋体" w:hAnsi="宋体"/>
          <w:color w:val="auto"/>
          <w:highlight w:val="none"/>
          <w:lang w:val="en-US" w:eastAsia="zh-CN"/>
        </w:rPr>
        <w:t>四</w:t>
      </w:r>
      <w:r>
        <w:rPr>
          <w:rFonts w:hint="eastAsia" w:ascii="宋体" w:hAnsi="宋体"/>
          <w:color w:val="auto"/>
          <w:highlight w:val="none"/>
        </w:rPr>
        <w:t>、资格证明文件</w:t>
      </w:r>
      <w:r>
        <w:rPr>
          <w:color w:val="auto"/>
          <w:highlight w:val="none"/>
        </w:rPr>
        <w:tab/>
      </w:r>
      <w:r>
        <w:rPr>
          <w:color w:val="auto"/>
          <w:highlight w:val="none"/>
        </w:rPr>
        <w:fldChar w:fldCharType="begin"/>
      </w:r>
      <w:r>
        <w:rPr>
          <w:color w:val="auto"/>
          <w:highlight w:val="none"/>
        </w:rPr>
        <w:instrText xml:space="preserve"> PAGEREF _Toc5373 \h </w:instrText>
      </w:r>
      <w:r>
        <w:rPr>
          <w:color w:val="auto"/>
          <w:highlight w:val="none"/>
        </w:rPr>
        <w:fldChar w:fldCharType="separate"/>
      </w:r>
      <w:r>
        <w:rPr>
          <w:color w:val="auto"/>
          <w:highlight w:val="none"/>
        </w:rPr>
        <w:t>63</w:t>
      </w:r>
      <w:r>
        <w:rPr>
          <w:color w:val="auto"/>
          <w:highlight w:val="none"/>
        </w:rPr>
        <w:fldChar w:fldCharType="end"/>
      </w:r>
      <w:r>
        <w:rPr>
          <w:rFonts w:hAnsi="宋体"/>
          <w:color w:val="auto"/>
          <w:highlight w:val="none"/>
        </w:rPr>
        <w:fldChar w:fldCharType="end"/>
      </w:r>
    </w:p>
    <w:p w14:paraId="7CBF066E">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_Toc20897 </w:instrText>
      </w:r>
      <w:r>
        <w:rPr>
          <w:rFonts w:hAnsi="宋体"/>
          <w:color w:val="auto"/>
          <w:highlight w:val="none"/>
        </w:rPr>
        <w:fldChar w:fldCharType="separate"/>
      </w:r>
      <w:r>
        <w:rPr>
          <w:rFonts w:hint="eastAsia" w:ascii="宋体" w:hAnsi="宋体" w:eastAsia="宋体" w:cs="宋体"/>
          <w:color w:val="auto"/>
          <w:highlight w:val="none"/>
        </w:rPr>
        <w:t>2.法人或者其他组织的营业执照等证明文件或自然人的身份证明</w:t>
      </w:r>
      <w:r>
        <w:rPr>
          <w:color w:val="auto"/>
          <w:highlight w:val="none"/>
        </w:rPr>
        <w:tab/>
      </w:r>
      <w:r>
        <w:rPr>
          <w:color w:val="auto"/>
          <w:highlight w:val="none"/>
        </w:rPr>
        <w:fldChar w:fldCharType="begin"/>
      </w:r>
      <w:r>
        <w:rPr>
          <w:color w:val="auto"/>
          <w:highlight w:val="none"/>
        </w:rPr>
        <w:instrText xml:space="preserve"> PAGEREF _Toc20897 \h </w:instrText>
      </w:r>
      <w:r>
        <w:rPr>
          <w:color w:val="auto"/>
          <w:highlight w:val="none"/>
        </w:rPr>
        <w:fldChar w:fldCharType="separate"/>
      </w:r>
      <w:r>
        <w:rPr>
          <w:color w:val="auto"/>
          <w:highlight w:val="none"/>
        </w:rPr>
        <w:t>63</w:t>
      </w:r>
      <w:r>
        <w:rPr>
          <w:color w:val="auto"/>
          <w:highlight w:val="none"/>
        </w:rPr>
        <w:fldChar w:fldCharType="end"/>
      </w:r>
      <w:r>
        <w:rPr>
          <w:rFonts w:hAnsi="宋体"/>
          <w:color w:val="auto"/>
          <w:highlight w:val="none"/>
        </w:rPr>
        <w:fldChar w:fldCharType="end"/>
      </w:r>
    </w:p>
    <w:p w14:paraId="534251A2">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_Toc19206 </w:instrText>
      </w:r>
      <w:r>
        <w:rPr>
          <w:rFonts w:hAnsi="宋体"/>
          <w:color w:val="auto"/>
          <w:highlight w:val="none"/>
        </w:rPr>
        <w:fldChar w:fldCharType="separate"/>
      </w:r>
      <w:r>
        <w:rPr>
          <w:rFonts w:hint="eastAsia" w:ascii="宋体" w:hAnsi="宋体" w:eastAsia="宋体" w:cs="宋体"/>
          <w:color w:val="auto"/>
          <w:highlight w:val="none"/>
        </w:rPr>
        <w:t>3.法定代表人或负责人身份证明书</w:t>
      </w:r>
      <w:r>
        <w:rPr>
          <w:color w:val="auto"/>
          <w:highlight w:val="none"/>
        </w:rPr>
        <w:tab/>
      </w:r>
      <w:r>
        <w:rPr>
          <w:color w:val="auto"/>
          <w:highlight w:val="none"/>
        </w:rPr>
        <w:fldChar w:fldCharType="begin"/>
      </w:r>
      <w:r>
        <w:rPr>
          <w:color w:val="auto"/>
          <w:highlight w:val="none"/>
        </w:rPr>
        <w:instrText xml:space="preserve"> PAGEREF _Toc19206 \h </w:instrText>
      </w:r>
      <w:r>
        <w:rPr>
          <w:color w:val="auto"/>
          <w:highlight w:val="none"/>
        </w:rPr>
        <w:fldChar w:fldCharType="separate"/>
      </w:r>
      <w:r>
        <w:rPr>
          <w:color w:val="auto"/>
          <w:highlight w:val="none"/>
        </w:rPr>
        <w:t>63</w:t>
      </w:r>
      <w:r>
        <w:rPr>
          <w:color w:val="auto"/>
          <w:highlight w:val="none"/>
        </w:rPr>
        <w:fldChar w:fldCharType="end"/>
      </w:r>
      <w:r>
        <w:rPr>
          <w:rFonts w:hAnsi="宋体"/>
          <w:color w:val="auto"/>
          <w:highlight w:val="none"/>
        </w:rPr>
        <w:fldChar w:fldCharType="end"/>
      </w:r>
    </w:p>
    <w:p w14:paraId="60201B32">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_Toc12372 </w:instrText>
      </w:r>
      <w:r>
        <w:rPr>
          <w:rFonts w:hAnsi="宋体"/>
          <w:color w:val="auto"/>
          <w:highlight w:val="none"/>
        </w:rPr>
        <w:fldChar w:fldCharType="separate"/>
      </w:r>
      <w:r>
        <w:rPr>
          <w:rFonts w:hint="eastAsia" w:ascii="宋体" w:hAnsi="宋体" w:eastAsia="宋体" w:cs="宋体"/>
          <w:color w:val="auto"/>
          <w:highlight w:val="none"/>
        </w:rPr>
        <w:t>4.法定代表人或负责人授权书</w:t>
      </w:r>
      <w:r>
        <w:rPr>
          <w:color w:val="auto"/>
          <w:highlight w:val="none"/>
        </w:rPr>
        <w:tab/>
      </w:r>
      <w:r>
        <w:rPr>
          <w:color w:val="auto"/>
          <w:highlight w:val="none"/>
        </w:rPr>
        <w:fldChar w:fldCharType="begin"/>
      </w:r>
      <w:r>
        <w:rPr>
          <w:color w:val="auto"/>
          <w:highlight w:val="none"/>
        </w:rPr>
        <w:instrText xml:space="preserve"> PAGEREF _Toc12372 \h </w:instrText>
      </w:r>
      <w:r>
        <w:rPr>
          <w:color w:val="auto"/>
          <w:highlight w:val="none"/>
        </w:rPr>
        <w:fldChar w:fldCharType="separate"/>
      </w:r>
      <w:r>
        <w:rPr>
          <w:color w:val="auto"/>
          <w:highlight w:val="none"/>
        </w:rPr>
        <w:t>63</w:t>
      </w:r>
      <w:r>
        <w:rPr>
          <w:color w:val="auto"/>
          <w:highlight w:val="none"/>
        </w:rPr>
        <w:fldChar w:fldCharType="end"/>
      </w:r>
      <w:r>
        <w:rPr>
          <w:rFonts w:hAnsi="宋体"/>
          <w:color w:val="auto"/>
          <w:highlight w:val="none"/>
        </w:rPr>
        <w:fldChar w:fldCharType="end"/>
      </w:r>
    </w:p>
    <w:p w14:paraId="2D0C7C9F">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_Toc11685 </w:instrText>
      </w:r>
      <w:r>
        <w:rPr>
          <w:rFonts w:hAnsi="宋体"/>
          <w:color w:val="auto"/>
          <w:highlight w:val="none"/>
        </w:rPr>
        <w:fldChar w:fldCharType="separate"/>
      </w:r>
      <w:r>
        <w:rPr>
          <w:rFonts w:hint="eastAsia" w:ascii="宋体" w:hAnsi="宋体" w:eastAsia="宋体" w:cs="宋体"/>
          <w:color w:val="auto"/>
          <w:highlight w:val="none"/>
        </w:rPr>
        <w:t>5.具有良好的商业信誉和健全的财务会计制度的证明文件</w:t>
      </w:r>
      <w:r>
        <w:rPr>
          <w:color w:val="auto"/>
          <w:highlight w:val="none"/>
        </w:rPr>
        <w:tab/>
      </w:r>
      <w:r>
        <w:rPr>
          <w:color w:val="auto"/>
          <w:highlight w:val="none"/>
        </w:rPr>
        <w:fldChar w:fldCharType="begin"/>
      </w:r>
      <w:r>
        <w:rPr>
          <w:color w:val="auto"/>
          <w:highlight w:val="none"/>
        </w:rPr>
        <w:instrText xml:space="preserve"> PAGEREF _Toc11685 \h </w:instrText>
      </w:r>
      <w:r>
        <w:rPr>
          <w:color w:val="auto"/>
          <w:highlight w:val="none"/>
        </w:rPr>
        <w:fldChar w:fldCharType="separate"/>
      </w:r>
      <w:r>
        <w:rPr>
          <w:color w:val="auto"/>
          <w:highlight w:val="none"/>
        </w:rPr>
        <w:t>64</w:t>
      </w:r>
      <w:r>
        <w:rPr>
          <w:color w:val="auto"/>
          <w:highlight w:val="none"/>
        </w:rPr>
        <w:fldChar w:fldCharType="end"/>
      </w:r>
      <w:r>
        <w:rPr>
          <w:rFonts w:hAnsi="宋体"/>
          <w:color w:val="auto"/>
          <w:highlight w:val="none"/>
        </w:rPr>
        <w:fldChar w:fldCharType="end"/>
      </w:r>
    </w:p>
    <w:p w14:paraId="55FF350C">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_Toc2292 </w:instrText>
      </w:r>
      <w:r>
        <w:rPr>
          <w:rFonts w:hAnsi="宋体"/>
          <w:color w:val="auto"/>
          <w:highlight w:val="none"/>
        </w:rPr>
        <w:fldChar w:fldCharType="separate"/>
      </w:r>
      <w:r>
        <w:rPr>
          <w:rFonts w:hint="eastAsia" w:ascii="宋体" w:hAnsi="宋体" w:eastAsia="宋体" w:cs="宋体"/>
          <w:color w:val="auto"/>
          <w:highlight w:val="none"/>
        </w:rPr>
        <w:t>6.依法缴纳社会保障资金和税收的缴纳记录</w:t>
      </w:r>
      <w:r>
        <w:rPr>
          <w:color w:val="auto"/>
          <w:highlight w:val="none"/>
        </w:rPr>
        <w:tab/>
      </w:r>
      <w:r>
        <w:rPr>
          <w:color w:val="auto"/>
          <w:highlight w:val="none"/>
        </w:rPr>
        <w:fldChar w:fldCharType="begin"/>
      </w:r>
      <w:r>
        <w:rPr>
          <w:color w:val="auto"/>
          <w:highlight w:val="none"/>
        </w:rPr>
        <w:instrText xml:space="preserve"> PAGEREF _Toc2292 \h </w:instrText>
      </w:r>
      <w:r>
        <w:rPr>
          <w:color w:val="auto"/>
          <w:highlight w:val="none"/>
        </w:rPr>
        <w:fldChar w:fldCharType="separate"/>
      </w:r>
      <w:r>
        <w:rPr>
          <w:color w:val="auto"/>
          <w:highlight w:val="none"/>
        </w:rPr>
        <w:t>64</w:t>
      </w:r>
      <w:r>
        <w:rPr>
          <w:color w:val="auto"/>
          <w:highlight w:val="none"/>
        </w:rPr>
        <w:fldChar w:fldCharType="end"/>
      </w:r>
      <w:r>
        <w:rPr>
          <w:rFonts w:hAnsi="宋体"/>
          <w:color w:val="auto"/>
          <w:highlight w:val="none"/>
        </w:rPr>
        <w:fldChar w:fldCharType="end"/>
      </w:r>
    </w:p>
    <w:p w14:paraId="3DAB52A2">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_Toc11376 </w:instrText>
      </w:r>
      <w:r>
        <w:rPr>
          <w:rFonts w:hAnsi="宋体"/>
          <w:color w:val="auto"/>
          <w:highlight w:val="none"/>
        </w:rPr>
        <w:fldChar w:fldCharType="separate"/>
      </w:r>
      <w:r>
        <w:rPr>
          <w:rFonts w:hint="eastAsia" w:ascii="宋体" w:hAnsi="宋体" w:eastAsia="宋体" w:cs="宋体"/>
          <w:color w:val="auto"/>
          <w:highlight w:val="none"/>
        </w:rPr>
        <w:t>7.参加政府采购活动前3年内在经营活动中没有重大违法记录的书面声明</w:t>
      </w:r>
      <w:r>
        <w:rPr>
          <w:color w:val="auto"/>
          <w:highlight w:val="none"/>
        </w:rPr>
        <w:tab/>
      </w:r>
      <w:r>
        <w:rPr>
          <w:color w:val="auto"/>
          <w:highlight w:val="none"/>
        </w:rPr>
        <w:fldChar w:fldCharType="begin"/>
      </w:r>
      <w:r>
        <w:rPr>
          <w:color w:val="auto"/>
          <w:highlight w:val="none"/>
        </w:rPr>
        <w:instrText xml:space="preserve"> PAGEREF _Toc11376 \h </w:instrText>
      </w:r>
      <w:r>
        <w:rPr>
          <w:color w:val="auto"/>
          <w:highlight w:val="none"/>
        </w:rPr>
        <w:fldChar w:fldCharType="separate"/>
      </w:r>
      <w:r>
        <w:rPr>
          <w:color w:val="auto"/>
          <w:highlight w:val="none"/>
        </w:rPr>
        <w:t>65</w:t>
      </w:r>
      <w:r>
        <w:rPr>
          <w:color w:val="auto"/>
          <w:highlight w:val="none"/>
        </w:rPr>
        <w:fldChar w:fldCharType="end"/>
      </w:r>
      <w:r>
        <w:rPr>
          <w:rFonts w:hAnsi="宋体"/>
          <w:color w:val="auto"/>
          <w:highlight w:val="none"/>
        </w:rPr>
        <w:fldChar w:fldCharType="end"/>
      </w:r>
    </w:p>
    <w:p w14:paraId="7E591FBA">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_Toc21550 </w:instrText>
      </w:r>
      <w:r>
        <w:rPr>
          <w:rFonts w:hAnsi="宋体"/>
          <w:color w:val="auto"/>
          <w:highlight w:val="none"/>
        </w:rPr>
        <w:fldChar w:fldCharType="separate"/>
      </w:r>
      <w:r>
        <w:rPr>
          <w:rFonts w:hint="eastAsia" w:ascii="宋体" w:hAnsi="宋体" w:eastAsia="宋体" w:cs="宋体"/>
          <w:color w:val="auto"/>
          <w:highlight w:val="none"/>
        </w:rPr>
        <w:t>8.</w:t>
      </w:r>
      <w:r>
        <w:rPr>
          <w:rFonts w:hint="eastAsia" w:hAnsi="宋体" w:cs="宋体"/>
          <w:color w:val="auto"/>
          <w:highlight w:val="none"/>
          <w:lang w:eastAsia="zh-CN"/>
        </w:rPr>
        <w:t>投标人</w:t>
      </w:r>
      <w:r>
        <w:rPr>
          <w:rFonts w:hint="eastAsia" w:ascii="宋体" w:hAnsi="宋体" w:eastAsia="宋体" w:cs="宋体"/>
          <w:color w:val="auto"/>
          <w:highlight w:val="none"/>
        </w:rPr>
        <w:t>反商业贿赂承诺书</w:t>
      </w:r>
      <w:r>
        <w:rPr>
          <w:color w:val="auto"/>
          <w:highlight w:val="none"/>
        </w:rPr>
        <w:tab/>
      </w:r>
      <w:r>
        <w:rPr>
          <w:color w:val="auto"/>
          <w:highlight w:val="none"/>
        </w:rPr>
        <w:fldChar w:fldCharType="begin"/>
      </w:r>
      <w:r>
        <w:rPr>
          <w:color w:val="auto"/>
          <w:highlight w:val="none"/>
        </w:rPr>
        <w:instrText xml:space="preserve"> PAGEREF _Toc21550 \h </w:instrText>
      </w:r>
      <w:r>
        <w:rPr>
          <w:color w:val="auto"/>
          <w:highlight w:val="none"/>
        </w:rPr>
        <w:fldChar w:fldCharType="separate"/>
      </w:r>
      <w:r>
        <w:rPr>
          <w:color w:val="auto"/>
          <w:highlight w:val="none"/>
        </w:rPr>
        <w:t>65</w:t>
      </w:r>
      <w:r>
        <w:rPr>
          <w:color w:val="auto"/>
          <w:highlight w:val="none"/>
        </w:rPr>
        <w:fldChar w:fldCharType="end"/>
      </w:r>
      <w:r>
        <w:rPr>
          <w:rFonts w:hAnsi="宋体"/>
          <w:color w:val="auto"/>
          <w:highlight w:val="none"/>
        </w:rPr>
        <w:fldChar w:fldCharType="end"/>
      </w:r>
    </w:p>
    <w:p w14:paraId="53750B54">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_Toc20238 </w:instrText>
      </w:r>
      <w:r>
        <w:rPr>
          <w:rFonts w:hAnsi="宋体"/>
          <w:color w:val="auto"/>
          <w:highlight w:val="none"/>
        </w:rPr>
        <w:fldChar w:fldCharType="separate"/>
      </w:r>
      <w:r>
        <w:rPr>
          <w:rFonts w:hint="eastAsia" w:hAnsi="宋体"/>
          <w:color w:val="auto"/>
          <w:highlight w:val="none"/>
          <w:lang w:val="en-US" w:eastAsia="zh-CN"/>
        </w:rPr>
        <w:t>9</w:t>
      </w:r>
      <w:r>
        <w:rPr>
          <w:rFonts w:hint="eastAsia" w:hAnsi="宋体"/>
          <w:color w:val="auto"/>
          <w:highlight w:val="none"/>
        </w:rPr>
        <w:t>.符合价格扣除条件的投标人需提供的资料</w:t>
      </w:r>
      <w:r>
        <w:rPr>
          <w:color w:val="auto"/>
          <w:highlight w:val="none"/>
        </w:rPr>
        <w:tab/>
      </w:r>
      <w:r>
        <w:rPr>
          <w:color w:val="auto"/>
          <w:highlight w:val="none"/>
        </w:rPr>
        <w:fldChar w:fldCharType="begin"/>
      </w:r>
      <w:r>
        <w:rPr>
          <w:color w:val="auto"/>
          <w:highlight w:val="none"/>
        </w:rPr>
        <w:instrText xml:space="preserve"> PAGEREF _Toc20238 \h </w:instrText>
      </w:r>
      <w:r>
        <w:rPr>
          <w:color w:val="auto"/>
          <w:highlight w:val="none"/>
        </w:rPr>
        <w:fldChar w:fldCharType="separate"/>
      </w:r>
      <w:r>
        <w:rPr>
          <w:color w:val="auto"/>
          <w:highlight w:val="none"/>
        </w:rPr>
        <w:t>72</w:t>
      </w:r>
      <w:r>
        <w:rPr>
          <w:color w:val="auto"/>
          <w:highlight w:val="none"/>
        </w:rPr>
        <w:fldChar w:fldCharType="end"/>
      </w:r>
      <w:r>
        <w:rPr>
          <w:rFonts w:hAnsi="宋体"/>
          <w:color w:val="auto"/>
          <w:highlight w:val="none"/>
        </w:rPr>
        <w:fldChar w:fldCharType="end"/>
      </w:r>
    </w:p>
    <w:p w14:paraId="7F54DE97">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_Toc28732 </w:instrText>
      </w:r>
      <w:r>
        <w:rPr>
          <w:rFonts w:hAnsi="宋体"/>
          <w:color w:val="auto"/>
          <w:highlight w:val="none"/>
        </w:rPr>
        <w:fldChar w:fldCharType="separate"/>
      </w:r>
      <w:r>
        <w:rPr>
          <w:rFonts w:hint="eastAsia" w:hAnsi="宋体"/>
          <w:color w:val="auto"/>
          <w:highlight w:val="none"/>
          <w:lang w:val="en-US" w:eastAsia="zh-CN"/>
        </w:rPr>
        <w:t>五</w:t>
      </w:r>
      <w:r>
        <w:rPr>
          <w:rFonts w:hint="eastAsia" w:hAnsi="宋体"/>
          <w:color w:val="auto"/>
          <w:highlight w:val="none"/>
        </w:rPr>
        <w:t>、商务及技术文件</w:t>
      </w:r>
      <w:r>
        <w:rPr>
          <w:color w:val="auto"/>
          <w:highlight w:val="none"/>
        </w:rPr>
        <w:tab/>
      </w:r>
      <w:r>
        <w:rPr>
          <w:color w:val="auto"/>
          <w:highlight w:val="none"/>
        </w:rPr>
        <w:fldChar w:fldCharType="begin"/>
      </w:r>
      <w:r>
        <w:rPr>
          <w:color w:val="auto"/>
          <w:highlight w:val="none"/>
        </w:rPr>
        <w:instrText xml:space="preserve"> PAGEREF _Toc28732 \h </w:instrText>
      </w:r>
      <w:r>
        <w:rPr>
          <w:color w:val="auto"/>
          <w:highlight w:val="none"/>
        </w:rPr>
        <w:fldChar w:fldCharType="separate"/>
      </w:r>
      <w:r>
        <w:rPr>
          <w:color w:val="auto"/>
          <w:highlight w:val="none"/>
        </w:rPr>
        <w:t>67</w:t>
      </w:r>
      <w:r>
        <w:rPr>
          <w:color w:val="auto"/>
          <w:highlight w:val="none"/>
        </w:rPr>
        <w:fldChar w:fldCharType="end"/>
      </w:r>
      <w:r>
        <w:rPr>
          <w:rFonts w:hAnsi="宋体"/>
          <w:color w:val="auto"/>
          <w:highlight w:val="none"/>
        </w:rPr>
        <w:fldChar w:fldCharType="end"/>
      </w:r>
    </w:p>
    <w:p w14:paraId="0598DDCF">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_Toc8574 </w:instrText>
      </w:r>
      <w:r>
        <w:rPr>
          <w:rFonts w:hAnsi="宋体"/>
          <w:color w:val="auto"/>
          <w:highlight w:val="none"/>
        </w:rPr>
        <w:fldChar w:fldCharType="separate"/>
      </w:r>
      <w:r>
        <w:rPr>
          <w:rFonts w:hint="eastAsia" w:hAnsi="宋体"/>
          <w:color w:val="auto"/>
          <w:highlight w:val="none"/>
          <w:lang w:val="en-US" w:eastAsia="zh-CN"/>
        </w:rPr>
        <w:t>10</w:t>
      </w:r>
      <w:r>
        <w:rPr>
          <w:rFonts w:hint="eastAsia" w:hAnsi="宋体"/>
          <w:color w:val="auto"/>
          <w:highlight w:val="none"/>
        </w:rPr>
        <w:t>.投标书</w:t>
      </w:r>
      <w:r>
        <w:rPr>
          <w:color w:val="auto"/>
          <w:highlight w:val="none"/>
        </w:rPr>
        <w:tab/>
      </w:r>
      <w:r>
        <w:rPr>
          <w:color w:val="auto"/>
          <w:highlight w:val="none"/>
        </w:rPr>
        <w:fldChar w:fldCharType="begin"/>
      </w:r>
      <w:r>
        <w:rPr>
          <w:color w:val="auto"/>
          <w:highlight w:val="none"/>
        </w:rPr>
        <w:instrText xml:space="preserve"> PAGEREF _Toc8574 \h </w:instrText>
      </w:r>
      <w:r>
        <w:rPr>
          <w:color w:val="auto"/>
          <w:highlight w:val="none"/>
        </w:rPr>
        <w:fldChar w:fldCharType="separate"/>
      </w:r>
      <w:r>
        <w:rPr>
          <w:color w:val="auto"/>
          <w:highlight w:val="none"/>
        </w:rPr>
        <w:t>67</w:t>
      </w:r>
      <w:r>
        <w:rPr>
          <w:color w:val="auto"/>
          <w:highlight w:val="none"/>
        </w:rPr>
        <w:fldChar w:fldCharType="end"/>
      </w:r>
      <w:r>
        <w:rPr>
          <w:rFonts w:hAnsi="宋体"/>
          <w:color w:val="auto"/>
          <w:highlight w:val="none"/>
        </w:rPr>
        <w:fldChar w:fldCharType="end"/>
      </w:r>
    </w:p>
    <w:p w14:paraId="699C1A54">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_Toc9804 </w:instrText>
      </w:r>
      <w:r>
        <w:rPr>
          <w:rFonts w:hAnsi="宋体"/>
          <w:color w:val="auto"/>
          <w:highlight w:val="none"/>
        </w:rPr>
        <w:fldChar w:fldCharType="separate"/>
      </w:r>
      <w:r>
        <w:rPr>
          <w:rFonts w:hint="eastAsia" w:hAnsi="宋体"/>
          <w:color w:val="auto"/>
          <w:highlight w:val="none"/>
          <w:lang w:val="en-US" w:eastAsia="zh-CN"/>
        </w:rPr>
        <w:t>11</w:t>
      </w:r>
      <w:r>
        <w:rPr>
          <w:rFonts w:hint="eastAsia" w:hAnsi="宋体"/>
          <w:color w:val="auto"/>
          <w:highlight w:val="none"/>
        </w:rPr>
        <w:t>.</w:t>
      </w:r>
      <w:r>
        <w:rPr>
          <w:rFonts w:hint="eastAsia"/>
          <w:color w:val="auto"/>
          <w:highlight w:val="none"/>
          <w:lang w:val="en-US" w:eastAsia="zh-CN"/>
        </w:rPr>
        <w:t>报价明细表</w:t>
      </w:r>
      <w:r>
        <w:rPr>
          <w:color w:val="auto"/>
          <w:highlight w:val="none"/>
        </w:rPr>
        <w:tab/>
      </w:r>
      <w:r>
        <w:rPr>
          <w:color w:val="auto"/>
          <w:highlight w:val="none"/>
        </w:rPr>
        <w:fldChar w:fldCharType="begin"/>
      </w:r>
      <w:r>
        <w:rPr>
          <w:color w:val="auto"/>
          <w:highlight w:val="none"/>
        </w:rPr>
        <w:instrText xml:space="preserve"> PAGEREF _Toc9804 \h </w:instrText>
      </w:r>
      <w:r>
        <w:rPr>
          <w:color w:val="auto"/>
          <w:highlight w:val="none"/>
        </w:rPr>
        <w:fldChar w:fldCharType="separate"/>
      </w:r>
      <w:r>
        <w:rPr>
          <w:color w:val="auto"/>
          <w:highlight w:val="none"/>
        </w:rPr>
        <w:t>69</w:t>
      </w:r>
      <w:r>
        <w:rPr>
          <w:color w:val="auto"/>
          <w:highlight w:val="none"/>
        </w:rPr>
        <w:fldChar w:fldCharType="end"/>
      </w:r>
      <w:r>
        <w:rPr>
          <w:rFonts w:hAnsi="宋体"/>
          <w:color w:val="auto"/>
          <w:highlight w:val="none"/>
        </w:rPr>
        <w:fldChar w:fldCharType="end"/>
      </w:r>
    </w:p>
    <w:p w14:paraId="761B0DE8">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_Toc28438 </w:instrText>
      </w:r>
      <w:r>
        <w:rPr>
          <w:rFonts w:hAnsi="宋体"/>
          <w:color w:val="auto"/>
          <w:highlight w:val="none"/>
        </w:rPr>
        <w:fldChar w:fldCharType="separate"/>
      </w:r>
      <w:r>
        <w:rPr>
          <w:rFonts w:hint="eastAsia" w:ascii="宋体" w:hAnsi="宋体" w:eastAsia="宋体" w:cs="宋体"/>
          <w:color w:val="auto"/>
          <w:highlight w:val="none"/>
        </w:rPr>
        <w:t>1</w:t>
      </w:r>
      <w:r>
        <w:rPr>
          <w:rFonts w:hint="eastAsia" w:cs="宋体"/>
          <w:color w:val="auto"/>
          <w:highlight w:val="none"/>
          <w:lang w:val="en-US" w:eastAsia="zh-CN"/>
        </w:rPr>
        <w:t>2</w:t>
      </w:r>
      <w:r>
        <w:rPr>
          <w:rFonts w:hint="eastAsia" w:ascii="宋体" w:hAnsi="宋体" w:eastAsia="宋体" w:cs="宋体"/>
          <w:color w:val="auto"/>
          <w:highlight w:val="none"/>
        </w:rPr>
        <w:t>. 案例一览表</w:t>
      </w:r>
      <w:r>
        <w:rPr>
          <w:color w:val="auto"/>
          <w:highlight w:val="none"/>
        </w:rPr>
        <w:tab/>
      </w:r>
      <w:r>
        <w:rPr>
          <w:color w:val="auto"/>
          <w:highlight w:val="none"/>
        </w:rPr>
        <w:fldChar w:fldCharType="begin"/>
      </w:r>
      <w:r>
        <w:rPr>
          <w:color w:val="auto"/>
          <w:highlight w:val="none"/>
        </w:rPr>
        <w:instrText xml:space="preserve"> PAGEREF _Toc28438 \h </w:instrText>
      </w:r>
      <w:r>
        <w:rPr>
          <w:color w:val="auto"/>
          <w:highlight w:val="none"/>
        </w:rPr>
        <w:fldChar w:fldCharType="separate"/>
      </w:r>
      <w:r>
        <w:rPr>
          <w:color w:val="auto"/>
          <w:highlight w:val="none"/>
        </w:rPr>
        <w:t>69</w:t>
      </w:r>
      <w:r>
        <w:rPr>
          <w:color w:val="auto"/>
          <w:highlight w:val="none"/>
        </w:rPr>
        <w:fldChar w:fldCharType="end"/>
      </w:r>
      <w:r>
        <w:rPr>
          <w:rFonts w:hAnsi="宋体"/>
          <w:color w:val="auto"/>
          <w:highlight w:val="none"/>
        </w:rPr>
        <w:fldChar w:fldCharType="end"/>
      </w:r>
    </w:p>
    <w:p w14:paraId="4096EBB0">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_Toc27718 </w:instrText>
      </w:r>
      <w:r>
        <w:rPr>
          <w:rFonts w:hAnsi="宋体"/>
          <w:color w:val="auto"/>
          <w:highlight w:val="none"/>
        </w:rPr>
        <w:fldChar w:fldCharType="separate"/>
      </w:r>
      <w:r>
        <w:rPr>
          <w:rFonts w:hint="eastAsia" w:hAnsi="宋体" w:cs="宋体"/>
          <w:color w:val="auto"/>
          <w:highlight w:val="none"/>
        </w:rPr>
        <w:t>1</w:t>
      </w:r>
      <w:r>
        <w:rPr>
          <w:rFonts w:hint="eastAsia" w:cs="宋体"/>
          <w:color w:val="auto"/>
          <w:highlight w:val="none"/>
          <w:lang w:val="en-US" w:eastAsia="zh-CN"/>
        </w:rPr>
        <w:t>3</w:t>
      </w:r>
      <w:r>
        <w:rPr>
          <w:rFonts w:hint="eastAsia" w:hAnsi="宋体" w:cs="宋体"/>
          <w:color w:val="auto"/>
          <w:highlight w:val="none"/>
        </w:rPr>
        <w:t>. 服务团队人员</w:t>
      </w:r>
      <w:r>
        <w:rPr>
          <w:color w:val="auto"/>
          <w:highlight w:val="none"/>
        </w:rPr>
        <w:tab/>
      </w:r>
      <w:r>
        <w:rPr>
          <w:color w:val="auto"/>
          <w:highlight w:val="none"/>
        </w:rPr>
        <w:fldChar w:fldCharType="begin"/>
      </w:r>
      <w:r>
        <w:rPr>
          <w:color w:val="auto"/>
          <w:highlight w:val="none"/>
        </w:rPr>
        <w:instrText xml:space="preserve"> PAGEREF _Toc27718 \h </w:instrText>
      </w:r>
      <w:r>
        <w:rPr>
          <w:color w:val="auto"/>
          <w:highlight w:val="none"/>
        </w:rPr>
        <w:fldChar w:fldCharType="separate"/>
      </w:r>
      <w:r>
        <w:rPr>
          <w:color w:val="auto"/>
          <w:highlight w:val="none"/>
        </w:rPr>
        <w:t>70</w:t>
      </w:r>
      <w:r>
        <w:rPr>
          <w:color w:val="auto"/>
          <w:highlight w:val="none"/>
        </w:rPr>
        <w:fldChar w:fldCharType="end"/>
      </w:r>
      <w:r>
        <w:rPr>
          <w:rFonts w:hAnsi="宋体"/>
          <w:color w:val="auto"/>
          <w:highlight w:val="none"/>
        </w:rPr>
        <w:fldChar w:fldCharType="end"/>
      </w:r>
    </w:p>
    <w:p w14:paraId="2B827D60">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_Toc5753 </w:instrText>
      </w:r>
      <w:r>
        <w:rPr>
          <w:rFonts w:hAnsi="宋体"/>
          <w:color w:val="auto"/>
          <w:highlight w:val="none"/>
        </w:rPr>
        <w:fldChar w:fldCharType="separate"/>
      </w:r>
      <w:r>
        <w:rPr>
          <w:rFonts w:hint="eastAsia" w:hAnsi="宋体"/>
          <w:color w:val="auto"/>
          <w:highlight w:val="none"/>
        </w:rPr>
        <w:t>1</w:t>
      </w:r>
      <w:r>
        <w:rPr>
          <w:rFonts w:hint="eastAsia" w:hAnsi="宋体"/>
          <w:color w:val="auto"/>
          <w:highlight w:val="none"/>
          <w:lang w:val="en-US" w:eastAsia="zh-CN"/>
        </w:rPr>
        <w:t>4</w:t>
      </w:r>
      <w:r>
        <w:rPr>
          <w:rFonts w:hint="eastAsia" w:hAnsi="宋体"/>
          <w:color w:val="auto"/>
          <w:highlight w:val="none"/>
        </w:rPr>
        <w:t>.技术响应表</w:t>
      </w:r>
      <w:r>
        <w:rPr>
          <w:color w:val="auto"/>
          <w:highlight w:val="none"/>
        </w:rPr>
        <w:tab/>
      </w:r>
      <w:r>
        <w:rPr>
          <w:color w:val="auto"/>
          <w:highlight w:val="none"/>
        </w:rPr>
        <w:fldChar w:fldCharType="begin"/>
      </w:r>
      <w:r>
        <w:rPr>
          <w:color w:val="auto"/>
          <w:highlight w:val="none"/>
        </w:rPr>
        <w:instrText xml:space="preserve"> PAGEREF _Toc5753 \h </w:instrText>
      </w:r>
      <w:r>
        <w:rPr>
          <w:color w:val="auto"/>
          <w:highlight w:val="none"/>
        </w:rPr>
        <w:fldChar w:fldCharType="separate"/>
      </w:r>
      <w:r>
        <w:rPr>
          <w:color w:val="auto"/>
          <w:highlight w:val="none"/>
        </w:rPr>
        <w:t>72</w:t>
      </w:r>
      <w:r>
        <w:rPr>
          <w:color w:val="auto"/>
          <w:highlight w:val="none"/>
        </w:rPr>
        <w:fldChar w:fldCharType="end"/>
      </w:r>
      <w:r>
        <w:rPr>
          <w:rFonts w:hAnsi="宋体"/>
          <w:color w:val="auto"/>
          <w:highlight w:val="none"/>
        </w:rPr>
        <w:fldChar w:fldCharType="end"/>
      </w:r>
    </w:p>
    <w:p w14:paraId="5B2DCBDC">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_Toc31051 </w:instrText>
      </w:r>
      <w:r>
        <w:rPr>
          <w:rFonts w:hAnsi="宋体"/>
          <w:color w:val="auto"/>
          <w:highlight w:val="none"/>
        </w:rPr>
        <w:fldChar w:fldCharType="separate"/>
      </w:r>
      <w:r>
        <w:rPr>
          <w:rFonts w:hint="eastAsia" w:hAnsi="宋体"/>
          <w:color w:val="auto"/>
          <w:highlight w:val="none"/>
        </w:rPr>
        <w:t>1</w:t>
      </w:r>
      <w:r>
        <w:rPr>
          <w:rFonts w:hint="eastAsia" w:hAnsi="宋体"/>
          <w:color w:val="auto"/>
          <w:highlight w:val="none"/>
          <w:lang w:val="en-US" w:eastAsia="zh-CN"/>
        </w:rPr>
        <w:t>5</w:t>
      </w:r>
      <w:r>
        <w:rPr>
          <w:rFonts w:hint="eastAsia" w:hAnsi="宋体"/>
          <w:color w:val="auto"/>
          <w:highlight w:val="none"/>
        </w:rPr>
        <w:t>.技术评审文件</w:t>
      </w:r>
      <w:r>
        <w:rPr>
          <w:color w:val="auto"/>
          <w:highlight w:val="none"/>
        </w:rPr>
        <w:tab/>
      </w:r>
      <w:r>
        <w:rPr>
          <w:color w:val="auto"/>
          <w:highlight w:val="none"/>
        </w:rPr>
        <w:fldChar w:fldCharType="begin"/>
      </w:r>
      <w:r>
        <w:rPr>
          <w:color w:val="auto"/>
          <w:highlight w:val="none"/>
        </w:rPr>
        <w:instrText xml:space="preserve"> PAGEREF _Toc31051 \h </w:instrText>
      </w:r>
      <w:r>
        <w:rPr>
          <w:color w:val="auto"/>
          <w:highlight w:val="none"/>
        </w:rPr>
        <w:fldChar w:fldCharType="separate"/>
      </w:r>
      <w:r>
        <w:rPr>
          <w:color w:val="auto"/>
          <w:highlight w:val="none"/>
        </w:rPr>
        <w:t>72</w:t>
      </w:r>
      <w:r>
        <w:rPr>
          <w:color w:val="auto"/>
          <w:highlight w:val="none"/>
        </w:rPr>
        <w:fldChar w:fldCharType="end"/>
      </w:r>
      <w:r>
        <w:rPr>
          <w:rFonts w:hAnsi="宋体"/>
          <w:color w:val="auto"/>
          <w:highlight w:val="none"/>
        </w:rPr>
        <w:fldChar w:fldCharType="end"/>
      </w:r>
    </w:p>
    <w:p w14:paraId="60B2716B">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_Toc6276 </w:instrText>
      </w:r>
      <w:r>
        <w:rPr>
          <w:rFonts w:hAnsi="宋体"/>
          <w:color w:val="auto"/>
          <w:highlight w:val="none"/>
        </w:rPr>
        <w:fldChar w:fldCharType="separate"/>
      </w:r>
      <w:r>
        <w:rPr>
          <w:rFonts w:hint="eastAsia" w:hAnsi="宋体"/>
          <w:color w:val="auto"/>
          <w:highlight w:val="none"/>
          <w:lang w:val="en-US" w:eastAsia="zh-CN"/>
        </w:rPr>
        <w:t>16</w:t>
      </w:r>
      <w:r>
        <w:rPr>
          <w:rFonts w:hint="eastAsia" w:hAnsi="宋体"/>
          <w:color w:val="auto"/>
          <w:highlight w:val="none"/>
        </w:rPr>
        <w:t>.其他用于评分的证明材料</w:t>
      </w:r>
      <w:r>
        <w:rPr>
          <w:color w:val="auto"/>
          <w:highlight w:val="none"/>
        </w:rPr>
        <w:tab/>
      </w:r>
      <w:r>
        <w:rPr>
          <w:color w:val="auto"/>
          <w:highlight w:val="none"/>
        </w:rPr>
        <w:fldChar w:fldCharType="begin"/>
      </w:r>
      <w:r>
        <w:rPr>
          <w:color w:val="auto"/>
          <w:highlight w:val="none"/>
        </w:rPr>
        <w:instrText xml:space="preserve"> PAGEREF _Toc6276 \h </w:instrText>
      </w:r>
      <w:r>
        <w:rPr>
          <w:color w:val="auto"/>
          <w:highlight w:val="none"/>
        </w:rPr>
        <w:fldChar w:fldCharType="separate"/>
      </w:r>
      <w:r>
        <w:rPr>
          <w:color w:val="auto"/>
          <w:highlight w:val="none"/>
        </w:rPr>
        <w:t>74</w:t>
      </w:r>
      <w:r>
        <w:rPr>
          <w:color w:val="auto"/>
          <w:highlight w:val="none"/>
        </w:rPr>
        <w:fldChar w:fldCharType="end"/>
      </w:r>
      <w:r>
        <w:rPr>
          <w:rFonts w:hAnsi="宋体"/>
          <w:color w:val="auto"/>
          <w:highlight w:val="none"/>
        </w:rPr>
        <w:fldChar w:fldCharType="end"/>
      </w:r>
    </w:p>
    <w:p w14:paraId="5699AEE9">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_Toc24566 </w:instrText>
      </w:r>
      <w:r>
        <w:rPr>
          <w:rFonts w:hAnsi="宋体"/>
          <w:color w:val="auto"/>
          <w:highlight w:val="none"/>
        </w:rPr>
        <w:fldChar w:fldCharType="separate"/>
      </w:r>
      <w:r>
        <w:rPr>
          <w:rFonts w:hint="eastAsia" w:hAnsi="宋体"/>
          <w:color w:val="auto"/>
          <w:highlight w:val="none"/>
          <w:lang w:val="en-US" w:eastAsia="zh-CN"/>
        </w:rPr>
        <w:t>17</w:t>
      </w:r>
      <w:r>
        <w:rPr>
          <w:rFonts w:hint="eastAsia" w:hAnsi="宋体"/>
          <w:color w:val="auto"/>
          <w:highlight w:val="none"/>
        </w:rPr>
        <w:t>.投标人关联单位的说明</w:t>
      </w:r>
      <w:r>
        <w:rPr>
          <w:color w:val="auto"/>
          <w:highlight w:val="none"/>
        </w:rPr>
        <w:tab/>
      </w:r>
      <w:r>
        <w:rPr>
          <w:color w:val="auto"/>
          <w:highlight w:val="none"/>
        </w:rPr>
        <w:fldChar w:fldCharType="begin"/>
      </w:r>
      <w:r>
        <w:rPr>
          <w:color w:val="auto"/>
          <w:highlight w:val="none"/>
        </w:rPr>
        <w:instrText xml:space="preserve"> PAGEREF _Toc24566 \h </w:instrText>
      </w:r>
      <w:r>
        <w:rPr>
          <w:color w:val="auto"/>
          <w:highlight w:val="none"/>
        </w:rPr>
        <w:fldChar w:fldCharType="separate"/>
      </w:r>
      <w:r>
        <w:rPr>
          <w:color w:val="auto"/>
          <w:highlight w:val="none"/>
        </w:rPr>
        <w:t>74</w:t>
      </w:r>
      <w:r>
        <w:rPr>
          <w:color w:val="auto"/>
          <w:highlight w:val="none"/>
        </w:rPr>
        <w:fldChar w:fldCharType="end"/>
      </w:r>
      <w:r>
        <w:rPr>
          <w:rFonts w:hAnsi="宋体"/>
          <w:color w:val="auto"/>
          <w:highlight w:val="none"/>
        </w:rPr>
        <w:fldChar w:fldCharType="end"/>
      </w:r>
    </w:p>
    <w:p w14:paraId="63BFFF20">
      <w:pPr>
        <w:pStyle w:val="13"/>
        <w:pageBreakBefore w:val="0"/>
        <w:widowControl w:val="0"/>
        <w:tabs>
          <w:tab w:val="right" w:leader="middleDot" w:pos="8312"/>
          <w:tab w:val="clear" w:pos="1260"/>
          <w:tab w:val="clear" w:pos="8630"/>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_Toc26046 </w:instrText>
      </w:r>
      <w:r>
        <w:rPr>
          <w:rFonts w:hAnsi="宋体"/>
          <w:color w:val="auto"/>
          <w:highlight w:val="none"/>
        </w:rPr>
        <w:fldChar w:fldCharType="separate"/>
      </w:r>
      <w:r>
        <w:rPr>
          <w:rFonts w:hint="eastAsia" w:hAnsi="宋体"/>
          <w:color w:val="auto"/>
          <w:highlight w:val="none"/>
          <w:lang w:val="en-US" w:eastAsia="zh-CN"/>
        </w:rPr>
        <w:t>18</w:t>
      </w:r>
      <w:r>
        <w:rPr>
          <w:rFonts w:hint="eastAsia" w:hAnsi="宋体"/>
          <w:color w:val="auto"/>
          <w:highlight w:val="none"/>
        </w:rPr>
        <w:t>.其他材料</w:t>
      </w:r>
      <w:r>
        <w:rPr>
          <w:color w:val="auto"/>
          <w:highlight w:val="none"/>
        </w:rPr>
        <w:tab/>
      </w:r>
      <w:r>
        <w:rPr>
          <w:color w:val="auto"/>
          <w:highlight w:val="none"/>
        </w:rPr>
        <w:fldChar w:fldCharType="begin"/>
      </w:r>
      <w:r>
        <w:rPr>
          <w:color w:val="auto"/>
          <w:highlight w:val="none"/>
        </w:rPr>
        <w:instrText xml:space="preserve"> PAGEREF _Toc26046 \h </w:instrText>
      </w:r>
      <w:r>
        <w:rPr>
          <w:color w:val="auto"/>
          <w:highlight w:val="none"/>
        </w:rPr>
        <w:fldChar w:fldCharType="separate"/>
      </w:r>
      <w:r>
        <w:rPr>
          <w:color w:val="auto"/>
          <w:highlight w:val="none"/>
        </w:rPr>
        <w:t>74</w:t>
      </w:r>
      <w:r>
        <w:rPr>
          <w:color w:val="auto"/>
          <w:highlight w:val="none"/>
        </w:rPr>
        <w:fldChar w:fldCharType="end"/>
      </w:r>
      <w:r>
        <w:rPr>
          <w:rFonts w:hAnsi="宋体"/>
          <w:color w:val="auto"/>
          <w:highlight w:val="none"/>
        </w:rPr>
        <w:fldChar w:fldCharType="end"/>
      </w:r>
    </w:p>
    <w:p w14:paraId="71AC05F9">
      <w:pPr>
        <w:pStyle w:val="22"/>
        <w:pageBreakBefore w:val="0"/>
        <w:widowControl w:val="0"/>
        <w:tabs>
          <w:tab w:val="right" w:leader="middleDot" w:pos="8312"/>
        </w:tabs>
        <w:kinsoku/>
        <w:wordWrap/>
        <w:overflowPunct/>
        <w:topLinePunct w:val="0"/>
        <w:bidi w:val="0"/>
        <w:snapToGrid/>
        <w:spacing w:line="440" w:lineRule="exact"/>
        <w:textAlignment w:val="auto"/>
        <w:rPr>
          <w:color w:val="auto"/>
          <w:highlight w:val="none"/>
        </w:rPr>
      </w:pPr>
      <w:r>
        <w:rPr>
          <w:rFonts w:hAnsi="宋体"/>
          <w:color w:val="auto"/>
          <w:highlight w:val="none"/>
        </w:rPr>
        <w:fldChar w:fldCharType="begin"/>
      </w:r>
      <w:r>
        <w:rPr>
          <w:rFonts w:hAnsi="宋体"/>
          <w:color w:val="auto"/>
          <w:highlight w:val="none"/>
        </w:rPr>
        <w:instrText xml:space="preserve"> HYPERLINK \l _Toc7618 </w:instrText>
      </w:r>
      <w:r>
        <w:rPr>
          <w:rFonts w:hAnsi="宋体"/>
          <w:color w:val="auto"/>
          <w:highlight w:val="none"/>
        </w:rPr>
        <w:fldChar w:fldCharType="separate"/>
      </w:r>
      <w:r>
        <w:rPr>
          <w:rFonts w:hint="eastAsia" w:hAnsi="宋体"/>
          <w:color w:val="auto"/>
          <w:highlight w:val="none"/>
        </w:rPr>
        <w:t>第7章 政府采购合同格式</w:t>
      </w:r>
      <w:r>
        <w:rPr>
          <w:color w:val="auto"/>
          <w:highlight w:val="none"/>
        </w:rPr>
        <w:tab/>
      </w:r>
      <w:r>
        <w:rPr>
          <w:color w:val="auto"/>
          <w:highlight w:val="none"/>
        </w:rPr>
        <w:fldChar w:fldCharType="begin"/>
      </w:r>
      <w:r>
        <w:rPr>
          <w:color w:val="auto"/>
          <w:highlight w:val="none"/>
        </w:rPr>
        <w:instrText xml:space="preserve"> PAGEREF _Toc7618 \h </w:instrText>
      </w:r>
      <w:r>
        <w:rPr>
          <w:color w:val="auto"/>
          <w:highlight w:val="none"/>
        </w:rPr>
        <w:fldChar w:fldCharType="separate"/>
      </w:r>
      <w:r>
        <w:rPr>
          <w:color w:val="auto"/>
          <w:highlight w:val="none"/>
        </w:rPr>
        <w:t>75</w:t>
      </w:r>
      <w:r>
        <w:rPr>
          <w:color w:val="auto"/>
          <w:highlight w:val="none"/>
        </w:rPr>
        <w:fldChar w:fldCharType="end"/>
      </w:r>
      <w:r>
        <w:rPr>
          <w:rFonts w:hAnsi="宋体"/>
          <w:color w:val="auto"/>
          <w:highlight w:val="none"/>
        </w:rPr>
        <w:fldChar w:fldCharType="end"/>
      </w:r>
    </w:p>
    <w:p w14:paraId="7A088548">
      <w:pPr>
        <w:pStyle w:val="2"/>
        <w:pageBreakBefore w:val="0"/>
        <w:widowControl w:val="0"/>
        <w:tabs>
          <w:tab w:val="right" w:leader="dot" w:pos="8302"/>
        </w:tabs>
        <w:kinsoku/>
        <w:wordWrap/>
        <w:overflowPunct/>
        <w:topLinePunct w:val="0"/>
        <w:bidi w:val="0"/>
        <w:snapToGrid/>
        <w:spacing w:before="0" w:after="0" w:line="440" w:lineRule="exact"/>
        <w:textAlignment w:val="auto"/>
        <w:rPr>
          <w:rFonts w:hAnsi="宋体"/>
          <w:color w:val="auto"/>
          <w:highlight w:val="none"/>
        </w:rPr>
      </w:pPr>
      <w:r>
        <w:rPr>
          <w:rFonts w:hAnsi="宋体"/>
          <w:color w:val="auto"/>
          <w:highlight w:val="none"/>
        </w:rPr>
        <w:fldChar w:fldCharType="end"/>
      </w:r>
      <w:bookmarkStart w:id="3" w:name="_Toc515647756"/>
    </w:p>
    <w:p w14:paraId="5D9FA221">
      <w:pPr>
        <w:pStyle w:val="2"/>
        <w:spacing w:line="600" w:lineRule="exact"/>
        <w:rPr>
          <w:rFonts w:hint="eastAsia" w:hAnsi="宋体"/>
          <w:color w:val="auto"/>
          <w:highlight w:val="none"/>
        </w:rPr>
      </w:pPr>
      <w:r>
        <w:rPr>
          <w:rFonts w:hAnsi="宋体"/>
          <w:color w:val="auto"/>
          <w:highlight w:val="none"/>
        </w:rPr>
        <w:br w:type="page"/>
      </w:r>
      <w:bookmarkStart w:id="4" w:name="_Toc789"/>
      <w:r>
        <w:rPr>
          <w:rFonts w:hint="eastAsia" w:hAnsi="宋体"/>
          <w:color w:val="auto"/>
          <w:highlight w:val="none"/>
        </w:rPr>
        <w:t>第1章 投标人须知</w:t>
      </w:r>
      <w:bookmarkEnd w:id="0"/>
      <w:bookmarkEnd w:id="1"/>
      <w:bookmarkEnd w:id="2"/>
      <w:bookmarkEnd w:id="3"/>
      <w:bookmarkEnd w:id="4"/>
    </w:p>
    <w:p w14:paraId="7BCEEF68">
      <w:pPr>
        <w:pageBreakBefore w:val="0"/>
        <w:widowControl w:val="0"/>
        <w:numPr>
          <w:ilvl w:val="0"/>
          <w:numId w:val="0"/>
        </w:numPr>
        <w:kinsoku/>
        <w:wordWrap/>
        <w:overflowPunct/>
        <w:topLinePunct w:val="0"/>
        <w:bidi w:val="0"/>
        <w:spacing w:line="480" w:lineRule="exact"/>
        <w:textAlignment w:val="auto"/>
        <w:rPr>
          <w:rFonts w:hint="eastAsia" w:ascii="宋体" w:hAnsi="宋体" w:eastAsia="宋体" w:cs="宋体"/>
          <w:b/>
          <w:color w:val="auto"/>
          <w:kern w:val="0"/>
          <w:sz w:val="24"/>
          <w:szCs w:val="20"/>
          <w:highlight w:val="none"/>
          <w:u w:val="none"/>
          <w:lang w:val="en-US" w:eastAsia="zh-CN" w:bidi="ar-SA"/>
        </w:rPr>
      </w:pPr>
      <w:bookmarkStart w:id="5" w:name="_Toc520356143"/>
      <w:bookmarkStart w:id="6" w:name="_Toc515647757"/>
      <w:bookmarkStart w:id="7" w:name="_Toc216582805"/>
      <w:bookmarkStart w:id="8" w:name="_Toc21015"/>
      <w:bookmarkStart w:id="9" w:name="_Toc21215"/>
      <w:r>
        <w:rPr>
          <w:rFonts w:hint="eastAsia" w:ascii="宋体" w:hAnsi="宋体" w:eastAsia="宋体" w:cs="宋体"/>
          <w:b/>
          <w:color w:val="auto"/>
          <w:kern w:val="0"/>
          <w:sz w:val="24"/>
          <w:szCs w:val="20"/>
          <w:highlight w:val="none"/>
          <w:u w:val="none"/>
          <w:lang w:val="en-US" w:eastAsia="zh-CN" w:bidi="ar-SA"/>
        </w:rPr>
        <w:t>倡导及建议：</w:t>
      </w:r>
    </w:p>
    <w:p w14:paraId="6B190A4E">
      <w:pPr>
        <w:pStyle w:val="4"/>
        <w:keepNext/>
        <w:keepLines/>
        <w:pageBreakBefore w:val="0"/>
        <w:widowControl w:val="0"/>
        <w:kinsoku/>
        <w:wordWrap/>
        <w:overflowPunct/>
        <w:topLinePunct w:val="0"/>
        <w:autoSpaceDE w:val="0"/>
        <w:autoSpaceDN w:val="0"/>
        <w:bidi w:val="0"/>
        <w:adjustRightInd w:val="0"/>
        <w:snapToGrid w:val="0"/>
        <w:spacing w:before="0" w:after="0" w:line="480" w:lineRule="exact"/>
        <w:textAlignment w:val="auto"/>
        <w:rPr>
          <w:rFonts w:hint="default" w:ascii="宋体" w:hAnsi="宋体" w:eastAsia="宋体" w:cs="宋体"/>
          <w:b w:val="0"/>
          <w:color w:val="auto"/>
          <w:kern w:val="2"/>
          <w:sz w:val="24"/>
          <w:szCs w:val="24"/>
          <w:highlight w:val="none"/>
          <w:u w:val="none"/>
          <w:lang w:val="en-US" w:eastAsia="zh-CN" w:bidi="ar-SA"/>
        </w:rPr>
      </w:pPr>
      <w:r>
        <w:rPr>
          <w:rFonts w:hint="default"/>
          <w:color w:val="auto"/>
          <w:highlight w:val="none"/>
          <w:u w:val="none"/>
          <w:lang w:val="en-US" w:eastAsia="zh-CN"/>
        </w:rPr>
        <w:t xml:space="preserve">  </w:t>
      </w:r>
      <w:r>
        <w:rPr>
          <w:rFonts w:hint="default" w:ascii="宋体" w:hAnsi="宋体" w:eastAsia="宋体" w:cs="宋体"/>
          <w:b w:val="0"/>
          <w:color w:val="auto"/>
          <w:kern w:val="2"/>
          <w:sz w:val="24"/>
          <w:szCs w:val="24"/>
          <w:highlight w:val="none"/>
          <w:u w:val="none"/>
          <w:lang w:val="en-US" w:eastAsia="zh-CN" w:bidi="ar-SA"/>
        </w:rPr>
        <w:t xml:space="preserve"> </w:t>
      </w:r>
      <w:bookmarkStart w:id="10" w:name="_Toc21740"/>
      <w:r>
        <w:rPr>
          <w:rFonts w:hint="eastAsia" w:hAnsi="宋体" w:cs="宋体"/>
          <w:b w:val="0"/>
          <w:color w:val="auto"/>
          <w:kern w:val="2"/>
          <w:sz w:val="24"/>
          <w:szCs w:val="24"/>
          <w:highlight w:val="none"/>
          <w:u w:val="none"/>
          <w:lang w:val="en-US" w:eastAsia="zh-CN" w:bidi="ar-SA"/>
        </w:rPr>
        <w:t xml:space="preserve"> </w:t>
      </w:r>
      <w:r>
        <w:rPr>
          <w:rFonts w:hint="eastAsia" w:cs="宋体"/>
          <w:b w:val="0"/>
          <w:color w:val="auto"/>
          <w:kern w:val="2"/>
          <w:sz w:val="24"/>
          <w:szCs w:val="24"/>
          <w:highlight w:val="none"/>
          <w:u w:val="none"/>
          <w:lang w:val="en-US" w:eastAsia="zh-CN" w:bidi="ar-SA"/>
        </w:rPr>
        <w:t>投标文件</w:t>
      </w:r>
      <w:r>
        <w:rPr>
          <w:rFonts w:hint="default" w:ascii="宋体" w:hAnsi="宋体" w:eastAsia="宋体" w:cs="宋体"/>
          <w:b w:val="0"/>
          <w:color w:val="auto"/>
          <w:kern w:val="2"/>
          <w:sz w:val="24"/>
          <w:szCs w:val="24"/>
          <w:highlight w:val="none"/>
          <w:u w:val="none"/>
          <w:lang w:val="en-US" w:eastAsia="zh-CN" w:bidi="ar-SA"/>
        </w:rPr>
        <w:t>的厚重，不是评定是否中标的因素</w:t>
      </w:r>
      <w:r>
        <w:rPr>
          <w:rFonts w:hint="eastAsia" w:hAnsi="宋体" w:cs="宋体"/>
          <w:b w:val="0"/>
          <w:color w:val="auto"/>
          <w:kern w:val="2"/>
          <w:sz w:val="24"/>
          <w:szCs w:val="24"/>
          <w:highlight w:val="none"/>
          <w:u w:val="none"/>
          <w:lang w:val="en-US" w:eastAsia="zh-CN" w:bidi="ar-SA"/>
        </w:rPr>
        <w:t>，更</w:t>
      </w:r>
      <w:r>
        <w:rPr>
          <w:rFonts w:hint="default" w:ascii="宋体" w:hAnsi="宋体" w:eastAsia="宋体" w:cs="宋体"/>
          <w:b w:val="0"/>
          <w:color w:val="auto"/>
          <w:kern w:val="2"/>
          <w:sz w:val="24"/>
          <w:szCs w:val="24"/>
          <w:highlight w:val="none"/>
          <w:u w:val="none"/>
          <w:lang w:val="en-US" w:eastAsia="zh-CN" w:bidi="ar-SA"/>
        </w:rPr>
        <w:t>不便于评审专家翻阅及</w:t>
      </w:r>
      <w:r>
        <w:rPr>
          <w:rFonts w:hint="eastAsia" w:hAnsi="宋体" w:cs="宋体"/>
          <w:b w:val="0"/>
          <w:color w:val="auto"/>
          <w:kern w:val="2"/>
          <w:sz w:val="24"/>
          <w:szCs w:val="24"/>
          <w:highlight w:val="none"/>
          <w:u w:val="none"/>
          <w:lang w:val="en-US" w:eastAsia="zh-CN" w:bidi="ar-SA"/>
        </w:rPr>
        <w:t>评审</w:t>
      </w:r>
      <w:r>
        <w:rPr>
          <w:rFonts w:hint="default" w:ascii="宋体" w:hAnsi="宋体" w:eastAsia="宋体" w:cs="宋体"/>
          <w:b w:val="0"/>
          <w:color w:val="auto"/>
          <w:kern w:val="2"/>
          <w:sz w:val="24"/>
          <w:szCs w:val="24"/>
          <w:highlight w:val="none"/>
          <w:u w:val="none"/>
          <w:lang w:val="en-US" w:eastAsia="zh-CN" w:bidi="ar-SA"/>
        </w:rPr>
        <w:t>。</w:t>
      </w:r>
      <w:bookmarkEnd w:id="10"/>
    </w:p>
    <w:p w14:paraId="700BC1F3">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0" w:firstLineChars="200"/>
        <w:textAlignment w:val="auto"/>
        <w:rPr>
          <w:rFonts w:hint="default" w:cs="宋体"/>
          <w:b w:val="0"/>
          <w:color w:val="auto"/>
          <w:kern w:val="2"/>
          <w:sz w:val="24"/>
          <w:szCs w:val="24"/>
          <w:highlight w:val="none"/>
          <w:u w:val="none"/>
          <w:lang w:val="en-US" w:eastAsia="zh-CN" w:bidi="ar-SA"/>
        </w:rPr>
      </w:pPr>
      <w:bookmarkStart w:id="11" w:name="_Toc9620"/>
      <w:r>
        <w:rPr>
          <w:rFonts w:hint="default" w:cs="宋体"/>
          <w:b w:val="0"/>
          <w:color w:val="auto"/>
          <w:kern w:val="2"/>
          <w:sz w:val="24"/>
          <w:szCs w:val="24"/>
          <w:highlight w:val="none"/>
          <w:u w:val="none"/>
          <w:lang w:val="en-US" w:eastAsia="zh-CN" w:bidi="ar-SA"/>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cs="宋体"/>
          <w:b w:val="0"/>
          <w:color w:val="auto"/>
          <w:kern w:val="2"/>
          <w:sz w:val="24"/>
          <w:szCs w:val="24"/>
          <w:highlight w:val="none"/>
          <w:u w:val="none"/>
          <w:lang w:val="en-US" w:eastAsia="zh-CN" w:bidi="ar-SA"/>
        </w:rPr>
        <w:t>投标文件</w:t>
      </w:r>
      <w:r>
        <w:rPr>
          <w:rFonts w:hint="default" w:cs="宋体"/>
          <w:b w:val="0"/>
          <w:color w:val="auto"/>
          <w:kern w:val="2"/>
          <w:sz w:val="24"/>
          <w:szCs w:val="24"/>
          <w:highlight w:val="none"/>
          <w:u w:val="none"/>
          <w:lang w:val="en-US" w:eastAsia="zh-CN" w:bidi="ar-SA"/>
        </w:rPr>
        <w:t>时，</w:t>
      </w:r>
      <w:r>
        <w:rPr>
          <w:rFonts w:hint="eastAsia" w:cs="宋体"/>
          <w:b w:val="0"/>
          <w:color w:val="auto"/>
          <w:kern w:val="2"/>
          <w:sz w:val="24"/>
          <w:szCs w:val="24"/>
          <w:highlight w:val="none"/>
          <w:u w:val="none"/>
          <w:lang w:val="en-US" w:eastAsia="zh-CN" w:bidi="ar-SA"/>
        </w:rPr>
        <w:t>临沂大学</w:t>
      </w:r>
      <w:r>
        <w:rPr>
          <w:rFonts w:hint="default" w:cs="宋体"/>
          <w:b w:val="0"/>
          <w:color w:val="auto"/>
          <w:kern w:val="2"/>
          <w:sz w:val="24"/>
          <w:szCs w:val="24"/>
          <w:highlight w:val="none"/>
          <w:u w:val="none"/>
          <w:lang w:val="en-US" w:eastAsia="zh-CN" w:bidi="ar-SA"/>
        </w:rPr>
        <w:t>倡导及建议如下:</w:t>
      </w:r>
      <w:bookmarkEnd w:id="11"/>
    </w:p>
    <w:p w14:paraId="18ADDB6D">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2" w:firstLineChars="200"/>
        <w:textAlignment w:val="auto"/>
        <w:rPr>
          <w:rFonts w:hint="default"/>
          <w:b/>
          <w:bCs/>
          <w:color w:val="auto"/>
          <w:highlight w:val="none"/>
          <w:u w:val="single"/>
          <w:lang w:val="en-US" w:eastAsia="zh-CN"/>
        </w:rPr>
      </w:pPr>
      <w:bookmarkStart w:id="12" w:name="_Toc3074"/>
      <w:r>
        <w:rPr>
          <w:rFonts w:hint="default" w:ascii="宋体" w:hAnsi="宋体" w:eastAsia="宋体" w:cs="宋体"/>
          <w:b/>
          <w:bCs/>
          <w:color w:val="auto"/>
          <w:kern w:val="2"/>
          <w:sz w:val="24"/>
          <w:szCs w:val="24"/>
          <w:highlight w:val="none"/>
          <w:u w:val="single"/>
          <w:lang w:val="en-US" w:eastAsia="zh-CN" w:bidi="ar-SA"/>
        </w:rPr>
        <w:t>“除必要的商务文书或要求的证书复印件外，</w:t>
      </w:r>
      <w:r>
        <w:rPr>
          <w:rFonts w:hint="eastAsia" w:cs="宋体"/>
          <w:b/>
          <w:bCs/>
          <w:color w:val="auto"/>
          <w:kern w:val="2"/>
          <w:sz w:val="24"/>
          <w:szCs w:val="24"/>
          <w:highlight w:val="none"/>
          <w:u w:val="single"/>
          <w:lang w:val="en-US" w:eastAsia="zh-CN" w:bidi="ar-SA"/>
        </w:rPr>
        <w:t>投标文件</w:t>
      </w:r>
      <w:r>
        <w:rPr>
          <w:rFonts w:hint="default" w:ascii="宋体" w:hAnsi="宋体" w:eastAsia="宋体" w:cs="宋体"/>
          <w:b/>
          <w:bCs/>
          <w:color w:val="auto"/>
          <w:kern w:val="2"/>
          <w:sz w:val="24"/>
          <w:szCs w:val="24"/>
          <w:highlight w:val="none"/>
          <w:u w:val="single"/>
          <w:lang w:val="en-US" w:eastAsia="zh-CN" w:bidi="ar-SA"/>
        </w:rPr>
        <w:t>的正本和副本均须A4纸双面打印”</w:t>
      </w:r>
      <w:r>
        <w:rPr>
          <w:rFonts w:hint="eastAsia" w:hAnsi="宋体" w:cs="宋体"/>
          <w:b/>
          <w:bCs/>
          <w:color w:val="auto"/>
          <w:kern w:val="2"/>
          <w:sz w:val="24"/>
          <w:szCs w:val="24"/>
          <w:highlight w:val="none"/>
          <w:u w:val="single"/>
          <w:lang w:val="en-US" w:eastAsia="zh-CN" w:bidi="ar-SA"/>
        </w:rPr>
        <w:t>，感谢支持！！</w:t>
      </w:r>
      <w:bookmarkEnd w:id="12"/>
    </w:p>
    <w:p w14:paraId="3C97FA5F">
      <w:pPr>
        <w:pStyle w:val="3"/>
        <w:spacing w:line="600" w:lineRule="exact"/>
        <w:rPr>
          <w:rFonts w:hint="eastAsia" w:ascii="宋体" w:hAnsi="宋体"/>
          <w:color w:val="auto"/>
          <w:highlight w:val="none"/>
        </w:rPr>
      </w:pPr>
      <w:bookmarkStart w:id="13" w:name="_Toc3765"/>
      <w:r>
        <w:rPr>
          <w:rFonts w:hint="eastAsia" w:ascii="宋体" w:hAnsi="宋体"/>
          <w:color w:val="auto"/>
          <w:highlight w:val="none"/>
        </w:rPr>
        <w:t xml:space="preserve">一   </w:t>
      </w:r>
      <w:bookmarkEnd w:id="5"/>
      <w:bookmarkEnd w:id="6"/>
      <w:bookmarkEnd w:id="7"/>
      <w:r>
        <w:rPr>
          <w:rFonts w:hint="eastAsia" w:ascii="宋体" w:hAnsi="宋体"/>
          <w:color w:val="auto"/>
          <w:highlight w:val="none"/>
        </w:rPr>
        <w:t>总 则</w:t>
      </w:r>
      <w:bookmarkEnd w:id="8"/>
      <w:bookmarkEnd w:id="9"/>
      <w:bookmarkEnd w:id="13"/>
    </w:p>
    <w:p w14:paraId="28188F87">
      <w:pPr>
        <w:pStyle w:val="4"/>
        <w:spacing w:before="0" w:after="0" w:line="520" w:lineRule="exact"/>
        <w:ind w:firstLine="422" w:firstLineChars="175"/>
        <w:rPr>
          <w:rFonts w:hAnsi="宋体"/>
          <w:color w:val="auto"/>
          <w:highlight w:val="none"/>
        </w:rPr>
      </w:pPr>
      <w:bookmarkStart w:id="14" w:name="_Toc520356144"/>
      <w:bookmarkStart w:id="15" w:name="_Toc32623"/>
      <w:bookmarkStart w:id="16" w:name="_Toc26387"/>
      <w:bookmarkStart w:id="17" w:name="_Toc515647758"/>
      <w:bookmarkStart w:id="18" w:name="_Toc32189"/>
      <w:r>
        <w:rPr>
          <w:rFonts w:hint="eastAsia" w:hAnsi="宋体"/>
          <w:color w:val="auto"/>
          <w:highlight w:val="none"/>
        </w:rPr>
        <w:t>1.采购人、采购代理机构及</w:t>
      </w:r>
      <w:bookmarkEnd w:id="14"/>
      <w:r>
        <w:rPr>
          <w:rFonts w:hint="eastAsia" w:hAnsi="宋体"/>
          <w:color w:val="auto"/>
          <w:highlight w:val="none"/>
        </w:rPr>
        <w:t>投标人</w:t>
      </w:r>
      <w:bookmarkEnd w:id="15"/>
      <w:bookmarkEnd w:id="16"/>
      <w:bookmarkEnd w:id="17"/>
      <w:bookmarkEnd w:id="18"/>
    </w:p>
    <w:p w14:paraId="42EE839C">
      <w:pPr>
        <w:numPr>
          <w:ilvl w:val="1"/>
          <w:numId w:val="1"/>
        </w:numPr>
        <w:tabs>
          <w:tab w:val="left" w:pos="0"/>
          <w:tab w:val="clear" w:pos="900"/>
        </w:tabs>
        <w:spacing w:line="520" w:lineRule="exact"/>
        <w:ind w:left="0" w:firstLine="420" w:firstLineChars="175"/>
        <w:rPr>
          <w:rFonts w:ascii="宋体" w:hAnsi="宋体"/>
          <w:color w:val="auto"/>
          <w:sz w:val="24"/>
          <w:highlight w:val="none"/>
        </w:rPr>
      </w:pPr>
      <w:r>
        <w:rPr>
          <w:rFonts w:hint="eastAsia" w:ascii="宋体" w:hAnsi="宋体"/>
          <w:color w:val="auto"/>
          <w:sz w:val="24"/>
          <w:highlight w:val="none"/>
        </w:rPr>
        <w:t xml:space="preserve"> 采购人：是指</w:t>
      </w:r>
      <w:r>
        <w:rPr>
          <w:rFonts w:ascii="宋体" w:hAnsi="宋体"/>
          <w:color w:val="auto"/>
          <w:sz w:val="24"/>
          <w:highlight w:val="none"/>
        </w:rPr>
        <w:t>依法</w:t>
      </w:r>
      <w:r>
        <w:rPr>
          <w:rFonts w:hint="eastAsia" w:ascii="宋体" w:hAnsi="宋体"/>
          <w:color w:val="auto"/>
          <w:sz w:val="24"/>
          <w:highlight w:val="none"/>
        </w:rPr>
        <w:t>开展</w:t>
      </w:r>
      <w:r>
        <w:rPr>
          <w:rFonts w:ascii="宋体" w:hAnsi="宋体"/>
          <w:color w:val="auto"/>
          <w:sz w:val="24"/>
          <w:highlight w:val="none"/>
        </w:rPr>
        <w:t>政府采购</w:t>
      </w:r>
      <w:r>
        <w:rPr>
          <w:rFonts w:hint="eastAsia" w:ascii="宋体" w:hAnsi="宋体"/>
          <w:color w:val="auto"/>
          <w:sz w:val="24"/>
          <w:highlight w:val="none"/>
        </w:rPr>
        <w:t>活动</w:t>
      </w:r>
      <w:r>
        <w:rPr>
          <w:rFonts w:ascii="宋体" w:hAnsi="宋体"/>
          <w:color w:val="auto"/>
          <w:sz w:val="24"/>
          <w:highlight w:val="none"/>
        </w:rPr>
        <w:t>的国家机</w:t>
      </w:r>
      <w:r>
        <w:rPr>
          <w:rFonts w:hint="eastAsia" w:ascii="宋体" w:hAnsi="宋体"/>
          <w:color w:val="auto"/>
          <w:sz w:val="24"/>
          <w:highlight w:val="none"/>
        </w:rPr>
        <w:t>关</w:t>
      </w:r>
      <w:r>
        <w:rPr>
          <w:rFonts w:ascii="宋体" w:hAnsi="宋体"/>
          <w:color w:val="auto"/>
          <w:sz w:val="24"/>
          <w:highlight w:val="none"/>
        </w:rPr>
        <w:t>、事业单位、团体组织</w:t>
      </w:r>
      <w:r>
        <w:rPr>
          <w:rFonts w:hint="eastAsia" w:ascii="宋体" w:hAnsi="宋体"/>
          <w:color w:val="auto"/>
          <w:sz w:val="24"/>
          <w:highlight w:val="none"/>
        </w:rPr>
        <w:t>。</w:t>
      </w:r>
    </w:p>
    <w:p w14:paraId="7833E6A2">
      <w:pPr>
        <w:tabs>
          <w:tab w:val="left" w:pos="0"/>
        </w:tabs>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本项目的采购人见</w:t>
      </w:r>
      <w:r>
        <w:rPr>
          <w:rFonts w:hint="eastAsia" w:ascii="宋体" w:hAnsi="宋体"/>
          <w:color w:val="auto"/>
          <w:sz w:val="24"/>
          <w:highlight w:val="none"/>
          <w:u w:val="single"/>
        </w:rPr>
        <w:t>投标人须知资料表</w:t>
      </w:r>
      <w:r>
        <w:rPr>
          <w:rFonts w:hint="eastAsia" w:ascii="宋体" w:hAnsi="宋体"/>
          <w:color w:val="auto"/>
          <w:sz w:val="24"/>
          <w:highlight w:val="none"/>
        </w:rPr>
        <w:t>。</w:t>
      </w:r>
    </w:p>
    <w:p w14:paraId="47AD4944">
      <w:pPr>
        <w:numPr>
          <w:ilvl w:val="1"/>
          <w:numId w:val="1"/>
        </w:numPr>
        <w:tabs>
          <w:tab w:val="left" w:pos="0"/>
          <w:tab w:val="clear" w:pos="900"/>
        </w:tabs>
        <w:spacing w:line="520" w:lineRule="exact"/>
        <w:ind w:left="0" w:firstLine="420" w:firstLineChars="175"/>
        <w:rPr>
          <w:rFonts w:ascii="宋体" w:hAnsi="宋体"/>
          <w:color w:val="auto"/>
          <w:sz w:val="24"/>
          <w:highlight w:val="none"/>
        </w:rPr>
      </w:pPr>
      <w:r>
        <w:rPr>
          <w:rFonts w:hint="eastAsia" w:ascii="宋体" w:hAnsi="宋体"/>
          <w:color w:val="auto"/>
          <w:sz w:val="24"/>
          <w:highlight w:val="none"/>
        </w:rPr>
        <w:t xml:space="preserve"> 采购代理机构：是指采购代理机构或从事采购代理业务的社会中介机构。本项目的采购代理机构见</w:t>
      </w:r>
      <w:r>
        <w:rPr>
          <w:rFonts w:hint="eastAsia" w:ascii="宋体" w:hAnsi="宋体"/>
          <w:color w:val="auto"/>
          <w:sz w:val="24"/>
          <w:highlight w:val="none"/>
          <w:u w:val="single"/>
        </w:rPr>
        <w:t>投标人须知资料表</w:t>
      </w:r>
      <w:r>
        <w:rPr>
          <w:rFonts w:hint="eastAsia" w:ascii="宋体" w:hAnsi="宋体"/>
          <w:color w:val="auto"/>
          <w:sz w:val="24"/>
          <w:highlight w:val="none"/>
          <w:u w:val="single"/>
          <w:lang w:eastAsia="zh-CN"/>
        </w:rPr>
        <w:t>。</w:t>
      </w:r>
    </w:p>
    <w:p w14:paraId="0B238FAA">
      <w:pPr>
        <w:numPr>
          <w:ilvl w:val="1"/>
          <w:numId w:val="1"/>
        </w:numPr>
        <w:spacing w:line="520" w:lineRule="exact"/>
        <w:ind w:left="0" w:firstLine="420" w:firstLineChars="175"/>
        <w:rPr>
          <w:rFonts w:ascii="宋体" w:hAnsi="宋体"/>
          <w:color w:val="auto"/>
          <w:sz w:val="24"/>
          <w:highlight w:val="none"/>
        </w:rPr>
      </w:pPr>
      <w:r>
        <w:rPr>
          <w:rFonts w:hint="eastAsia" w:ascii="宋体" w:hAnsi="宋体"/>
          <w:color w:val="auto"/>
          <w:sz w:val="24"/>
          <w:highlight w:val="none"/>
        </w:rPr>
        <w:t>投标人</w:t>
      </w:r>
      <w:r>
        <w:rPr>
          <w:rFonts w:ascii="宋体" w:hAnsi="宋体"/>
          <w:color w:val="auto"/>
          <w:sz w:val="24"/>
          <w:highlight w:val="none"/>
        </w:rPr>
        <w:t>：是指向采购人提供货物</w:t>
      </w:r>
      <w:r>
        <w:rPr>
          <w:rFonts w:hint="eastAsia" w:ascii="宋体" w:hAnsi="宋体"/>
          <w:color w:val="auto"/>
          <w:sz w:val="24"/>
          <w:highlight w:val="none"/>
        </w:rPr>
        <w:t>及伴随的</w:t>
      </w:r>
      <w:r>
        <w:rPr>
          <w:rFonts w:ascii="宋体" w:hAnsi="宋体"/>
          <w:color w:val="auto"/>
          <w:sz w:val="24"/>
          <w:highlight w:val="none"/>
        </w:rPr>
        <w:t>服务的法人、其他组织或者自然人。是指</w:t>
      </w:r>
      <w:r>
        <w:rPr>
          <w:rFonts w:hint="eastAsia" w:ascii="宋体" w:hAnsi="宋体"/>
          <w:color w:val="auto"/>
          <w:sz w:val="24"/>
          <w:highlight w:val="none"/>
        </w:rPr>
        <w:t>响应招标</w:t>
      </w:r>
      <w:r>
        <w:rPr>
          <w:rFonts w:ascii="宋体" w:hAnsi="宋体"/>
          <w:color w:val="auto"/>
          <w:sz w:val="24"/>
          <w:highlight w:val="none"/>
        </w:rPr>
        <w:t>、参加投标竞争的法人、其他组织或者自然人。</w:t>
      </w:r>
      <w:r>
        <w:rPr>
          <w:rFonts w:hint="eastAsia" w:ascii="宋体" w:hAnsi="宋体"/>
          <w:color w:val="auto"/>
          <w:sz w:val="24"/>
          <w:highlight w:val="none"/>
        </w:rPr>
        <w:t>潜在</w:t>
      </w:r>
      <w:r>
        <w:rPr>
          <w:rFonts w:ascii="宋体" w:hAnsi="宋体"/>
          <w:color w:val="auto"/>
          <w:sz w:val="24"/>
          <w:highlight w:val="none"/>
        </w:rPr>
        <w:t>投标人：</w:t>
      </w:r>
      <w:r>
        <w:rPr>
          <w:rFonts w:hint="eastAsia" w:ascii="宋体" w:hAnsi="宋体"/>
          <w:color w:val="auto"/>
          <w:sz w:val="24"/>
          <w:highlight w:val="none"/>
        </w:rPr>
        <w:t>以招标文件规定</w:t>
      </w:r>
      <w:r>
        <w:rPr>
          <w:rFonts w:ascii="宋体" w:hAnsi="宋体"/>
          <w:color w:val="auto"/>
          <w:sz w:val="24"/>
          <w:highlight w:val="none"/>
        </w:rPr>
        <w:t>的方式</w:t>
      </w:r>
      <w:r>
        <w:rPr>
          <w:rFonts w:hint="eastAsia" w:ascii="宋体" w:hAnsi="宋体"/>
          <w:color w:val="auto"/>
          <w:sz w:val="24"/>
          <w:highlight w:val="none"/>
        </w:rPr>
        <w:t>获取本项目</w:t>
      </w:r>
      <w:r>
        <w:rPr>
          <w:rFonts w:ascii="宋体" w:hAnsi="宋体"/>
          <w:color w:val="auto"/>
          <w:sz w:val="24"/>
          <w:highlight w:val="none"/>
        </w:rPr>
        <w:t>招标文件的法人、其他组织或者自然人。</w:t>
      </w:r>
    </w:p>
    <w:p w14:paraId="6D854417">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本项目</w:t>
      </w:r>
      <w:r>
        <w:rPr>
          <w:rFonts w:ascii="宋体" w:hAnsi="宋体"/>
          <w:color w:val="auto"/>
          <w:sz w:val="24"/>
          <w:highlight w:val="none"/>
        </w:rPr>
        <w:t>的</w:t>
      </w:r>
      <w:r>
        <w:rPr>
          <w:rFonts w:hint="eastAsia" w:ascii="宋体" w:hAnsi="宋体"/>
          <w:color w:val="auto"/>
          <w:sz w:val="24"/>
          <w:highlight w:val="none"/>
        </w:rPr>
        <w:t>投标人须满足以下条件：</w:t>
      </w:r>
    </w:p>
    <w:p w14:paraId="7260C048">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3.1</w:t>
      </w:r>
      <w:r>
        <w:rPr>
          <w:rFonts w:hint="eastAsia" w:ascii="宋体" w:hAnsi="宋体"/>
          <w:color w:val="auto"/>
          <w:sz w:val="24"/>
          <w:highlight w:val="none"/>
        </w:rPr>
        <w:tab/>
      </w:r>
      <w:r>
        <w:rPr>
          <w:rFonts w:hint="eastAsia" w:ascii="宋体" w:hAnsi="宋体"/>
          <w:color w:val="auto"/>
          <w:sz w:val="24"/>
          <w:highlight w:val="none"/>
        </w:rPr>
        <w:t>在中华人民共和国境内注册，能够独立承担民事责任的本国投标人。</w:t>
      </w:r>
    </w:p>
    <w:p w14:paraId="772A18D9">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1.3.2</w:t>
      </w:r>
      <w:r>
        <w:rPr>
          <w:rFonts w:hint="eastAsia" w:ascii="宋体" w:hAnsi="宋体"/>
          <w:color w:val="auto"/>
          <w:sz w:val="24"/>
          <w:highlight w:val="none"/>
        </w:rPr>
        <w:t xml:space="preserve">  具备《中华人民共和国政府采购法》第二十二条关于投标人条件的规定，遵守本项目采购人本级</w:t>
      </w:r>
      <w:r>
        <w:rPr>
          <w:rFonts w:ascii="宋体" w:hAnsi="宋体"/>
          <w:color w:val="auto"/>
          <w:sz w:val="24"/>
          <w:highlight w:val="none"/>
        </w:rPr>
        <w:t>和上级财政部门</w:t>
      </w:r>
      <w:r>
        <w:rPr>
          <w:rFonts w:hint="eastAsia" w:ascii="宋体" w:hAnsi="宋体"/>
          <w:color w:val="auto"/>
          <w:sz w:val="24"/>
          <w:highlight w:val="none"/>
        </w:rPr>
        <w:t>政府采购的有关规定。</w:t>
      </w:r>
    </w:p>
    <w:p w14:paraId="34375637">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3.3</w:t>
      </w:r>
      <w:r>
        <w:rPr>
          <w:rFonts w:hint="eastAsia" w:ascii="宋体" w:hAnsi="宋体"/>
          <w:color w:val="auto"/>
          <w:sz w:val="24"/>
          <w:highlight w:val="none"/>
        </w:rPr>
        <w:t xml:space="preserve">  以招标文件规定</w:t>
      </w:r>
      <w:r>
        <w:rPr>
          <w:rFonts w:ascii="宋体" w:hAnsi="宋体"/>
          <w:color w:val="auto"/>
          <w:sz w:val="24"/>
          <w:highlight w:val="none"/>
        </w:rPr>
        <w:t>的方式</w:t>
      </w:r>
      <w:r>
        <w:rPr>
          <w:rFonts w:hint="eastAsia" w:ascii="宋体" w:hAnsi="宋体"/>
          <w:color w:val="auto"/>
          <w:sz w:val="24"/>
          <w:highlight w:val="none"/>
        </w:rPr>
        <w:t>获得了本项目的招标文件。</w:t>
      </w:r>
    </w:p>
    <w:p w14:paraId="449FD909">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3</w:t>
      </w:r>
      <w:r>
        <w:rPr>
          <w:rFonts w:hint="eastAsia" w:ascii="宋体" w:hAnsi="宋体"/>
          <w:color w:val="auto"/>
          <w:sz w:val="24"/>
          <w:highlight w:val="none"/>
        </w:rPr>
        <w:t>.</w:t>
      </w:r>
      <w:r>
        <w:rPr>
          <w:rFonts w:ascii="宋体" w:hAnsi="宋体"/>
          <w:color w:val="auto"/>
          <w:sz w:val="24"/>
          <w:highlight w:val="none"/>
        </w:rPr>
        <w:t>4</w:t>
      </w:r>
      <w:r>
        <w:rPr>
          <w:rFonts w:hint="eastAsia" w:ascii="宋体" w:hAnsi="宋体"/>
          <w:color w:val="auto"/>
          <w:sz w:val="24"/>
          <w:highlight w:val="none"/>
        </w:rPr>
        <w:t xml:space="preserve">  符合</w:t>
      </w:r>
      <w:r>
        <w:rPr>
          <w:rFonts w:hint="eastAsia" w:ascii="宋体" w:hAnsi="宋体"/>
          <w:color w:val="auto"/>
          <w:sz w:val="24"/>
          <w:highlight w:val="none"/>
          <w:u w:val="single"/>
        </w:rPr>
        <w:t>投标人须知资料表</w:t>
      </w:r>
      <w:r>
        <w:rPr>
          <w:rFonts w:hint="eastAsia" w:ascii="宋体" w:hAnsi="宋体"/>
          <w:color w:val="auto"/>
          <w:sz w:val="24"/>
          <w:highlight w:val="none"/>
        </w:rPr>
        <w:t>中规定的其他要求。</w:t>
      </w:r>
    </w:p>
    <w:p w14:paraId="63B26407">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3</w:t>
      </w:r>
      <w:r>
        <w:rPr>
          <w:rFonts w:hint="eastAsia" w:ascii="宋体" w:hAnsi="宋体"/>
          <w:color w:val="auto"/>
          <w:sz w:val="24"/>
          <w:highlight w:val="none"/>
        </w:rPr>
        <w:t>.5  若</w:t>
      </w:r>
      <w:r>
        <w:rPr>
          <w:rFonts w:hint="eastAsia" w:ascii="宋体" w:hAnsi="宋体"/>
          <w:color w:val="auto"/>
          <w:sz w:val="24"/>
          <w:highlight w:val="none"/>
          <w:u w:val="single"/>
        </w:rPr>
        <w:t>投标人须知资料表</w:t>
      </w:r>
      <w:r>
        <w:rPr>
          <w:rFonts w:hint="eastAsia" w:ascii="宋体" w:hAnsi="宋体"/>
          <w:color w:val="auto"/>
          <w:sz w:val="24"/>
          <w:highlight w:val="none"/>
        </w:rPr>
        <w:t>中写明</w:t>
      </w:r>
      <w:r>
        <w:rPr>
          <w:rFonts w:ascii="宋体" w:hAnsi="宋体"/>
          <w:color w:val="auto"/>
          <w:sz w:val="24"/>
          <w:highlight w:val="none"/>
        </w:rPr>
        <w:t>专门面向中小企业采购</w:t>
      </w:r>
      <w:r>
        <w:rPr>
          <w:rFonts w:hint="eastAsia" w:ascii="宋体" w:hAnsi="宋体"/>
          <w:color w:val="auto"/>
          <w:sz w:val="24"/>
          <w:highlight w:val="none"/>
        </w:rPr>
        <w:t>的，如投标人</w:t>
      </w:r>
      <w:r>
        <w:rPr>
          <w:rFonts w:hint="eastAsia" w:ascii="宋体" w:hAnsi="宋体" w:cs="宋体"/>
          <w:color w:val="auto"/>
          <w:sz w:val="24"/>
          <w:highlight w:val="none"/>
        </w:rPr>
        <w:t>为非中小企业，</w:t>
      </w:r>
      <w:r>
        <w:rPr>
          <w:rFonts w:hint="eastAsia" w:ascii="宋体" w:hAnsi="宋体"/>
          <w:color w:val="auto"/>
          <w:sz w:val="24"/>
          <w:highlight w:val="none"/>
        </w:rPr>
        <w:t>其投标将被认定为</w:t>
      </w:r>
      <w:r>
        <w:rPr>
          <w:rFonts w:hint="eastAsia" w:ascii="宋体" w:hAnsi="宋体"/>
          <w:b/>
          <w:bCs/>
          <w:color w:val="auto"/>
          <w:sz w:val="24"/>
          <w:highlight w:val="none"/>
        </w:rPr>
        <w:t>投标无效</w:t>
      </w:r>
      <w:r>
        <w:rPr>
          <w:rFonts w:hint="eastAsia" w:ascii="宋体" w:hAnsi="宋体"/>
          <w:color w:val="auto"/>
          <w:sz w:val="24"/>
          <w:highlight w:val="none"/>
        </w:rPr>
        <w:t>。</w:t>
      </w:r>
    </w:p>
    <w:p w14:paraId="3D977E6A">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1.4    如</w:t>
      </w:r>
      <w:r>
        <w:rPr>
          <w:rFonts w:hint="eastAsia" w:ascii="宋体" w:hAnsi="宋体"/>
          <w:color w:val="auto"/>
          <w:sz w:val="24"/>
          <w:highlight w:val="none"/>
          <w:u w:val="single"/>
        </w:rPr>
        <w:t>投标人须知资料表</w:t>
      </w:r>
      <w:r>
        <w:rPr>
          <w:rFonts w:hint="eastAsia" w:ascii="宋体" w:hAnsi="宋体"/>
          <w:color w:val="auto"/>
          <w:sz w:val="24"/>
          <w:highlight w:val="none"/>
        </w:rPr>
        <w:t>中允许联合体投标，对联合体规定如下：</w:t>
      </w:r>
    </w:p>
    <w:p w14:paraId="54D16007">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1.4.1  两个以上投标人可以组成一个投标联合体，以一个投标人的身份投标。</w:t>
      </w:r>
    </w:p>
    <w:p w14:paraId="60BF24E6">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1.4.2  联合体各方均应符合本须知1.3.2规定。</w:t>
      </w:r>
    </w:p>
    <w:p w14:paraId="091582F3">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1.4</w:t>
      </w:r>
      <w:r>
        <w:rPr>
          <w:rFonts w:ascii="宋体" w:hAnsi="宋体"/>
          <w:color w:val="auto"/>
          <w:sz w:val="24"/>
          <w:highlight w:val="none"/>
        </w:rPr>
        <w:t>.</w:t>
      </w:r>
      <w:r>
        <w:rPr>
          <w:rFonts w:hint="eastAsia" w:ascii="宋体" w:hAnsi="宋体"/>
          <w:color w:val="auto"/>
          <w:sz w:val="24"/>
          <w:highlight w:val="none"/>
        </w:rPr>
        <w:t>3  采购人根据采购项目对投标人的特殊要求，联合体中至少应当有一方符合相关规定。</w:t>
      </w:r>
    </w:p>
    <w:p w14:paraId="5E43FE65">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1.4</w:t>
      </w:r>
      <w:r>
        <w:rPr>
          <w:rFonts w:ascii="宋体" w:hAnsi="宋体"/>
          <w:color w:val="auto"/>
          <w:sz w:val="24"/>
          <w:highlight w:val="none"/>
        </w:rPr>
        <w:t>.</w:t>
      </w:r>
      <w:r>
        <w:rPr>
          <w:rFonts w:hint="eastAsia" w:ascii="宋体" w:hAnsi="宋体"/>
          <w:color w:val="auto"/>
          <w:sz w:val="24"/>
          <w:highlight w:val="none"/>
        </w:rPr>
        <w:t>4  联合体各方应签订共同投标协议，明确约定联合体各方承担的工作和相应的责任，并将共同投标协议连同作为投标文件第一部分的内容提交，否则投标将被认定为</w:t>
      </w:r>
      <w:r>
        <w:rPr>
          <w:rFonts w:hint="eastAsia" w:ascii="宋体" w:hAnsi="宋体"/>
          <w:b/>
          <w:color w:val="auto"/>
          <w:sz w:val="24"/>
          <w:highlight w:val="none"/>
        </w:rPr>
        <w:t>投标无效</w:t>
      </w:r>
      <w:r>
        <w:rPr>
          <w:rFonts w:hint="eastAsia" w:ascii="宋体" w:hAnsi="宋体"/>
          <w:color w:val="auto"/>
          <w:sz w:val="24"/>
          <w:highlight w:val="none"/>
        </w:rPr>
        <w:t>。</w:t>
      </w:r>
    </w:p>
    <w:p w14:paraId="7740E780">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 xml:space="preserve">1.4.5  </w:t>
      </w:r>
      <w:r>
        <w:rPr>
          <w:rFonts w:ascii="宋体" w:hAnsi="宋体"/>
          <w:color w:val="auto"/>
          <w:sz w:val="24"/>
          <w:highlight w:val="none"/>
        </w:rPr>
        <w:t>大中型企业</w:t>
      </w:r>
      <w:r>
        <w:rPr>
          <w:rFonts w:hint="eastAsia" w:ascii="宋体" w:hAnsi="宋体"/>
          <w:color w:val="auto"/>
          <w:sz w:val="24"/>
          <w:highlight w:val="none"/>
        </w:rPr>
        <w:t>、</w:t>
      </w:r>
      <w:r>
        <w:rPr>
          <w:rFonts w:ascii="宋体" w:hAnsi="宋体"/>
          <w:color w:val="auto"/>
          <w:sz w:val="24"/>
          <w:highlight w:val="none"/>
        </w:rPr>
        <w:t>其他自然人、法人或者</w:t>
      </w:r>
      <w:r>
        <w:rPr>
          <w:rFonts w:hint="eastAsia" w:ascii="宋体" w:hAnsi="宋体"/>
          <w:color w:val="auto"/>
          <w:sz w:val="24"/>
          <w:highlight w:val="none"/>
        </w:rPr>
        <w:t>其他组织</w:t>
      </w:r>
      <w:r>
        <w:rPr>
          <w:rFonts w:ascii="宋体" w:hAnsi="宋体"/>
          <w:color w:val="auto"/>
          <w:sz w:val="24"/>
          <w:highlight w:val="none"/>
        </w:rPr>
        <w:t>与小型、微型企业组成联合体共同参加</w:t>
      </w:r>
      <w:r>
        <w:rPr>
          <w:rFonts w:hint="eastAsia" w:ascii="宋体" w:hAnsi="宋体"/>
          <w:color w:val="auto"/>
          <w:sz w:val="24"/>
          <w:highlight w:val="none"/>
        </w:rPr>
        <w:t>投标，共同投标</w:t>
      </w:r>
      <w:r>
        <w:rPr>
          <w:rFonts w:ascii="宋体" w:hAnsi="宋体"/>
          <w:color w:val="auto"/>
          <w:sz w:val="24"/>
          <w:highlight w:val="none"/>
        </w:rPr>
        <w:t>协议中</w:t>
      </w:r>
      <w:r>
        <w:rPr>
          <w:rFonts w:hint="eastAsia" w:ascii="宋体" w:hAnsi="宋体"/>
          <w:color w:val="auto"/>
          <w:sz w:val="24"/>
          <w:highlight w:val="none"/>
        </w:rPr>
        <w:t>应写明</w:t>
      </w:r>
      <w:r>
        <w:rPr>
          <w:rFonts w:ascii="宋体" w:hAnsi="宋体"/>
          <w:color w:val="auto"/>
          <w:sz w:val="24"/>
          <w:highlight w:val="none"/>
        </w:rPr>
        <w:t>小型、微型企业的协议合同金额占到</w:t>
      </w:r>
      <w:r>
        <w:rPr>
          <w:rFonts w:hint="eastAsia" w:ascii="宋体" w:hAnsi="宋体"/>
          <w:color w:val="auto"/>
          <w:sz w:val="24"/>
          <w:highlight w:val="none"/>
        </w:rPr>
        <w:t>共同投标</w:t>
      </w:r>
      <w:r>
        <w:rPr>
          <w:rFonts w:ascii="宋体" w:hAnsi="宋体"/>
          <w:color w:val="auto"/>
          <w:sz w:val="24"/>
          <w:highlight w:val="none"/>
        </w:rPr>
        <w:t>协议</w:t>
      </w:r>
      <w:r>
        <w:rPr>
          <w:rFonts w:hint="eastAsia" w:ascii="宋体" w:hAnsi="宋体"/>
          <w:color w:val="auto"/>
          <w:sz w:val="24"/>
          <w:highlight w:val="none"/>
        </w:rPr>
        <w:t>投标</w:t>
      </w:r>
      <w:r>
        <w:rPr>
          <w:rFonts w:ascii="宋体" w:hAnsi="宋体"/>
          <w:color w:val="auto"/>
          <w:sz w:val="24"/>
          <w:highlight w:val="none"/>
        </w:rPr>
        <w:t>总金额</w:t>
      </w:r>
      <w:r>
        <w:rPr>
          <w:rFonts w:hint="eastAsia" w:ascii="宋体" w:hAnsi="宋体"/>
          <w:color w:val="auto"/>
          <w:sz w:val="24"/>
          <w:highlight w:val="none"/>
        </w:rPr>
        <w:t>的比例。</w:t>
      </w:r>
    </w:p>
    <w:p w14:paraId="33739A98">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4</w:t>
      </w:r>
      <w:r>
        <w:rPr>
          <w:rFonts w:ascii="宋体" w:hAnsi="宋体"/>
          <w:color w:val="auto"/>
          <w:sz w:val="24"/>
          <w:highlight w:val="none"/>
        </w:rPr>
        <w:t>.</w:t>
      </w:r>
      <w:r>
        <w:rPr>
          <w:rFonts w:hint="eastAsia" w:ascii="宋体" w:hAnsi="宋体"/>
          <w:color w:val="auto"/>
          <w:sz w:val="24"/>
          <w:highlight w:val="none"/>
        </w:rPr>
        <w:t xml:space="preserve">6 </w:t>
      </w:r>
      <w:r>
        <w:rPr>
          <w:rFonts w:ascii="宋体" w:hAnsi="宋体"/>
          <w:color w:val="auto"/>
          <w:sz w:val="24"/>
          <w:highlight w:val="none"/>
        </w:rPr>
        <w:t xml:space="preserve"> </w:t>
      </w:r>
      <w:r>
        <w:rPr>
          <w:rFonts w:hint="eastAsia" w:ascii="宋体" w:hAnsi="宋体"/>
          <w:color w:val="auto"/>
          <w:sz w:val="24"/>
          <w:highlight w:val="none"/>
        </w:rPr>
        <w:t>以</w:t>
      </w:r>
      <w:r>
        <w:rPr>
          <w:rFonts w:ascii="宋体" w:hAnsi="宋体"/>
          <w:color w:val="auto"/>
          <w:sz w:val="24"/>
          <w:highlight w:val="none"/>
        </w:rPr>
        <w:t>联合体形式参加政府采购活动的，联合体各方不得再</w:t>
      </w:r>
      <w:r>
        <w:rPr>
          <w:rFonts w:hint="eastAsia" w:ascii="宋体" w:hAnsi="宋体"/>
          <w:color w:val="auto"/>
          <w:sz w:val="24"/>
          <w:highlight w:val="none"/>
        </w:rPr>
        <w:t>单独</w:t>
      </w:r>
      <w:r>
        <w:rPr>
          <w:rFonts w:ascii="宋体" w:hAnsi="宋体"/>
          <w:color w:val="auto"/>
          <w:sz w:val="24"/>
          <w:highlight w:val="none"/>
        </w:rPr>
        <w:t>参加或者与其他投标人另外组成联合体参加</w:t>
      </w:r>
      <w:r>
        <w:rPr>
          <w:rFonts w:hint="eastAsia" w:ascii="宋体" w:hAnsi="宋体"/>
          <w:color w:val="auto"/>
          <w:sz w:val="24"/>
          <w:highlight w:val="none"/>
        </w:rPr>
        <w:t>本项目投标，否则</w:t>
      </w:r>
      <w:r>
        <w:rPr>
          <w:rFonts w:ascii="宋体" w:hAnsi="宋体"/>
          <w:color w:val="auto"/>
          <w:sz w:val="24"/>
          <w:highlight w:val="none"/>
        </w:rPr>
        <w:t>相关投标</w:t>
      </w:r>
      <w:r>
        <w:rPr>
          <w:rFonts w:hint="eastAsia" w:ascii="宋体" w:hAnsi="宋体"/>
          <w:color w:val="auto"/>
          <w:sz w:val="24"/>
          <w:highlight w:val="none"/>
        </w:rPr>
        <w:t>将被认定为</w:t>
      </w:r>
      <w:r>
        <w:rPr>
          <w:rFonts w:hint="eastAsia" w:ascii="宋体" w:hAnsi="宋体"/>
          <w:b/>
          <w:bCs/>
          <w:color w:val="auto"/>
          <w:sz w:val="24"/>
          <w:highlight w:val="none"/>
        </w:rPr>
        <w:t>投标无效</w:t>
      </w:r>
      <w:r>
        <w:rPr>
          <w:rFonts w:ascii="宋体" w:hAnsi="宋体"/>
          <w:color w:val="auto"/>
          <w:sz w:val="24"/>
          <w:highlight w:val="none"/>
        </w:rPr>
        <w:t>。</w:t>
      </w:r>
    </w:p>
    <w:p w14:paraId="37987E5D">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4.</w:t>
      </w:r>
      <w:r>
        <w:rPr>
          <w:rFonts w:ascii="宋体" w:hAnsi="宋体"/>
          <w:color w:val="auto"/>
          <w:sz w:val="24"/>
          <w:highlight w:val="none"/>
        </w:rPr>
        <w:t>7</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对联合体投标的其他资格要求见</w:t>
      </w:r>
      <w:r>
        <w:rPr>
          <w:rFonts w:hint="eastAsia" w:ascii="宋体" w:hAnsi="宋体"/>
          <w:color w:val="auto"/>
          <w:sz w:val="24"/>
          <w:highlight w:val="none"/>
          <w:u w:val="single"/>
        </w:rPr>
        <w:t>投标人须知资料表</w:t>
      </w:r>
      <w:r>
        <w:rPr>
          <w:rFonts w:hint="eastAsia" w:ascii="宋体" w:hAnsi="宋体"/>
          <w:color w:val="auto"/>
          <w:sz w:val="24"/>
          <w:highlight w:val="none"/>
        </w:rPr>
        <w:t>。</w:t>
      </w:r>
    </w:p>
    <w:p w14:paraId="431480FB">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 xml:space="preserve">1.5 </w:t>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单位负责人为同一人或者存在直接控股、管理关系的不同</w:t>
      </w:r>
      <w:r>
        <w:rPr>
          <w:rFonts w:hint="eastAsia" w:ascii="宋体" w:hAnsi="宋体" w:cs="Times New Roman"/>
          <w:color w:val="auto"/>
          <w:sz w:val="24"/>
          <w:highlight w:val="none"/>
          <w:lang w:eastAsia="zh-CN"/>
        </w:rPr>
        <w:t>投标人</w:t>
      </w:r>
      <w:r>
        <w:rPr>
          <w:rFonts w:hint="eastAsia" w:ascii="宋体" w:hAnsi="宋体" w:cs="Times New Roman"/>
          <w:color w:val="auto"/>
          <w:sz w:val="24"/>
          <w:highlight w:val="none"/>
        </w:rPr>
        <w:t>，不得参加同一合同项下的政府采购活动，否则其相关投标均将被认定为投标无效。</w:t>
      </w:r>
    </w:p>
    <w:p w14:paraId="7E90FC08">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1.6 为本项目提供过整体设计、规范编制或者项目管理、监理、检测等服务的</w:t>
      </w:r>
      <w:r>
        <w:rPr>
          <w:rFonts w:hint="eastAsia" w:ascii="宋体" w:hAnsi="宋体" w:cs="Times New Roman"/>
          <w:color w:val="auto"/>
          <w:sz w:val="24"/>
          <w:highlight w:val="none"/>
          <w:lang w:eastAsia="zh-CN"/>
        </w:rPr>
        <w:t>投标人</w:t>
      </w:r>
      <w:r>
        <w:rPr>
          <w:rFonts w:hint="eastAsia" w:ascii="宋体" w:hAnsi="宋体" w:cs="Times New Roman"/>
          <w:color w:val="auto"/>
          <w:sz w:val="24"/>
          <w:highlight w:val="none"/>
        </w:rPr>
        <w:t>，不得再参加本项目上述服务以外的其他采购活动。否则其投标将被认定为投标无效。</w:t>
      </w:r>
    </w:p>
    <w:p w14:paraId="191E03B2">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1.7</w:t>
      </w:r>
      <w:r>
        <w:rPr>
          <w:rFonts w:hint="eastAsia" w:ascii="宋体" w:hAnsi="宋体" w:cs="Times New Roman"/>
          <w:color w:val="auto"/>
          <w:sz w:val="24"/>
          <w:highlight w:val="none"/>
        </w:rPr>
        <w:tab/>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投标人在投标过程中不得向采购人提供或给予影响其正常决策行为的任何有价值物品或服务。一经发现，其投标将被认定为投标无效。</w:t>
      </w:r>
    </w:p>
    <w:p w14:paraId="2157E135">
      <w:pPr>
        <w:spacing w:line="520" w:lineRule="exact"/>
        <w:ind w:firstLine="420" w:firstLineChars="175"/>
        <w:rPr>
          <w:rFonts w:hint="eastAsia" w:ascii="宋体" w:hAnsi="宋体" w:cs="Times New Roman"/>
          <w:color w:val="auto"/>
          <w:sz w:val="24"/>
          <w:highlight w:val="none"/>
        </w:rPr>
      </w:pPr>
    </w:p>
    <w:p w14:paraId="1195B561">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1.8 各投标人须对本项目指定一个项目负责人，对本项目所有事宜全程负责。未经采购人同意中途不得更换项目负责人。</w:t>
      </w:r>
    </w:p>
    <w:p w14:paraId="1247AF05">
      <w:pPr>
        <w:pStyle w:val="4"/>
        <w:spacing w:before="0" w:after="0" w:line="520" w:lineRule="exact"/>
        <w:ind w:firstLine="422" w:firstLineChars="175"/>
        <w:rPr>
          <w:rFonts w:hint="eastAsia" w:hAnsi="宋体"/>
          <w:color w:val="auto"/>
          <w:highlight w:val="none"/>
        </w:rPr>
      </w:pPr>
      <w:bookmarkStart w:id="19" w:name="_Toc5286"/>
      <w:bookmarkStart w:id="20" w:name="_Toc30023"/>
      <w:bookmarkStart w:id="21" w:name="_Toc515647759"/>
      <w:bookmarkStart w:id="22" w:name="_Toc12139"/>
      <w:r>
        <w:rPr>
          <w:rFonts w:hint="eastAsia" w:hAnsi="宋体"/>
          <w:color w:val="auto"/>
          <w:highlight w:val="none"/>
        </w:rPr>
        <w:t>2.资金来源</w:t>
      </w:r>
      <w:bookmarkEnd w:id="19"/>
      <w:bookmarkEnd w:id="20"/>
      <w:bookmarkEnd w:id="21"/>
      <w:bookmarkEnd w:id="22"/>
    </w:p>
    <w:p w14:paraId="610A260C">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.1</w:t>
      </w:r>
      <w:r>
        <w:rPr>
          <w:rFonts w:hint="eastAsia" w:ascii="宋体" w:hAnsi="宋体"/>
          <w:color w:val="auto"/>
          <w:sz w:val="24"/>
          <w:highlight w:val="none"/>
        </w:rPr>
        <w:tab/>
      </w:r>
      <w:r>
        <w:rPr>
          <w:rFonts w:hint="eastAsia" w:ascii="宋体" w:hAnsi="宋体"/>
          <w:color w:val="auto"/>
          <w:sz w:val="24"/>
          <w:highlight w:val="none"/>
        </w:rPr>
        <w:t>本项目的采购人已获得足以支付本次招标后所签订的合同项下的资金（包括财政性资金和本项目采购</w:t>
      </w:r>
      <w:r>
        <w:rPr>
          <w:rFonts w:ascii="宋体" w:hAnsi="宋体"/>
          <w:color w:val="auto"/>
          <w:sz w:val="24"/>
          <w:highlight w:val="none"/>
        </w:rPr>
        <w:t>中无法</w:t>
      </w:r>
      <w:r>
        <w:rPr>
          <w:rFonts w:hint="eastAsia" w:ascii="宋体" w:hAnsi="宋体"/>
          <w:color w:val="auto"/>
          <w:sz w:val="24"/>
          <w:highlight w:val="none"/>
        </w:rPr>
        <w:t>与</w:t>
      </w:r>
      <w:r>
        <w:rPr>
          <w:rFonts w:ascii="宋体" w:hAnsi="宋体"/>
          <w:color w:val="auto"/>
          <w:sz w:val="24"/>
          <w:highlight w:val="none"/>
        </w:rPr>
        <w:t>财政性资金分割的非财政性资金</w:t>
      </w:r>
      <w:r>
        <w:rPr>
          <w:rFonts w:hint="eastAsia" w:ascii="宋体" w:hAnsi="宋体"/>
          <w:color w:val="auto"/>
          <w:sz w:val="24"/>
          <w:highlight w:val="none"/>
        </w:rPr>
        <w:t>，预采购项目除外）。</w:t>
      </w:r>
    </w:p>
    <w:p w14:paraId="36A4E42F">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2.2 项目预算金额和分项或分包最高限价</w:t>
      </w:r>
      <w:r>
        <w:rPr>
          <w:rFonts w:hint="eastAsia" w:ascii="宋体" w:hAnsi="宋体"/>
          <w:color w:val="auto"/>
          <w:sz w:val="24"/>
          <w:highlight w:val="none"/>
          <w:u w:val="single"/>
        </w:rPr>
        <w:t>见投标人须知资料表</w:t>
      </w:r>
      <w:r>
        <w:rPr>
          <w:rFonts w:hint="eastAsia" w:ascii="宋体" w:hAnsi="宋体"/>
          <w:color w:val="auto"/>
          <w:sz w:val="24"/>
          <w:highlight w:val="none"/>
        </w:rPr>
        <w:t>。</w:t>
      </w:r>
    </w:p>
    <w:p w14:paraId="0D2E9FB2">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2.3 投标人报价超过招标文件规定的预算金额或者分项、分包最高限价的，其投标将被认定为</w:t>
      </w:r>
      <w:r>
        <w:rPr>
          <w:rFonts w:hint="eastAsia" w:ascii="宋体" w:hAnsi="宋体"/>
          <w:b/>
          <w:bCs/>
          <w:color w:val="auto"/>
          <w:sz w:val="24"/>
          <w:highlight w:val="none"/>
        </w:rPr>
        <w:t>投标无效</w:t>
      </w:r>
      <w:r>
        <w:rPr>
          <w:rFonts w:ascii="宋体" w:hAnsi="宋体"/>
          <w:color w:val="auto"/>
          <w:sz w:val="24"/>
          <w:highlight w:val="none"/>
        </w:rPr>
        <w:t>。</w:t>
      </w:r>
    </w:p>
    <w:p w14:paraId="56A28FFC">
      <w:pPr>
        <w:pStyle w:val="4"/>
        <w:spacing w:before="0" w:after="0" w:line="520" w:lineRule="exact"/>
        <w:ind w:firstLine="422" w:firstLineChars="175"/>
        <w:rPr>
          <w:rFonts w:hint="eastAsia" w:hAnsi="宋体"/>
          <w:color w:val="auto"/>
          <w:highlight w:val="none"/>
        </w:rPr>
      </w:pPr>
      <w:bookmarkStart w:id="23" w:name="_Toc6837"/>
      <w:bookmarkStart w:id="24" w:name="_Toc520356145"/>
      <w:bookmarkStart w:id="25" w:name="_Toc15936"/>
      <w:bookmarkStart w:id="26" w:name="_Toc515647760"/>
      <w:bookmarkStart w:id="27" w:name="_Toc20526"/>
      <w:r>
        <w:rPr>
          <w:rFonts w:hint="eastAsia" w:hAnsi="宋体"/>
          <w:color w:val="auto"/>
          <w:highlight w:val="none"/>
        </w:rPr>
        <w:t>3.投标费用</w:t>
      </w:r>
      <w:bookmarkEnd w:id="23"/>
      <w:bookmarkEnd w:id="24"/>
      <w:bookmarkEnd w:id="25"/>
      <w:bookmarkEnd w:id="26"/>
      <w:bookmarkEnd w:id="27"/>
    </w:p>
    <w:p w14:paraId="52BE976E">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不论投标的结果如何，投标人应承担所有与准备和参加投标有关的费用。</w:t>
      </w:r>
    </w:p>
    <w:p w14:paraId="06AA7B96">
      <w:pPr>
        <w:pStyle w:val="4"/>
        <w:spacing w:before="0" w:after="0" w:line="520" w:lineRule="exact"/>
        <w:ind w:firstLine="422" w:firstLineChars="175"/>
        <w:rPr>
          <w:rFonts w:hint="eastAsia" w:hAnsi="宋体"/>
          <w:color w:val="auto"/>
          <w:highlight w:val="none"/>
        </w:rPr>
      </w:pPr>
      <w:bookmarkStart w:id="28" w:name="_Toc4463"/>
      <w:bookmarkStart w:id="29" w:name="_Toc14462"/>
      <w:bookmarkStart w:id="30" w:name="_Toc6116"/>
      <w:bookmarkStart w:id="31" w:name="_Toc515647761"/>
      <w:r>
        <w:rPr>
          <w:rFonts w:hint="eastAsia" w:hAnsi="宋体"/>
          <w:color w:val="auto"/>
          <w:highlight w:val="none"/>
        </w:rPr>
        <w:t>4.适用法律</w:t>
      </w:r>
      <w:bookmarkEnd w:id="28"/>
      <w:bookmarkEnd w:id="29"/>
      <w:bookmarkEnd w:id="30"/>
      <w:bookmarkEnd w:id="31"/>
    </w:p>
    <w:p w14:paraId="7010EE2A">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本项目采购人、</w:t>
      </w:r>
      <w:r>
        <w:rPr>
          <w:rFonts w:ascii="宋体" w:hAnsi="宋体"/>
          <w:color w:val="auto"/>
          <w:sz w:val="24"/>
          <w:highlight w:val="none"/>
        </w:rPr>
        <w:t>采购代理机构</w:t>
      </w:r>
      <w:r>
        <w:rPr>
          <w:rFonts w:hint="eastAsia" w:ascii="宋体" w:hAnsi="宋体"/>
          <w:color w:val="auto"/>
          <w:sz w:val="24"/>
          <w:highlight w:val="none"/>
        </w:rPr>
        <w:t>、投标人、评标委员会的相关行为均受《中华人民共和国政府采购法》、《</w:t>
      </w:r>
      <w:r>
        <w:rPr>
          <w:rFonts w:ascii="宋体" w:hAnsi="宋体"/>
          <w:color w:val="auto"/>
          <w:sz w:val="24"/>
          <w:highlight w:val="none"/>
        </w:rPr>
        <w:t>中华人民共和国政府采购法实施条例》</w:t>
      </w:r>
      <w:r>
        <w:rPr>
          <w:rFonts w:hint="eastAsia" w:ascii="宋体" w:hAnsi="宋体"/>
          <w:color w:val="auto"/>
          <w:sz w:val="24"/>
          <w:highlight w:val="none"/>
        </w:rPr>
        <w:t>及本项目本级</w:t>
      </w:r>
      <w:r>
        <w:rPr>
          <w:rFonts w:ascii="宋体" w:hAnsi="宋体"/>
          <w:color w:val="auto"/>
          <w:sz w:val="24"/>
          <w:highlight w:val="none"/>
        </w:rPr>
        <w:t>和上级财政部门</w:t>
      </w:r>
      <w:r>
        <w:rPr>
          <w:rFonts w:hint="eastAsia" w:ascii="宋体" w:hAnsi="宋体"/>
          <w:color w:val="auto"/>
          <w:sz w:val="24"/>
          <w:highlight w:val="none"/>
        </w:rPr>
        <w:t>政府采购有关规定的约束和保护。</w:t>
      </w:r>
    </w:p>
    <w:p w14:paraId="55CE6948">
      <w:pPr>
        <w:pStyle w:val="3"/>
        <w:spacing w:line="600" w:lineRule="exact"/>
        <w:rPr>
          <w:rFonts w:hint="eastAsia" w:ascii="宋体" w:hAnsi="宋体"/>
          <w:color w:val="auto"/>
          <w:highlight w:val="none"/>
        </w:rPr>
      </w:pPr>
      <w:bookmarkStart w:id="32" w:name="_Toc520356146"/>
      <w:bookmarkStart w:id="33" w:name="_Toc515647762"/>
      <w:bookmarkStart w:id="34" w:name="_Toc4365"/>
      <w:bookmarkStart w:id="35" w:name="_Toc31322"/>
      <w:bookmarkStart w:id="36" w:name="_Toc216582806"/>
      <w:bookmarkStart w:id="37" w:name="_Toc21566"/>
      <w:r>
        <w:rPr>
          <w:rFonts w:hint="eastAsia" w:ascii="宋体" w:hAnsi="宋体"/>
          <w:color w:val="auto"/>
          <w:highlight w:val="none"/>
        </w:rPr>
        <w:t>二   招标文件</w:t>
      </w:r>
      <w:bookmarkEnd w:id="32"/>
      <w:bookmarkEnd w:id="33"/>
      <w:bookmarkEnd w:id="34"/>
      <w:bookmarkEnd w:id="35"/>
      <w:bookmarkEnd w:id="36"/>
      <w:bookmarkEnd w:id="37"/>
    </w:p>
    <w:p w14:paraId="1C682F92">
      <w:pPr>
        <w:pStyle w:val="4"/>
        <w:spacing w:before="0" w:after="0" w:line="520" w:lineRule="exact"/>
        <w:rPr>
          <w:rFonts w:hAnsi="宋体"/>
          <w:color w:val="auto"/>
          <w:highlight w:val="none"/>
        </w:rPr>
      </w:pPr>
      <w:bookmarkStart w:id="38" w:name="_Toc21196"/>
      <w:bookmarkStart w:id="39" w:name="_Toc515647763"/>
      <w:bookmarkStart w:id="40" w:name="_Toc14084"/>
      <w:bookmarkStart w:id="41" w:name="_Toc520356147"/>
      <w:bookmarkStart w:id="42" w:name="_Toc25743"/>
      <w:r>
        <w:rPr>
          <w:rFonts w:hint="eastAsia" w:hAnsi="宋体"/>
          <w:color w:val="auto"/>
          <w:highlight w:val="none"/>
        </w:rPr>
        <w:t>5.招标文件构成</w:t>
      </w:r>
      <w:bookmarkEnd w:id="38"/>
      <w:bookmarkEnd w:id="39"/>
      <w:bookmarkEnd w:id="40"/>
      <w:bookmarkEnd w:id="41"/>
      <w:bookmarkEnd w:id="42"/>
    </w:p>
    <w:p w14:paraId="319FDD7E">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5.1</w:t>
      </w:r>
      <w:r>
        <w:rPr>
          <w:rFonts w:hint="eastAsia" w:ascii="宋体" w:hAnsi="宋体"/>
          <w:color w:val="auto"/>
          <w:sz w:val="24"/>
          <w:highlight w:val="none"/>
        </w:rPr>
        <w:tab/>
      </w:r>
      <w:r>
        <w:rPr>
          <w:rFonts w:hint="eastAsia" w:ascii="宋体" w:hAnsi="宋体"/>
          <w:color w:val="auto"/>
          <w:sz w:val="24"/>
          <w:highlight w:val="none"/>
        </w:rPr>
        <w:t>招标文件是用以阐明所需货物及服务、招标程序和合同格式的规范性文件。招标文件分为2册共7章，内容如下：</w:t>
      </w:r>
    </w:p>
    <w:p w14:paraId="183FD3A6">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第一册</w:t>
      </w:r>
    </w:p>
    <w:p w14:paraId="3433B943">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第1章 投标人须知</w:t>
      </w:r>
    </w:p>
    <w:p w14:paraId="039227B9">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第二册</w:t>
      </w:r>
    </w:p>
    <w:p w14:paraId="2A0FA276">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第2章 投标邀请</w:t>
      </w:r>
    </w:p>
    <w:p w14:paraId="629FC68E">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第3章 投标人须知资料表</w:t>
      </w:r>
    </w:p>
    <w:p w14:paraId="0034D061">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第4章 服务需求</w:t>
      </w:r>
    </w:p>
    <w:p w14:paraId="002B7699">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第5章 评标方法和标准</w:t>
      </w:r>
    </w:p>
    <w:p w14:paraId="46D1CE86">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第6章 投标文件格式</w:t>
      </w:r>
    </w:p>
    <w:p w14:paraId="017FC179">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第7章 政府采购合同格式</w:t>
      </w:r>
    </w:p>
    <w:p w14:paraId="1C7306F4">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5</w:t>
      </w:r>
      <w:r>
        <w:rPr>
          <w:rFonts w:ascii="宋体" w:hAnsi="宋体"/>
          <w:color w:val="auto"/>
          <w:sz w:val="24"/>
          <w:highlight w:val="none"/>
        </w:rPr>
        <w:t>.2</w:t>
      </w:r>
      <w:r>
        <w:rPr>
          <w:rFonts w:ascii="宋体" w:hAnsi="宋体"/>
          <w:color w:val="auto"/>
          <w:sz w:val="24"/>
          <w:highlight w:val="none"/>
        </w:rPr>
        <w:tab/>
      </w:r>
      <w:r>
        <w:rPr>
          <w:rFonts w:hint="eastAsia" w:ascii="宋体" w:hAnsi="宋体"/>
          <w:color w:val="auto"/>
          <w:sz w:val="24"/>
          <w:highlight w:val="none"/>
          <w:lang w:val="en-US" w:eastAsia="zh-CN"/>
        </w:rPr>
        <w:t xml:space="preserve"> </w:t>
      </w:r>
      <w:r>
        <w:rPr>
          <w:rFonts w:hint="eastAsia" w:ascii="宋体" w:hAnsi="宋体"/>
          <w:color w:val="auto"/>
          <w:sz w:val="24"/>
          <w:highlight w:val="none"/>
        </w:rPr>
        <w:t>招标文件</w:t>
      </w:r>
      <w:r>
        <w:rPr>
          <w:rFonts w:ascii="宋体" w:hAnsi="宋体"/>
          <w:color w:val="auto"/>
          <w:sz w:val="24"/>
          <w:highlight w:val="none"/>
        </w:rPr>
        <w:t>中有不一致的，有澄清的部分</w:t>
      </w:r>
      <w:r>
        <w:rPr>
          <w:rFonts w:hint="eastAsia" w:ascii="宋体" w:hAnsi="宋体"/>
          <w:color w:val="auto"/>
          <w:sz w:val="24"/>
          <w:highlight w:val="none"/>
        </w:rPr>
        <w:t>以</w:t>
      </w:r>
      <w:r>
        <w:rPr>
          <w:rFonts w:ascii="宋体" w:hAnsi="宋体"/>
          <w:color w:val="auto"/>
          <w:sz w:val="24"/>
          <w:highlight w:val="none"/>
        </w:rPr>
        <w:t>最终的澄清更正内容为准</w:t>
      </w:r>
      <w:r>
        <w:rPr>
          <w:rFonts w:hint="eastAsia" w:ascii="宋体" w:hAnsi="宋体"/>
          <w:color w:val="auto"/>
          <w:sz w:val="24"/>
          <w:highlight w:val="none"/>
        </w:rPr>
        <w:t>；未澄清的，</w:t>
      </w:r>
      <w:r>
        <w:rPr>
          <w:rFonts w:ascii="宋体" w:hAnsi="宋体"/>
          <w:color w:val="auto"/>
          <w:sz w:val="24"/>
          <w:highlight w:val="none"/>
        </w:rPr>
        <w:t>以投标须知</w:t>
      </w:r>
      <w:r>
        <w:rPr>
          <w:rFonts w:hint="eastAsia" w:ascii="宋体" w:hAnsi="宋体"/>
          <w:color w:val="auto"/>
          <w:sz w:val="24"/>
          <w:highlight w:val="none"/>
        </w:rPr>
        <w:t>资料</w:t>
      </w:r>
      <w:r>
        <w:rPr>
          <w:rFonts w:ascii="宋体" w:hAnsi="宋体"/>
          <w:color w:val="auto"/>
          <w:sz w:val="24"/>
          <w:highlight w:val="none"/>
        </w:rPr>
        <w:t>表为准</w:t>
      </w:r>
      <w:r>
        <w:rPr>
          <w:rFonts w:hint="eastAsia" w:ascii="宋体" w:hAnsi="宋体"/>
          <w:color w:val="auto"/>
          <w:sz w:val="24"/>
          <w:highlight w:val="none"/>
        </w:rPr>
        <w:t>；</w:t>
      </w:r>
      <w:r>
        <w:rPr>
          <w:rFonts w:ascii="宋体" w:hAnsi="宋体"/>
          <w:color w:val="auto"/>
          <w:sz w:val="24"/>
          <w:highlight w:val="none"/>
        </w:rPr>
        <w:t>投标须知</w:t>
      </w:r>
      <w:r>
        <w:rPr>
          <w:rFonts w:hint="eastAsia" w:ascii="宋体" w:hAnsi="宋体"/>
          <w:color w:val="auto"/>
          <w:sz w:val="24"/>
          <w:highlight w:val="none"/>
        </w:rPr>
        <w:t>资料表不涉及的内容，以编排在后的描述为准。</w:t>
      </w:r>
    </w:p>
    <w:p w14:paraId="245F3801">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 xml:space="preserve">5.3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投标人应认真阅读招标文件所有的事项、条款和技术规范等。如投标人没有按照招标文件要求提交全部资料，或者投标文件没有对招标文件在各方面都做出实质性响应，可能导致其投标被认定为</w:t>
      </w:r>
      <w:r>
        <w:rPr>
          <w:rFonts w:hint="eastAsia" w:ascii="宋体" w:hAnsi="宋体"/>
          <w:b/>
          <w:color w:val="auto"/>
          <w:sz w:val="24"/>
          <w:highlight w:val="none"/>
        </w:rPr>
        <w:t>投标无效，该风险由投标人承担。</w:t>
      </w:r>
    </w:p>
    <w:p w14:paraId="174E2D4A">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5.4</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招标文件以中文编印，且以中文为准。</w:t>
      </w:r>
    </w:p>
    <w:p w14:paraId="07B41AD0">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5.5</w:t>
      </w:r>
      <w:r>
        <w:rPr>
          <w:rFonts w:hint="eastAsia" w:ascii="宋体" w:hAnsi="宋体"/>
          <w:color w:val="auto"/>
          <w:sz w:val="24"/>
          <w:highlight w:val="none"/>
          <w:lang w:val="en-US" w:eastAsia="zh-CN"/>
        </w:rPr>
        <w:t xml:space="preserve"> </w:t>
      </w:r>
      <w:r>
        <w:rPr>
          <w:rFonts w:hint="eastAsia" w:ascii="宋体" w:hAnsi="宋体"/>
          <w:color w:val="auto"/>
          <w:sz w:val="24"/>
          <w:highlight w:val="none"/>
        </w:rPr>
        <w:t>现场考察或者答疑会及相关事项见</w:t>
      </w:r>
      <w:r>
        <w:rPr>
          <w:rFonts w:hint="eastAsia" w:ascii="宋体" w:hAnsi="宋体"/>
          <w:color w:val="auto"/>
          <w:sz w:val="24"/>
          <w:highlight w:val="none"/>
          <w:u w:val="single"/>
        </w:rPr>
        <w:t>投标须知资料表</w:t>
      </w:r>
      <w:r>
        <w:rPr>
          <w:rFonts w:hint="eastAsia" w:ascii="宋体" w:hAnsi="宋体"/>
          <w:color w:val="auto"/>
          <w:sz w:val="24"/>
          <w:highlight w:val="none"/>
        </w:rPr>
        <w:t>。</w:t>
      </w:r>
    </w:p>
    <w:p w14:paraId="74AF4C01">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5</w:t>
      </w:r>
      <w:r>
        <w:rPr>
          <w:rFonts w:hint="eastAsia" w:ascii="宋体" w:hAnsi="宋体"/>
          <w:color w:val="auto"/>
          <w:sz w:val="24"/>
          <w:highlight w:val="none"/>
        </w:rPr>
        <w:t>.1</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招标文件第二册第</w:t>
      </w:r>
      <w:r>
        <w:rPr>
          <w:rFonts w:hint="eastAsia" w:ascii="宋体" w:hAnsi="宋体"/>
          <w:b/>
          <w:color w:val="auto"/>
          <w:sz w:val="24"/>
          <w:highlight w:val="none"/>
        </w:rPr>
        <w:t>三</w:t>
      </w:r>
      <w:r>
        <w:rPr>
          <w:rFonts w:hint="eastAsia" w:ascii="宋体" w:hAnsi="宋体"/>
          <w:color w:val="auto"/>
          <w:sz w:val="24"/>
          <w:highlight w:val="none"/>
        </w:rPr>
        <w:t>部分“投标人须知资料表”规定组织踏勘现场的，采购人按规定的时间、地点组织投标人踏勘项目现场，踏勘现场所发生的费用由投标人承担。</w:t>
      </w:r>
    </w:p>
    <w:p w14:paraId="12898C1F">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5</w:t>
      </w:r>
      <w:r>
        <w:rPr>
          <w:rFonts w:hint="eastAsia" w:ascii="宋体" w:hAnsi="宋体"/>
          <w:color w:val="auto"/>
          <w:sz w:val="24"/>
          <w:highlight w:val="none"/>
        </w:rPr>
        <w:t>.2 采购人向投标人提供的有关现场的资料和数据，是采购人现有的能使投标人利用的资料，采购人对投标人由此而做出的推论、理解和结论概不负责。</w:t>
      </w:r>
    </w:p>
    <w:p w14:paraId="30CC9AF2">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5</w:t>
      </w:r>
      <w:r>
        <w:rPr>
          <w:rFonts w:hint="eastAsia" w:ascii="宋体" w:hAnsi="宋体"/>
          <w:color w:val="auto"/>
          <w:sz w:val="24"/>
          <w:highlight w:val="none"/>
        </w:rPr>
        <w:t>.3 投标人经过采购人的允许，可进入项目现场踏勘，对现场及其范围环境进行考察，以获取有关编制投标文件和签署实施合同所需的各项资料，但投标人及其人员不得因此使采购人及其人员承担有关的责任和蒙受损失。投标人并应对由此次踏勘现场而造成的死亡、人身伤害、财产损失、损害以及任何其它损失、损害和引起的费用和开支承担责任。</w:t>
      </w:r>
    </w:p>
    <w:p w14:paraId="0C7EA86F">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6</w:t>
      </w:r>
      <w:r>
        <w:rPr>
          <w:rFonts w:hint="eastAsia" w:ascii="宋体" w:hAnsi="宋体"/>
          <w:color w:val="auto"/>
          <w:sz w:val="24"/>
          <w:highlight w:val="none"/>
        </w:rPr>
        <w:t xml:space="preserve"> 不论招标过程和投标结果如何，投标人的投标文件（含电子版）均不退还。</w:t>
      </w:r>
    </w:p>
    <w:p w14:paraId="6676C5F8">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7</w:t>
      </w:r>
      <w:r>
        <w:rPr>
          <w:rFonts w:hint="eastAsia" w:ascii="宋体" w:hAnsi="宋体"/>
          <w:color w:val="auto"/>
          <w:sz w:val="24"/>
          <w:highlight w:val="none"/>
        </w:rPr>
        <w:t xml:space="preserve"> 除招标文件中另有规定外，招标文件所使用的时间单位“天”、“日”均指日历天，且所有时刻均为北京时间。</w:t>
      </w:r>
    </w:p>
    <w:p w14:paraId="29ABDC02">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8</w:t>
      </w:r>
      <w:r>
        <w:rPr>
          <w:rFonts w:hint="eastAsia" w:ascii="宋体" w:hAnsi="宋体"/>
          <w:color w:val="auto"/>
          <w:sz w:val="24"/>
          <w:highlight w:val="none"/>
        </w:rPr>
        <w:t xml:space="preserve"> 参与招标投标活动的各方应对招标文件和投标文件中的商业和技术等秘密保密，违者应对由此造成的后果承担法律责任。</w:t>
      </w:r>
    </w:p>
    <w:p w14:paraId="14EC7C61">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9</w:t>
      </w:r>
      <w:r>
        <w:rPr>
          <w:rFonts w:hint="eastAsia" w:ascii="宋体" w:hAnsi="宋体"/>
          <w:color w:val="auto"/>
          <w:sz w:val="24"/>
          <w:highlight w:val="none"/>
        </w:rPr>
        <w:t xml:space="preserve"> 投标人应自行承担其准备和参加投标活动发生的所有费用。不论投标结果如何，采购人及采购代理机构在任何情况下无义务也无责任承担这些费用。</w:t>
      </w:r>
    </w:p>
    <w:p w14:paraId="3FAB7B4A">
      <w:pPr>
        <w:pStyle w:val="4"/>
        <w:spacing w:before="0" w:after="0" w:line="520" w:lineRule="exact"/>
        <w:rPr>
          <w:rFonts w:hint="eastAsia" w:hAnsi="宋体"/>
          <w:color w:val="auto"/>
          <w:highlight w:val="none"/>
        </w:rPr>
      </w:pPr>
      <w:bookmarkStart w:id="43" w:name="_Toc515904805"/>
      <w:bookmarkStart w:id="44" w:name="_Toc520356148"/>
      <w:bookmarkStart w:id="45" w:name="_Toc26044"/>
      <w:bookmarkStart w:id="46" w:name="_Toc24656"/>
      <w:bookmarkStart w:id="47" w:name="_Toc9232"/>
      <w:r>
        <w:rPr>
          <w:rFonts w:hint="eastAsia" w:hAnsi="宋体"/>
          <w:color w:val="auto"/>
          <w:highlight w:val="none"/>
        </w:rPr>
        <w:t>6.招标文件的澄清</w:t>
      </w:r>
      <w:bookmarkEnd w:id="43"/>
      <w:bookmarkEnd w:id="44"/>
      <w:r>
        <w:rPr>
          <w:rFonts w:hint="eastAsia" w:hAnsi="宋体"/>
          <w:color w:val="auto"/>
          <w:highlight w:val="none"/>
        </w:rPr>
        <w:t>与</w:t>
      </w:r>
      <w:r>
        <w:rPr>
          <w:rFonts w:hAnsi="宋体"/>
          <w:color w:val="auto"/>
          <w:highlight w:val="none"/>
        </w:rPr>
        <w:t>修改</w:t>
      </w:r>
      <w:bookmarkEnd w:id="45"/>
      <w:bookmarkEnd w:id="46"/>
      <w:bookmarkEnd w:id="47"/>
    </w:p>
    <w:p w14:paraId="1758E2DF">
      <w:pPr>
        <w:spacing w:line="520" w:lineRule="exact"/>
        <w:ind w:firstLine="420" w:firstLineChars="175"/>
        <w:rPr>
          <w:rFonts w:hint="eastAsia" w:ascii="宋体" w:hAnsi="宋体"/>
          <w:color w:val="auto"/>
          <w:sz w:val="24"/>
          <w:highlight w:val="none"/>
        </w:rPr>
      </w:pPr>
      <w:r>
        <w:rPr>
          <w:rFonts w:hint="eastAsia" w:ascii="宋体" w:hAnsi="宋体"/>
          <w:color w:val="auto"/>
          <w:kern w:val="0"/>
          <w:sz w:val="24"/>
          <w:highlight w:val="none"/>
        </w:rPr>
        <w:t>6.1</w:t>
      </w:r>
      <w:r>
        <w:rPr>
          <w:rFonts w:ascii="宋体" w:hAnsi="宋体"/>
          <w:color w:val="auto"/>
          <w:highlight w:val="none"/>
        </w:rPr>
        <w:t xml:space="preserve"> </w:t>
      </w:r>
      <w:bookmarkStart w:id="48" w:name="_Toc520356149"/>
      <w:bookmarkStart w:id="49" w:name="_Ref467378678"/>
      <w:bookmarkStart w:id="50" w:name="_Toc515904806"/>
      <w:r>
        <w:rPr>
          <w:rFonts w:hint="eastAsia" w:ascii="宋体" w:hAnsi="宋体"/>
          <w:color w:val="auto"/>
          <w:sz w:val="24"/>
          <w:highlight w:val="none"/>
        </w:rPr>
        <w:t>采购人可主动地或在解答投标人提出的澄清问题时对招标文件澄清</w:t>
      </w:r>
      <w:r>
        <w:rPr>
          <w:rFonts w:ascii="宋体" w:hAnsi="宋体"/>
          <w:color w:val="auto"/>
          <w:sz w:val="24"/>
          <w:highlight w:val="none"/>
        </w:rPr>
        <w:t>或</w:t>
      </w:r>
      <w:r>
        <w:rPr>
          <w:rFonts w:hint="eastAsia" w:ascii="宋体" w:hAnsi="宋体"/>
          <w:color w:val="auto"/>
          <w:sz w:val="24"/>
          <w:highlight w:val="none"/>
        </w:rPr>
        <w:t>修改。</w:t>
      </w:r>
      <w:r>
        <w:rPr>
          <w:rFonts w:ascii="宋体" w:hAnsi="宋体"/>
          <w:color w:val="auto"/>
          <w:sz w:val="24"/>
          <w:highlight w:val="none"/>
        </w:rPr>
        <w:t>采购代理机构</w:t>
      </w:r>
      <w:r>
        <w:rPr>
          <w:rFonts w:hint="eastAsia" w:ascii="宋体" w:hAnsi="宋体"/>
          <w:color w:val="auto"/>
          <w:sz w:val="24"/>
          <w:highlight w:val="none"/>
        </w:rPr>
        <w:t>将以发布澄清（更正）</w:t>
      </w:r>
      <w:r>
        <w:rPr>
          <w:rFonts w:ascii="宋体" w:hAnsi="宋体"/>
          <w:color w:val="auto"/>
          <w:sz w:val="24"/>
          <w:highlight w:val="none"/>
        </w:rPr>
        <w:t>公告</w:t>
      </w:r>
      <w:r>
        <w:rPr>
          <w:rFonts w:hint="eastAsia" w:ascii="宋体" w:hAnsi="宋体"/>
          <w:color w:val="auto"/>
          <w:sz w:val="24"/>
          <w:highlight w:val="none"/>
        </w:rPr>
        <w:t>的</w:t>
      </w:r>
      <w:r>
        <w:rPr>
          <w:rFonts w:ascii="宋体" w:hAnsi="宋体"/>
          <w:color w:val="auto"/>
          <w:sz w:val="24"/>
          <w:highlight w:val="none"/>
        </w:rPr>
        <w:t>方式，</w:t>
      </w:r>
      <w:r>
        <w:rPr>
          <w:rFonts w:hint="eastAsia" w:ascii="宋体" w:hAnsi="宋体"/>
          <w:color w:val="auto"/>
          <w:sz w:val="24"/>
          <w:highlight w:val="none"/>
        </w:rPr>
        <w:t>澄清或修改招标</w:t>
      </w:r>
      <w:r>
        <w:rPr>
          <w:rFonts w:ascii="宋体" w:hAnsi="宋体"/>
          <w:color w:val="auto"/>
          <w:sz w:val="24"/>
          <w:highlight w:val="none"/>
        </w:rPr>
        <w:t>文件</w:t>
      </w:r>
      <w:r>
        <w:rPr>
          <w:rFonts w:hint="eastAsia" w:ascii="宋体" w:hAnsi="宋体"/>
          <w:b/>
          <w:color w:val="auto"/>
          <w:sz w:val="24"/>
          <w:highlight w:val="none"/>
        </w:rPr>
        <w:t>，澄清或修改</w:t>
      </w:r>
      <w:r>
        <w:rPr>
          <w:rFonts w:ascii="宋体" w:hAnsi="宋体"/>
          <w:b/>
          <w:color w:val="auto"/>
          <w:sz w:val="24"/>
          <w:highlight w:val="none"/>
        </w:rPr>
        <w:t>内容</w:t>
      </w:r>
      <w:r>
        <w:rPr>
          <w:rFonts w:hint="eastAsia" w:ascii="宋体" w:hAnsi="宋体"/>
          <w:b/>
          <w:color w:val="auto"/>
          <w:sz w:val="24"/>
          <w:highlight w:val="none"/>
        </w:rPr>
        <w:t>作</w:t>
      </w:r>
      <w:r>
        <w:rPr>
          <w:rFonts w:ascii="宋体" w:hAnsi="宋体"/>
          <w:b/>
          <w:color w:val="auto"/>
          <w:sz w:val="24"/>
          <w:highlight w:val="none"/>
        </w:rPr>
        <w:t>为招标文件</w:t>
      </w:r>
      <w:r>
        <w:rPr>
          <w:rFonts w:hint="eastAsia" w:ascii="宋体" w:hAnsi="宋体"/>
          <w:b/>
          <w:color w:val="auto"/>
          <w:sz w:val="24"/>
          <w:highlight w:val="none"/>
        </w:rPr>
        <w:t>的</w:t>
      </w:r>
      <w:r>
        <w:rPr>
          <w:rFonts w:ascii="宋体" w:hAnsi="宋体"/>
          <w:b/>
          <w:color w:val="auto"/>
          <w:sz w:val="24"/>
          <w:highlight w:val="none"/>
        </w:rPr>
        <w:t>组成部分</w:t>
      </w:r>
      <w:r>
        <w:rPr>
          <w:rFonts w:hint="eastAsia" w:ascii="宋体" w:hAnsi="宋体"/>
          <w:color w:val="auto"/>
          <w:sz w:val="24"/>
          <w:highlight w:val="none"/>
        </w:rPr>
        <w:t>。</w:t>
      </w:r>
    </w:p>
    <w:p w14:paraId="1DD1C959">
      <w:pPr>
        <w:pStyle w:val="7"/>
        <w:spacing w:line="520" w:lineRule="exact"/>
        <w:ind w:firstLineChars="175"/>
        <w:rPr>
          <w:rFonts w:hint="eastAsia" w:hAnsi="宋体"/>
          <w:color w:val="auto"/>
          <w:highlight w:val="none"/>
        </w:rPr>
      </w:pPr>
      <w:r>
        <w:rPr>
          <w:rFonts w:hAnsi="宋体"/>
          <w:color w:val="auto"/>
          <w:szCs w:val="24"/>
          <w:highlight w:val="none"/>
        </w:rPr>
        <w:t>6.2</w:t>
      </w:r>
      <w:r>
        <w:rPr>
          <w:rFonts w:hAnsi="宋体"/>
          <w:color w:val="auto"/>
          <w:szCs w:val="24"/>
          <w:highlight w:val="none"/>
        </w:rPr>
        <w:tab/>
      </w:r>
      <w:r>
        <w:rPr>
          <w:rFonts w:hint="eastAsia" w:hAnsi="宋体"/>
          <w:color w:val="auto"/>
          <w:szCs w:val="24"/>
          <w:highlight w:val="none"/>
          <w:lang w:val="en-US" w:eastAsia="zh-CN"/>
        </w:rPr>
        <w:t xml:space="preserve"> </w:t>
      </w:r>
      <w:r>
        <w:rPr>
          <w:rFonts w:hint="eastAsia" w:hAnsi="宋体"/>
          <w:color w:val="auto"/>
          <w:highlight w:val="none"/>
        </w:rPr>
        <w:t>澄清</w:t>
      </w:r>
      <w:r>
        <w:rPr>
          <w:rFonts w:hAnsi="宋体"/>
          <w:color w:val="auto"/>
          <w:highlight w:val="none"/>
        </w:rPr>
        <w:t>或者修改的内容可能影响投标</w:t>
      </w:r>
      <w:r>
        <w:rPr>
          <w:rFonts w:hAnsi="宋体"/>
          <w:b/>
          <w:color w:val="auto"/>
          <w:highlight w:val="none"/>
        </w:rPr>
        <w:t>文件编制</w:t>
      </w:r>
      <w:r>
        <w:rPr>
          <w:rFonts w:hAnsi="宋体"/>
          <w:color w:val="auto"/>
          <w:highlight w:val="none"/>
        </w:rPr>
        <w:t>的，采购代理机构</w:t>
      </w:r>
      <w:r>
        <w:rPr>
          <w:rFonts w:hint="eastAsia" w:hAnsi="宋体"/>
          <w:color w:val="auto"/>
          <w:highlight w:val="none"/>
        </w:rPr>
        <w:t>将应当在投标截止时间至少15日前，</w:t>
      </w:r>
      <w:r>
        <w:rPr>
          <w:rFonts w:hAnsi="宋体"/>
          <w:color w:val="auto"/>
          <w:highlight w:val="none"/>
        </w:rPr>
        <w:t>以</w:t>
      </w:r>
      <w:r>
        <w:rPr>
          <w:rFonts w:hint="eastAsia" w:hAnsi="宋体"/>
          <w:color w:val="auto"/>
          <w:highlight w:val="none"/>
        </w:rPr>
        <w:t>书面或公告等形式通知所有获取招标文件的潜在投标人，并对其具有约束力。投标人在收到上述通知后，应</w:t>
      </w:r>
      <w:r>
        <w:rPr>
          <w:rFonts w:hint="eastAsia" w:hAnsi="宋体"/>
          <w:b/>
          <w:color w:val="auto"/>
          <w:highlight w:val="none"/>
        </w:rPr>
        <w:t>以书面形式</w:t>
      </w:r>
      <w:r>
        <w:rPr>
          <w:rFonts w:hint="eastAsia" w:hAnsi="宋体"/>
          <w:color w:val="auto"/>
          <w:highlight w:val="none"/>
        </w:rPr>
        <w:t>向</w:t>
      </w:r>
      <w:r>
        <w:rPr>
          <w:rFonts w:hAnsi="宋体"/>
          <w:color w:val="auto"/>
          <w:highlight w:val="none"/>
        </w:rPr>
        <w:t>采购代理机构</w:t>
      </w:r>
      <w:r>
        <w:rPr>
          <w:rFonts w:hint="eastAsia" w:hAnsi="宋体"/>
          <w:color w:val="auto"/>
          <w:highlight w:val="none"/>
        </w:rPr>
        <w:t>确认。投标人未回复的，视同</w:t>
      </w:r>
      <w:r>
        <w:rPr>
          <w:rFonts w:hint="eastAsia" w:hAnsi="宋体" w:cs="仿宋_GB2312"/>
          <w:color w:val="auto"/>
          <w:szCs w:val="24"/>
          <w:highlight w:val="none"/>
        </w:rPr>
        <w:t>已知晓澄清或者修改的内容。</w:t>
      </w:r>
      <w:r>
        <w:rPr>
          <w:rFonts w:hint="eastAsia" w:hAnsi="宋体"/>
          <w:color w:val="auto"/>
          <w:highlight w:val="none"/>
        </w:rPr>
        <w:t>该澄清</w:t>
      </w:r>
      <w:r>
        <w:rPr>
          <w:rFonts w:hAnsi="宋体"/>
          <w:color w:val="auto"/>
          <w:highlight w:val="none"/>
        </w:rPr>
        <w:t>或者修改</w:t>
      </w:r>
      <w:r>
        <w:rPr>
          <w:rFonts w:hint="eastAsia" w:hAnsi="宋体"/>
          <w:color w:val="auto"/>
          <w:highlight w:val="none"/>
        </w:rPr>
        <w:t>的内容为招标文件的组成部分。</w:t>
      </w:r>
    </w:p>
    <w:p w14:paraId="67DA7ACF">
      <w:pPr>
        <w:pStyle w:val="7"/>
        <w:spacing w:line="520" w:lineRule="exact"/>
        <w:ind w:firstLineChars="175"/>
        <w:rPr>
          <w:rFonts w:hint="eastAsia" w:hAnsi="宋体" w:cs="仿宋_GB2312"/>
          <w:color w:val="auto"/>
          <w:szCs w:val="24"/>
          <w:highlight w:val="none"/>
        </w:rPr>
      </w:pPr>
      <w:r>
        <w:rPr>
          <w:rFonts w:hint="eastAsia" w:hAnsi="宋体" w:cs="仿宋_GB2312"/>
          <w:color w:val="auto"/>
          <w:szCs w:val="24"/>
          <w:highlight w:val="none"/>
        </w:rPr>
        <w:t>因潜在投标人原因或通讯线路故障导致逾期送达或无法送达，采购代理机构不因此承担任何责任，有关的招标采购活动可以继续有效进行。</w:t>
      </w:r>
    </w:p>
    <w:p w14:paraId="50256683">
      <w:pPr>
        <w:spacing w:line="520" w:lineRule="exact"/>
        <w:ind w:firstLine="420" w:firstLineChars="175"/>
        <w:rPr>
          <w:rFonts w:hint="eastAsia" w:ascii="宋体" w:hAnsi="宋体" w:cs="仿宋_GB2312"/>
          <w:color w:val="auto"/>
          <w:kern w:val="0"/>
          <w:sz w:val="24"/>
          <w:highlight w:val="none"/>
        </w:rPr>
      </w:pPr>
      <w:r>
        <w:rPr>
          <w:rFonts w:hint="eastAsia" w:ascii="宋体" w:hAnsi="宋体" w:cs="仿宋_GB2312"/>
          <w:color w:val="auto"/>
          <w:kern w:val="0"/>
          <w:sz w:val="24"/>
          <w:highlight w:val="none"/>
        </w:rPr>
        <w:t>6.3 投标人认为招标文件存在歧视性条款或不合理要求等需要澄清的，应在规定时间内一次性全部提出。如在规定时间内，投标人对招标文件中的各项条款未提出异议，即认为同意和接受招标文件。</w:t>
      </w:r>
    </w:p>
    <w:p w14:paraId="20CAD73D">
      <w:pPr>
        <w:pStyle w:val="4"/>
        <w:tabs>
          <w:tab w:val="left" w:pos="900"/>
        </w:tabs>
        <w:spacing w:before="0" w:after="0" w:line="520" w:lineRule="exact"/>
        <w:rPr>
          <w:rFonts w:hint="eastAsia" w:hAnsi="宋体"/>
          <w:color w:val="auto"/>
          <w:highlight w:val="none"/>
        </w:rPr>
      </w:pPr>
      <w:bookmarkStart w:id="51" w:name="_Toc25635"/>
      <w:bookmarkStart w:id="52" w:name="_Toc24680"/>
      <w:bookmarkStart w:id="53" w:name="_Toc14569"/>
      <w:r>
        <w:rPr>
          <w:rFonts w:hint="eastAsia" w:hAnsi="宋体"/>
          <w:color w:val="auto"/>
          <w:highlight w:val="none"/>
        </w:rPr>
        <w:t>7</w:t>
      </w:r>
      <w:bookmarkEnd w:id="48"/>
      <w:bookmarkEnd w:id="49"/>
      <w:bookmarkEnd w:id="50"/>
      <w:r>
        <w:rPr>
          <w:rFonts w:hint="eastAsia" w:hAnsi="宋体"/>
          <w:color w:val="auto"/>
          <w:highlight w:val="none"/>
        </w:rPr>
        <w:t>.投标截止</w:t>
      </w:r>
      <w:r>
        <w:rPr>
          <w:rFonts w:hAnsi="宋体"/>
          <w:color w:val="auto"/>
          <w:highlight w:val="none"/>
        </w:rPr>
        <w:t>时间的顺延</w:t>
      </w:r>
      <w:bookmarkEnd w:id="51"/>
      <w:bookmarkEnd w:id="52"/>
      <w:bookmarkEnd w:id="53"/>
    </w:p>
    <w:p w14:paraId="2460B46F">
      <w:pPr>
        <w:spacing w:line="520" w:lineRule="exact"/>
        <w:ind w:firstLine="420" w:firstLineChars="175"/>
        <w:rPr>
          <w:rFonts w:hint="eastAsia" w:ascii="宋体" w:hAnsi="宋体" w:cs="仿宋_GB2312"/>
          <w:color w:val="auto"/>
          <w:kern w:val="0"/>
          <w:sz w:val="24"/>
          <w:highlight w:val="none"/>
        </w:rPr>
      </w:pPr>
      <w:r>
        <w:rPr>
          <w:rFonts w:hint="eastAsia" w:ascii="宋体" w:hAnsi="宋体" w:cs="仿宋_GB2312"/>
          <w:color w:val="auto"/>
          <w:kern w:val="0"/>
          <w:sz w:val="24"/>
          <w:highlight w:val="none"/>
        </w:rPr>
        <w:t>为使投标人准备投标时有足够的时间对招标文件的澄清或者修改部分进行研究，采购人将依法决定是否顺延投标截止时间。</w:t>
      </w:r>
    </w:p>
    <w:p w14:paraId="716095BC">
      <w:pPr>
        <w:pStyle w:val="3"/>
        <w:spacing w:line="520" w:lineRule="exact"/>
        <w:rPr>
          <w:rFonts w:hint="eastAsia" w:ascii="宋体" w:hAnsi="宋体"/>
          <w:color w:val="auto"/>
          <w:highlight w:val="none"/>
        </w:rPr>
      </w:pPr>
      <w:bookmarkStart w:id="54" w:name="_Toc516367020"/>
      <w:bookmarkStart w:id="55" w:name="_Toc520356150"/>
      <w:bookmarkStart w:id="56" w:name="_Toc216582807"/>
      <w:bookmarkStart w:id="57" w:name="_Toc24230"/>
      <w:bookmarkStart w:id="58" w:name="_Toc7636"/>
      <w:bookmarkStart w:id="59" w:name="_Toc515647766"/>
      <w:bookmarkStart w:id="60" w:name="_Toc30808"/>
      <w:r>
        <w:rPr>
          <w:rFonts w:hint="eastAsia" w:ascii="宋体" w:hAnsi="宋体"/>
          <w:color w:val="auto"/>
          <w:highlight w:val="none"/>
        </w:rPr>
        <w:t>三   投标文件</w:t>
      </w:r>
      <w:bookmarkEnd w:id="54"/>
      <w:r>
        <w:rPr>
          <w:rFonts w:hint="eastAsia" w:ascii="宋体" w:hAnsi="宋体"/>
          <w:color w:val="auto"/>
          <w:highlight w:val="none"/>
        </w:rPr>
        <w:t>的编制</w:t>
      </w:r>
      <w:bookmarkEnd w:id="55"/>
      <w:bookmarkEnd w:id="56"/>
      <w:bookmarkEnd w:id="57"/>
      <w:bookmarkEnd w:id="58"/>
      <w:bookmarkEnd w:id="59"/>
      <w:bookmarkEnd w:id="60"/>
    </w:p>
    <w:p w14:paraId="0C348EEE">
      <w:pPr>
        <w:pStyle w:val="4"/>
        <w:spacing w:before="0" w:after="0" w:line="520" w:lineRule="exact"/>
        <w:rPr>
          <w:rFonts w:hAnsi="宋体"/>
          <w:color w:val="auto"/>
          <w:highlight w:val="none"/>
        </w:rPr>
      </w:pPr>
      <w:bookmarkStart w:id="61" w:name="_Toc16140"/>
      <w:bookmarkStart w:id="62" w:name="_Toc7786"/>
      <w:bookmarkStart w:id="63" w:name="_Toc520356151"/>
      <w:bookmarkStart w:id="64" w:name="_Toc516367021"/>
      <w:bookmarkStart w:id="65" w:name="_Toc515647767"/>
      <w:bookmarkStart w:id="66" w:name="_Toc3553"/>
      <w:r>
        <w:rPr>
          <w:rFonts w:hint="eastAsia" w:hAnsi="宋体"/>
          <w:color w:val="auto"/>
          <w:highlight w:val="none"/>
        </w:rPr>
        <w:t>8</w:t>
      </w:r>
      <w:r>
        <w:rPr>
          <w:rFonts w:hAnsi="宋体"/>
          <w:color w:val="auto"/>
          <w:highlight w:val="none"/>
        </w:rPr>
        <w:t>.</w:t>
      </w:r>
      <w:r>
        <w:rPr>
          <w:rFonts w:hint="eastAsia" w:hAnsi="宋体"/>
          <w:color w:val="auto"/>
          <w:highlight w:val="none"/>
        </w:rPr>
        <w:t xml:space="preserve"> 编制要求</w:t>
      </w:r>
      <w:bookmarkEnd w:id="61"/>
    </w:p>
    <w:p w14:paraId="2CC19439">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8.1</w:t>
      </w:r>
      <w:r>
        <w:rPr>
          <w:rFonts w:hint="eastAsia" w:ascii="宋体" w:hAnsi="宋体"/>
          <w:color w:val="auto"/>
          <w:sz w:val="24"/>
          <w:highlight w:val="none"/>
          <w:lang w:val="en-US" w:eastAsia="zh-CN"/>
        </w:rPr>
        <w:t xml:space="preserve"> </w:t>
      </w:r>
      <w:r>
        <w:rPr>
          <w:rFonts w:hint="eastAsia" w:ascii="宋体" w:hAnsi="宋体"/>
          <w:color w:val="auto"/>
          <w:sz w:val="24"/>
          <w:highlight w:val="none"/>
          <w:lang w:eastAsia="zh-CN"/>
        </w:rPr>
        <w:t>投标人</w:t>
      </w:r>
      <w:r>
        <w:rPr>
          <w:rFonts w:hint="eastAsia" w:ascii="宋体" w:hAnsi="宋体"/>
          <w:color w:val="auto"/>
          <w:sz w:val="24"/>
          <w:highlight w:val="none"/>
        </w:rPr>
        <w:t>应仔细阅读招标文件的所有内容，按照招标文件的要求及格式编制投标文件，并保证其真实性。若</w:t>
      </w:r>
      <w:r>
        <w:rPr>
          <w:rFonts w:hint="eastAsia" w:ascii="宋体" w:hAnsi="宋体"/>
          <w:color w:val="auto"/>
          <w:sz w:val="24"/>
          <w:highlight w:val="none"/>
          <w:lang w:eastAsia="zh-CN"/>
        </w:rPr>
        <w:t>投标人</w:t>
      </w:r>
      <w:r>
        <w:rPr>
          <w:rFonts w:hint="eastAsia" w:ascii="宋体" w:hAnsi="宋体"/>
          <w:color w:val="auto"/>
          <w:sz w:val="24"/>
          <w:highlight w:val="none"/>
        </w:rPr>
        <w:t>没有按照招标文件要求提交全部实质性要求资料或对实质性要求未作响应是</w:t>
      </w:r>
      <w:r>
        <w:rPr>
          <w:rFonts w:hint="eastAsia" w:ascii="宋体" w:hAnsi="宋体"/>
          <w:color w:val="auto"/>
          <w:sz w:val="24"/>
          <w:highlight w:val="none"/>
          <w:lang w:eastAsia="zh-CN"/>
        </w:rPr>
        <w:t>投标人</w:t>
      </w:r>
      <w:r>
        <w:rPr>
          <w:rFonts w:hint="eastAsia" w:ascii="宋体" w:hAnsi="宋体"/>
          <w:color w:val="auto"/>
          <w:sz w:val="24"/>
          <w:highlight w:val="none"/>
        </w:rPr>
        <w:t>的风险，其</w:t>
      </w:r>
      <w:r>
        <w:rPr>
          <w:rFonts w:hint="eastAsia" w:ascii="宋体" w:hAnsi="宋体"/>
          <w:b/>
          <w:color w:val="auto"/>
          <w:sz w:val="24"/>
          <w:highlight w:val="none"/>
        </w:rPr>
        <w:t>投标将会被拒绝</w:t>
      </w:r>
      <w:r>
        <w:rPr>
          <w:rFonts w:hint="eastAsia" w:ascii="宋体" w:hAnsi="宋体"/>
          <w:color w:val="auto"/>
          <w:sz w:val="24"/>
          <w:highlight w:val="none"/>
        </w:rPr>
        <w:t>。</w:t>
      </w:r>
    </w:p>
    <w:p w14:paraId="4781D411">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8.2</w:t>
      </w:r>
      <w:r>
        <w:rPr>
          <w:rFonts w:hint="eastAsia" w:ascii="宋体" w:hAnsi="宋体"/>
          <w:color w:val="auto"/>
          <w:sz w:val="24"/>
          <w:highlight w:val="none"/>
          <w:lang w:val="en-US" w:eastAsia="zh-CN"/>
        </w:rPr>
        <w:t xml:space="preserve"> </w:t>
      </w:r>
      <w:r>
        <w:rPr>
          <w:rFonts w:hint="eastAsia" w:ascii="宋体" w:hAnsi="宋体"/>
          <w:color w:val="auto"/>
          <w:sz w:val="24"/>
          <w:highlight w:val="none"/>
          <w:lang w:eastAsia="zh-CN"/>
        </w:rPr>
        <w:t>投标人</w:t>
      </w:r>
      <w:r>
        <w:rPr>
          <w:rFonts w:hint="eastAsia" w:ascii="宋体" w:hAnsi="宋体"/>
          <w:color w:val="auto"/>
          <w:sz w:val="24"/>
          <w:highlight w:val="none"/>
        </w:rPr>
        <w:t>对多个分包进行投标的，应以分包为单位编制投标文件，每一包投标文件均需满足本招标文件对投标文件的签署、盖章要求。</w:t>
      </w:r>
    </w:p>
    <w:p w14:paraId="7C225AA9">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8.3 封面设置</w:t>
      </w:r>
    </w:p>
    <w:p w14:paraId="14C974AC">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投标文件材料封面设置包括：“投标文件”、项目名称、项目编号、投标人名称。</w:t>
      </w:r>
    </w:p>
    <w:p w14:paraId="0C8493E5">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8.4</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投标人应按招标文件的要求及格式编写其投标文件；不得缺少或留空任何招标文件要求填写的表格或资料。</w:t>
      </w:r>
    </w:p>
    <w:p w14:paraId="6882BD78">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8.5</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投标人应编制投标文件目录、内容，标注连续页码。</w:t>
      </w:r>
    </w:p>
    <w:p w14:paraId="1A490FC9">
      <w:pPr>
        <w:pStyle w:val="77"/>
        <w:spacing w:line="520" w:lineRule="exact"/>
        <w:ind w:firstLineChars="175"/>
        <w:rPr>
          <w:rFonts w:hint="eastAsia" w:ascii="宋体" w:hAnsi="宋体"/>
          <w:color w:val="auto"/>
          <w:highlight w:val="none"/>
          <w:u w:val="single"/>
        </w:rPr>
      </w:pPr>
      <w:r>
        <w:rPr>
          <w:rFonts w:hint="eastAsia" w:ascii="宋体" w:hAnsi="宋体"/>
          <w:color w:val="auto"/>
          <w:kern w:val="2"/>
          <w:highlight w:val="none"/>
        </w:rPr>
        <w:t>8.6</w:t>
      </w:r>
      <w:r>
        <w:rPr>
          <w:rFonts w:hint="eastAsia" w:ascii="宋体" w:hAnsi="宋体"/>
          <w:color w:val="auto"/>
          <w:kern w:val="2"/>
          <w:highlight w:val="none"/>
          <w:lang w:val="en-US" w:eastAsia="zh-CN"/>
        </w:rPr>
        <w:t xml:space="preserve">  </w:t>
      </w:r>
      <w:r>
        <w:rPr>
          <w:rFonts w:hint="eastAsia" w:ascii="宋体" w:hAnsi="宋体"/>
          <w:color w:val="auto"/>
          <w:kern w:val="2"/>
          <w:highlight w:val="none"/>
        </w:rPr>
        <w:t>关于兼投不兼中要求详见：</w:t>
      </w:r>
      <w:r>
        <w:rPr>
          <w:rFonts w:hint="eastAsia" w:ascii="宋体" w:hAnsi="宋体"/>
          <w:color w:val="auto"/>
          <w:highlight w:val="none"/>
          <w:u w:val="single"/>
        </w:rPr>
        <w:t>投标人须知资料表。</w:t>
      </w:r>
    </w:p>
    <w:p w14:paraId="3CEAC858">
      <w:pPr>
        <w:tabs>
          <w:tab w:val="left" w:pos="0"/>
        </w:tabs>
        <w:spacing w:line="480" w:lineRule="exact"/>
        <w:ind w:left="0" w:leftChars="0" w:firstLine="422" w:firstLineChars="175"/>
        <w:rPr>
          <w:rFonts w:hint="eastAsia"/>
          <w:color w:val="auto"/>
          <w:highlight w:val="none"/>
        </w:rPr>
      </w:pPr>
      <w:r>
        <w:rPr>
          <w:rFonts w:hint="eastAsia" w:ascii="宋体" w:hAnsi="宋体" w:cs="宋体"/>
          <w:b/>
          <w:bCs/>
          <w:color w:val="auto"/>
          <w:sz w:val="24"/>
          <w:highlight w:val="none"/>
          <w:lang w:val="en-US" w:eastAsia="zh-CN"/>
        </w:rPr>
        <w:t>8.7</w:t>
      </w:r>
      <w:r>
        <w:rPr>
          <w:rFonts w:hint="default" w:ascii="宋体" w:hAnsi="宋体" w:cs="宋体"/>
          <w:b/>
          <w:bCs/>
          <w:color w:val="auto"/>
          <w:sz w:val="24"/>
          <w:highlight w:val="none"/>
          <w:lang w:val="en-US" w:eastAsia="zh-CN"/>
        </w:rPr>
        <w:t>除必要的商务文书或要求的证书复印件外，</w:t>
      </w:r>
      <w:r>
        <w:rPr>
          <w:rFonts w:hint="eastAsia" w:ascii="宋体" w:hAnsi="宋体" w:cs="宋体"/>
          <w:b/>
          <w:bCs/>
          <w:color w:val="auto"/>
          <w:sz w:val="24"/>
          <w:highlight w:val="none"/>
          <w:lang w:val="en-US" w:eastAsia="zh-CN"/>
        </w:rPr>
        <w:t>投标文件</w:t>
      </w:r>
      <w:r>
        <w:rPr>
          <w:rFonts w:hint="default" w:ascii="宋体" w:hAnsi="宋体" w:cs="宋体"/>
          <w:b/>
          <w:bCs/>
          <w:color w:val="auto"/>
          <w:sz w:val="24"/>
          <w:highlight w:val="none"/>
          <w:lang w:val="en-US" w:eastAsia="zh-CN"/>
        </w:rPr>
        <w:t>的正本和副本均须A4纸双面打印”</w:t>
      </w:r>
      <w:r>
        <w:rPr>
          <w:rFonts w:hint="eastAsia" w:ascii="宋体" w:hAnsi="宋体" w:cs="宋体"/>
          <w:b/>
          <w:bCs/>
          <w:color w:val="auto"/>
          <w:sz w:val="24"/>
          <w:highlight w:val="none"/>
          <w:lang w:val="en-US" w:eastAsia="zh-CN"/>
        </w:rPr>
        <w:t>，感谢支持！！</w:t>
      </w:r>
    </w:p>
    <w:p w14:paraId="6C89014A">
      <w:pPr>
        <w:pStyle w:val="4"/>
        <w:tabs>
          <w:tab w:val="left" w:pos="900"/>
        </w:tabs>
        <w:spacing w:before="0" w:after="0" w:line="520" w:lineRule="exact"/>
        <w:rPr>
          <w:rFonts w:hAnsi="宋体"/>
          <w:color w:val="auto"/>
          <w:highlight w:val="none"/>
        </w:rPr>
      </w:pPr>
      <w:bookmarkStart w:id="67" w:name="_Toc18543"/>
      <w:r>
        <w:rPr>
          <w:rFonts w:hint="eastAsia" w:hAnsi="宋体"/>
          <w:color w:val="auto"/>
          <w:highlight w:val="none"/>
        </w:rPr>
        <w:t>9.投标范围及投标文件中标准和计量单位的使用</w:t>
      </w:r>
      <w:bookmarkEnd w:id="62"/>
      <w:bookmarkEnd w:id="63"/>
      <w:bookmarkEnd w:id="64"/>
      <w:bookmarkEnd w:id="65"/>
      <w:bookmarkEnd w:id="66"/>
      <w:bookmarkEnd w:id="67"/>
    </w:p>
    <w:p w14:paraId="30DC6A5B">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9.1</w:t>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投标人可对招标文件中一个或几个分包进行投标，除非在投标人须知资料表中另有规定。</w:t>
      </w:r>
    </w:p>
    <w:p w14:paraId="16375E5F">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9.2</w:t>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投标人应当对所投招标文件中“服务需求”所列的所有服务内容进行投标，如仅响应某一包中的部分内容，其该包投标将被认定为投标无效。</w:t>
      </w:r>
    </w:p>
    <w:p w14:paraId="77220570">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9.3</w:t>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无论招标文件是否要求，投标人所投服务（或货物）均应符合国家强制性标准。</w:t>
      </w:r>
    </w:p>
    <w:p w14:paraId="244E63A4">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9.4</w:t>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除招标文件中有特殊要求外，投标文件中所使用的计量单位，应采用中华人民共和国法定计量单位。</w:t>
      </w:r>
    </w:p>
    <w:p w14:paraId="6F2B3BFF">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9.5</w:t>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投标文件及</w:t>
      </w:r>
      <w:r>
        <w:rPr>
          <w:rFonts w:hint="eastAsia" w:ascii="宋体" w:hAnsi="宋体" w:cs="Times New Roman"/>
          <w:color w:val="auto"/>
          <w:sz w:val="24"/>
          <w:highlight w:val="none"/>
          <w:lang w:eastAsia="zh-CN"/>
        </w:rPr>
        <w:t>投标人</w:t>
      </w:r>
      <w:r>
        <w:rPr>
          <w:rFonts w:hint="eastAsia" w:ascii="宋体" w:hAnsi="宋体" w:cs="Times New Roman"/>
          <w:color w:val="auto"/>
          <w:sz w:val="24"/>
          <w:highlight w:val="none"/>
        </w:rPr>
        <w:t>和采购代理机构就投标而相互交换的资料和来往信件，应以中文书写。如投标人提交的支持文件和印刷的文献使用另一种语言，应附有相应内容的中文翻译本，在解释投标文件时以中文翻译本为准。</w:t>
      </w:r>
    </w:p>
    <w:p w14:paraId="6BAFD4DB">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9.6</w:t>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对违反上述规定情形的，评标委员会有权要求投标人限期提供相应文件或决定对其投标予以拒绝。</w:t>
      </w:r>
    </w:p>
    <w:p w14:paraId="530C2419">
      <w:pPr>
        <w:pStyle w:val="4"/>
        <w:tabs>
          <w:tab w:val="left" w:pos="900"/>
        </w:tabs>
        <w:spacing w:before="0" w:after="0" w:line="520" w:lineRule="exact"/>
        <w:rPr>
          <w:rFonts w:hAnsi="宋体"/>
          <w:color w:val="auto"/>
          <w:highlight w:val="none"/>
        </w:rPr>
      </w:pPr>
      <w:bookmarkStart w:id="68" w:name="_Ref467306676"/>
      <w:bookmarkStart w:id="69" w:name="_Toc516367022"/>
      <w:bookmarkStart w:id="70" w:name="_Ref467306195"/>
      <w:bookmarkStart w:id="71" w:name="_Toc28307"/>
      <w:bookmarkStart w:id="72" w:name="_Toc515647768"/>
      <w:bookmarkStart w:id="73" w:name="_Toc10364"/>
      <w:bookmarkStart w:id="74" w:name="_Toc520356152"/>
      <w:bookmarkStart w:id="75" w:name="_Toc14518"/>
      <w:r>
        <w:rPr>
          <w:rFonts w:hint="eastAsia" w:hAnsi="宋体"/>
          <w:color w:val="auto"/>
          <w:highlight w:val="none"/>
        </w:rPr>
        <w:t>10</w:t>
      </w:r>
      <w:r>
        <w:rPr>
          <w:rFonts w:hAnsi="宋体"/>
          <w:color w:val="auto"/>
          <w:highlight w:val="none"/>
        </w:rPr>
        <w:t>.</w:t>
      </w:r>
      <w:r>
        <w:rPr>
          <w:rFonts w:hint="eastAsia" w:hAnsi="宋体"/>
          <w:color w:val="auto"/>
          <w:highlight w:val="none"/>
        </w:rPr>
        <w:t>投标文件</w:t>
      </w:r>
      <w:bookmarkEnd w:id="68"/>
      <w:bookmarkEnd w:id="69"/>
      <w:bookmarkEnd w:id="70"/>
      <w:r>
        <w:rPr>
          <w:rFonts w:hint="eastAsia" w:hAnsi="宋体"/>
          <w:color w:val="auto"/>
          <w:highlight w:val="none"/>
        </w:rPr>
        <w:t>构成</w:t>
      </w:r>
      <w:bookmarkEnd w:id="71"/>
      <w:bookmarkEnd w:id="72"/>
      <w:bookmarkEnd w:id="73"/>
      <w:bookmarkEnd w:id="74"/>
      <w:bookmarkEnd w:id="75"/>
    </w:p>
    <w:p w14:paraId="3ABAAE29">
      <w:pPr>
        <w:tabs>
          <w:tab w:val="left" w:pos="640"/>
          <w:tab w:val="left" w:pos="5580"/>
        </w:tabs>
        <w:spacing w:line="520" w:lineRule="exact"/>
        <w:ind w:firstLine="420" w:firstLineChars="175"/>
        <w:jc w:val="left"/>
        <w:rPr>
          <w:rFonts w:hint="eastAsia" w:ascii="宋体" w:hAnsi="宋体"/>
          <w:color w:val="auto"/>
          <w:sz w:val="24"/>
          <w:highlight w:val="none"/>
        </w:rPr>
      </w:pPr>
      <w:bookmarkStart w:id="76" w:name="_Ref467052588"/>
      <w:bookmarkStart w:id="77" w:name="_Toc10379"/>
      <w:bookmarkStart w:id="78" w:name="_Toc516367023"/>
      <w:bookmarkStart w:id="79" w:name="_Toc515647769"/>
      <w:bookmarkStart w:id="80" w:name="_Toc520356153"/>
      <w:bookmarkStart w:id="81" w:name="_Toc4601"/>
      <w:r>
        <w:rPr>
          <w:rFonts w:hint="eastAsia" w:ascii="宋体" w:hAnsi="宋体"/>
          <w:color w:val="auto"/>
          <w:sz w:val="24"/>
          <w:highlight w:val="none"/>
        </w:rPr>
        <w:t>10</w:t>
      </w:r>
      <w:r>
        <w:rPr>
          <w:rFonts w:ascii="宋体" w:hAnsi="宋体"/>
          <w:color w:val="auto"/>
          <w:sz w:val="24"/>
          <w:highlight w:val="none"/>
        </w:rPr>
        <w:t>.1</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投标人应完整地按招标文件提供的投标文件格式及</w:t>
      </w:r>
      <w:r>
        <w:rPr>
          <w:rFonts w:ascii="宋体" w:hAnsi="宋体"/>
          <w:color w:val="auto"/>
          <w:sz w:val="24"/>
          <w:highlight w:val="none"/>
        </w:rPr>
        <w:t>要求</w:t>
      </w:r>
      <w:r>
        <w:rPr>
          <w:rFonts w:hint="eastAsia" w:ascii="宋体" w:hAnsi="宋体"/>
          <w:color w:val="auto"/>
          <w:sz w:val="24"/>
          <w:highlight w:val="none"/>
        </w:rPr>
        <w:t>编写投标文件</w:t>
      </w:r>
      <w:bookmarkEnd w:id="76"/>
      <w:r>
        <w:rPr>
          <w:rFonts w:hint="eastAsia" w:ascii="宋体" w:hAnsi="宋体"/>
          <w:color w:val="auto"/>
          <w:sz w:val="24"/>
          <w:highlight w:val="none"/>
        </w:rPr>
        <w:t>。投标文件的密封与装订的要求见</w:t>
      </w:r>
      <w:r>
        <w:rPr>
          <w:rFonts w:hint="eastAsia" w:ascii="宋体" w:hAnsi="宋体"/>
          <w:color w:val="auto"/>
          <w:sz w:val="24"/>
          <w:highlight w:val="none"/>
          <w:u w:val="single"/>
        </w:rPr>
        <w:t>投标人须知资料表。</w:t>
      </w:r>
      <w:r>
        <w:rPr>
          <w:rFonts w:ascii="宋体" w:hAnsi="宋体"/>
          <w:color w:val="auto"/>
          <w:sz w:val="24"/>
          <w:highlight w:val="none"/>
        </w:rPr>
        <w:t>投标人</w:t>
      </w:r>
      <w:r>
        <w:rPr>
          <w:rFonts w:hint="eastAsia" w:ascii="宋体" w:hAnsi="宋体"/>
          <w:color w:val="auto"/>
          <w:sz w:val="24"/>
          <w:highlight w:val="none"/>
        </w:rPr>
        <w:t>应承担封</w:t>
      </w:r>
      <w:r>
        <w:rPr>
          <w:rFonts w:ascii="宋体" w:hAnsi="宋体"/>
          <w:color w:val="auto"/>
          <w:sz w:val="24"/>
          <w:highlight w:val="none"/>
        </w:rPr>
        <w:t>装失误</w:t>
      </w:r>
      <w:r>
        <w:rPr>
          <w:rFonts w:hint="eastAsia" w:ascii="宋体" w:hAnsi="宋体"/>
          <w:color w:val="auto"/>
          <w:sz w:val="24"/>
          <w:highlight w:val="none"/>
        </w:rPr>
        <w:t>产生的任何</w:t>
      </w:r>
      <w:r>
        <w:rPr>
          <w:rFonts w:ascii="宋体" w:hAnsi="宋体"/>
          <w:color w:val="auto"/>
          <w:sz w:val="24"/>
          <w:highlight w:val="none"/>
        </w:rPr>
        <w:t>后果</w:t>
      </w:r>
      <w:r>
        <w:rPr>
          <w:rFonts w:hint="eastAsia" w:ascii="宋体" w:hAnsi="宋体"/>
          <w:color w:val="auto"/>
          <w:sz w:val="24"/>
          <w:highlight w:val="none"/>
        </w:rPr>
        <w:t>。投标文件中资格审查和符合性审查涉及的事项不满足招标文件要求的，其投标将被认定为</w:t>
      </w:r>
      <w:r>
        <w:rPr>
          <w:rFonts w:hint="eastAsia" w:ascii="宋体" w:hAnsi="宋体"/>
          <w:b/>
          <w:color w:val="auto"/>
          <w:sz w:val="24"/>
          <w:highlight w:val="none"/>
        </w:rPr>
        <w:t>投标无效</w:t>
      </w:r>
      <w:r>
        <w:rPr>
          <w:rFonts w:hint="eastAsia" w:ascii="宋体" w:hAnsi="宋体"/>
          <w:color w:val="auto"/>
          <w:sz w:val="24"/>
          <w:highlight w:val="none"/>
        </w:rPr>
        <w:t>。</w:t>
      </w:r>
    </w:p>
    <w:p w14:paraId="3D10770F">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10.</w:t>
      </w:r>
      <w:r>
        <w:rPr>
          <w:rFonts w:ascii="宋体" w:hAnsi="宋体"/>
          <w:color w:val="auto"/>
          <w:sz w:val="24"/>
          <w:highlight w:val="none"/>
        </w:rPr>
        <w:t>2</w:t>
      </w:r>
      <w:r>
        <w:rPr>
          <w:rFonts w:hint="eastAsia" w:ascii="宋体" w:hAnsi="宋体"/>
          <w:color w:val="auto"/>
          <w:sz w:val="24"/>
          <w:highlight w:val="none"/>
          <w:lang w:val="en-US" w:eastAsia="zh-CN"/>
        </w:rPr>
        <w:t xml:space="preserve"> </w:t>
      </w:r>
      <w:r>
        <w:rPr>
          <w:rFonts w:hint="eastAsia" w:ascii="宋体" w:hAnsi="宋体"/>
          <w:color w:val="auto"/>
          <w:sz w:val="24"/>
          <w:highlight w:val="none"/>
        </w:rPr>
        <w:t>上述文件应按照招标文件的规定签署和盖公章或经公章授权的其他单位章（以下统称公章）。采用公章授权方式的，应当在投标文件第一部分附公章授权书（格式自定）。</w:t>
      </w:r>
    </w:p>
    <w:p w14:paraId="7BC0E7A5">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10</w:t>
      </w:r>
      <w:r>
        <w:rPr>
          <w:rFonts w:ascii="宋体" w:hAnsi="宋体"/>
          <w:color w:val="auto"/>
          <w:sz w:val="24"/>
          <w:highlight w:val="none"/>
        </w:rPr>
        <w:t>.</w:t>
      </w:r>
      <w:r>
        <w:rPr>
          <w:rFonts w:hint="eastAsia" w:ascii="宋体" w:hAnsi="宋体"/>
          <w:color w:val="auto"/>
          <w:sz w:val="24"/>
          <w:highlight w:val="none"/>
        </w:rPr>
        <w:t>3</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投标人应提交证明文件，证明其投标</w:t>
      </w:r>
      <w:r>
        <w:rPr>
          <w:rFonts w:ascii="宋体" w:hAnsi="宋体"/>
          <w:color w:val="auto"/>
          <w:sz w:val="24"/>
          <w:highlight w:val="none"/>
        </w:rPr>
        <w:t>内容</w:t>
      </w:r>
      <w:r>
        <w:rPr>
          <w:rFonts w:hint="eastAsia" w:ascii="宋体" w:hAnsi="宋体"/>
          <w:color w:val="auto"/>
          <w:sz w:val="24"/>
          <w:highlight w:val="none"/>
        </w:rPr>
        <w:t>符合招标文件规定。该证明文件是投标文件的一部分。</w:t>
      </w:r>
    </w:p>
    <w:p w14:paraId="13741A4F">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10</w:t>
      </w:r>
      <w:r>
        <w:rPr>
          <w:rFonts w:ascii="宋体" w:hAnsi="宋体"/>
          <w:color w:val="auto"/>
          <w:sz w:val="24"/>
          <w:highlight w:val="none"/>
        </w:rPr>
        <w:t>.</w:t>
      </w:r>
      <w:r>
        <w:rPr>
          <w:rFonts w:hint="eastAsia" w:ascii="宋体" w:hAnsi="宋体"/>
          <w:color w:val="auto"/>
          <w:sz w:val="24"/>
          <w:highlight w:val="none"/>
        </w:rPr>
        <w:t>4</w:t>
      </w:r>
      <w:r>
        <w:rPr>
          <w:rFonts w:hint="eastAsia" w:ascii="宋体" w:hAnsi="宋体"/>
          <w:color w:val="auto"/>
          <w:sz w:val="24"/>
          <w:highlight w:val="none"/>
          <w:lang w:val="en-US" w:eastAsia="zh-CN"/>
        </w:rPr>
        <w:t xml:space="preserve"> </w:t>
      </w:r>
      <w:r>
        <w:rPr>
          <w:rFonts w:hint="eastAsia" w:ascii="宋体" w:hAnsi="宋体"/>
          <w:color w:val="auto"/>
          <w:sz w:val="24"/>
          <w:highlight w:val="none"/>
        </w:rPr>
        <w:t>上款所述的证明文件，可以是文字资料、图纸和数据等。</w:t>
      </w:r>
    </w:p>
    <w:p w14:paraId="5BF150D2">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10.5</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本项目不采用网上开评。</w:t>
      </w:r>
    </w:p>
    <w:p w14:paraId="252379D3">
      <w:pPr>
        <w:spacing w:line="520" w:lineRule="exact"/>
        <w:ind w:firstLine="422" w:firstLineChars="175"/>
        <w:rPr>
          <w:rFonts w:hint="eastAsia" w:ascii="宋体" w:hAnsi="宋体" w:cs="Times New Roman"/>
          <w:b/>
          <w:color w:val="auto"/>
          <w:sz w:val="24"/>
          <w:highlight w:val="none"/>
        </w:rPr>
      </w:pPr>
      <w:r>
        <w:rPr>
          <w:rFonts w:hint="eastAsia" w:ascii="宋体" w:hAnsi="宋体" w:cs="Times New Roman"/>
          <w:b/>
          <w:color w:val="auto"/>
          <w:sz w:val="24"/>
          <w:highlight w:val="none"/>
        </w:rPr>
        <w:t>10.6 投标人提交的投标文件应包含以下各个部分，具体组成内容见第6章投标文件格式。</w:t>
      </w:r>
    </w:p>
    <w:p w14:paraId="1CED5069">
      <w:pPr>
        <w:spacing w:line="520" w:lineRule="exact"/>
        <w:ind w:firstLine="422" w:firstLineChars="175"/>
        <w:rPr>
          <w:rFonts w:hint="eastAsia" w:ascii="宋体" w:hAnsi="宋体" w:cs="Times New Roman"/>
          <w:b/>
          <w:color w:val="auto"/>
          <w:sz w:val="24"/>
          <w:highlight w:val="none"/>
        </w:rPr>
      </w:pPr>
      <w:r>
        <w:rPr>
          <w:rFonts w:hint="eastAsia" w:ascii="宋体" w:hAnsi="宋体" w:cs="Times New Roman"/>
          <w:b/>
          <w:color w:val="auto"/>
          <w:sz w:val="24"/>
          <w:highlight w:val="none"/>
        </w:rPr>
        <w:t>10.6.1 商务部分</w:t>
      </w:r>
    </w:p>
    <w:p w14:paraId="48ACDDB7">
      <w:pPr>
        <w:spacing w:line="520" w:lineRule="exact"/>
        <w:ind w:firstLine="422" w:firstLineChars="175"/>
        <w:rPr>
          <w:rFonts w:hint="eastAsia" w:ascii="宋体" w:hAnsi="宋体" w:cs="Times New Roman"/>
          <w:b/>
          <w:color w:val="auto"/>
          <w:sz w:val="24"/>
          <w:highlight w:val="none"/>
        </w:rPr>
      </w:pPr>
      <w:r>
        <w:rPr>
          <w:rFonts w:hint="eastAsia" w:ascii="宋体" w:hAnsi="宋体" w:cs="Times New Roman"/>
          <w:b/>
          <w:color w:val="auto"/>
          <w:sz w:val="24"/>
          <w:highlight w:val="none"/>
        </w:rPr>
        <w:t>10.6.2 资信部分</w:t>
      </w:r>
    </w:p>
    <w:p w14:paraId="628C9B84">
      <w:pPr>
        <w:spacing w:line="520" w:lineRule="exact"/>
        <w:ind w:firstLine="422" w:firstLineChars="175"/>
        <w:rPr>
          <w:rFonts w:hint="eastAsia" w:ascii="宋体" w:hAnsi="宋体" w:cs="Times New Roman"/>
          <w:b/>
          <w:color w:val="auto"/>
          <w:sz w:val="24"/>
          <w:highlight w:val="none"/>
        </w:rPr>
      </w:pPr>
      <w:r>
        <w:rPr>
          <w:rFonts w:hint="eastAsia" w:ascii="宋体" w:hAnsi="宋体" w:cs="Times New Roman"/>
          <w:b/>
          <w:color w:val="auto"/>
          <w:sz w:val="24"/>
          <w:highlight w:val="none"/>
        </w:rPr>
        <w:t>10.6.2.1 投标人须对提交的资格证明真实性、有效性、完整性负责，并保证无不诚信记录。</w:t>
      </w:r>
    </w:p>
    <w:p w14:paraId="732AA71B">
      <w:pPr>
        <w:spacing w:line="520" w:lineRule="exact"/>
        <w:ind w:firstLine="422" w:firstLineChars="175"/>
        <w:rPr>
          <w:rFonts w:hint="eastAsia" w:ascii="宋体" w:hAnsi="宋体" w:cs="Times New Roman"/>
          <w:b/>
          <w:color w:val="auto"/>
          <w:sz w:val="24"/>
          <w:highlight w:val="none"/>
        </w:rPr>
      </w:pPr>
      <w:r>
        <w:rPr>
          <w:rFonts w:hint="eastAsia" w:ascii="宋体" w:hAnsi="宋体" w:cs="Times New Roman"/>
          <w:b/>
          <w:color w:val="auto"/>
          <w:sz w:val="24"/>
          <w:highlight w:val="none"/>
        </w:rPr>
        <w:t>10.6.2.2 资格证明的字迹、印章必须完整、清晰，否则其投标文件将会被拒绝。</w:t>
      </w:r>
    </w:p>
    <w:p w14:paraId="04E37903">
      <w:pPr>
        <w:spacing w:line="520" w:lineRule="exact"/>
        <w:ind w:firstLine="422" w:firstLineChars="175"/>
        <w:rPr>
          <w:rFonts w:hint="eastAsia" w:ascii="宋体" w:hAnsi="宋体" w:cs="Times New Roman"/>
          <w:b/>
          <w:color w:val="auto"/>
          <w:sz w:val="24"/>
          <w:highlight w:val="none"/>
        </w:rPr>
      </w:pPr>
      <w:r>
        <w:rPr>
          <w:rFonts w:hint="eastAsia" w:ascii="宋体" w:hAnsi="宋体" w:cs="Times New Roman"/>
          <w:b/>
          <w:color w:val="auto"/>
          <w:sz w:val="24"/>
          <w:highlight w:val="none"/>
        </w:rPr>
        <w:t>10.6.2.3 投标人应携带其资信部分原件至开标现场，如若投标文件资信部分出现瑕疵，而投标人未能立即提供原件核验的，其投标文件将被拒绝。</w:t>
      </w:r>
    </w:p>
    <w:p w14:paraId="5984019D">
      <w:pPr>
        <w:spacing w:line="520" w:lineRule="exact"/>
        <w:ind w:firstLine="422" w:firstLineChars="175"/>
        <w:rPr>
          <w:rFonts w:hint="eastAsia" w:ascii="宋体" w:hAnsi="宋体" w:cs="Times New Roman"/>
          <w:b/>
          <w:color w:val="auto"/>
          <w:sz w:val="24"/>
          <w:highlight w:val="none"/>
        </w:rPr>
      </w:pPr>
      <w:r>
        <w:rPr>
          <w:rFonts w:hint="eastAsia" w:ascii="宋体" w:hAnsi="宋体" w:cs="Times New Roman"/>
          <w:b/>
          <w:color w:val="auto"/>
          <w:sz w:val="24"/>
          <w:highlight w:val="none"/>
        </w:rPr>
        <w:t>10.6.3 技术部分(如服务中带货物)</w:t>
      </w:r>
    </w:p>
    <w:p w14:paraId="312F5EAC">
      <w:pPr>
        <w:spacing w:line="520" w:lineRule="exact"/>
        <w:ind w:firstLine="422" w:firstLineChars="175"/>
        <w:rPr>
          <w:rFonts w:hint="eastAsia" w:ascii="宋体" w:hAnsi="宋体" w:cs="Times New Roman"/>
          <w:b/>
          <w:color w:val="auto"/>
          <w:sz w:val="24"/>
          <w:highlight w:val="none"/>
        </w:rPr>
      </w:pPr>
      <w:r>
        <w:rPr>
          <w:rFonts w:hint="eastAsia" w:ascii="宋体" w:hAnsi="宋体" w:cs="Times New Roman"/>
          <w:b/>
          <w:color w:val="auto"/>
          <w:sz w:val="24"/>
          <w:highlight w:val="none"/>
        </w:rPr>
        <w:t>10.6.3.1本次投标不允许</w:t>
      </w:r>
      <w:r>
        <w:rPr>
          <w:rFonts w:hint="eastAsia" w:ascii="宋体" w:hAnsi="宋体" w:cs="Times New Roman"/>
          <w:b/>
          <w:color w:val="auto"/>
          <w:sz w:val="24"/>
          <w:highlight w:val="none"/>
          <w:lang w:eastAsia="zh-CN"/>
        </w:rPr>
        <w:t>投标人</w:t>
      </w:r>
      <w:r>
        <w:rPr>
          <w:rFonts w:hint="eastAsia" w:ascii="宋体" w:hAnsi="宋体" w:cs="Times New Roman"/>
          <w:b/>
          <w:color w:val="auto"/>
          <w:sz w:val="24"/>
          <w:highlight w:val="none"/>
        </w:rPr>
        <w:t>复制粘贴招标文件的技术要求作为其投标文件的响应情况。</w:t>
      </w:r>
    </w:p>
    <w:bookmarkEnd w:id="77"/>
    <w:bookmarkEnd w:id="78"/>
    <w:bookmarkEnd w:id="79"/>
    <w:bookmarkEnd w:id="80"/>
    <w:bookmarkEnd w:id="81"/>
    <w:p w14:paraId="44A334F7">
      <w:pPr>
        <w:pStyle w:val="4"/>
        <w:spacing w:before="0" w:after="0" w:line="520" w:lineRule="exact"/>
        <w:rPr>
          <w:rFonts w:hint="eastAsia" w:hAnsi="宋体"/>
          <w:color w:val="auto"/>
          <w:highlight w:val="none"/>
        </w:rPr>
      </w:pPr>
      <w:bookmarkStart w:id="82" w:name="_Toc515647770"/>
      <w:bookmarkStart w:id="83" w:name="_Toc23231"/>
      <w:bookmarkStart w:id="84" w:name="_Toc2248"/>
      <w:bookmarkStart w:id="85" w:name="_Toc520356155"/>
      <w:bookmarkStart w:id="86" w:name="_Toc24063"/>
      <w:r>
        <w:rPr>
          <w:rFonts w:hAnsi="宋体"/>
          <w:color w:val="auto"/>
          <w:highlight w:val="none"/>
        </w:rPr>
        <w:t>1</w:t>
      </w:r>
      <w:r>
        <w:rPr>
          <w:rFonts w:hint="eastAsia" w:hAnsi="宋体"/>
          <w:color w:val="auto"/>
          <w:highlight w:val="none"/>
        </w:rPr>
        <w:t>1.投标报价</w:t>
      </w:r>
      <w:bookmarkEnd w:id="82"/>
      <w:bookmarkEnd w:id="83"/>
      <w:bookmarkEnd w:id="84"/>
      <w:bookmarkEnd w:id="85"/>
      <w:bookmarkEnd w:id="86"/>
    </w:p>
    <w:p w14:paraId="47D28E36">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11.1</w:t>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投标人的报价应当包括满足本次招标全部采购需求所应提供的服务，以及伴随的货物和工程。所有投标均以人民币报价，投标人的投标报价应遵守《中华人民共和国价格法》。</w:t>
      </w:r>
    </w:p>
    <w:p w14:paraId="392E4381">
      <w:pPr>
        <w:spacing w:line="520" w:lineRule="exact"/>
        <w:ind w:firstLine="420" w:firstLineChars="175"/>
        <w:rPr>
          <w:rFonts w:hint="eastAsia" w:ascii="宋体" w:hAnsi="宋体" w:cs="Times New Roman"/>
          <w:color w:val="auto"/>
          <w:sz w:val="24"/>
          <w:highlight w:val="none"/>
        </w:rPr>
      </w:pPr>
      <w:bookmarkStart w:id="87" w:name="_Toc17788"/>
      <w:bookmarkStart w:id="88" w:name="_Toc520356156"/>
      <w:bookmarkStart w:id="89" w:name="_Toc515647771"/>
      <w:bookmarkStart w:id="90" w:name="_Ref467306513"/>
      <w:bookmarkStart w:id="91" w:name="_Toc11514"/>
      <w:r>
        <w:rPr>
          <w:rFonts w:hint="eastAsia" w:ascii="宋体" w:hAnsi="宋体" w:cs="Times New Roman"/>
          <w:color w:val="auto"/>
          <w:sz w:val="24"/>
          <w:highlight w:val="none"/>
          <w:lang w:val="en-US" w:eastAsia="zh-CN"/>
        </w:rPr>
        <w:t xml:space="preserve">11.2 </w:t>
      </w:r>
      <w:r>
        <w:rPr>
          <w:rFonts w:hint="eastAsia" w:ascii="宋体" w:hAnsi="宋体" w:cs="Times New Roman"/>
          <w:color w:val="auto"/>
          <w:sz w:val="24"/>
          <w:highlight w:val="none"/>
        </w:rPr>
        <w:t>投标人应在投标分项报价表上标明分项服务及相关货物的价格（如适用）和总价，并由法定代表人或其委托代理人签署。开标一览表与分项报价表不一致的，应按照法律法规有关规定确定最终报价及分项报价。任何非澄清范围内的包含价格调整要求的投标，将被认定为投标无效。</w:t>
      </w:r>
    </w:p>
    <w:p w14:paraId="55918EB2">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11.3</w:t>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投标人所报的各分项投标报价在合同履行过程中是固定不变的，不得以任何理由予以变更。</w:t>
      </w:r>
    </w:p>
    <w:p w14:paraId="5D5630A5">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11.4</w:t>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采购人不接受具有附加条件的报价或多个方案的报价。</w:t>
      </w:r>
    </w:p>
    <w:p w14:paraId="1193B7BB">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11.5</w:t>
      </w:r>
      <w:r>
        <w:rPr>
          <w:rFonts w:hint="eastAsia" w:ascii="宋体" w:hAnsi="宋体" w:cs="Times New Roman"/>
          <w:color w:val="auto"/>
          <w:sz w:val="24"/>
          <w:highlight w:val="none"/>
          <w:lang w:val="en-US" w:eastAsia="zh-CN"/>
        </w:rPr>
        <w:t xml:space="preserve"> </w:t>
      </w:r>
      <w:r>
        <w:rPr>
          <w:rFonts w:hint="eastAsia" w:ascii="宋体" w:hAnsi="宋体" w:cs="Times New Roman"/>
          <w:color w:val="auto"/>
          <w:sz w:val="24"/>
          <w:highlight w:val="none"/>
        </w:rPr>
        <w:t>除投标人须知附表另有规定外，投标人不得递交备选投标方案。允许投标人递交备选投标方案的，只有中标人所递交的备选投标方案方可予以考虑。评标委员会认为中标人的备选投标方案优于其按照招标文件要求编制的投标方案的，采购人可以接受该备选投标方案。</w:t>
      </w:r>
    </w:p>
    <w:p w14:paraId="04E76C58">
      <w:pPr>
        <w:pStyle w:val="4"/>
        <w:spacing w:before="0" w:after="0" w:line="520" w:lineRule="exact"/>
        <w:rPr>
          <w:rFonts w:hAnsi="宋体"/>
          <w:color w:val="auto"/>
          <w:highlight w:val="none"/>
        </w:rPr>
      </w:pPr>
      <w:bookmarkStart w:id="92" w:name="_Toc31095"/>
      <w:r>
        <w:rPr>
          <w:rFonts w:hAnsi="宋体"/>
          <w:color w:val="auto"/>
          <w:highlight w:val="none"/>
        </w:rPr>
        <w:t>1</w:t>
      </w:r>
      <w:r>
        <w:rPr>
          <w:rFonts w:hint="eastAsia" w:hAnsi="宋体"/>
          <w:color w:val="auto"/>
          <w:highlight w:val="none"/>
        </w:rPr>
        <w:t>2.投标保证金</w:t>
      </w:r>
      <w:bookmarkEnd w:id="87"/>
      <w:bookmarkEnd w:id="88"/>
      <w:bookmarkEnd w:id="89"/>
      <w:bookmarkEnd w:id="90"/>
      <w:bookmarkEnd w:id="91"/>
      <w:bookmarkEnd w:id="92"/>
    </w:p>
    <w:p w14:paraId="54E7BB12">
      <w:pPr>
        <w:spacing w:line="520" w:lineRule="exact"/>
        <w:ind w:firstLine="420" w:firstLineChars="175"/>
        <w:rPr>
          <w:rFonts w:ascii="宋体" w:hAnsi="宋体"/>
          <w:b/>
          <w:color w:val="auto"/>
          <w:sz w:val="24"/>
          <w:highlight w:val="none"/>
        </w:rPr>
      </w:pPr>
      <w:bookmarkStart w:id="93" w:name="_Toc515647772"/>
      <w:bookmarkStart w:id="94" w:name="_Toc23590"/>
      <w:bookmarkStart w:id="95" w:name="_Toc32569"/>
      <w:bookmarkStart w:id="96" w:name="_Toc520356157"/>
      <w:r>
        <w:rPr>
          <w:rFonts w:ascii="宋体" w:hAnsi="宋体"/>
          <w:color w:val="auto"/>
          <w:sz w:val="24"/>
          <w:highlight w:val="none"/>
        </w:rPr>
        <w:t>1</w:t>
      </w:r>
      <w:r>
        <w:rPr>
          <w:rFonts w:hint="eastAsia" w:ascii="宋体" w:hAnsi="宋体"/>
          <w:color w:val="auto"/>
          <w:sz w:val="24"/>
          <w:highlight w:val="none"/>
        </w:rPr>
        <w:t xml:space="preserve">2.1 </w:t>
      </w:r>
      <w:r>
        <w:rPr>
          <w:rFonts w:hint="eastAsia" w:ascii="宋体" w:hAnsi="宋体"/>
          <w:b/>
          <w:color w:val="auto"/>
          <w:sz w:val="24"/>
          <w:highlight w:val="none"/>
        </w:rPr>
        <w:t>根据鲁财采【2019】40号的规定，本项目不向诚信记录良好的投标人收取投标保证金。</w:t>
      </w:r>
    </w:p>
    <w:p w14:paraId="7CB6C8F3">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 xml:space="preserve">12.2 </w:t>
      </w:r>
      <w:r>
        <w:rPr>
          <w:rStyle w:val="43"/>
          <w:rFonts w:hint="default"/>
          <w:color w:val="auto"/>
          <w:sz w:val="24"/>
          <w:highlight w:val="none"/>
        </w:rPr>
        <w:t>投标人在投标过程及中标后如有违反法律法规的情形，采购人或采购代理机构将如实上报政府采购监管部门。</w:t>
      </w:r>
    </w:p>
    <w:p w14:paraId="5336CF7C">
      <w:pPr>
        <w:pStyle w:val="4"/>
        <w:spacing w:before="0" w:after="0" w:line="520" w:lineRule="exact"/>
        <w:rPr>
          <w:rFonts w:hAnsi="宋体"/>
          <w:color w:val="auto"/>
          <w:highlight w:val="none"/>
        </w:rPr>
      </w:pPr>
      <w:bookmarkStart w:id="97" w:name="_Toc31755"/>
      <w:r>
        <w:rPr>
          <w:rFonts w:hint="eastAsia" w:hAnsi="宋体"/>
          <w:color w:val="auto"/>
          <w:highlight w:val="none"/>
        </w:rPr>
        <w:t>13.投标有效期</w:t>
      </w:r>
      <w:bookmarkEnd w:id="93"/>
      <w:bookmarkEnd w:id="94"/>
      <w:bookmarkEnd w:id="95"/>
      <w:bookmarkEnd w:id="96"/>
      <w:bookmarkEnd w:id="97"/>
    </w:p>
    <w:p w14:paraId="4A50D4C2">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13.1</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投标应在</w:t>
      </w:r>
      <w:r>
        <w:rPr>
          <w:rFonts w:hint="eastAsia" w:ascii="宋体" w:hAnsi="宋体"/>
          <w:color w:val="auto"/>
          <w:sz w:val="24"/>
          <w:highlight w:val="none"/>
          <w:u w:val="single"/>
        </w:rPr>
        <w:t>投标人须知资料表</w:t>
      </w:r>
      <w:r>
        <w:rPr>
          <w:rFonts w:hint="eastAsia" w:ascii="宋体" w:hAnsi="宋体"/>
          <w:color w:val="auto"/>
          <w:sz w:val="24"/>
          <w:highlight w:val="none"/>
        </w:rPr>
        <w:t>中规定时间内保持有效。投标有效期不满足要求的投标，其投标将被认定为</w:t>
      </w:r>
      <w:r>
        <w:rPr>
          <w:rFonts w:hint="eastAsia" w:ascii="宋体" w:hAnsi="宋体"/>
          <w:b/>
          <w:bCs/>
          <w:color w:val="auto"/>
          <w:sz w:val="24"/>
          <w:highlight w:val="none"/>
        </w:rPr>
        <w:t>投标无效</w:t>
      </w:r>
      <w:r>
        <w:rPr>
          <w:rFonts w:hint="eastAsia" w:ascii="宋体" w:hAnsi="宋体"/>
          <w:color w:val="auto"/>
          <w:sz w:val="24"/>
          <w:highlight w:val="none"/>
        </w:rPr>
        <w:t>。</w:t>
      </w:r>
    </w:p>
    <w:p w14:paraId="15ED9E68">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13.2</w:t>
      </w:r>
      <w:r>
        <w:rPr>
          <w:rFonts w:hint="eastAsia" w:ascii="宋体" w:hAnsi="宋体"/>
          <w:color w:val="auto"/>
          <w:sz w:val="24"/>
          <w:highlight w:val="none"/>
          <w:lang w:val="en-US" w:eastAsia="zh-CN"/>
        </w:rPr>
        <w:t xml:space="preserve"> </w:t>
      </w:r>
      <w:r>
        <w:rPr>
          <w:rFonts w:ascii="宋体" w:hAnsi="宋体"/>
          <w:color w:val="auto"/>
          <w:sz w:val="24"/>
          <w:highlight w:val="none"/>
        </w:rPr>
        <w:t>因特殊原因</w:t>
      </w:r>
      <w:r>
        <w:rPr>
          <w:rFonts w:hint="eastAsia" w:ascii="宋体" w:hAnsi="宋体"/>
          <w:color w:val="auto"/>
          <w:sz w:val="24"/>
          <w:highlight w:val="none"/>
        </w:rPr>
        <w:t>，采购人或</w:t>
      </w:r>
      <w:r>
        <w:rPr>
          <w:rFonts w:ascii="宋体" w:hAnsi="宋体"/>
          <w:color w:val="auto"/>
          <w:sz w:val="24"/>
          <w:highlight w:val="none"/>
        </w:rPr>
        <w:t>采购代理机构</w:t>
      </w:r>
      <w:r>
        <w:rPr>
          <w:rFonts w:hint="eastAsia" w:ascii="宋体" w:hAnsi="宋体"/>
          <w:color w:val="auto"/>
          <w:sz w:val="24"/>
          <w:highlight w:val="none"/>
        </w:rPr>
        <w:t>可以在原投标有效期截止之前，要求投标人延长投标文件的有效期。接受该要求的投标人将不会被要求和允许修正其投标。投标人也可以拒绝延长投标</w:t>
      </w:r>
      <w:r>
        <w:rPr>
          <w:rFonts w:ascii="宋体" w:hAnsi="宋体"/>
          <w:color w:val="auto"/>
          <w:sz w:val="24"/>
          <w:highlight w:val="none"/>
        </w:rPr>
        <w:t>有效期的</w:t>
      </w:r>
      <w:r>
        <w:rPr>
          <w:rFonts w:hint="eastAsia" w:ascii="宋体" w:hAnsi="宋体"/>
          <w:color w:val="auto"/>
          <w:sz w:val="24"/>
          <w:highlight w:val="none"/>
        </w:rPr>
        <w:t>要求，且不承担任何责任。上述要求和答复都应以书面形式提交。</w:t>
      </w:r>
    </w:p>
    <w:p w14:paraId="51B6D559">
      <w:pPr>
        <w:pStyle w:val="4"/>
        <w:spacing w:before="0" w:after="0" w:line="520" w:lineRule="exact"/>
        <w:rPr>
          <w:rFonts w:hint="eastAsia" w:hAnsi="宋体"/>
          <w:color w:val="auto"/>
          <w:highlight w:val="none"/>
        </w:rPr>
      </w:pPr>
      <w:bookmarkStart w:id="98" w:name="_Toc520356158"/>
      <w:bookmarkStart w:id="99" w:name="_Toc515647773"/>
      <w:bookmarkStart w:id="100" w:name="_Toc17074"/>
      <w:bookmarkStart w:id="101" w:name="_Toc493"/>
      <w:bookmarkStart w:id="102" w:name="_Toc20614"/>
      <w:r>
        <w:rPr>
          <w:rFonts w:hint="eastAsia" w:hAnsi="宋体"/>
          <w:color w:val="auto"/>
          <w:highlight w:val="none"/>
        </w:rPr>
        <w:t>14.</w:t>
      </w:r>
      <w:bookmarkEnd w:id="98"/>
      <w:bookmarkEnd w:id="99"/>
      <w:bookmarkEnd w:id="100"/>
      <w:bookmarkEnd w:id="101"/>
      <w:r>
        <w:rPr>
          <w:rFonts w:hint="eastAsia" w:hAnsi="宋体"/>
          <w:color w:val="auto"/>
          <w:highlight w:val="none"/>
        </w:rPr>
        <w:t xml:space="preserve"> 投标文件的签署及规定</w:t>
      </w:r>
      <w:bookmarkEnd w:id="102"/>
    </w:p>
    <w:p w14:paraId="319AB92E">
      <w:pPr>
        <w:spacing w:line="520" w:lineRule="exact"/>
        <w:ind w:firstLine="420" w:firstLineChars="175"/>
        <w:rPr>
          <w:rFonts w:hint="eastAsia" w:ascii="宋体" w:hAnsi="宋体"/>
          <w:bCs/>
          <w:color w:val="auto"/>
          <w:sz w:val="24"/>
          <w:highlight w:val="none"/>
        </w:rPr>
      </w:pPr>
      <w:r>
        <w:rPr>
          <w:rFonts w:hint="eastAsia" w:ascii="宋体" w:hAnsi="宋体"/>
          <w:color w:val="auto"/>
          <w:sz w:val="24"/>
          <w:highlight w:val="none"/>
        </w:rPr>
        <w:t>14.1</w:t>
      </w:r>
      <w:r>
        <w:rPr>
          <w:rFonts w:hint="eastAsia" w:ascii="宋体" w:hAnsi="宋体"/>
          <w:bCs/>
          <w:color w:val="auto"/>
          <w:sz w:val="24"/>
          <w:highlight w:val="none"/>
          <w:lang w:val="en-US" w:eastAsia="zh-CN"/>
        </w:rPr>
        <w:t xml:space="preserve"> </w:t>
      </w:r>
      <w:r>
        <w:rPr>
          <w:rFonts w:hint="eastAsia" w:ascii="宋体" w:hAnsi="宋体"/>
          <w:bCs/>
          <w:color w:val="auto"/>
          <w:sz w:val="24"/>
          <w:highlight w:val="none"/>
        </w:rPr>
        <w:t>投标人应按</w:t>
      </w:r>
      <w:r>
        <w:rPr>
          <w:rFonts w:hint="eastAsia" w:ascii="宋体" w:hAnsi="宋体"/>
          <w:bCs/>
          <w:color w:val="auto"/>
          <w:sz w:val="24"/>
          <w:highlight w:val="none"/>
          <w:u w:val="single"/>
        </w:rPr>
        <w:t>投标人须知资料表</w:t>
      </w:r>
      <w:r>
        <w:rPr>
          <w:rFonts w:hint="eastAsia" w:ascii="宋体" w:hAnsi="宋体"/>
          <w:bCs/>
          <w:color w:val="auto"/>
          <w:sz w:val="24"/>
          <w:highlight w:val="none"/>
        </w:rPr>
        <w:t>中的规定，准备和递交资格证明文件、商务</w:t>
      </w:r>
      <w:r>
        <w:rPr>
          <w:rFonts w:ascii="宋体" w:hAnsi="宋体"/>
          <w:bCs/>
          <w:color w:val="auto"/>
          <w:sz w:val="24"/>
          <w:highlight w:val="none"/>
        </w:rPr>
        <w:t>和技术文件</w:t>
      </w:r>
      <w:r>
        <w:rPr>
          <w:rFonts w:hint="eastAsia" w:ascii="宋体" w:hAnsi="宋体"/>
          <w:bCs/>
          <w:color w:val="auto"/>
          <w:sz w:val="24"/>
          <w:highlight w:val="none"/>
        </w:rPr>
        <w:t>正本、副本和开标一览表、电子文档，每份资格证明文件、商务</w:t>
      </w:r>
      <w:r>
        <w:rPr>
          <w:rFonts w:ascii="宋体" w:hAnsi="宋体"/>
          <w:bCs/>
          <w:color w:val="auto"/>
          <w:sz w:val="24"/>
          <w:highlight w:val="none"/>
        </w:rPr>
        <w:t>和技术</w:t>
      </w:r>
      <w:r>
        <w:rPr>
          <w:rFonts w:hint="eastAsia" w:ascii="宋体" w:hAnsi="宋体"/>
          <w:bCs/>
          <w:color w:val="auto"/>
          <w:sz w:val="24"/>
          <w:highlight w:val="none"/>
        </w:rPr>
        <w:t>文件封皮须清楚地标明“正本”或“副本”。若正本和副本不符，以正本为准。</w:t>
      </w:r>
    </w:p>
    <w:p w14:paraId="0AA60F8C">
      <w:pPr>
        <w:spacing w:line="520" w:lineRule="exact"/>
        <w:ind w:firstLine="420" w:firstLineChars="175"/>
        <w:rPr>
          <w:rFonts w:hint="eastAsia" w:ascii="宋体" w:hAnsi="宋体"/>
          <w:bCs/>
          <w:color w:val="auto"/>
          <w:sz w:val="24"/>
          <w:highlight w:val="none"/>
        </w:rPr>
      </w:pPr>
      <w:r>
        <w:rPr>
          <w:rFonts w:hint="eastAsia" w:ascii="宋体" w:hAnsi="宋体"/>
          <w:bCs/>
          <w:color w:val="auto"/>
          <w:sz w:val="24"/>
          <w:highlight w:val="none"/>
        </w:rPr>
        <w:t>14</w:t>
      </w:r>
      <w:r>
        <w:rPr>
          <w:rFonts w:hint="eastAsia" w:ascii="宋体" w:hAnsi="宋体"/>
          <w:color w:val="auto"/>
          <w:sz w:val="24"/>
          <w:highlight w:val="none"/>
        </w:rPr>
        <w:t>.2</w:t>
      </w:r>
      <w:r>
        <w:rPr>
          <w:rFonts w:hint="eastAsia" w:ascii="宋体" w:hAnsi="宋体"/>
          <w:bCs/>
          <w:color w:val="auto"/>
          <w:sz w:val="24"/>
          <w:highlight w:val="none"/>
          <w:lang w:val="en-US" w:eastAsia="zh-CN"/>
        </w:rPr>
        <w:t xml:space="preserve"> </w:t>
      </w:r>
      <w:r>
        <w:rPr>
          <w:rFonts w:hint="eastAsia" w:ascii="宋体" w:hAnsi="宋体"/>
          <w:bCs/>
          <w:color w:val="auto"/>
          <w:sz w:val="24"/>
          <w:highlight w:val="none"/>
        </w:rPr>
        <w:t>投标文件的正本需打印或用不褪色墨水书写，规格应为A4幅面，并由投标人的法定代表人或其委托代理人按招标文件规定在投标文件上签字并加盖单位公章。委托代理人须持有书面的“法定代表人授权委托书”（投标文件格式二），并将其附在投标文件中。如对投标文件进行了修改，则应由投标人法定代表人（或其委托代理人）在每一修改处签字。投标文件的副本可采用正本的复印件。</w:t>
      </w:r>
    </w:p>
    <w:p w14:paraId="6E65B60E">
      <w:pPr>
        <w:spacing w:line="520" w:lineRule="exact"/>
        <w:ind w:firstLine="367" w:firstLineChars="175"/>
        <w:rPr>
          <w:rFonts w:hint="eastAsia" w:ascii="宋体" w:hAnsi="宋体"/>
          <w:bCs/>
          <w:color w:val="auto"/>
          <w:sz w:val="24"/>
          <w:highlight w:val="none"/>
        </w:rPr>
      </w:pPr>
      <w:r>
        <w:rPr>
          <w:rFonts w:hint="eastAsia" w:ascii="宋体" w:hAnsi="宋体"/>
          <w:bCs/>
          <w:color w:val="auto"/>
          <w:highlight w:val="none"/>
        </w:rPr>
        <w:t>1</w:t>
      </w:r>
      <w:r>
        <w:rPr>
          <w:rFonts w:ascii="宋体" w:hAnsi="宋体"/>
          <w:bCs/>
          <w:color w:val="auto"/>
          <w:highlight w:val="none"/>
        </w:rPr>
        <w:t>4.</w:t>
      </w:r>
      <w:r>
        <w:rPr>
          <w:rFonts w:hint="eastAsia" w:ascii="宋体" w:hAnsi="宋体"/>
          <w:bCs/>
          <w:color w:val="auto"/>
          <w:sz w:val="24"/>
          <w:highlight w:val="none"/>
        </w:rPr>
        <w:t>3</w:t>
      </w:r>
      <w:r>
        <w:rPr>
          <w:rFonts w:hint="eastAsia" w:ascii="宋体" w:hAnsi="宋体"/>
          <w:bCs/>
          <w:color w:val="auto"/>
          <w:sz w:val="24"/>
          <w:highlight w:val="none"/>
          <w:lang w:val="en-US" w:eastAsia="zh-CN"/>
        </w:rPr>
        <w:t xml:space="preserve"> </w:t>
      </w:r>
      <w:r>
        <w:rPr>
          <w:rFonts w:hint="eastAsia" w:ascii="宋体" w:hAnsi="宋体"/>
          <w:bCs/>
          <w:color w:val="auto"/>
          <w:sz w:val="24"/>
          <w:highlight w:val="none"/>
        </w:rPr>
        <w:t>投标人在投标文件及相关文件的签订、履行、通知等事项的书面文件中的单位盖章、印章、公章等处均指与当事人名称、全称相一致的标准公章，不得使用其他形式（如带有“专用章”、“合同章”、“财务章”、“业务章”</w:t>
      </w:r>
      <w:r>
        <w:rPr>
          <w:rFonts w:hint="eastAsia" w:ascii="宋体" w:hAnsi="宋体"/>
          <w:bCs/>
          <w:color w:val="auto"/>
          <w:sz w:val="24"/>
          <w:highlight w:val="none"/>
          <w:lang w:eastAsia="zh-CN"/>
        </w:rPr>
        <w:t>等字样</w:t>
      </w:r>
      <w:r>
        <w:rPr>
          <w:rFonts w:hint="eastAsia" w:ascii="宋体" w:hAnsi="宋体"/>
          <w:bCs/>
          <w:color w:val="auto"/>
          <w:sz w:val="24"/>
          <w:highlight w:val="none"/>
        </w:rPr>
        <w:t>的印章）。不符合本条规定的投标将被认定为投标无效。</w:t>
      </w:r>
    </w:p>
    <w:p w14:paraId="6B84EC57">
      <w:pPr>
        <w:spacing w:line="520" w:lineRule="exact"/>
        <w:ind w:firstLine="420" w:firstLineChars="175"/>
        <w:rPr>
          <w:rFonts w:hint="eastAsia" w:ascii="宋体" w:hAnsi="宋体"/>
          <w:bCs/>
          <w:color w:val="auto"/>
          <w:sz w:val="24"/>
          <w:highlight w:val="none"/>
        </w:rPr>
      </w:pPr>
      <w:r>
        <w:rPr>
          <w:rFonts w:hint="eastAsia" w:ascii="宋体" w:hAnsi="宋体"/>
          <w:bCs/>
          <w:color w:val="auto"/>
          <w:sz w:val="24"/>
          <w:highlight w:val="none"/>
        </w:rPr>
        <w:t>1</w:t>
      </w:r>
      <w:r>
        <w:rPr>
          <w:rFonts w:ascii="宋体" w:hAnsi="宋体"/>
          <w:bCs/>
          <w:color w:val="auto"/>
          <w:sz w:val="24"/>
          <w:highlight w:val="none"/>
        </w:rPr>
        <w:t>4.4</w:t>
      </w:r>
      <w:r>
        <w:rPr>
          <w:rFonts w:hint="eastAsia" w:ascii="宋体" w:hAnsi="宋体"/>
          <w:bCs/>
          <w:color w:val="auto"/>
          <w:sz w:val="24"/>
          <w:highlight w:val="none"/>
          <w:lang w:val="en-US" w:eastAsia="zh-CN"/>
        </w:rPr>
        <w:t xml:space="preserve"> </w:t>
      </w:r>
      <w:r>
        <w:rPr>
          <w:rFonts w:hint="eastAsia" w:ascii="宋体" w:hAnsi="宋体"/>
          <w:bCs/>
          <w:color w:val="auto"/>
          <w:sz w:val="24"/>
          <w:highlight w:val="none"/>
        </w:rPr>
        <w:t>投标人须在投标文件的封面、投标文件正本指定的位置以及单独密封的开标一览表上加盖公章，并按照招标文件要求在投标文件正本指定的位置上签字或盖章。不符合本条规定的投标将被认定为投标无效。</w:t>
      </w:r>
    </w:p>
    <w:p w14:paraId="190EF835">
      <w:pPr>
        <w:spacing w:line="520" w:lineRule="exact"/>
        <w:ind w:firstLine="420" w:firstLineChars="175"/>
        <w:rPr>
          <w:rFonts w:hint="eastAsia" w:ascii="宋体" w:hAnsi="宋体"/>
          <w:bCs/>
          <w:color w:val="auto"/>
          <w:sz w:val="24"/>
          <w:highlight w:val="none"/>
        </w:rPr>
      </w:pPr>
      <w:r>
        <w:rPr>
          <w:rFonts w:hint="eastAsia" w:ascii="宋体" w:hAnsi="宋体"/>
          <w:bCs/>
          <w:color w:val="auto"/>
          <w:sz w:val="24"/>
          <w:highlight w:val="none"/>
        </w:rPr>
        <w:t>14.5</w:t>
      </w:r>
      <w:r>
        <w:rPr>
          <w:rFonts w:hint="eastAsia" w:ascii="宋体" w:hAnsi="宋体"/>
          <w:bCs/>
          <w:color w:val="auto"/>
          <w:sz w:val="24"/>
          <w:highlight w:val="none"/>
          <w:lang w:val="en-US" w:eastAsia="zh-CN"/>
        </w:rPr>
        <w:t xml:space="preserve"> </w:t>
      </w:r>
      <w:r>
        <w:rPr>
          <w:rFonts w:hint="eastAsia" w:ascii="宋体" w:hAnsi="宋体"/>
          <w:bCs/>
          <w:color w:val="auto"/>
          <w:sz w:val="24"/>
          <w:highlight w:val="none"/>
        </w:rPr>
        <w:t>所有投标文件应采用不可拆装的胶订方式装订。</w:t>
      </w:r>
    </w:p>
    <w:p w14:paraId="59D24045">
      <w:pPr>
        <w:spacing w:line="520" w:lineRule="exact"/>
        <w:ind w:firstLine="420" w:firstLineChars="175"/>
        <w:rPr>
          <w:rFonts w:hint="eastAsia" w:ascii="宋体" w:hAnsi="宋体"/>
          <w:bCs/>
          <w:color w:val="auto"/>
          <w:sz w:val="24"/>
          <w:highlight w:val="none"/>
        </w:rPr>
      </w:pPr>
      <w:r>
        <w:rPr>
          <w:rFonts w:hint="eastAsia" w:ascii="宋体" w:hAnsi="宋体"/>
          <w:bCs/>
          <w:color w:val="auto"/>
          <w:sz w:val="24"/>
          <w:highlight w:val="none"/>
        </w:rPr>
        <w:t>14.6</w:t>
      </w:r>
      <w:r>
        <w:rPr>
          <w:rFonts w:hint="eastAsia" w:ascii="宋体" w:hAnsi="宋体"/>
          <w:bCs/>
          <w:color w:val="auto"/>
          <w:sz w:val="24"/>
          <w:highlight w:val="none"/>
          <w:lang w:val="en-US" w:eastAsia="zh-CN"/>
        </w:rPr>
        <w:t xml:space="preserve"> </w:t>
      </w:r>
      <w:r>
        <w:rPr>
          <w:rFonts w:hint="eastAsia" w:ascii="宋体" w:hAnsi="宋体"/>
          <w:bCs/>
          <w:color w:val="auto"/>
          <w:sz w:val="24"/>
          <w:highlight w:val="none"/>
        </w:rPr>
        <w:t>投标文件因字迹潦草、表达不清或装订不当所引起的后果由投标人负责。</w:t>
      </w:r>
    </w:p>
    <w:p w14:paraId="7F96966B">
      <w:pPr>
        <w:spacing w:line="520" w:lineRule="exact"/>
        <w:ind w:firstLine="420" w:firstLineChars="175"/>
        <w:rPr>
          <w:rFonts w:hint="eastAsia" w:ascii="宋体" w:hAnsi="宋体"/>
          <w:bCs/>
          <w:color w:val="auto"/>
          <w:sz w:val="24"/>
          <w:highlight w:val="none"/>
        </w:rPr>
      </w:pPr>
      <w:r>
        <w:rPr>
          <w:rFonts w:hint="eastAsia" w:ascii="宋体" w:hAnsi="宋体"/>
          <w:bCs/>
          <w:color w:val="auto"/>
          <w:sz w:val="24"/>
          <w:highlight w:val="none"/>
        </w:rPr>
        <w:t>14.7</w:t>
      </w:r>
      <w:r>
        <w:rPr>
          <w:rFonts w:hint="eastAsia" w:ascii="宋体" w:hAnsi="宋体"/>
          <w:bCs/>
          <w:color w:val="auto"/>
          <w:sz w:val="24"/>
          <w:highlight w:val="none"/>
          <w:lang w:val="en-US" w:eastAsia="zh-CN"/>
        </w:rPr>
        <w:t xml:space="preserve"> </w:t>
      </w:r>
      <w:r>
        <w:rPr>
          <w:rFonts w:hint="eastAsia" w:ascii="宋体" w:hAnsi="宋体"/>
          <w:bCs/>
          <w:color w:val="auto"/>
          <w:sz w:val="24"/>
          <w:highlight w:val="none"/>
        </w:rPr>
        <w:t>自然人投标的可用签字代替单位公章。</w:t>
      </w:r>
    </w:p>
    <w:p w14:paraId="13D3DA01">
      <w:pPr>
        <w:pStyle w:val="3"/>
        <w:spacing w:line="520" w:lineRule="exact"/>
        <w:rPr>
          <w:rFonts w:hint="eastAsia" w:ascii="宋体" w:hAnsi="宋体"/>
          <w:color w:val="auto"/>
          <w:highlight w:val="none"/>
        </w:rPr>
      </w:pPr>
      <w:bookmarkStart w:id="103" w:name="_Toc11179"/>
      <w:bookmarkStart w:id="104" w:name="_Toc216582808"/>
      <w:bookmarkStart w:id="105" w:name="_Toc16865"/>
      <w:bookmarkStart w:id="106" w:name="_Toc27867"/>
      <w:bookmarkStart w:id="107" w:name="_Toc520356159"/>
      <w:bookmarkStart w:id="108" w:name="_Toc515647774"/>
      <w:r>
        <w:rPr>
          <w:rFonts w:hint="eastAsia" w:ascii="宋体" w:hAnsi="宋体"/>
          <w:color w:val="auto"/>
          <w:highlight w:val="none"/>
        </w:rPr>
        <w:t>四   投标文件的递交</w:t>
      </w:r>
      <w:bookmarkEnd w:id="103"/>
      <w:bookmarkEnd w:id="104"/>
      <w:bookmarkEnd w:id="105"/>
      <w:bookmarkEnd w:id="106"/>
      <w:bookmarkEnd w:id="107"/>
      <w:bookmarkEnd w:id="108"/>
    </w:p>
    <w:p w14:paraId="40A1EADB">
      <w:pPr>
        <w:pStyle w:val="4"/>
        <w:pageBreakBefore w:val="0"/>
        <w:kinsoku/>
        <w:wordWrap/>
        <w:overflowPunct/>
        <w:topLinePunct w:val="0"/>
        <w:bidi w:val="0"/>
        <w:snapToGrid/>
        <w:spacing w:before="0" w:after="0" w:line="520" w:lineRule="exact"/>
        <w:ind w:firstLine="422" w:firstLineChars="175"/>
        <w:textAlignment w:val="auto"/>
        <w:rPr>
          <w:rFonts w:hint="eastAsia" w:hAnsi="宋体"/>
          <w:color w:val="auto"/>
          <w:highlight w:val="none"/>
        </w:rPr>
      </w:pPr>
      <w:bookmarkStart w:id="109" w:name="_Toc520356160"/>
      <w:bookmarkStart w:id="110" w:name="_Toc518923079"/>
      <w:bookmarkStart w:id="111" w:name="_Toc46235087"/>
      <w:bookmarkStart w:id="112" w:name="_Toc32573"/>
      <w:bookmarkStart w:id="113" w:name="_Toc12751"/>
      <w:bookmarkStart w:id="114" w:name="_Toc9840"/>
      <w:bookmarkStart w:id="115" w:name="_Toc515647776"/>
      <w:bookmarkStart w:id="116" w:name="_Toc520356161"/>
      <w:r>
        <w:rPr>
          <w:rFonts w:hint="eastAsia" w:hAnsi="宋体"/>
          <w:color w:val="auto"/>
          <w:highlight w:val="none"/>
        </w:rPr>
        <w:t>15.投标文件的</w:t>
      </w:r>
      <w:bookmarkEnd w:id="109"/>
      <w:bookmarkEnd w:id="110"/>
      <w:r>
        <w:rPr>
          <w:rFonts w:hint="eastAsia" w:hAnsi="宋体"/>
          <w:color w:val="auto"/>
          <w:highlight w:val="none"/>
        </w:rPr>
        <w:t>递交</w:t>
      </w:r>
      <w:bookmarkEnd w:id="111"/>
      <w:bookmarkEnd w:id="112"/>
    </w:p>
    <w:p w14:paraId="53D393E0">
      <w:pPr>
        <w:pageBreakBefore w:val="0"/>
        <w:kinsoku/>
        <w:wordWrap/>
        <w:overflowPunct/>
        <w:topLinePunct w:val="0"/>
        <w:bidi w:val="0"/>
        <w:snapToGrid/>
        <w:spacing w:line="520" w:lineRule="exact"/>
        <w:ind w:firstLine="422" w:firstLineChars="175"/>
        <w:textAlignment w:val="auto"/>
        <w:rPr>
          <w:rFonts w:hint="eastAsia" w:ascii="宋体" w:hAnsi="宋体"/>
          <w:b/>
          <w:bCs/>
          <w:color w:val="auto"/>
          <w:sz w:val="24"/>
          <w:highlight w:val="none"/>
          <w:lang w:val="en-GB"/>
        </w:rPr>
      </w:pPr>
      <w:r>
        <w:rPr>
          <w:rFonts w:hint="eastAsia" w:ascii="宋体" w:hAnsi="宋体"/>
          <w:b/>
          <w:bCs/>
          <w:color w:val="auto"/>
          <w:sz w:val="24"/>
          <w:highlight w:val="none"/>
          <w:lang w:val="en-GB"/>
        </w:rPr>
        <w:t>15</w:t>
      </w:r>
      <w:r>
        <w:rPr>
          <w:rFonts w:hint="eastAsia" w:ascii="宋体" w:hAnsi="宋体"/>
          <w:b/>
          <w:bCs/>
          <w:color w:val="auto"/>
          <w:sz w:val="24"/>
          <w:highlight w:val="none"/>
        </w:rPr>
        <w:t>.1 投标人</w:t>
      </w:r>
      <w:r>
        <w:rPr>
          <w:rFonts w:hint="eastAsia" w:ascii="宋体" w:hAnsi="宋体"/>
          <w:b/>
          <w:bCs/>
          <w:color w:val="auto"/>
          <w:sz w:val="24"/>
          <w:highlight w:val="none"/>
          <w:lang w:val="en-GB"/>
        </w:rPr>
        <w:t>应将投标文件以正副本(一正四副)、开标一览表（一式</w:t>
      </w:r>
      <w:r>
        <w:rPr>
          <w:rFonts w:hint="eastAsia" w:ascii="宋体" w:hAnsi="宋体"/>
          <w:b/>
          <w:bCs/>
          <w:color w:val="auto"/>
          <w:sz w:val="24"/>
          <w:highlight w:val="none"/>
          <w:u w:val="single"/>
          <w:lang w:val="en-GB"/>
        </w:rPr>
        <w:t>三</w:t>
      </w:r>
      <w:r>
        <w:rPr>
          <w:rFonts w:hint="eastAsia" w:ascii="宋体" w:hAnsi="宋体"/>
          <w:b/>
          <w:bCs/>
          <w:color w:val="auto"/>
          <w:sz w:val="24"/>
          <w:highlight w:val="none"/>
          <w:lang w:val="en-GB"/>
        </w:rPr>
        <w:t xml:space="preserve">份）、电子版为单位分别密封，并在密封件上标明密封件内容、招标项目编号、项目名称、投标人名称和“在（开标时间）之前不得启封”的字样等。 </w:t>
      </w:r>
    </w:p>
    <w:p w14:paraId="27041F7D">
      <w:pPr>
        <w:pageBreakBefore w:val="0"/>
        <w:kinsoku/>
        <w:wordWrap/>
        <w:overflowPunct/>
        <w:topLinePunct w:val="0"/>
        <w:bidi w:val="0"/>
        <w:snapToGrid/>
        <w:spacing w:line="520" w:lineRule="exact"/>
        <w:ind w:firstLine="422" w:firstLineChars="175"/>
        <w:textAlignment w:val="auto"/>
        <w:rPr>
          <w:rFonts w:hint="eastAsia" w:ascii="宋体" w:hAnsi="宋体"/>
          <w:b/>
          <w:bCs/>
          <w:color w:val="auto"/>
          <w:sz w:val="24"/>
          <w:highlight w:val="none"/>
          <w:lang w:val="en-GB"/>
        </w:rPr>
      </w:pPr>
      <w:r>
        <w:rPr>
          <w:rFonts w:hint="eastAsia" w:ascii="宋体" w:hAnsi="宋体"/>
          <w:b/>
          <w:bCs/>
          <w:color w:val="auto"/>
          <w:sz w:val="24"/>
          <w:highlight w:val="none"/>
          <w:lang w:val="en-GB"/>
        </w:rPr>
        <w:t>15.2</w:t>
      </w:r>
      <w:r>
        <w:rPr>
          <w:rFonts w:hint="eastAsia" w:ascii="宋体" w:hAnsi="宋体"/>
          <w:b/>
          <w:bCs/>
          <w:color w:val="auto"/>
          <w:sz w:val="24"/>
          <w:highlight w:val="none"/>
        </w:rPr>
        <w:t xml:space="preserve">  </w:t>
      </w:r>
      <w:r>
        <w:rPr>
          <w:rFonts w:hint="eastAsia" w:ascii="宋体" w:hAnsi="宋体"/>
          <w:b/>
          <w:bCs/>
          <w:color w:val="auto"/>
          <w:sz w:val="24"/>
          <w:highlight w:val="none"/>
          <w:lang w:val="en-GB"/>
        </w:rPr>
        <w:t>投标人将每部分投标文件装入信袋内加以密封后，并在封签处加盖公章或由法定代表人（或其委托代理人）签字，如无公章或授权代表签字，投标文件将会被拒收。</w:t>
      </w:r>
    </w:p>
    <w:p w14:paraId="0C287DC8">
      <w:pPr>
        <w:pageBreakBefore w:val="0"/>
        <w:kinsoku/>
        <w:wordWrap/>
        <w:overflowPunct/>
        <w:topLinePunct w:val="0"/>
        <w:bidi w:val="0"/>
        <w:snapToGrid/>
        <w:spacing w:line="520" w:lineRule="exact"/>
        <w:ind w:firstLine="422" w:firstLineChars="175"/>
        <w:textAlignment w:val="auto"/>
        <w:rPr>
          <w:rFonts w:hint="eastAsia" w:ascii="宋体" w:hAnsi="宋体"/>
          <w:b/>
          <w:bCs/>
          <w:color w:val="auto"/>
          <w:sz w:val="24"/>
          <w:highlight w:val="none"/>
          <w:lang w:val="en-GB"/>
        </w:rPr>
      </w:pPr>
      <w:r>
        <w:rPr>
          <w:rFonts w:hint="eastAsia" w:ascii="宋体" w:hAnsi="宋体"/>
          <w:b/>
          <w:bCs/>
          <w:color w:val="auto"/>
          <w:sz w:val="24"/>
          <w:highlight w:val="none"/>
          <w:lang w:val="en-GB"/>
        </w:rPr>
        <w:t xml:space="preserve">15.3 </w:t>
      </w:r>
      <w:r>
        <w:rPr>
          <w:rFonts w:hint="eastAsia" w:ascii="宋体" w:hAnsi="宋体"/>
          <w:b/>
          <w:bCs/>
          <w:color w:val="auto"/>
          <w:sz w:val="24"/>
          <w:highlight w:val="none"/>
        </w:rPr>
        <w:t xml:space="preserve"> </w:t>
      </w:r>
      <w:r>
        <w:rPr>
          <w:rFonts w:hint="eastAsia" w:ascii="宋体" w:hAnsi="宋体"/>
          <w:b/>
          <w:bCs/>
          <w:color w:val="auto"/>
          <w:sz w:val="24"/>
          <w:highlight w:val="none"/>
          <w:lang w:val="en-GB"/>
        </w:rPr>
        <w:t>因</w:t>
      </w:r>
      <w:r>
        <w:rPr>
          <w:rFonts w:hint="eastAsia" w:ascii="宋体" w:hAnsi="宋体"/>
          <w:b/>
          <w:bCs/>
          <w:color w:val="auto"/>
          <w:sz w:val="24"/>
          <w:highlight w:val="none"/>
          <w:lang w:val="en-GB" w:eastAsia="zh-CN"/>
        </w:rPr>
        <w:t>投标人</w:t>
      </w:r>
      <w:r>
        <w:rPr>
          <w:rFonts w:hint="eastAsia" w:ascii="宋体" w:hAnsi="宋体"/>
          <w:b/>
          <w:bCs/>
          <w:color w:val="auto"/>
          <w:sz w:val="24"/>
          <w:highlight w:val="none"/>
          <w:lang w:val="en-GB"/>
        </w:rPr>
        <w:t>对其投标文件密封不当或签署不当而造成投标文件被拒收，由</w:t>
      </w:r>
      <w:r>
        <w:rPr>
          <w:rFonts w:hint="eastAsia" w:ascii="宋体" w:hAnsi="宋体"/>
          <w:b/>
          <w:bCs/>
          <w:color w:val="auto"/>
          <w:sz w:val="24"/>
          <w:highlight w:val="none"/>
          <w:lang w:val="en-GB" w:eastAsia="zh-CN"/>
        </w:rPr>
        <w:t>投标人</w:t>
      </w:r>
      <w:r>
        <w:rPr>
          <w:rFonts w:hint="eastAsia" w:ascii="宋体" w:hAnsi="宋体"/>
          <w:b/>
          <w:bCs/>
          <w:color w:val="auto"/>
          <w:sz w:val="24"/>
          <w:highlight w:val="none"/>
          <w:lang w:val="en-GB"/>
        </w:rPr>
        <w:t>自行负责。</w:t>
      </w:r>
    </w:p>
    <w:p w14:paraId="6E1E06BC">
      <w:pPr>
        <w:pStyle w:val="4"/>
        <w:pageBreakBefore w:val="0"/>
        <w:kinsoku/>
        <w:wordWrap/>
        <w:overflowPunct/>
        <w:topLinePunct w:val="0"/>
        <w:bidi w:val="0"/>
        <w:snapToGrid/>
        <w:spacing w:before="0" w:after="0" w:line="520" w:lineRule="exact"/>
        <w:ind w:firstLine="422" w:firstLineChars="175"/>
        <w:textAlignment w:val="auto"/>
        <w:rPr>
          <w:rFonts w:hAnsi="宋体"/>
          <w:color w:val="auto"/>
          <w:highlight w:val="none"/>
        </w:rPr>
      </w:pPr>
      <w:bookmarkStart w:id="117" w:name="_Toc13287"/>
      <w:r>
        <w:rPr>
          <w:rFonts w:hint="eastAsia" w:hAnsi="宋体"/>
          <w:color w:val="auto"/>
          <w:highlight w:val="none"/>
        </w:rPr>
        <w:t>16.</w:t>
      </w:r>
      <w:bookmarkEnd w:id="113"/>
      <w:bookmarkEnd w:id="114"/>
      <w:bookmarkEnd w:id="115"/>
      <w:bookmarkEnd w:id="116"/>
      <w:r>
        <w:rPr>
          <w:rFonts w:hint="eastAsia" w:hAnsi="宋体"/>
          <w:color w:val="auto"/>
          <w:highlight w:val="none"/>
        </w:rPr>
        <w:t xml:space="preserve"> 递交投标文件的截止时间</w:t>
      </w:r>
      <w:bookmarkEnd w:id="117"/>
    </w:p>
    <w:p w14:paraId="1D258CC6">
      <w:pPr>
        <w:pageBreakBefore w:val="0"/>
        <w:kinsoku/>
        <w:wordWrap/>
        <w:overflowPunct/>
        <w:topLinePunct w:val="0"/>
        <w:bidi w:val="0"/>
        <w:snapToGrid/>
        <w:spacing w:line="520" w:lineRule="exact"/>
        <w:ind w:firstLine="420" w:firstLineChars="175"/>
        <w:textAlignment w:val="auto"/>
        <w:rPr>
          <w:rFonts w:hint="eastAsia" w:ascii="宋体" w:hAnsi="宋体"/>
          <w:color w:val="auto"/>
          <w:sz w:val="24"/>
          <w:highlight w:val="none"/>
        </w:rPr>
      </w:pPr>
      <w:bookmarkStart w:id="118" w:name="_Toc518923081"/>
      <w:bookmarkStart w:id="119" w:name="_Toc520356162"/>
      <w:bookmarkStart w:id="120" w:name="_Toc46235089"/>
      <w:bookmarkStart w:id="121" w:name="_Toc12436"/>
      <w:bookmarkStart w:id="122" w:name="_Toc515647778"/>
      <w:bookmarkStart w:id="123" w:name="_Toc28398"/>
      <w:bookmarkStart w:id="124" w:name="_Toc216582809"/>
      <w:bookmarkStart w:id="125" w:name="_Toc520356163"/>
      <w:r>
        <w:rPr>
          <w:rFonts w:hint="eastAsia" w:ascii="宋体" w:hAnsi="宋体"/>
          <w:color w:val="auto"/>
          <w:sz w:val="24"/>
          <w:highlight w:val="none"/>
        </w:rPr>
        <w:t>16.1 投标人应在投标截止时间前，</w:t>
      </w:r>
      <w:r>
        <w:rPr>
          <w:rFonts w:ascii="宋体" w:hAnsi="宋体"/>
          <w:color w:val="auto"/>
          <w:sz w:val="24"/>
          <w:highlight w:val="none"/>
        </w:rPr>
        <w:t>将投标文件按照招标文件要求的方式递交</w:t>
      </w:r>
      <w:r>
        <w:rPr>
          <w:rFonts w:hint="eastAsia" w:ascii="宋体" w:hAnsi="宋体"/>
          <w:color w:val="auto"/>
          <w:sz w:val="24"/>
          <w:highlight w:val="none"/>
        </w:rPr>
        <w:t>。投标人递交投标文件的时间和地点：见</w:t>
      </w:r>
      <w:r>
        <w:rPr>
          <w:rFonts w:hint="eastAsia" w:ascii="宋体" w:hAnsi="宋体"/>
          <w:color w:val="auto"/>
          <w:sz w:val="24"/>
          <w:highlight w:val="none"/>
          <w:u w:val="single"/>
        </w:rPr>
        <w:t>投标人须知附表</w:t>
      </w:r>
      <w:r>
        <w:rPr>
          <w:rFonts w:hint="eastAsia" w:ascii="宋体" w:hAnsi="宋体"/>
          <w:color w:val="auto"/>
          <w:sz w:val="24"/>
          <w:highlight w:val="none"/>
        </w:rPr>
        <w:t>。</w:t>
      </w:r>
    </w:p>
    <w:p w14:paraId="7D2BF108">
      <w:pPr>
        <w:pageBreakBefore w:val="0"/>
        <w:kinsoku/>
        <w:wordWrap/>
        <w:overflowPunct/>
        <w:topLinePunct w:val="0"/>
        <w:bidi w:val="0"/>
        <w:snapToGrid/>
        <w:spacing w:line="520" w:lineRule="exact"/>
        <w:ind w:firstLine="420" w:firstLineChars="175"/>
        <w:textAlignment w:val="auto"/>
        <w:rPr>
          <w:rFonts w:hint="eastAsia" w:ascii="宋体" w:hAnsi="宋体"/>
          <w:color w:val="auto"/>
          <w:sz w:val="24"/>
          <w:highlight w:val="none"/>
        </w:rPr>
      </w:pPr>
      <w:r>
        <w:rPr>
          <w:rFonts w:hint="eastAsia" w:ascii="宋体" w:hAnsi="宋体"/>
          <w:color w:val="auto"/>
          <w:sz w:val="24"/>
          <w:highlight w:val="none"/>
        </w:rPr>
        <w:t>16.2 采购人和</w:t>
      </w:r>
      <w:r>
        <w:rPr>
          <w:rFonts w:ascii="宋体" w:hAnsi="宋体"/>
          <w:color w:val="auto"/>
          <w:sz w:val="24"/>
          <w:highlight w:val="none"/>
        </w:rPr>
        <w:t>采购代理机构</w:t>
      </w:r>
      <w:r>
        <w:rPr>
          <w:rFonts w:hint="eastAsia" w:ascii="宋体" w:hAnsi="宋体"/>
          <w:color w:val="auto"/>
          <w:sz w:val="24"/>
          <w:highlight w:val="none"/>
        </w:rPr>
        <w:t>将拒绝接收在投标截止时间后递交的投标文件。</w:t>
      </w:r>
    </w:p>
    <w:p w14:paraId="228B83F6">
      <w:pPr>
        <w:pageBreakBefore w:val="0"/>
        <w:kinsoku/>
        <w:wordWrap/>
        <w:overflowPunct/>
        <w:topLinePunct w:val="0"/>
        <w:bidi w:val="0"/>
        <w:snapToGrid/>
        <w:spacing w:line="520" w:lineRule="exact"/>
        <w:ind w:firstLine="420" w:firstLineChars="175"/>
        <w:textAlignment w:val="auto"/>
        <w:rPr>
          <w:rFonts w:hint="eastAsia" w:ascii="宋体" w:hAnsi="宋体"/>
          <w:color w:val="auto"/>
          <w:sz w:val="24"/>
          <w:highlight w:val="none"/>
        </w:rPr>
      </w:pPr>
      <w:r>
        <w:rPr>
          <w:rFonts w:hint="eastAsia" w:ascii="宋体" w:hAnsi="宋体"/>
          <w:color w:val="auto"/>
          <w:sz w:val="24"/>
          <w:highlight w:val="none"/>
        </w:rPr>
        <w:t>16.3 除投标人须知附表另有规定外，投标人所递交的投标文件不予退还。</w:t>
      </w:r>
    </w:p>
    <w:bookmarkEnd w:id="118"/>
    <w:bookmarkEnd w:id="119"/>
    <w:bookmarkEnd w:id="120"/>
    <w:p w14:paraId="575706E3">
      <w:pPr>
        <w:pStyle w:val="4"/>
        <w:pageBreakBefore w:val="0"/>
        <w:kinsoku/>
        <w:wordWrap/>
        <w:overflowPunct/>
        <w:topLinePunct w:val="0"/>
        <w:bidi w:val="0"/>
        <w:snapToGrid/>
        <w:spacing w:before="0" w:after="0" w:line="520" w:lineRule="exact"/>
        <w:ind w:firstLine="422" w:firstLineChars="175"/>
        <w:textAlignment w:val="auto"/>
        <w:rPr>
          <w:rFonts w:hint="eastAsia" w:hAnsi="宋体"/>
          <w:color w:val="auto"/>
          <w:highlight w:val="none"/>
        </w:rPr>
      </w:pPr>
      <w:bookmarkStart w:id="126" w:name="_Toc11431"/>
      <w:r>
        <w:rPr>
          <w:rFonts w:hint="eastAsia" w:hAnsi="宋体"/>
          <w:color w:val="auto"/>
          <w:highlight w:val="none"/>
        </w:rPr>
        <w:t>17.投标文件的接收、修改与撤回</w:t>
      </w:r>
      <w:bookmarkEnd w:id="126"/>
    </w:p>
    <w:p w14:paraId="42797AD2">
      <w:pPr>
        <w:pStyle w:val="9"/>
        <w:pageBreakBefore w:val="0"/>
        <w:tabs>
          <w:tab w:val="left" w:pos="0"/>
          <w:tab w:val="clear" w:pos="567"/>
        </w:tabs>
        <w:kinsoku/>
        <w:wordWrap/>
        <w:overflowPunct/>
        <w:topLinePunct w:val="0"/>
        <w:bidi w:val="0"/>
        <w:snapToGrid/>
        <w:spacing w:before="0" w:line="520" w:lineRule="exact"/>
        <w:ind w:firstLine="422" w:firstLineChars="175"/>
        <w:textAlignment w:val="auto"/>
        <w:rPr>
          <w:b/>
          <w:bCs/>
          <w:snapToGrid w:val="0"/>
          <w:color w:val="auto"/>
          <w:highlight w:val="none"/>
        </w:rPr>
      </w:pPr>
      <w:r>
        <w:rPr>
          <w:rFonts w:hint="eastAsia"/>
          <w:b/>
          <w:bCs/>
          <w:snapToGrid w:val="0"/>
          <w:color w:val="auto"/>
          <w:highlight w:val="none"/>
        </w:rPr>
        <w:t>17</w:t>
      </w:r>
      <w:r>
        <w:rPr>
          <w:b/>
          <w:bCs/>
          <w:snapToGrid w:val="0"/>
          <w:color w:val="auto"/>
          <w:highlight w:val="none"/>
        </w:rPr>
        <w:t>.</w:t>
      </w:r>
      <w:r>
        <w:rPr>
          <w:rFonts w:hint="eastAsia"/>
          <w:b/>
          <w:bCs/>
          <w:snapToGrid w:val="0"/>
          <w:color w:val="auto"/>
          <w:highlight w:val="none"/>
        </w:rPr>
        <w:t xml:space="preserve"> 1投标人在招标文件要求提交投标文件的截止时间前，可以修改或者撤回已提交的投标文件，并书面形式通知代理机构。</w:t>
      </w:r>
    </w:p>
    <w:p w14:paraId="14A285B8">
      <w:pPr>
        <w:pStyle w:val="9"/>
        <w:pageBreakBefore w:val="0"/>
        <w:tabs>
          <w:tab w:val="left" w:pos="0"/>
          <w:tab w:val="clear" w:pos="567"/>
        </w:tabs>
        <w:kinsoku/>
        <w:wordWrap/>
        <w:overflowPunct/>
        <w:topLinePunct w:val="0"/>
        <w:bidi w:val="0"/>
        <w:snapToGrid/>
        <w:spacing w:before="0" w:line="520" w:lineRule="exact"/>
        <w:ind w:firstLine="422" w:firstLineChars="175"/>
        <w:textAlignment w:val="auto"/>
        <w:rPr>
          <w:rFonts w:hint="eastAsia"/>
          <w:b/>
          <w:bCs/>
          <w:snapToGrid w:val="0"/>
          <w:color w:val="auto"/>
          <w:highlight w:val="none"/>
        </w:rPr>
      </w:pPr>
      <w:r>
        <w:rPr>
          <w:b/>
          <w:bCs/>
          <w:snapToGrid w:val="0"/>
          <w:color w:val="auto"/>
          <w:highlight w:val="none"/>
        </w:rPr>
        <w:t>1</w:t>
      </w:r>
      <w:r>
        <w:rPr>
          <w:rFonts w:hint="eastAsia"/>
          <w:b/>
          <w:bCs/>
          <w:snapToGrid w:val="0"/>
          <w:color w:val="auto"/>
          <w:highlight w:val="none"/>
        </w:rPr>
        <w:t>7</w:t>
      </w:r>
      <w:r>
        <w:rPr>
          <w:b/>
          <w:bCs/>
          <w:snapToGrid w:val="0"/>
          <w:color w:val="auto"/>
          <w:highlight w:val="none"/>
        </w:rPr>
        <w:t xml:space="preserve">. 2 </w:t>
      </w:r>
      <w:r>
        <w:rPr>
          <w:rFonts w:hint="eastAsia"/>
          <w:b/>
          <w:bCs/>
          <w:snapToGrid w:val="0"/>
          <w:color w:val="auto"/>
          <w:highlight w:val="none"/>
        </w:rPr>
        <w:t>任何修改内容必须由投标人的法定代表人或其委托代理人签字，不得涂抹。经法定代表人或其委托代理人正式签署的修改文件组成投标文件的一部分，份数和密封要求同投标文件一致。</w:t>
      </w:r>
    </w:p>
    <w:p w14:paraId="72FA0A84">
      <w:pPr>
        <w:pageBreakBefore w:val="0"/>
        <w:kinsoku/>
        <w:wordWrap/>
        <w:overflowPunct/>
        <w:topLinePunct w:val="0"/>
        <w:bidi w:val="0"/>
        <w:snapToGrid/>
        <w:spacing w:line="520" w:lineRule="exact"/>
        <w:ind w:firstLine="422" w:firstLineChars="175"/>
        <w:textAlignment w:val="auto"/>
        <w:rPr>
          <w:rFonts w:hint="eastAsia" w:ascii="宋体" w:hAnsi="宋体"/>
          <w:b/>
          <w:bCs/>
          <w:snapToGrid w:val="0"/>
          <w:color w:val="auto"/>
          <w:sz w:val="24"/>
          <w:highlight w:val="none"/>
        </w:rPr>
      </w:pPr>
      <w:r>
        <w:rPr>
          <w:rFonts w:hint="eastAsia" w:ascii="宋体" w:hAnsi="宋体"/>
          <w:b/>
          <w:bCs/>
          <w:snapToGrid w:val="0"/>
          <w:color w:val="auto"/>
          <w:sz w:val="24"/>
          <w:highlight w:val="none"/>
        </w:rPr>
        <w:t>17</w:t>
      </w:r>
      <w:r>
        <w:rPr>
          <w:rFonts w:ascii="宋体" w:hAnsi="宋体"/>
          <w:b/>
          <w:bCs/>
          <w:snapToGrid w:val="0"/>
          <w:color w:val="auto"/>
          <w:sz w:val="24"/>
          <w:highlight w:val="none"/>
        </w:rPr>
        <w:t>.</w:t>
      </w:r>
      <w:r>
        <w:rPr>
          <w:rFonts w:hint="eastAsia" w:ascii="宋体" w:hAnsi="宋体"/>
          <w:b/>
          <w:bCs/>
          <w:snapToGrid w:val="0"/>
          <w:color w:val="auto"/>
          <w:sz w:val="24"/>
          <w:highlight w:val="none"/>
        </w:rPr>
        <w:t xml:space="preserve"> 3采购人</w:t>
      </w:r>
      <w:r>
        <w:rPr>
          <w:rFonts w:ascii="宋体" w:hAnsi="宋体"/>
          <w:b/>
          <w:bCs/>
          <w:snapToGrid w:val="0"/>
          <w:color w:val="auto"/>
          <w:sz w:val="24"/>
          <w:highlight w:val="none"/>
        </w:rPr>
        <w:t>或者采购代理机构收到投标文件后，应</w:t>
      </w:r>
      <w:r>
        <w:rPr>
          <w:rFonts w:hint="eastAsia" w:ascii="宋体" w:hAnsi="宋体"/>
          <w:b/>
          <w:bCs/>
          <w:snapToGrid w:val="0"/>
          <w:color w:val="auto"/>
          <w:sz w:val="24"/>
          <w:highlight w:val="none"/>
        </w:rPr>
        <w:t>当如实</w:t>
      </w:r>
      <w:r>
        <w:rPr>
          <w:rFonts w:ascii="宋体" w:hAnsi="宋体"/>
          <w:b/>
          <w:bCs/>
          <w:snapToGrid w:val="0"/>
          <w:color w:val="auto"/>
          <w:sz w:val="24"/>
          <w:highlight w:val="none"/>
        </w:rPr>
        <w:t>记载</w:t>
      </w:r>
      <w:r>
        <w:rPr>
          <w:rFonts w:hint="eastAsia" w:ascii="宋体" w:hAnsi="宋体"/>
          <w:b/>
          <w:bCs/>
          <w:snapToGrid w:val="0"/>
          <w:color w:val="auto"/>
          <w:sz w:val="24"/>
          <w:highlight w:val="none"/>
        </w:rPr>
        <w:t>投标</w:t>
      </w:r>
      <w:r>
        <w:rPr>
          <w:rFonts w:ascii="宋体" w:hAnsi="宋体"/>
          <w:b/>
          <w:bCs/>
          <w:snapToGrid w:val="0"/>
          <w:color w:val="auto"/>
          <w:sz w:val="24"/>
          <w:highlight w:val="none"/>
        </w:rPr>
        <w:t>文件的送达时间和密封情况。</w:t>
      </w:r>
    </w:p>
    <w:p w14:paraId="6F55A977">
      <w:pPr>
        <w:pStyle w:val="9"/>
        <w:pageBreakBefore w:val="0"/>
        <w:tabs>
          <w:tab w:val="left" w:pos="0"/>
          <w:tab w:val="clear" w:pos="567"/>
        </w:tabs>
        <w:kinsoku/>
        <w:wordWrap/>
        <w:overflowPunct/>
        <w:topLinePunct w:val="0"/>
        <w:bidi w:val="0"/>
        <w:snapToGrid/>
        <w:spacing w:before="0" w:line="520" w:lineRule="exact"/>
        <w:ind w:firstLine="422" w:firstLineChars="175"/>
        <w:textAlignment w:val="auto"/>
        <w:rPr>
          <w:rFonts w:hint="eastAsia"/>
          <w:snapToGrid w:val="0"/>
          <w:color w:val="auto"/>
          <w:highlight w:val="none"/>
        </w:rPr>
      </w:pPr>
      <w:r>
        <w:rPr>
          <w:b/>
          <w:bCs/>
          <w:snapToGrid w:val="0"/>
          <w:color w:val="auto"/>
          <w:highlight w:val="none"/>
        </w:rPr>
        <w:t>1</w:t>
      </w:r>
      <w:r>
        <w:rPr>
          <w:rFonts w:hint="eastAsia"/>
          <w:b/>
          <w:bCs/>
          <w:snapToGrid w:val="0"/>
          <w:color w:val="auto"/>
          <w:highlight w:val="none"/>
        </w:rPr>
        <w:t>7</w:t>
      </w:r>
      <w:r>
        <w:rPr>
          <w:b/>
          <w:bCs/>
          <w:snapToGrid w:val="0"/>
          <w:color w:val="auto"/>
          <w:highlight w:val="none"/>
        </w:rPr>
        <w:t>.2.</w:t>
      </w:r>
      <w:r>
        <w:rPr>
          <w:rFonts w:hint="eastAsia"/>
          <w:b/>
          <w:bCs/>
          <w:snapToGrid w:val="0"/>
          <w:color w:val="auto"/>
          <w:highlight w:val="none"/>
        </w:rPr>
        <w:t>4</w:t>
      </w:r>
      <w:r>
        <w:rPr>
          <w:b/>
          <w:bCs/>
          <w:snapToGrid w:val="0"/>
          <w:color w:val="auto"/>
          <w:highlight w:val="none"/>
        </w:rPr>
        <w:t xml:space="preserve"> </w:t>
      </w:r>
      <w:r>
        <w:rPr>
          <w:rFonts w:hint="eastAsia"/>
          <w:b/>
          <w:bCs/>
          <w:snapToGrid w:val="0"/>
          <w:color w:val="auto"/>
          <w:highlight w:val="none"/>
        </w:rPr>
        <w:t>投标截止时间后，不允许对投标文件做实质性修改，同时采购人和采购代理对所接收投标文件概不退回。</w:t>
      </w:r>
    </w:p>
    <w:p w14:paraId="7E747AFB">
      <w:pPr>
        <w:pStyle w:val="78"/>
        <w:pageBreakBefore w:val="0"/>
        <w:kinsoku/>
        <w:wordWrap/>
        <w:overflowPunct/>
        <w:topLinePunct w:val="0"/>
        <w:bidi w:val="0"/>
        <w:snapToGrid/>
        <w:spacing w:line="520" w:lineRule="exact"/>
        <w:ind w:firstLine="422" w:firstLineChars="175"/>
        <w:textAlignment w:val="auto"/>
        <w:rPr>
          <w:rFonts w:hint="eastAsia" w:ascii="宋体" w:hAnsi="宋体"/>
          <w:b/>
          <w:bCs/>
          <w:color w:val="auto"/>
          <w:highlight w:val="none"/>
        </w:rPr>
      </w:pPr>
      <w:r>
        <w:rPr>
          <w:rFonts w:ascii="宋体" w:hAnsi="宋体"/>
          <w:b/>
          <w:bCs/>
          <w:snapToGrid w:val="0"/>
          <w:color w:val="auto"/>
          <w:highlight w:val="none"/>
        </w:rPr>
        <w:t>1</w:t>
      </w:r>
      <w:r>
        <w:rPr>
          <w:rFonts w:hint="eastAsia" w:ascii="宋体" w:hAnsi="宋体"/>
          <w:b/>
          <w:bCs/>
          <w:snapToGrid w:val="0"/>
          <w:color w:val="auto"/>
          <w:highlight w:val="none"/>
        </w:rPr>
        <w:t>7</w:t>
      </w:r>
      <w:r>
        <w:rPr>
          <w:rFonts w:ascii="宋体" w:hAnsi="宋体"/>
          <w:b/>
          <w:bCs/>
          <w:snapToGrid w:val="0"/>
          <w:color w:val="auto"/>
          <w:highlight w:val="none"/>
        </w:rPr>
        <w:t>.2.</w:t>
      </w:r>
      <w:r>
        <w:rPr>
          <w:rFonts w:hint="eastAsia" w:ascii="宋体" w:hAnsi="宋体"/>
          <w:b/>
          <w:bCs/>
          <w:snapToGrid w:val="0"/>
          <w:color w:val="auto"/>
          <w:highlight w:val="none"/>
        </w:rPr>
        <w:t>5投标有效期内不得撤回投标，否则其投标保证金不予退还（若有）。</w:t>
      </w:r>
    </w:p>
    <w:p w14:paraId="28CCF5B8">
      <w:pPr>
        <w:pStyle w:val="3"/>
        <w:spacing w:line="520" w:lineRule="exact"/>
        <w:rPr>
          <w:rFonts w:hint="eastAsia" w:ascii="宋体" w:hAnsi="宋体"/>
          <w:color w:val="auto"/>
          <w:highlight w:val="none"/>
        </w:rPr>
      </w:pPr>
      <w:bookmarkStart w:id="127" w:name="_Toc12191"/>
      <w:r>
        <w:rPr>
          <w:rFonts w:hint="eastAsia" w:ascii="宋体" w:hAnsi="宋体"/>
          <w:color w:val="auto"/>
          <w:highlight w:val="none"/>
        </w:rPr>
        <w:t>五   开标及评标</w:t>
      </w:r>
      <w:bookmarkEnd w:id="121"/>
      <w:bookmarkEnd w:id="122"/>
      <w:bookmarkEnd w:id="123"/>
      <w:bookmarkEnd w:id="124"/>
      <w:bookmarkEnd w:id="125"/>
      <w:bookmarkEnd w:id="127"/>
    </w:p>
    <w:p w14:paraId="3A945615">
      <w:pPr>
        <w:pStyle w:val="4"/>
        <w:keepNext/>
        <w:keepLines/>
        <w:pageBreakBefore w:val="0"/>
        <w:widowControl w:val="0"/>
        <w:kinsoku/>
        <w:wordWrap/>
        <w:overflowPunct/>
        <w:topLinePunct w:val="0"/>
        <w:autoSpaceDE w:val="0"/>
        <w:autoSpaceDN w:val="0"/>
        <w:bidi w:val="0"/>
        <w:adjustRightInd w:val="0"/>
        <w:snapToGrid/>
        <w:spacing w:before="0" w:after="0" w:line="520" w:lineRule="exact"/>
        <w:ind w:firstLine="422" w:firstLineChars="175"/>
        <w:textAlignment w:val="auto"/>
        <w:rPr>
          <w:rFonts w:hAnsi="宋体"/>
          <w:color w:val="auto"/>
          <w:highlight w:val="none"/>
        </w:rPr>
      </w:pPr>
      <w:bookmarkStart w:id="128" w:name="_Toc46235091"/>
      <w:bookmarkStart w:id="129" w:name="_Toc518923083"/>
      <w:bookmarkStart w:id="130" w:name="_Toc2753"/>
      <w:bookmarkStart w:id="131" w:name="_Toc520356164"/>
      <w:bookmarkStart w:id="132" w:name="_Toc21372"/>
      <w:bookmarkStart w:id="133" w:name="_Toc19296"/>
      <w:bookmarkStart w:id="134" w:name="_Toc520356165"/>
      <w:bookmarkStart w:id="135" w:name="_Toc515647780"/>
      <w:r>
        <w:rPr>
          <w:rFonts w:hint="eastAsia" w:hAnsi="宋体"/>
          <w:color w:val="auto"/>
          <w:highlight w:val="none"/>
        </w:rPr>
        <w:t>18.开标</w:t>
      </w:r>
      <w:bookmarkEnd w:id="128"/>
      <w:bookmarkEnd w:id="129"/>
      <w:bookmarkEnd w:id="130"/>
      <w:bookmarkEnd w:id="131"/>
    </w:p>
    <w:p w14:paraId="2FEC847D">
      <w:pPr>
        <w:spacing w:line="520" w:lineRule="exact"/>
        <w:ind w:firstLine="420" w:firstLineChars="175"/>
        <w:rPr>
          <w:rFonts w:ascii="宋体" w:hAnsi="宋体"/>
          <w:b/>
          <w:bCs/>
          <w:snapToGrid w:val="0"/>
          <w:color w:val="auto"/>
          <w:sz w:val="24"/>
          <w:highlight w:val="none"/>
        </w:rPr>
      </w:pPr>
      <w:r>
        <w:rPr>
          <w:rFonts w:hint="eastAsia" w:ascii="宋体" w:hAnsi="宋体"/>
          <w:color w:val="auto"/>
          <w:sz w:val="24"/>
          <w:highlight w:val="none"/>
        </w:rPr>
        <w:t>18.1</w:t>
      </w:r>
      <w:r>
        <w:rPr>
          <w:rFonts w:hint="eastAsia" w:ascii="宋体" w:hAnsi="宋体"/>
          <w:b/>
          <w:color w:val="auto"/>
          <w:sz w:val="24"/>
          <w:highlight w:val="none"/>
        </w:rPr>
        <w:t xml:space="preserve"> </w:t>
      </w:r>
      <w:r>
        <w:rPr>
          <w:rFonts w:hint="eastAsia" w:ascii="宋体" w:hAnsi="宋体"/>
          <w:b/>
          <w:bCs/>
          <w:snapToGrid w:val="0"/>
          <w:color w:val="auto"/>
          <w:sz w:val="24"/>
          <w:highlight w:val="none"/>
        </w:rPr>
        <w:t>采购代理机构按照</w:t>
      </w:r>
      <w:r>
        <w:rPr>
          <w:rFonts w:hint="eastAsia" w:ascii="宋体" w:hAnsi="宋体"/>
          <w:b/>
          <w:bCs/>
          <w:snapToGrid w:val="0"/>
          <w:color w:val="auto"/>
          <w:sz w:val="24"/>
          <w:highlight w:val="none"/>
          <w:u w:val="single"/>
        </w:rPr>
        <w:t>投标人须知资料表</w:t>
      </w:r>
      <w:r>
        <w:rPr>
          <w:rFonts w:hint="eastAsia" w:ascii="宋体" w:hAnsi="宋体"/>
          <w:b/>
          <w:bCs/>
          <w:snapToGrid w:val="0"/>
          <w:color w:val="auto"/>
          <w:sz w:val="24"/>
          <w:highlight w:val="none"/>
        </w:rPr>
        <w:t>规定的时间和地点召开开标会议。届时邀请所有投标人代表参加，参加开标会议的代表应签名报到以证明其出席，否则，责任自负。如在投标截止时间递交投标文件的</w:t>
      </w:r>
      <w:r>
        <w:rPr>
          <w:rFonts w:hint="eastAsia" w:ascii="宋体" w:hAnsi="宋体"/>
          <w:b/>
          <w:bCs/>
          <w:snapToGrid w:val="0"/>
          <w:color w:val="auto"/>
          <w:sz w:val="24"/>
          <w:highlight w:val="none"/>
          <w:lang w:eastAsia="zh-CN"/>
        </w:rPr>
        <w:t>投标人</w:t>
      </w:r>
      <w:r>
        <w:rPr>
          <w:rFonts w:hint="eastAsia" w:ascii="宋体" w:hAnsi="宋体"/>
          <w:b/>
          <w:bCs/>
          <w:snapToGrid w:val="0"/>
          <w:color w:val="auto"/>
          <w:sz w:val="24"/>
          <w:highlight w:val="none"/>
        </w:rPr>
        <w:t>少于三家，采购人或采购代理机构有采取重新招标或向同级财政部门申请改变采购方式的权力，且不承担任何费用和责任。</w:t>
      </w:r>
    </w:p>
    <w:p w14:paraId="43503A65">
      <w:pPr>
        <w:spacing w:line="520" w:lineRule="exact"/>
        <w:ind w:firstLine="422" w:firstLineChars="175"/>
        <w:rPr>
          <w:rFonts w:ascii="宋体" w:hAnsi="宋体"/>
          <w:b/>
          <w:bCs/>
          <w:snapToGrid w:val="0"/>
          <w:color w:val="auto"/>
          <w:sz w:val="24"/>
          <w:highlight w:val="none"/>
        </w:rPr>
      </w:pPr>
      <w:r>
        <w:rPr>
          <w:rFonts w:hint="eastAsia" w:ascii="宋体" w:hAnsi="宋体"/>
          <w:b/>
          <w:bCs/>
          <w:snapToGrid w:val="0"/>
          <w:color w:val="auto"/>
          <w:sz w:val="24"/>
          <w:highlight w:val="none"/>
        </w:rPr>
        <w:t>18.2开标时，按照</w:t>
      </w:r>
      <w:r>
        <w:rPr>
          <w:rFonts w:hint="eastAsia" w:ascii="宋体" w:hAnsi="宋体"/>
          <w:b/>
          <w:bCs/>
          <w:snapToGrid w:val="0"/>
          <w:color w:val="auto"/>
          <w:sz w:val="24"/>
          <w:highlight w:val="none"/>
          <w:u w:val="single"/>
        </w:rPr>
        <w:t>投标人须知资料表</w:t>
      </w:r>
      <w:r>
        <w:rPr>
          <w:rFonts w:hint="eastAsia" w:ascii="宋体" w:hAnsi="宋体"/>
          <w:b/>
          <w:bCs/>
          <w:snapToGrid w:val="0"/>
          <w:color w:val="auto"/>
          <w:sz w:val="24"/>
          <w:highlight w:val="none"/>
        </w:rPr>
        <w:t>的规定检查投标文件的密封情况，经确认无误后，由采购人或招标代理工作人员当众拆封唱标，宣读投标人名称、投标报价，以及采购人或采购代理机构认为合适的其他内容并加以记录。对于投标人在投标截止期前递交的投标声明，在开标时当众宣读，评标时有效。未宣读投标价格、价格折扣等实质内容，评标时不予承认。投标人若有报价和优惠未被唱出，应在开标时及时声明或提请注意，否则采购人或采购代理机构对此不承担任何责任。投标人不参加开标活动的，视为认同开标结果。</w:t>
      </w:r>
    </w:p>
    <w:p w14:paraId="52099733">
      <w:pPr>
        <w:spacing w:line="520" w:lineRule="exact"/>
        <w:ind w:firstLine="422" w:firstLineChars="175"/>
        <w:rPr>
          <w:rFonts w:hint="eastAsia" w:ascii="宋体" w:hAnsi="宋体"/>
          <w:b/>
          <w:bCs/>
          <w:snapToGrid w:val="0"/>
          <w:color w:val="auto"/>
          <w:sz w:val="24"/>
          <w:highlight w:val="none"/>
        </w:rPr>
      </w:pPr>
      <w:r>
        <w:rPr>
          <w:rFonts w:hint="eastAsia" w:ascii="宋体" w:hAnsi="宋体"/>
          <w:b/>
          <w:bCs/>
          <w:snapToGrid w:val="0"/>
          <w:color w:val="auto"/>
          <w:sz w:val="24"/>
          <w:highlight w:val="none"/>
        </w:rPr>
        <w:t>18.3 无论是什么原因，在开标时没有启封和宣读的投标文件，在评标时将不予考虑。</w:t>
      </w:r>
    </w:p>
    <w:p w14:paraId="58955E8B">
      <w:pPr>
        <w:spacing w:line="520" w:lineRule="exact"/>
        <w:ind w:firstLine="422" w:firstLineChars="175"/>
        <w:rPr>
          <w:rFonts w:hint="eastAsia" w:ascii="宋体" w:hAnsi="宋体"/>
          <w:b/>
          <w:bCs/>
          <w:snapToGrid w:val="0"/>
          <w:color w:val="auto"/>
          <w:sz w:val="24"/>
          <w:highlight w:val="none"/>
        </w:rPr>
      </w:pPr>
      <w:r>
        <w:rPr>
          <w:rFonts w:hint="eastAsia" w:ascii="宋体" w:hAnsi="宋体"/>
          <w:b/>
          <w:bCs/>
          <w:snapToGrid w:val="0"/>
          <w:color w:val="auto"/>
          <w:sz w:val="24"/>
          <w:highlight w:val="none"/>
        </w:rPr>
        <w:t>18.4 采购代理机构将做开标记录并在开标后要求法定代表人或授权代表签字确认。</w:t>
      </w:r>
    </w:p>
    <w:p w14:paraId="10AAD6D7">
      <w:pPr>
        <w:spacing w:line="520" w:lineRule="exact"/>
        <w:ind w:firstLine="422" w:firstLineChars="175"/>
        <w:rPr>
          <w:rFonts w:hint="eastAsia" w:ascii="宋体" w:hAnsi="宋体"/>
          <w:b/>
          <w:bCs/>
          <w:snapToGrid w:val="0"/>
          <w:color w:val="auto"/>
          <w:sz w:val="24"/>
          <w:highlight w:val="none"/>
        </w:rPr>
      </w:pPr>
      <w:r>
        <w:rPr>
          <w:rFonts w:hint="eastAsia" w:ascii="宋体" w:hAnsi="宋体"/>
          <w:b/>
          <w:bCs/>
          <w:snapToGrid w:val="0"/>
          <w:color w:val="auto"/>
          <w:sz w:val="24"/>
          <w:highlight w:val="none"/>
        </w:rPr>
        <w:t>18.5开标过程应当由采购人或者采购代理机构负责记录，由参加开标的各投标人代表和相关工作人员签字确认后随</w:t>
      </w:r>
      <w:r>
        <w:rPr>
          <w:rFonts w:hint="eastAsia" w:ascii="宋体" w:hAnsi="宋体"/>
          <w:b/>
          <w:bCs/>
          <w:snapToGrid w:val="0"/>
          <w:color w:val="auto"/>
          <w:sz w:val="24"/>
          <w:highlight w:val="none"/>
          <w:lang w:eastAsia="zh-CN"/>
        </w:rPr>
        <w:t>招标文件</w:t>
      </w:r>
      <w:r>
        <w:rPr>
          <w:rFonts w:hint="eastAsia" w:ascii="宋体" w:hAnsi="宋体"/>
          <w:b/>
          <w:bCs/>
          <w:snapToGrid w:val="0"/>
          <w:color w:val="auto"/>
          <w:sz w:val="24"/>
          <w:highlight w:val="none"/>
        </w:rPr>
        <w:t>一并存档。</w:t>
      </w:r>
    </w:p>
    <w:p w14:paraId="0FA04507">
      <w:pPr>
        <w:spacing w:line="520" w:lineRule="exact"/>
        <w:ind w:firstLine="422" w:firstLineChars="175"/>
        <w:rPr>
          <w:rFonts w:ascii="宋体" w:hAnsi="宋体"/>
          <w:b/>
          <w:bCs/>
          <w:snapToGrid w:val="0"/>
          <w:color w:val="auto"/>
          <w:sz w:val="24"/>
          <w:highlight w:val="none"/>
        </w:rPr>
      </w:pPr>
      <w:r>
        <w:rPr>
          <w:rFonts w:hint="eastAsia" w:ascii="宋体" w:hAnsi="宋体"/>
          <w:b/>
          <w:bCs/>
          <w:snapToGrid w:val="0"/>
          <w:color w:val="auto"/>
          <w:sz w:val="24"/>
          <w:highlight w:val="none"/>
        </w:rPr>
        <w:t>18.6  投标人代表对开标过程和开标记录有疑义，以及认为采购人、采购代理机构相关工作人员需要回避情形的，应当场提出询问或者回避申请。</w:t>
      </w:r>
    </w:p>
    <w:bookmarkEnd w:id="132"/>
    <w:bookmarkEnd w:id="133"/>
    <w:bookmarkEnd w:id="134"/>
    <w:bookmarkEnd w:id="135"/>
    <w:p w14:paraId="2E93C53D">
      <w:pPr>
        <w:pStyle w:val="4"/>
        <w:spacing w:before="0" w:after="0" w:line="520" w:lineRule="exact"/>
        <w:ind w:firstLine="422" w:firstLineChars="175"/>
        <w:rPr>
          <w:rFonts w:hint="eastAsia" w:hAnsi="宋体"/>
          <w:color w:val="auto"/>
          <w:highlight w:val="none"/>
        </w:rPr>
      </w:pPr>
      <w:bookmarkStart w:id="136" w:name="_Toc46235092"/>
      <w:bookmarkStart w:id="137" w:name="_Toc2603"/>
      <w:bookmarkStart w:id="138" w:name="_Toc518923084"/>
      <w:r>
        <w:rPr>
          <w:rFonts w:hint="eastAsia" w:hAnsi="宋体"/>
          <w:color w:val="auto"/>
          <w:highlight w:val="none"/>
        </w:rPr>
        <w:t>19.资格审查</w:t>
      </w:r>
      <w:bookmarkEnd w:id="136"/>
      <w:bookmarkEnd w:id="137"/>
      <w:bookmarkEnd w:id="138"/>
    </w:p>
    <w:p w14:paraId="341B5AA7">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19.1 采购人</w:t>
      </w:r>
      <w:r>
        <w:rPr>
          <w:rFonts w:hint="eastAsia" w:ascii="宋体" w:hAnsi="宋体"/>
          <w:b/>
          <w:bCs/>
          <w:color w:val="auto"/>
          <w:sz w:val="24"/>
          <w:highlight w:val="none"/>
        </w:rPr>
        <w:t>或采购代理机构</w:t>
      </w:r>
      <w:r>
        <w:rPr>
          <w:rFonts w:hint="eastAsia" w:ascii="宋体" w:hAnsi="宋体"/>
          <w:color w:val="auto"/>
          <w:sz w:val="24"/>
          <w:highlight w:val="none"/>
        </w:rPr>
        <w:t>依据法律法规和招标文件中规定的内</w:t>
      </w:r>
      <w:r>
        <w:rPr>
          <w:rFonts w:ascii="宋体" w:hAnsi="宋体"/>
          <w:color w:val="auto"/>
          <w:sz w:val="24"/>
          <w:highlight w:val="none"/>
        </w:rPr>
        <w:t>容</w:t>
      </w:r>
      <w:r>
        <w:rPr>
          <w:rFonts w:hint="eastAsia" w:ascii="宋体" w:hAnsi="宋体"/>
          <w:color w:val="auto"/>
          <w:sz w:val="24"/>
          <w:highlight w:val="none"/>
        </w:rPr>
        <w:t>，对投标人的资格进行审查。未</w:t>
      </w:r>
      <w:r>
        <w:rPr>
          <w:rFonts w:ascii="宋体" w:hAnsi="宋体"/>
          <w:color w:val="auto"/>
          <w:sz w:val="24"/>
          <w:highlight w:val="none"/>
        </w:rPr>
        <w:t>通过资格审查的投标人</w:t>
      </w:r>
      <w:r>
        <w:rPr>
          <w:rFonts w:hint="eastAsia" w:ascii="宋体" w:hAnsi="宋体"/>
          <w:color w:val="auto"/>
          <w:sz w:val="24"/>
          <w:highlight w:val="none"/>
        </w:rPr>
        <w:t>不</w:t>
      </w:r>
      <w:r>
        <w:rPr>
          <w:rFonts w:ascii="宋体" w:hAnsi="宋体"/>
          <w:color w:val="auto"/>
          <w:sz w:val="24"/>
          <w:highlight w:val="none"/>
        </w:rPr>
        <w:t>进入评标；</w:t>
      </w:r>
      <w:r>
        <w:rPr>
          <w:rFonts w:hint="eastAsia" w:ascii="宋体" w:hAnsi="宋体"/>
          <w:color w:val="auto"/>
          <w:sz w:val="24"/>
          <w:highlight w:val="none"/>
        </w:rPr>
        <w:t>通过资格审查的投标人不足3家</w:t>
      </w:r>
      <w:r>
        <w:rPr>
          <w:rFonts w:ascii="宋体" w:hAnsi="宋体"/>
          <w:color w:val="auto"/>
          <w:sz w:val="24"/>
          <w:highlight w:val="none"/>
        </w:rPr>
        <w:t>的</w:t>
      </w:r>
      <w:r>
        <w:rPr>
          <w:rFonts w:hint="eastAsia" w:ascii="宋体" w:hAnsi="宋体"/>
          <w:color w:val="auto"/>
          <w:sz w:val="24"/>
          <w:highlight w:val="none"/>
        </w:rPr>
        <w:t>，不得评标。</w:t>
      </w:r>
    </w:p>
    <w:p w14:paraId="7B0076BB">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 xml:space="preserve">19.2  </w:t>
      </w:r>
      <w:r>
        <w:rPr>
          <w:rFonts w:hint="eastAsia" w:ascii="宋体" w:hAnsi="宋体"/>
          <w:color w:val="auto"/>
          <w:sz w:val="24"/>
          <w:highlight w:val="none"/>
        </w:rPr>
        <w:t>采购人或采购代理机构将按投标人须知资料表中规定的时间查询投标人的信用记录。</w:t>
      </w:r>
      <w:r>
        <w:rPr>
          <w:rFonts w:hint="eastAsia" w:ascii="宋体" w:hAnsi="宋体"/>
          <w:b/>
          <w:color w:val="auto"/>
          <w:sz w:val="24"/>
          <w:highlight w:val="none"/>
        </w:rPr>
        <w:t>投标人存在不良信用记录的，其投标将被认定为投标无效。</w:t>
      </w:r>
    </w:p>
    <w:p w14:paraId="306292AE">
      <w:pPr>
        <w:spacing w:line="520" w:lineRule="exact"/>
        <w:ind w:firstLine="420" w:firstLineChars="175"/>
        <w:rPr>
          <w:rFonts w:ascii="宋体" w:hAnsi="宋体"/>
          <w:color w:val="auto"/>
          <w:sz w:val="24"/>
          <w:highlight w:val="none"/>
        </w:rPr>
      </w:pPr>
      <w:r>
        <w:rPr>
          <w:rFonts w:ascii="宋体" w:hAnsi="宋体"/>
          <w:color w:val="auto"/>
          <w:sz w:val="24"/>
          <w:highlight w:val="none"/>
        </w:rPr>
        <w:t>19.2</w:t>
      </w:r>
      <w:r>
        <w:rPr>
          <w:rFonts w:hint="eastAsia" w:ascii="宋体" w:hAnsi="宋体"/>
          <w:color w:val="auto"/>
          <w:sz w:val="24"/>
          <w:highlight w:val="none"/>
        </w:rPr>
        <w:t>.1</w:t>
      </w:r>
      <w:r>
        <w:rPr>
          <w:rFonts w:ascii="宋体" w:hAnsi="宋体"/>
          <w:color w:val="auto"/>
          <w:sz w:val="24"/>
          <w:highlight w:val="none"/>
        </w:rPr>
        <w:t xml:space="preserve"> </w:t>
      </w:r>
      <w:r>
        <w:rPr>
          <w:rFonts w:hint="eastAsia" w:ascii="宋体" w:hAnsi="宋体"/>
          <w:color w:val="auto"/>
          <w:sz w:val="24"/>
          <w:highlight w:val="none"/>
        </w:rPr>
        <w:t>投标人在中国政府采购网（</w:t>
      </w:r>
      <w:r>
        <w:rPr>
          <w:rFonts w:ascii="宋体" w:hAnsi="宋体"/>
          <w:color w:val="auto"/>
          <w:sz w:val="24"/>
          <w:highlight w:val="none"/>
        </w:rPr>
        <w:fldChar w:fldCharType="begin"/>
      </w:r>
      <w:r>
        <w:rPr>
          <w:rFonts w:ascii="宋体" w:hAnsi="宋体"/>
          <w:color w:val="auto"/>
          <w:sz w:val="24"/>
          <w:highlight w:val="none"/>
        </w:rPr>
        <w:instrText xml:space="preserve"> HYPERLINK "http://</w:instrText>
      </w:r>
      <w:r>
        <w:rPr>
          <w:rFonts w:hint="eastAsia" w:ascii="宋体" w:hAnsi="宋体"/>
          <w:color w:val="auto"/>
          <w:sz w:val="24"/>
          <w:highlight w:val="none"/>
        </w:rPr>
        <w:instrText xml:space="preserve">www.ccgp.gov.cn</w:instrText>
      </w:r>
      <w:r>
        <w:rPr>
          <w:rFonts w:ascii="宋体" w:hAnsi="宋体"/>
          <w:color w:val="auto"/>
          <w:sz w:val="24"/>
          <w:highlight w:val="none"/>
        </w:rPr>
        <w:instrText xml:space="preserve">" </w:instrText>
      </w:r>
      <w:r>
        <w:rPr>
          <w:rFonts w:ascii="宋体" w:hAnsi="宋体"/>
          <w:color w:val="auto"/>
          <w:sz w:val="24"/>
          <w:highlight w:val="none"/>
        </w:rPr>
        <w:fldChar w:fldCharType="separate"/>
      </w:r>
      <w:r>
        <w:rPr>
          <w:rStyle w:val="39"/>
          <w:rFonts w:hint="eastAsia" w:ascii="宋体" w:hAnsi="宋体"/>
          <w:color w:val="auto"/>
          <w:sz w:val="24"/>
          <w:highlight w:val="none"/>
        </w:rPr>
        <w:t>www.ccgp.gov.cn</w:t>
      </w:r>
      <w:r>
        <w:rPr>
          <w:rFonts w:ascii="宋体" w:hAnsi="宋体"/>
          <w:color w:val="auto"/>
          <w:sz w:val="24"/>
          <w:highlight w:val="none"/>
        </w:rPr>
        <w:fldChar w:fldCharType="end"/>
      </w:r>
      <w:r>
        <w:rPr>
          <w:rFonts w:hint="eastAsia" w:ascii="宋体" w:hAnsi="宋体"/>
          <w:color w:val="auto"/>
          <w:sz w:val="24"/>
          <w:highlight w:val="none"/>
        </w:rPr>
        <w:t>）被列入政府采购严重违法失信行为记录名单，</w:t>
      </w:r>
      <w:r>
        <w:rPr>
          <w:rFonts w:ascii="宋体" w:hAnsi="宋体"/>
          <w:color w:val="auto"/>
          <w:sz w:val="24"/>
          <w:highlight w:val="none"/>
        </w:rPr>
        <w:t>或</w:t>
      </w:r>
      <w:r>
        <w:rPr>
          <w:rFonts w:hint="eastAsia" w:ascii="宋体" w:hAnsi="宋体"/>
          <w:color w:val="auto"/>
          <w:sz w:val="24"/>
          <w:highlight w:val="none"/>
        </w:rPr>
        <w:t>在“信用中国”网站（</w:t>
      </w:r>
      <w:r>
        <w:rPr>
          <w:rFonts w:ascii="宋体" w:hAnsi="宋体"/>
          <w:color w:val="auto"/>
          <w:sz w:val="24"/>
          <w:highlight w:val="none"/>
        </w:rPr>
        <w:fldChar w:fldCharType="begin"/>
      </w:r>
      <w:r>
        <w:rPr>
          <w:rFonts w:ascii="宋体" w:hAnsi="宋体"/>
          <w:color w:val="auto"/>
          <w:sz w:val="24"/>
          <w:highlight w:val="none"/>
        </w:rPr>
        <w:instrText xml:space="preserve"> HYPERLINK "http://</w:instrText>
      </w:r>
      <w:r>
        <w:rPr>
          <w:rFonts w:hint="eastAsia" w:ascii="宋体" w:hAnsi="宋体"/>
          <w:color w:val="auto"/>
          <w:sz w:val="24"/>
          <w:highlight w:val="none"/>
        </w:rPr>
        <w:instrText xml:space="preserve">www.creditchina.gov.cn</w:instrText>
      </w:r>
      <w:r>
        <w:rPr>
          <w:rFonts w:ascii="宋体" w:hAnsi="宋体"/>
          <w:color w:val="auto"/>
          <w:sz w:val="24"/>
          <w:highlight w:val="none"/>
        </w:rPr>
        <w:instrText xml:space="preserve">" </w:instrText>
      </w:r>
      <w:r>
        <w:rPr>
          <w:rFonts w:ascii="宋体" w:hAnsi="宋体"/>
          <w:color w:val="auto"/>
          <w:sz w:val="24"/>
          <w:highlight w:val="none"/>
        </w:rPr>
        <w:fldChar w:fldCharType="separate"/>
      </w:r>
      <w:r>
        <w:rPr>
          <w:rStyle w:val="39"/>
          <w:rFonts w:hint="eastAsia" w:ascii="宋体" w:hAnsi="宋体"/>
          <w:color w:val="auto"/>
          <w:sz w:val="24"/>
          <w:highlight w:val="none"/>
        </w:rPr>
        <w:t>www.creditchina.gov.cn</w:t>
      </w:r>
      <w:r>
        <w:rPr>
          <w:rFonts w:ascii="宋体" w:hAnsi="宋体"/>
          <w:color w:val="auto"/>
          <w:sz w:val="24"/>
          <w:highlight w:val="none"/>
        </w:rPr>
        <w:fldChar w:fldCharType="end"/>
      </w:r>
      <w:r>
        <w:rPr>
          <w:rFonts w:hint="eastAsia" w:ascii="宋体" w:hAnsi="宋体"/>
          <w:color w:val="auto"/>
          <w:sz w:val="24"/>
          <w:highlight w:val="none"/>
        </w:rPr>
        <w:t>）</w:t>
      </w:r>
      <w:r>
        <w:rPr>
          <w:rFonts w:hint="eastAsia" w:ascii="宋体" w:hAnsi="宋体"/>
          <w:color w:val="auto"/>
          <w:sz w:val="24"/>
          <w:highlight w:val="none"/>
          <w:lang w:val="en-US" w:eastAsia="zh-CN"/>
        </w:rPr>
        <w:t>或</w:t>
      </w:r>
      <w:r>
        <w:rPr>
          <w:rFonts w:hint="eastAsia" w:ascii="宋体" w:hAnsi="宋体"/>
          <w:color w:val="auto"/>
          <w:sz w:val="24"/>
          <w:highlight w:val="none"/>
        </w:rPr>
        <w:t>“信用山东”网站（</w:t>
      </w:r>
      <w:r>
        <w:rPr>
          <w:rFonts w:ascii="宋体" w:hAnsi="宋体"/>
          <w:color w:val="auto"/>
          <w:sz w:val="24"/>
          <w:highlight w:val="none"/>
        </w:rPr>
        <w:fldChar w:fldCharType="begin"/>
      </w:r>
      <w:r>
        <w:rPr>
          <w:rFonts w:ascii="宋体" w:hAnsi="宋体"/>
          <w:color w:val="auto"/>
          <w:sz w:val="24"/>
          <w:highlight w:val="none"/>
        </w:rPr>
        <w:instrText xml:space="preserve"> HYPERLINK "http://</w:instrText>
      </w:r>
      <w:r>
        <w:rPr>
          <w:rFonts w:hint="eastAsia" w:ascii="宋体" w:hAnsi="宋体"/>
          <w:color w:val="auto"/>
          <w:sz w:val="24"/>
          <w:highlight w:val="none"/>
        </w:rPr>
        <w:instrText xml:space="preserve">www.creditsd.gov.cn</w:instrText>
      </w:r>
      <w:r>
        <w:rPr>
          <w:rFonts w:ascii="宋体" w:hAnsi="宋体"/>
          <w:color w:val="auto"/>
          <w:sz w:val="24"/>
          <w:highlight w:val="none"/>
        </w:rPr>
        <w:instrText xml:space="preserve">" </w:instrText>
      </w:r>
      <w:r>
        <w:rPr>
          <w:rFonts w:ascii="宋体" w:hAnsi="宋体"/>
          <w:color w:val="auto"/>
          <w:sz w:val="24"/>
          <w:highlight w:val="none"/>
        </w:rPr>
        <w:fldChar w:fldCharType="separate"/>
      </w:r>
      <w:r>
        <w:rPr>
          <w:rStyle w:val="39"/>
          <w:rFonts w:hint="eastAsia" w:ascii="宋体" w:hAnsi="宋体"/>
          <w:color w:val="auto"/>
          <w:sz w:val="24"/>
          <w:highlight w:val="none"/>
        </w:rPr>
        <w:t>www.creditsd.gov.cn</w:t>
      </w:r>
      <w:r>
        <w:rPr>
          <w:rFonts w:ascii="宋体" w:hAnsi="宋体"/>
          <w:color w:val="auto"/>
          <w:sz w:val="24"/>
          <w:highlight w:val="none"/>
        </w:rPr>
        <w:fldChar w:fldCharType="end"/>
      </w:r>
      <w:r>
        <w:rPr>
          <w:rFonts w:hint="eastAsia" w:ascii="宋体" w:hAnsi="宋体"/>
          <w:color w:val="auto"/>
          <w:sz w:val="24"/>
          <w:highlight w:val="none"/>
        </w:rPr>
        <w:t>）被列入失信被执行人、</w:t>
      </w:r>
      <w:r>
        <w:rPr>
          <w:rFonts w:hint="eastAsia" w:ascii="宋体" w:hAnsi="宋体"/>
          <w:color w:val="auto"/>
          <w:sz w:val="24"/>
          <w:highlight w:val="none"/>
          <w:lang w:eastAsia="zh-CN"/>
        </w:rPr>
        <w:t>重大税收违法失信主体</w:t>
      </w:r>
      <w:r>
        <w:rPr>
          <w:rFonts w:hint="eastAsia" w:ascii="宋体" w:hAnsi="宋体"/>
          <w:color w:val="auto"/>
          <w:sz w:val="24"/>
          <w:highlight w:val="none"/>
        </w:rPr>
        <w:t>，以及存在《中华人民共和国政府采购法实施条例》第</w:t>
      </w:r>
      <w:r>
        <w:rPr>
          <w:rFonts w:ascii="宋体" w:hAnsi="宋体"/>
          <w:color w:val="auto"/>
          <w:sz w:val="24"/>
          <w:highlight w:val="none"/>
        </w:rPr>
        <w:t>十九</w:t>
      </w:r>
      <w:r>
        <w:rPr>
          <w:rFonts w:hint="eastAsia" w:ascii="宋体" w:hAnsi="宋体"/>
          <w:color w:val="auto"/>
          <w:sz w:val="24"/>
          <w:highlight w:val="none"/>
        </w:rPr>
        <w:t>条规定的行政处罚记录。</w:t>
      </w:r>
    </w:p>
    <w:p w14:paraId="25E9036B">
      <w:pPr>
        <w:spacing w:line="520" w:lineRule="exact"/>
        <w:ind w:firstLine="420" w:firstLineChars="175"/>
        <w:jc w:val="left"/>
        <w:rPr>
          <w:rFonts w:hint="eastAsia" w:ascii="宋体" w:hAnsi="宋体"/>
          <w:color w:val="auto"/>
          <w:sz w:val="24"/>
          <w:highlight w:val="none"/>
        </w:rPr>
      </w:pPr>
      <w:r>
        <w:rPr>
          <w:rFonts w:hint="eastAsia" w:ascii="宋体" w:hAnsi="宋体"/>
          <w:color w:val="auto"/>
          <w:sz w:val="24"/>
          <w:highlight w:val="none"/>
        </w:rPr>
        <w:t>以联合体形式</w:t>
      </w:r>
      <w:r>
        <w:rPr>
          <w:rFonts w:ascii="宋体" w:hAnsi="宋体"/>
          <w:color w:val="auto"/>
          <w:sz w:val="24"/>
          <w:highlight w:val="none"/>
        </w:rPr>
        <w:t>参加</w:t>
      </w:r>
      <w:r>
        <w:rPr>
          <w:rFonts w:hint="eastAsia" w:ascii="宋体" w:hAnsi="宋体"/>
          <w:color w:val="auto"/>
          <w:sz w:val="24"/>
          <w:highlight w:val="none"/>
        </w:rPr>
        <w:t>投标的，联合体任何成员存在以上不良信用记录的，联合体投标将被认定为</w:t>
      </w:r>
      <w:r>
        <w:rPr>
          <w:rFonts w:hint="eastAsia" w:ascii="宋体" w:hAnsi="宋体"/>
          <w:b/>
          <w:bCs/>
          <w:color w:val="auto"/>
          <w:sz w:val="24"/>
          <w:highlight w:val="none"/>
        </w:rPr>
        <w:t>投标无效</w:t>
      </w:r>
      <w:r>
        <w:rPr>
          <w:rFonts w:hint="eastAsia" w:ascii="宋体" w:hAnsi="宋体"/>
          <w:color w:val="auto"/>
          <w:sz w:val="24"/>
          <w:highlight w:val="none"/>
        </w:rPr>
        <w:t>。</w:t>
      </w:r>
    </w:p>
    <w:p w14:paraId="169D0BCE">
      <w:pPr>
        <w:pStyle w:val="7"/>
        <w:spacing w:line="520" w:lineRule="exact"/>
        <w:ind w:firstLineChars="175"/>
        <w:jc w:val="both"/>
        <w:rPr>
          <w:rFonts w:hAnsi="宋体"/>
          <w:color w:val="auto"/>
          <w:highlight w:val="none"/>
        </w:rPr>
      </w:pPr>
      <w:r>
        <w:rPr>
          <w:rFonts w:hAnsi="宋体"/>
          <w:color w:val="auto"/>
          <w:highlight w:val="none"/>
        </w:rPr>
        <w:t>19.2</w:t>
      </w:r>
      <w:r>
        <w:rPr>
          <w:rFonts w:hint="eastAsia" w:hAnsi="宋体"/>
          <w:color w:val="auto"/>
          <w:highlight w:val="none"/>
        </w:rPr>
        <w:t>.2 采购人</w:t>
      </w:r>
      <w:r>
        <w:rPr>
          <w:rFonts w:hint="eastAsia" w:hAnsi="宋体"/>
          <w:b/>
          <w:bCs/>
          <w:color w:val="auto"/>
          <w:highlight w:val="none"/>
        </w:rPr>
        <w:t>或采购代理机构</w:t>
      </w:r>
      <w:r>
        <w:rPr>
          <w:rFonts w:hint="eastAsia" w:hAnsi="宋体"/>
          <w:color w:val="auto"/>
          <w:highlight w:val="none"/>
        </w:rPr>
        <w:t>将信用记录查询情况并存档备查。投标人信用记录情况以采购人</w:t>
      </w:r>
      <w:r>
        <w:rPr>
          <w:rFonts w:hint="eastAsia" w:hAnsi="宋体"/>
          <w:b/>
          <w:bCs/>
          <w:color w:val="auto"/>
          <w:highlight w:val="none"/>
        </w:rPr>
        <w:t>或采购代理机构</w:t>
      </w:r>
      <w:r>
        <w:rPr>
          <w:rFonts w:hint="eastAsia" w:hAnsi="宋体"/>
          <w:color w:val="auto"/>
          <w:highlight w:val="none"/>
        </w:rPr>
        <w:t>查询结果为准。投标人自行提供的与网站信息不一致的其他证明材料亦不作为资格审查</w:t>
      </w:r>
      <w:r>
        <w:rPr>
          <w:rFonts w:hAnsi="宋体"/>
          <w:color w:val="auto"/>
          <w:highlight w:val="none"/>
        </w:rPr>
        <w:t>的</w:t>
      </w:r>
      <w:r>
        <w:rPr>
          <w:rFonts w:hint="eastAsia" w:hAnsi="宋体"/>
          <w:color w:val="auto"/>
          <w:highlight w:val="none"/>
        </w:rPr>
        <w:t>依据。</w:t>
      </w:r>
    </w:p>
    <w:p w14:paraId="7D366188">
      <w:pPr>
        <w:pStyle w:val="7"/>
        <w:spacing w:line="520" w:lineRule="exact"/>
        <w:ind w:firstLineChars="175"/>
        <w:jc w:val="both"/>
        <w:rPr>
          <w:rFonts w:hint="eastAsia" w:hAnsi="宋体"/>
          <w:color w:val="auto"/>
          <w:highlight w:val="none"/>
        </w:rPr>
      </w:pPr>
      <w:r>
        <w:rPr>
          <w:rFonts w:hint="eastAsia" w:hAnsi="宋体"/>
          <w:color w:val="auto"/>
          <w:highlight w:val="none"/>
        </w:rPr>
        <w:t>在本</w:t>
      </w:r>
      <w:r>
        <w:rPr>
          <w:rFonts w:hAnsi="宋体"/>
          <w:color w:val="auto"/>
          <w:highlight w:val="none"/>
        </w:rPr>
        <w:t>招标文件规定</w:t>
      </w:r>
      <w:r>
        <w:rPr>
          <w:rFonts w:hint="eastAsia" w:hAnsi="宋体"/>
          <w:color w:val="auto"/>
          <w:highlight w:val="none"/>
        </w:rPr>
        <w:t>的查询时间之后，网站信息发生的任何变更均不再作为评标依据。</w:t>
      </w:r>
    </w:p>
    <w:p w14:paraId="5E039F45">
      <w:pPr>
        <w:spacing w:line="520" w:lineRule="exact"/>
        <w:ind w:firstLine="422" w:firstLineChars="175"/>
        <w:rPr>
          <w:rFonts w:ascii="宋体" w:hAnsi="宋体"/>
          <w:b/>
          <w:bCs/>
          <w:snapToGrid w:val="0"/>
          <w:color w:val="auto"/>
          <w:sz w:val="24"/>
          <w:highlight w:val="none"/>
        </w:rPr>
      </w:pPr>
      <w:r>
        <w:rPr>
          <w:rFonts w:hint="eastAsia" w:ascii="宋体" w:hAnsi="宋体"/>
          <w:b/>
          <w:bCs/>
          <w:snapToGrid w:val="0"/>
          <w:color w:val="auto"/>
          <w:sz w:val="24"/>
          <w:highlight w:val="none"/>
        </w:rPr>
        <w:t>投标人自行提供的与网站信息不一致的其他证明材料亦不作为资格审查</w:t>
      </w:r>
      <w:r>
        <w:rPr>
          <w:rFonts w:ascii="宋体" w:hAnsi="宋体"/>
          <w:b/>
          <w:bCs/>
          <w:snapToGrid w:val="0"/>
          <w:color w:val="auto"/>
          <w:sz w:val="24"/>
          <w:highlight w:val="none"/>
        </w:rPr>
        <w:t>的</w:t>
      </w:r>
      <w:r>
        <w:rPr>
          <w:rFonts w:hint="eastAsia" w:ascii="宋体" w:hAnsi="宋体"/>
          <w:b/>
          <w:bCs/>
          <w:snapToGrid w:val="0"/>
          <w:color w:val="auto"/>
          <w:sz w:val="24"/>
          <w:highlight w:val="none"/>
        </w:rPr>
        <w:t>依据。</w:t>
      </w:r>
    </w:p>
    <w:p w14:paraId="407A2FDC">
      <w:pPr>
        <w:pStyle w:val="4"/>
        <w:spacing w:before="0" w:after="0" w:line="520" w:lineRule="exact"/>
        <w:ind w:firstLine="422" w:firstLineChars="175"/>
        <w:rPr>
          <w:rFonts w:hint="eastAsia" w:hAnsi="宋体"/>
          <w:color w:val="auto"/>
          <w:highlight w:val="none"/>
        </w:rPr>
      </w:pPr>
      <w:bookmarkStart w:id="139" w:name="_Toc25258"/>
      <w:bookmarkStart w:id="140" w:name="_Toc520356166"/>
      <w:bookmarkStart w:id="141" w:name="_Toc515647781"/>
      <w:bookmarkStart w:id="142" w:name="_Toc28479"/>
      <w:bookmarkStart w:id="143" w:name="_Toc19949"/>
      <w:r>
        <w:rPr>
          <w:rFonts w:hint="eastAsia" w:hAnsi="宋体"/>
          <w:color w:val="auto"/>
          <w:highlight w:val="none"/>
        </w:rPr>
        <w:t>20.组建评标委员会</w:t>
      </w:r>
      <w:bookmarkEnd w:id="139"/>
    </w:p>
    <w:p w14:paraId="02BDAF1B">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20</w:t>
      </w:r>
      <w:r>
        <w:rPr>
          <w:rFonts w:ascii="宋体" w:hAnsi="宋体"/>
          <w:color w:val="auto"/>
          <w:sz w:val="24"/>
          <w:highlight w:val="none"/>
        </w:rPr>
        <w:t>.</w:t>
      </w:r>
      <w:r>
        <w:rPr>
          <w:rFonts w:hint="eastAsia" w:ascii="宋体" w:hAnsi="宋体"/>
          <w:color w:val="auto"/>
          <w:sz w:val="24"/>
          <w:highlight w:val="none"/>
        </w:rPr>
        <w:t>1</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按照《</w:t>
      </w:r>
      <w:r>
        <w:rPr>
          <w:rFonts w:ascii="宋体" w:hAnsi="宋体"/>
          <w:color w:val="auto"/>
          <w:sz w:val="24"/>
          <w:highlight w:val="none"/>
        </w:rPr>
        <w:t>中华人民共和国政府采购法》</w:t>
      </w:r>
      <w:r>
        <w:rPr>
          <w:rFonts w:hint="eastAsia" w:ascii="宋体" w:hAnsi="宋体"/>
          <w:color w:val="auto"/>
          <w:sz w:val="24"/>
          <w:highlight w:val="none"/>
        </w:rPr>
        <w:t>、</w:t>
      </w:r>
      <w:r>
        <w:rPr>
          <w:rFonts w:ascii="宋体" w:hAnsi="宋体"/>
          <w:color w:val="auto"/>
          <w:sz w:val="24"/>
          <w:highlight w:val="none"/>
        </w:rPr>
        <w:t>《中华人民共和国政府采购</w:t>
      </w:r>
      <w:r>
        <w:rPr>
          <w:rFonts w:hint="eastAsia" w:ascii="宋体" w:hAnsi="宋体"/>
          <w:color w:val="auto"/>
          <w:sz w:val="24"/>
          <w:highlight w:val="none"/>
        </w:rPr>
        <w:t>法</w:t>
      </w:r>
      <w:r>
        <w:rPr>
          <w:rFonts w:ascii="宋体" w:hAnsi="宋体"/>
          <w:color w:val="auto"/>
          <w:sz w:val="24"/>
          <w:highlight w:val="none"/>
        </w:rPr>
        <w:t>实施条例》</w:t>
      </w:r>
      <w:r>
        <w:rPr>
          <w:rFonts w:hint="eastAsia" w:ascii="宋体" w:hAnsi="宋体"/>
          <w:color w:val="auto"/>
          <w:sz w:val="24"/>
          <w:highlight w:val="none"/>
        </w:rPr>
        <w:t>及本项目本级</w:t>
      </w:r>
      <w:r>
        <w:rPr>
          <w:rFonts w:ascii="宋体" w:hAnsi="宋体"/>
          <w:color w:val="auto"/>
          <w:sz w:val="24"/>
          <w:highlight w:val="none"/>
        </w:rPr>
        <w:t>和上级财政部门</w:t>
      </w:r>
      <w:r>
        <w:rPr>
          <w:rFonts w:hint="eastAsia" w:ascii="宋体" w:hAnsi="宋体"/>
          <w:color w:val="auto"/>
          <w:sz w:val="24"/>
          <w:highlight w:val="none"/>
        </w:rPr>
        <w:t>的有关规定依法组建的</w:t>
      </w:r>
      <w:r>
        <w:rPr>
          <w:rFonts w:ascii="宋体" w:hAnsi="宋体"/>
          <w:color w:val="auto"/>
          <w:sz w:val="24"/>
          <w:highlight w:val="none"/>
        </w:rPr>
        <w:t>评标委员会</w:t>
      </w:r>
      <w:r>
        <w:rPr>
          <w:rFonts w:hint="eastAsia" w:ascii="宋体" w:hAnsi="宋体"/>
          <w:color w:val="auto"/>
          <w:sz w:val="24"/>
          <w:highlight w:val="none"/>
        </w:rPr>
        <w:t>，负责评标工作。</w:t>
      </w:r>
      <w:r>
        <w:rPr>
          <w:rFonts w:hint="eastAsia" w:ascii="宋体" w:hAnsi="宋体"/>
          <w:b/>
          <w:bCs/>
          <w:color w:val="auto"/>
          <w:sz w:val="24"/>
          <w:highlight w:val="none"/>
        </w:rPr>
        <w:t>评标委员会由采购人代表及有关经济、技术等方面的专家</w:t>
      </w:r>
      <w:r>
        <w:rPr>
          <w:rFonts w:hint="eastAsia" w:ascii="宋体" w:hAnsi="宋体"/>
          <w:b/>
          <w:bCs/>
          <w:color w:val="auto"/>
          <w:sz w:val="24"/>
          <w:highlight w:val="none"/>
          <w:u w:val="single"/>
        </w:rPr>
        <w:t>5</w:t>
      </w:r>
      <w:r>
        <w:rPr>
          <w:rFonts w:hint="eastAsia" w:ascii="宋体" w:hAnsi="宋体"/>
          <w:b/>
          <w:bCs/>
          <w:color w:val="auto"/>
          <w:sz w:val="24"/>
          <w:highlight w:val="none"/>
        </w:rPr>
        <w:t>人组成。</w:t>
      </w:r>
    </w:p>
    <w:p w14:paraId="446753B2">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20.2 评标委员会具有依据招标文件进行独立评标的权力，且不受外界任何因素的干扰。评标委员会成员需对评标结果独立写出评审意见，并承担责任。评委成员若拒绝在评标报告上签字且不陈述其不同意理由的，视为同意和接受。</w:t>
      </w:r>
    </w:p>
    <w:p w14:paraId="157B8969">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20.3 评标委员会的职责：</w:t>
      </w:r>
    </w:p>
    <w:p w14:paraId="4AAE270F">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（1）审查投标文件是否符合招标文件要求；</w:t>
      </w:r>
    </w:p>
    <w:p w14:paraId="7B962BC6">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（2）要求投标人对投标文件有关事项</w:t>
      </w:r>
      <w:r>
        <w:rPr>
          <w:rFonts w:hint="eastAsia" w:ascii="宋体" w:hAnsi="宋体"/>
          <w:color w:val="auto"/>
          <w:sz w:val="24"/>
          <w:highlight w:val="none"/>
          <w:lang w:eastAsia="zh-CN"/>
        </w:rPr>
        <w:t>作出解释</w:t>
      </w:r>
      <w:r>
        <w:rPr>
          <w:rFonts w:hint="eastAsia" w:ascii="宋体" w:hAnsi="宋体"/>
          <w:color w:val="auto"/>
          <w:sz w:val="24"/>
          <w:highlight w:val="none"/>
        </w:rPr>
        <w:t>或者澄清；</w:t>
      </w:r>
    </w:p>
    <w:p w14:paraId="1AAC6913">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（3）按照招标文件规定的评分标准进行评比和打分；</w:t>
      </w:r>
    </w:p>
    <w:p w14:paraId="46E49606">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（4）推荐中标候选人名单，或者受采购人委托按照事先确定的办法直接确定中标人；</w:t>
      </w:r>
    </w:p>
    <w:p w14:paraId="5C821A05">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（5）向招标单位或者有关部门报告非法干预评标工作的行为。</w:t>
      </w:r>
    </w:p>
    <w:p w14:paraId="6CDA9AF9">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20.4评标委员会的义务：</w:t>
      </w:r>
    </w:p>
    <w:p w14:paraId="740249E6">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（1）遵纪守法，客观、公正、廉洁地履行职责；</w:t>
      </w:r>
    </w:p>
    <w:p w14:paraId="1A76FE34">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（2）按照招标文件规定的评标方法和评标标准进行评标，对评标意见承担个人责任；</w:t>
      </w:r>
    </w:p>
    <w:p w14:paraId="395B1AB5">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（3）对评标过程和结果，以及投标人的商业秘密保密；</w:t>
      </w:r>
    </w:p>
    <w:p w14:paraId="75BD8DFD">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（4）参与评标报告的起草；</w:t>
      </w:r>
    </w:p>
    <w:p w14:paraId="4A481C49">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（5）配合财政部门的投诉处理工作；</w:t>
      </w:r>
    </w:p>
    <w:p w14:paraId="2BDC6327">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（6）配合招标单位答复与会投标人提出的质疑。</w:t>
      </w:r>
    </w:p>
    <w:p w14:paraId="408CE1D8">
      <w:pPr>
        <w:pStyle w:val="4"/>
        <w:spacing w:before="0" w:after="0" w:line="520" w:lineRule="exact"/>
        <w:ind w:firstLine="422" w:firstLineChars="175"/>
        <w:rPr>
          <w:rFonts w:hint="eastAsia" w:hAnsi="宋体"/>
          <w:color w:val="auto"/>
          <w:highlight w:val="none"/>
        </w:rPr>
      </w:pPr>
      <w:bookmarkStart w:id="144" w:name="_Toc31075"/>
      <w:r>
        <w:rPr>
          <w:rFonts w:hint="eastAsia" w:hAnsi="宋体"/>
          <w:color w:val="auto"/>
          <w:highlight w:val="none"/>
        </w:rPr>
        <w:t>21.投标文件</w:t>
      </w:r>
      <w:bookmarkEnd w:id="140"/>
      <w:r>
        <w:rPr>
          <w:rFonts w:hint="eastAsia" w:hAnsi="宋体"/>
          <w:color w:val="auto"/>
          <w:highlight w:val="none"/>
        </w:rPr>
        <w:t>符合性审查与澄清</w:t>
      </w:r>
      <w:bookmarkEnd w:id="141"/>
      <w:bookmarkEnd w:id="142"/>
      <w:bookmarkEnd w:id="143"/>
      <w:bookmarkEnd w:id="144"/>
    </w:p>
    <w:p w14:paraId="5145169A">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1.1</w:t>
      </w:r>
      <w:r>
        <w:rPr>
          <w:rFonts w:hint="eastAsia" w:ascii="宋体" w:hAnsi="宋体"/>
          <w:color w:val="auto"/>
          <w:sz w:val="24"/>
          <w:highlight w:val="none"/>
          <w:lang w:val="en-US" w:eastAsia="zh-CN"/>
        </w:rPr>
        <w:t xml:space="preserve"> </w:t>
      </w:r>
      <w:r>
        <w:rPr>
          <w:rFonts w:hint="eastAsia" w:ascii="宋体" w:hAnsi="宋体"/>
          <w:color w:val="auto"/>
          <w:sz w:val="24"/>
          <w:highlight w:val="none"/>
        </w:rPr>
        <w:t>符合性审查是</w:t>
      </w:r>
      <w:r>
        <w:rPr>
          <w:rFonts w:ascii="宋体" w:hAnsi="宋体"/>
          <w:color w:val="auto"/>
          <w:sz w:val="24"/>
          <w:highlight w:val="none"/>
        </w:rPr>
        <w:t>指</w:t>
      </w:r>
      <w:r>
        <w:rPr>
          <w:rFonts w:hint="eastAsia" w:ascii="宋体" w:hAnsi="宋体"/>
          <w:color w:val="auto"/>
          <w:sz w:val="24"/>
          <w:highlight w:val="none"/>
        </w:rPr>
        <w:t>依据招标文件的规定，从投标文件的有效性和完整性对招标文件的响应程度进行审查，以确定是否对招标文件的实质性要求做出响应。</w:t>
      </w:r>
      <w:bookmarkStart w:id="145" w:name="_Hlt522424701"/>
      <w:bookmarkEnd w:id="145"/>
      <w:bookmarkStart w:id="146" w:name="_Toc520356167"/>
    </w:p>
    <w:p w14:paraId="6B571CC1">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21.2</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投标文件的澄清</w:t>
      </w:r>
    </w:p>
    <w:p w14:paraId="64F03926">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21.2.1</w:t>
      </w:r>
      <w:r>
        <w:rPr>
          <w:rFonts w:hint="eastAsia" w:ascii="宋体" w:hAnsi="宋体"/>
          <w:color w:val="auto"/>
          <w:sz w:val="24"/>
          <w:highlight w:val="none"/>
          <w:lang w:val="en-US" w:eastAsia="zh-CN"/>
        </w:rPr>
        <w:t xml:space="preserve"> </w:t>
      </w:r>
      <w:r>
        <w:rPr>
          <w:rFonts w:hint="eastAsia" w:ascii="宋体" w:hAnsi="宋体"/>
          <w:color w:val="auto"/>
          <w:sz w:val="24"/>
          <w:highlight w:val="none"/>
        </w:rPr>
        <w:t>在评标期间，评标委员会将以书面方式要求投标人对其投标文件中含义不明确、对同类问题表述不一致或者有明显文字和计算错误的内容，以及评标委员会认为投标人的报价明显低于其他通过符合性检查投标人的报价，有可能影响履约的</w:t>
      </w:r>
      <w:r>
        <w:rPr>
          <w:rFonts w:ascii="宋体" w:hAnsi="宋体"/>
          <w:color w:val="auto"/>
          <w:sz w:val="24"/>
          <w:highlight w:val="none"/>
        </w:rPr>
        <w:t>情况</w:t>
      </w:r>
      <w:r>
        <w:rPr>
          <w:rFonts w:hint="eastAsia" w:ascii="宋体" w:hAnsi="宋体"/>
          <w:color w:val="auto"/>
          <w:sz w:val="24"/>
          <w:highlight w:val="none"/>
          <w:lang w:eastAsia="zh-CN"/>
        </w:rPr>
        <w:t>做必要的</w:t>
      </w:r>
      <w:r>
        <w:rPr>
          <w:rFonts w:hint="eastAsia" w:ascii="宋体" w:hAnsi="宋体"/>
          <w:color w:val="auto"/>
          <w:sz w:val="24"/>
          <w:highlight w:val="none"/>
        </w:rPr>
        <w:t>澄清、说明或补正。投标人的澄清、说明或补正应在评标委员会规定的时间内以书面方式进行，并不得超出投标文件范围或者改变投标文件的实质性内容。</w:t>
      </w:r>
    </w:p>
    <w:p w14:paraId="403174C3">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21.2.2</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投标人的澄清、说明或补正将作为投标文件的一部分。</w:t>
      </w:r>
    </w:p>
    <w:p w14:paraId="3F64B9B0">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21.2.3</w:t>
      </w:r>
      <w:r>
        <w:rPr>
          <w:rFonts w:hint="eastAsia" w:ascii="宋体" w:hAnsi="宋体"/>
          <w:color w:val="auto"/>
          <w:sz w:val="24"/>
          <w:highlight w:val="none"/>
          <w:lang w:val="en-US" w:eastAsia="zh-CN"/>
        </w:rPr>
        <w:t xml:space="preserve"> </w:t>
      </w:r>
      <w:r>
        <w:rPr>
          <w:rFonts w:hint="eastAsia" w:ascii="宋体" w:hAnsi="宋体"/>
          <w:color w:val="auto"/>
          <w:sz w:val="24"/>
          <w:highlight w:val="none"/>
        </w:rPr>
        <w:t>任何澄清和必要的解释说明的书面答复均需投标人的法定代表人或其授权的代理人授权代表签名，否则，其投标文件将会被拒绝。</w:t>
      </w:r>
    </w:p>
    <w:p w14:paraId="4E51BE45">
      <w:pPr>
        <w:spacing w:line="520" w:lineRule="exact"/>
        <w:ind w:firstLine="422" w:firstLineChars="175"/>
        <w:rPr>
          <w:rFonts w:ascii="宋体" w:hAnsi="宋体" w:cs="Arial"/>
          <w:b/>
          <w:color w:val="auto"/>
          <w:sz w:val="24"/>
          <w:highlight w:val="none"/>
          <w:lang w:val="en-GB"/>
        </w:rPr>
      </w:pPr>
      <w:r>
        <w:rPr>
          <w:rFonts w:hint="eastAsia" w:ascii="宋体" w:hAnsi="宋体" w:cs="Arial"/>
          <w:b/>
          <w:color w:val="auto"/>
          <w:sz w:val="24"/>
          <w:highlight w:val="none"/>
          <w:lang w:val="en-GB"/>
        </w:rPr>
        <w:t>21.2.4</w:t>
      </w:r>
      <w:r>
        <w:rPr>
          <w:rFonts w:hint="eastAsia" w:ascii="宋体" w:hAnsi="宋体" w:cs="Arial"/>
          <w:b/>
          <w:color w:val="auto"/>
          <w:sz w:val="24"/>
          <w:highlight w:val="none"/>
          <w:lang w:val="en-US" w:eastAsia="zh-CN"/>
        </w:rPr>
        <w:t xml:space="preserve">  </w:t>
      </w:r>
      <w:r>
        <w:rPr>
          <w:rFonts w:hint="eastAsia" w:ascii="宋体" w:hAnsi="宋体" w:cs="Arial"/>
          <w:b/>
          <w:color w:val="auto"/>
          <w:sz w:val="24"/>
          <w:highlight w:val="none"/>
          <w:lang w:val="en-GB"/>
        </w:rPr>
        <w:t>若投标文件中对同一投标</w:t>
      </w:r>
      <w:r>
        <w:rPr>
          <w:rFonts w:hint="eastAsia" w:ascii="宋体" w:hAnsi="宋体" w:cs="Arial"/>
          <w:b/>
          <w:color w:val="auto"/>
          <w:sz w:val="24"/>
          <w:highlight w:val="none"/>
          <w:lang w:val="en-US" w:eastAsia="zh-CN"/>
        </w:rPr>
        <w:t>响应</w:t>
      </w:r>
      <w:r>
        <w:rPr>
          <w:rFonts w:hint="eastAsia" w:ascii="宋体" w:hAnsi="宋体" w:cs="Arial"/>
          <w:b/>
          <w:color w:val="auto"/>
          <w:sz w:val="24"/>
          <w:highlight w:val="none"/>
          <w:lang w:val="en-GB"/>
        </w:rPr>
        <w:t>的描述前后不一致且对不一致内容无书面解释或提供官方证明材料的，评标委员会没有义务要求投标人澄清，在评分过程中不排除以响应性较差的内容作为标准来确定投标文件的响应及投标货物的性能情况。</w:t>
      </w:r>
    </w:p>
    <w:p w14:paraId="57F644F2">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21.3</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投标文件报价出现前后不一致的，按照下列规定修正：</w:t>
      </w:r>
    </w:p>
    <w:p w14:paraId="648D4CE6">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（1）投标文件中开标一览表内容与投标文件中相应内容不一致的，以开标一览表为准；</w:t>
      </w:r>
    </w:p>
    <w:p w14:paraId="3AA3A84E">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（2）大写金额和小写金额不一致的，以大写金额为准；</w:t>
      </w:r>
    </w:p>
    <w:p w14:paraId="25BD6E34">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（3）单价金额小数点或者百分比有明显错位的，以开标一览表的总价为准，并修改单价；</w:t>
      </w:r>
    </w:p>
    <w:p w14:paraId="62EE90D2">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（4）总价金额与按单价汇总金额不一致的，以单价金额计算结果为准。</w:t>
      </w:r>
    </w:p>
    <w:p w14:paraId="30AAC573">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同时出现两种以上不一致的，按照前款规定的顺序进行修正。修正后的报价按照第21</w:t>
      </w:r>
      <w:r>
        <w:rPr>
          <w:rFonts w:ascii="宋体" w:hAnsi="宋体"/>
          <w:color w:val="auto"/>
          <w:sz w:val="24"/>
          <w:highlight w:val="none"/>
        </w:rPr>
        <w:t>.2</w:t>
      </w:r>
      <w:r>
        <w:rPr>
          <w:rFonts w:hint="eastAsia" w:ascii="宋体" w:hAnsi="宋体"/>
          <w:color w:val="auto"/>
          <w:sz w:val="24"/>
          <w:highlight w:val="none"/>
        </w:rPr>
        <w:t>条的规定经投标人确认后产生约束力，投标人不确认的，其投标将被认定为</w:t>
      </w:r>
      <w:r>
        <w:rPr>
          <w:rFonts w:hint="eastAsia" w:ascii="宋体" w:hAnsi="宋体"/>
          <w:bCs/>
          <w:color w:val="auto"/>
          <w:sz w:val="24"/>
          <w:highlight w:val="none"/>
        </w:rPr>
        <w:t>投标无效</w:t>
      </w:r>
      <w:r>
        <w:rPr>
          <w:rFonts w:hint="eastAsia" w:ascii="宋体" w:hAnsi="宋体"/>
          <w:color w:val="auto"/>
          <w:sz w:val="24"/>
          <w:highlight w:val="none"/>
        </w:rPr>
        <w:t>。</w:t>
      </w:r>
    </w:p>
    <w:p w14:paraId="25CC779B">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对不同文字文本投标文件的解释发生异议的，以中文文本为准。</w:t>
      </w:r>
    </w:p>
    <w:p w14:paraId="2A9593CE">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21.</w:t>
      </w:r>
      <w:r>
        <w:rPr>
          <w:rFonts w:ascii="宋体" w:hAnsi="宋体"/>
          <w:color w:val="auto"/>
          <w:sz w:val="24"/>
          <w:highlight w:val="none"/>
        </w:rPr>
        <w:t>4</w:t>
      </w:r>
      <w:r>
        <w:rPr>
          <w:rFonts w:hint="eastAsia" w:ascii="宋体" w:hAnsi="宋体"/>
          <w:color w:val="auto"/>
          <w:sz w:val="24"/>
          <w:highlight w:val="none"/>
        </w:rPr>
        <w:t xml:space="preserve">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如一个分包内只有一种产品，不同</w:t>
      </w:r>
      <w:r>
        <w:rPr>
          <w:rFonts w:ascii="宋体" w:hAnsi="宋体"/>
          <w:color w:val="auto"/>
          <w:sz w:val="24"/>
          <w:highlight w:val="none"/>
        </w:rPr>
        <w:t>投标人所投产品为</w:t>
      </w:r>
      <w:r>
        <w:rPr>
          <w:rFonts w:hint="eastAsia" w:ascii="宋体" w:hAnsi="宋体"/>
          <w:color w:val="auto"/>
          <w:sz w:val="24"/>
          <w:highlight w:val="none"/>
        </w:rPr>
        <w:t>同一品牌的</w:t>
      </w:r>
      <w:r>
        <w:rPr>
          <w:rFonts w:ascii="宋体" w:hAnsi="宋体"/>
          <w:color w:val="auto"/>
          <w:sz w:val="24"/>
          <w:highlight w:val="none"/>
        </w:rPr>
        <w:t>，</w:t>
      </w:r>
      <w:r>
        <w:rPr>
          <w:rFonts w:hint="eastAsia" w:ascii="宋体" w:hAnsi="宋体"/>
          <w:color w:val="auto"/>
          <w:sz w:val="24"/>
          <w:highlight w:val="none"/>
        </w:rPr>
        <w:t>按</w:t>
      </w:r>
      <w:r>
        <w:rPr>
          <w:rFonts w:ascii="宋体" w:hAnsi="宋体"/>
          <w:color w:val="auto"/>
          <w:sz w:val="24"/>
          <w:highlight w:val="none"/>
        </w:rPr>
        <w:t>如下方式处理：</w:t>
      </w:r>
    </w:p>
    <w:p w14:paraId="7E6FF372">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1</w:t>
      </w:r>
      <w:r>
        <w:rPr>
          <w:rFonts w:ascii="宋体" w:hAnsi="宋体"/>
          <w:color w:val="auto"/>
          <w:sz w:val="24"/>
          <w:highlight w:val="none"/>
        </w:rPr>
        <w:t>.4.1</w:t>
      </w:r>
      <w:r>
        <w:rPr>
          <w:rFonts w:hint="eastAsia" w:ascii="宋体" w:hAnsi="宋体"/>
          <w:color w:val="auto"/>
          <w:sz w:val="24"/>
          <w:highlight w:val="none"/>
          <w:lang w:val="en-US" w:eastAsia="zh-CN"/>
        </w:rPr>
        <w:t xml:space="preserve">  </w:t>
      </w:r>
      <w:r>
        <w:rPr>
          <w:rFonts w:hint="eastAsia" w:ascii="宋体" w:hAnsi="宋体"/>
          <w:b/>
          <w:color w:val="auto"/>
          <w:sz w:val="24"/>
          <w:highlight w:val="none"/>
        </w:rPr>
        <w:t>使用综合评分法</w:t>
      </w:r>
      <w:r>
        <w:rPr>
          <w:rFonts w:hint="eastAsia" w:ascii="宋体" w:hAnsi="宋体"/>
          <w:color w:val="auto"/>
          <w:sz w:val="24"/>
          <w:highlight w:val="none"/>
        </w:rPr>
        <w:t>，</w:t>
      </w:r>
      <w:r>
        <w:rPr>
          <w:rFonts w:ascii="宋体" w:hAnsi="宋体" w:cs="Helvetica"/>
          <w:color w:val="auto"/>
          <w:sz w:val="24"/>
          <w:highlight w:val="none"/>
        </w:rPr>
        <w:t>提供相同品牌产品且通过资格审查、符合性审查的不同投标人参加同一合同项下投标的，按一家投标人计算，评审后得分最高的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14:paraId="704D388A">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21.</w:t>
      </w:r>
      <w:r>
        <w:rPr>
          <w:rFonts w:ascii="宋体" w:hAnsi="宋体"/>
          <w:color w:val="auto"/>
          <w:sz w:val="24"/>
          <w:highlight w:val="none"/>
        </w:rPr>
        <w:t>5</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投标人所投产品如被列入财政部与国家主管部门颁发的节能产品目录或环境标志产品目录，应提供符合要求的产品认证证书，在评标时予以优先采购，具体优先采购办法见第5章评标方法和标准。</w:t>
      </w:r>
    </w:p>
    <w:p w14:paraId="34E93DCC">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如采购人所采购产品为政府强制采购的节能产品，投标人应提供符合要求的产品认证证书，否则其投标将被认定为</w:t>
      </w:r>
      <w:r>
        <w:rPr>
          <w:rFonts w:hint="eastAsia" w:ascii="宋体" w:hAnsi="宋体"/>
          <w:bCs/>
          <w:color w:val="auto"/>
          <w:sz w:val="24"/>
          <w:highlight w:val="none"/>
        </w:rPr>
        <w:t>投标无效</w:t>
      </w:r>
      <w:r>
        <w:rPr>
          <w:rFonts w:hint="eastAsia" w:ascii="宋体" w:hAnsi="宋体"/>
          <w:color w:val="auto"/>
          <w:sz w:val="24"/>
          <w:highlight w:val="none"/>
        </w:rPr>
        <w:t>。</w:t>
      </w:r>
    </w:p>
    <w:p w14:paraId="5BC237B0">
      <w:pPr>
        <w:pStyle w:val="4"/>
        <w:spacing w:before="0" w:after="0" w:line="520" w:lineRule="exact"/>
        <w:rPr>
          <w:rFonts w:hint="eastAsia" w:hAnsi="宋体"/>
          <w:color w:val="auto"/>
          <w:highlight w:val="none"/>
        </w:rPr>
      </w:pPr>
      <w:bookmarkStart w:id="147" w:name="_Toc10059"/>
      <w:bookmarkStart w:id="148" w:name="_Toc9469"/>
      <w:bookmarkStart w:id="149" w:name="_Toc515647782"/>
      <w:bookmarkStart w:id="150" w:name="_Toc6364"/>
      <w:r>
        <w:rPr>
          <w:rFonts w:hint="eastAsia" w:hAnsi="宋体"/>
          <w:color w:val="auto"/>
          <w:highlight w:val="none"/>
        </w:rPr>
        <w:t>22.投标偏离</w:t>
      </w:r>
      <w:bookmarkEnd w:id="147"/>
      <w:bookmarkEnd w:id="148"/>
      <w:bookmarkEnd w:id="149"/>
      <w:bookmarkEnd w:id="150"/>
    </w:p>
    <w:p w14:paraId="1070A57D">
      <w:pPr>
        <w:spacing w:line="520" w:lineRule="exact"/>
        <w:ind w:left="848" w:leftChars="99" w:hanging="640" w:hangingChars="267"/>
        <w:rPr>
          <w:rFonts w:ascii="宋体" w:hAnsi="宋体"/>
          <w:color w:val="auto"/>
          <w:sz w:val="24"/>
          <w:highlight w:val="none"/>
        </w:rPr>
      </w:pPr>
      <w:r>
        <w:rPr>
          <w:rFonts w:hint="eastAsia" w:ascii="宋体" w:hAnsi="宋体"/>
          <w:color w:val="auto"/>
          <w:sz w:val="24"/>
          <w:highlight w:val="none"/>
        </w:rPr>
        <w:t>评标委员会可以接受投标文件中不构成实质性偏离的不正规或不一致。</w:t>
      </w:r>
    </w:p>
    <w:p w14:paraId="28749EDB">
      <w:pPr>
        <w:pStyle w:val="4"/>
        <w:spacing w:before="0" w:after="0" w:line="520" w:lineRule="exact"/>
        <w:rPr>
          <w:rFonts w:hint="eastAsia" w:hAnsi="宋体"/>
          <w:color w:val="auto"/>
          <w:highlight w:val="none"/>
        </w:rPr>
      </w:pPr>
      <w:bookmarkStart w:id="151" w:name="_Toc515647783"/>
      <w:bookmarkStart w:id="152" w:name="_Toc3919"/>
      <w:bookmarkStart w:id="153" w:name="_Toc6092"/>
      <w:bookmarkStart w:id="154" w:name="_Toc4950"/>
      <w:r>
        <w:rPr>
          <w:rFonts w:hint="eastAsia" w:hAnsi="宋体"/>
          <w:color w:val="auto"/>
          <w:highlight w:val="none"/>
        </w:rPr>
        <w:t>23.投标</w:t>
      </w:r>
      <w:bookmarkEnd w:id="151"/>
      <w:r>
        <w:rPr>
          <w:rFonts w:hint="eastAsia" w:hAnsi="宋体"/>
          <w:color w:val="auto"/>
          <w:highlight w:val="none"/>
        </w:rPr>
        <w:t>无效</w:t>
      </w:r>
      <w:bookmarkEnd w:id="152"/>
      <w:bookmarkEnd w:id="153"/>
      <w:bookmarkEnd w:id="154"/>
    </w:p>
    <w:p w14:paraId="09BD7425">
      <w:pPr>
        <w:spacing w:line="520" w:lineRule="exact"/>
        <w:ind w:left="13" w:leftChars="6" w:firstLine="405" w:firstLineChars="169"/>
        <w:rPr>
          <w:rFonts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3.</w:t>
      </w:r>
      <w:r>
        <w:rPr>
          <w:rFonts w:ascii="宋体" w:hAnsi="宋体"/>
          <w:color w:val="auto"/>
          <w:sz w:val="24"/>
          <w:highlight w:val="none"/>
        </w:rPr>
        <w:t>1</w:t>
      </w:r>
      <w:r>
        <w:rPr>
          <w:rFonts w:hint="eastAsia" w:ascii="宋体" w:hAnsi="宋体"/>
          <w:color w:val="auto"/>
          <w:sz w:val="24"/>
          <w:highlight w:val="none"/>
          <w:lang w:val="en-US" w:eastAsia="zh-CN"/>
        </w:rPr>
        <w:t xml:space="preserve"> </w:t>
      </w:r>
      <w:r>
        <w:rPr>
          <w:rFonts w:hint="eastAsia" w:ascii="宋体" w:hAnsi="宋体"/>
          <w:color w:val="auto"/>
          <w:sz w:val="24"/>
          <w:highlight w:val="none"/>
        </w:rPr>
        <w:t>在比较与评价之前，根据本须知的规定，评标委员会要审查每份投标文件是否实质上响应了招标文件的要求。投标人不得通过修正或撤销不符合要求的偏离从而使其投标成为实质上响应的投标。</w:t>
      </w:r>
    </w:p>
    <w:p w14:paraId="6C5D6FCE">
      <w:pPr>
        <w:pStyle w:val="9"/>
        <w:spacing w:line="520" w:lineRule="exact"/>
        <w:ind w:left="13" w:leftChars="6" w:firstLine="405" w:firstLineChars="169"/>
        <w:rPr>
          <w:rFonts w:hint="eastAsia"/>
          <w:color w:val="auto"/>
          <w:szCs w:val="21"/>
          <w:highlight w:val="none"/>
        </w:rPr>
      </w:pPr>
      <w:r>
        <w:rPr>
          <w:rFonts w:hint="eastAsia"/>
          <w:color w:val="auto"/>
          <w:highlight w:val="none"/>
        </w:rPr>
        <w:t>评标委员会决定投标的响应性只根据招标</w:t>
      </w:r>
      <w:r>
        <w:rPr>
          <w:color w:val="auto"/>
          <w:highlight w:val="none"/>
        </w:rPr>
        <w:t>文件要求</w:t>
      </w:r>
      <w:r>
        <w:rPr>
          <w:rFonts w:hint="eastAsia"/>
          <w:color w:val="auto"/>
          <w:highlight w:val="none"/>
        </w:rPr>
        <w:t>、投标文件内容</w:t>
      </w:r>
      <w:r>
        <w:rPr>
          <w:color w:val="auto"/>
          <w:highlight w:val="none"/>
        </w:rPr>
        <w:t>。</w:t>
      </w:r>
    </w:p>
    <w:p w14:paraId="13E35985">
      <w:pPr>
        <w:spacing w:line="520" w:lineRule="exact"/>
        <w:ind w:left="13" w:leftChars="6" w:firstLine="405" w:firstLineChars="169"/>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3.</w:t>
      </w:r>
      <w:r>
        <w:rPr>
          <w:rFonts w:ascii="宋体" w:hAnsi="宋体"/>
          <w:color w:val="auto"/>
          <w:sz w:val="24"/>
          <w:highlight w:val="none"/>
        </w:rPr>
        <w:t>2</w:t>
      </w:r>
      <w:r>
        <w:rPr>
          <w:rFonts w:hint="eastAsia" w:ascii="宋体" w:hAnsi="宋体"/>
          <w:color w:val="auto"/>
          <w:sz w:val="24"/>
          <w:highlight w:val="none"/>
          <w:lang w:val="en-US" w:eastAsia="zh-CN"/>
        </w:rPr>
        <w:t xml:space="preserve"> </w:t>
      </w:r>
      <w:r>
        <w:rPr>
          <w:rFonts w:hint="eastAsia" w:ascii="宋体" w:hAnsi="宋体"/>
          <w:color w:val="auto"/>
          <w:sz w:val="24"/>
          <w:highlight w:val="none"/>
        </w:rPr>
        <w:t>如发现下列情况之一的，其投标将被认定为</w:t>
      </w:r>
      <w:r>
        <w:rPr>
          <w:rFonts w:hint="eastAsia" w:ascii="宋体" w:hAnsi="宋体"/>
          <w:bCs/>
          <w:color w:val="auto"/>
          <w:sz w:val="24"/>
          <w:highlight w:val="none"/>
        </w:rPr>
        <w:t>投标无效</w:t>
      </w:r>
      <w:r>
        <w:rPr>
          <w:rFonts w:hint="eastAsia" w:ascii="宋体" w:hAnsi="宋体"/>
          <w:color w:val="auto"/>
          <w:sz w:val="24"/>
          <w:highlight w:val="none"/>
        </w:rPr>
        <w:t>：</w:t>
      </w:r>
    </w:p>
    <w:p w14:paraId="21B14C2B">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1）投标文件未经法定代表人签署且未提供有效的法定代表人授权委托书的；</w:t>
      </w:r>
    </w:p>
    <w:p w14:paraId="15EFBBCA">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2）未按招标文件规定要求签署、盖章；</w:t>
      </w:r>
    </w:p>
    <w:p w14:paraId="6AE49B51">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3）未按规定缴纳投标保证金的；</w:t>
      </w:r>
    </w:p>
    <w:p w14:paraId="1CAD8F83">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4）不符合招标文件中任一条实质性要求的；</w:t>
      </w:r>
    </w:p>
    <w:p w14:paraId="5BBF2D06">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5）投标文件内容不全或未按规定填写或字迹模糊、辨认不清或涂改未加盖公章确认也未经法定代表人或其委托代理人签字确认的；</w:t>
      </w:r>
    </w:p>
    <w:p w14:paraId="3B965883">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6）不按照招标文件规定报价、没有分项报价或明细报价、拒绝报价、有多个报价（招标文件另有规定的除外）、有选择性报价、附有条件的报价或者拒绝修正报价的；</w:t>
      </w:r>
    </w:p>
    <w:p w14:paraId="585F8844">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7）评标委员会认为</w:t>
      </w:r>
      <w:r>
        <w:rPr>
          <w:rFonts w:hint="eastAsia" w:ascii="宋体" w:hAnsi="宋体" w:cs="Times New Roman"/>
          <w:color w:val="auto"/>
          <w:sz w:val="24"/>
          <w:highlight w:val="none"/>
          <w:lang w:eastAsia="zh-CN"/>
        </w:rPr>
        <w:t>投标人</w:t>
      </w:r>
      <w:r>
        <w:rPr>
          <w:rFonts w:hint="eastAsia" w:ascii="宋体" w:hAnsi="宋体" w:cs="Times New Roman"/>
          <w:color w:val="auto"/>
          <w:sz w:val="24"/>
          <w:highlight w:val="none"/>
        </w:rPr>
        <w:t>的报价明显低于其他通过符合性审查</w:t>
      </w:r>
      <w:r>
        <w:rPr>
          <w:rFonts w:hint="eastAsia" w:ascii="宋体" w:hAnsi="宋体" w:cs="Times New Roman"/>
          <w:color w:val="auto"/>
          <w:sz w:val="24"/>
          <w:highlight w:val="none"/>
          <w:lang w:eastAsia="zh-CN"/>
        </w:rPr>
        <w:t>投标人</w:t>
      </w:r>
      <w:r>
        <w:rPr>
          <w:rFonts w:hint="eastAsia" w:ascii="宋体" w:hAnsi="宋体" w:cs="Times New Roman"/>
          <w:color w:val="auto"/>
          <w:sz w:val="24"/>
          <w:highlight w:val="none"/>
        </w:rPr>
        <w:t>的报价，有可能影响服务质量或者不能诚信履约的，要求</w:t>
      </w:r>
      <w:r>
        <w:rPr>
          <w:rFonts w:hint="eastAsia" w:ascii="宋体" w:hAnsi="宋体" w:cs="Times New Roman"/>
          <w:color w:val="auto"/>
          <w:sz w:val="24"/>
          <w:highlight w:val="none"/>
          <w:lang w:eastAsia="zh-CN"/>
        </w:rPr>
        <w:t>投标人</w:t>
      </w:r>
      <w:r>
        <w:rPr>
          <w:rFonts w:hint="eastAsia" w:ascii="宋体" w:hAnsi="宋体" w:cs="Times New Roman"/>
          <w:color w:val="auto"/>
          <w:sz w:val="24"/>
          <w:highlight w:val="none"/>
        </w:rPr>
        <w:t>在评审现场合理的时间内提供书面说明，但该</w:t>
      </w:r>
      <w:r>
        <w:rPr>
          <w:rFonts w:hint="eastAsia" w:ascii="宋体" w:hAnsi="宋体" w:cs="Times New Roman"/>
          <w:color w:val="auto"/>
          <w:sz w:val="24"/>
          <w:highlight w:val="none"/>
          <w:lang w:eastAsia="zh-CN"/>
        </w:rPr>
        <w:t>投标人</w:t>
      </w:r>
      <w:r>
        <w:rPr>
          <w:rFonts w:hint="eastAsia" w:ascii="宋体" w:hAnsi="宋体" w:cs="Times New Roman"/>
          <w:color w:val="auto"/>
          <w:sz w:val="24"/>
          <w:highlight w:val="none"/>
        </w:rPr>
        <w:t>未提交相关证明材料以证明其报价合理性的；</w:t>
      </w:r>
    </w:p>
    <w:p w14:paraId="4A46789D">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8）投标报价超过采购预算或最高限价的；</w:t>
      </w:r>
    </w:p>
    <w:p w14:paraId="667DB8C3">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9）应响应政府强制采购节能产品政策的；</w:t>
      </w:r>
    </w:p>
    <w:p w14:paraId="7CC50F35">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10）投标有效期不满足招标文件要求的；</w:t>
      </w:r>
    </w:p>
    <w:p w14:paraId="7CD70B60">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11）投标文件含有采购人不能接受的附加条件的;</w:t>
      </w:r>
    </w:p>
    <w:p w14:paraId="64245B58">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12）以他人名义投标或者在投标文件中提供虚假材料的；</w:t>
      </w:r>
    </w:p>
    <w:p w14:paraId="7757943C">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 xml:space="preserve">13）联合体投标文件未附联合体投标协议书的； </w:t>
      </w:r>
    </w:p>
    <w:p w14:paraId="32ED9994">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14）与他人串通投标，或者与采购人或采购代理机构串通投标的；</w:t>
      </w:r>
    </w:p>
    <w:p w14:paraId="73DEDD50">
      <w:pPr>
        <w:spacing w:line="520" w:lineRule="exact"/>
        <w:ind w:firstLine="420" w:firstLineChars="175"/>
        <w:rPr>
          <w:rFonts w:hint="eastAsia" w:ascii="宋体" w:hAnsi="宋体" w:cs="Times New Roman"/>
          <w:color w:val="auto"/>
          <w:sz w:val="24"/>
          <w:highlight w:val="none"/>
        </w:rPr>
      </w:pPr>
      <w:r>
        <w:rPr>
          <w:rFonts w:hint="eastAsia" w:ascii="宋体" w:hAnsi="宋体" w:cs="Times New Roman"/>
          <w:color w:val="auto"/>
          <w:sz w:val="24"/>
          <w:highlight w:val="none"/>
        </w:rPr>
        <w:t>15）法律法规和招标文件规定的其他情形。</w:t>
      </w:r>
    </w:p>
    <w:p w14:paraId="4C2671A0">
      <w:pPr>
        <w:pStyle w:val="4"/>
        <w:spacing w:before="0" w:after="0" w:line="520" w:lineRule="exact"/>
        <w:rPr>
          <w:rFonts w:hint="eastAsia" w:hAnsi="宋体"/>
          <w:color w:val="auto"/>
          <w:highlight w:val="none"/>
        </w:rPr>
      </w:pPr>
      <w:bookmarkStart w:id="155" w:name="_Toc13652"/>
      <w:bookmarkStart w:id="156" w:name="_Toc22941"/>
      <w:bookmarkStart w:id="157" w:name="_Toc515647784"/>
      <w:bookmarkStart w:id="158" w:name="_Toc27196"/>
      <w:r>
        <w:rPr>
          <w:rFonts w:hAnsi="宋体"/>
          <w:color w:val="auto"/>
          <w:highlight w:val="none"/>
        </w:rPr>
        <w:t>2</w:t>
      </w:r>
      <w:r>
        <w:rPr>
          <w:rFonts w:hint="eastAsia" w:hAnsi="宋体"/>
          <w:color w:val="auto"/>
          <w:highlight w:val="none"/>
        </w:rPr>
        <w:t>4.</w:t>
      </w:r>
      <w:bookmarkEnd w:id="146"/>
      <w:bookmarkEnd w:id="155"/>
      <w:bookmarkEnd w:id="156"/>
      <w:bookmarkEnd w:id="157"/>
      <w:r>
        <w:rPr>
          <w:rFonts w:hint="eastAsia" w:hAnsi="宋体"/>
          <w:color w:val="auto"/>
          <w:highlight w:val="none"/>
        </w:rPr>
        <w:t>比较和评价</w:t>
      </w:r>
      <w:bookmarkEnd w:id="158"/>
    </w:p>
    <w:p w14:paraId="3E26BD39">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4.1经符合性审查合格的投标文件，评标委员会将根据招标文件确定的评标方法和标准，对其技术部分和商务部分作进一步的比较和评价。</w:t>
      </w:r>
    </w:p>
    <w:p w14:paraId="5750E407">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4.2 评标严格按照招标文件的要求和条件进行。详细评标标准见招标文件第5章。</w:t>
      </w:r>
    </w:p>
    <w:p w14:paraId="794862A9">
      <w:pPr>
        <w:pStyle w:val="14"/>
        <w:spacing w:line="520" w:lineRule="exact"/>
        <w:ind w:firstLine="420" w:firstLineChars="175"/>
        <w:rPr>
          <w:rFonts w:hint="eastAsia" w:hAnsi="宋体"/>
          <w:color w:val="auto"/>
          <w:sz w:val="24"/>
          <w:szCs w:val="24"/>
          <w:highlight w:val="none"/>
        </w:rPr>
      </w:pPr>
      <w:r>
        <w:rPr>
          <w:rFonts w:hint="eastAsia" w:hAnsi="宋体"/>
          <w:color w:val="auto"/>
          <w:sz w:val="24"/>
          <w:highlight w:val="none"/>
        </w:rPr>
        <w:t xml:space="preserve"> </w:t>
      </w:r>
      <w:r>
        <w:rPr>
          <w:rFonts w:hint="eastAsia" w:hAnsi="宋体"/>
          <w:color w:val="auto"/>
          <w:sz w:val="24"/>
          <w:szCs w:val="24"/>
          <w:highlight w:val="none"/>
        </w:rPr>
        <w:t>综合评分法，是</w:t>
      </w:r>
      <w:r>
        <w:rPr>
          <w:rFonts w:hAnsi="宋体"/>
          <w:color w:val="auto"/>
          <w:sz w:val="24"/>
          <w:szCs w:val="24"/>
          <w:highlight w:val="none"/>
        </w:rPr>
        <w:t>指投标文件满足招标</w:t>
      </w:r>
      <w:r>
        <w:rPr>
          <w:rFonts w:hint="eastAsia" w:hAnsi="宋体"/>
          <w:color w:val="auto"/>
          <w:sz w:val="24"/>
          <w:szCs w:val="24"/>
          <w:highlight w:val="none"/>
        </w:rPr>
        <w:t>文件</w:t>
      </w:r>
      <w:r>
        <w:rPr>
          <w:rFonts w:hAnsi="宋体"/>
          <w:color w:val="auto"/>
          <w:sz w:val="24"/>
          <w:szCs w:val="24"/>
          <w:highlight w:val="none"/>
        </w:rPr>
        <w:t>全部要求</w:t>
      </w:r>
      <w:r>
        <w:rPr>
          <w:rFonts w:hint="eastAsia" w:hAnsi="宋体"/>
          <w:color w:val="auto"/>
          <w:sz w:val="24"/>
          <w:szCs w:val="24"/>
          <w:highlight w:val="none"/>
        </w:rPr>
        <w:t>，</w:t>
      </w:r>
      <w:r>
        <w:rPr>
          <w:rFonts w:hAnsi="宋体"/>
          <w:color w:val="auto"/>
          <w:sz w:val="24"/>
          <w:szCs w:val="24"/>
          <w:highlight w:val="none"/>
        </w:rPr>
        <w:t>且按照评审因素的</w:t>
      </w:r>
      <w:r>
        <w:rPr>
          <w:rFonts w:hint="eastAsia" w:hAnsi="宋体"/>
          <w:color w:val="auto"/>
          <w:sz w:val="24"/>
          <w:szCs w:val="24"/>
          <w:highlight w:val="none"/>
        </w:rPr>
        <w:t>量化</w:t>
      </w:r>
      <w:r>
        <w:rPr>
          <w:rFonts w:hAnsi="宋体"/>
          <w:color w:val="auto"/>
          <w:sz w:val="24"/>
          <w:szCs w:val="24"/>
          <w:highlight w:val="none"/>
        </w:rPr>
        <w:t>指标评审得分最高的</w:t>
      </w:r>
      <w:r>
        <w:rPr>
          <w:rFonts w:hint="eastAsia" w:hAnsi="宋体"/>
          <w:color w:val="auto"/>
          <w:sz w:val="24"/>
          <w:szCs w:val="24"/>
          <w:highlight w:val="none"/>
        </w:rPr>
        <w:t>投标人</w:t>
      </w:r>
      <w:r>
        <w:rPr>
          <w:rFonts w:hAnsi="宋体"/>
          <w:color w:val="auto"/>
          <w:sz w:val="24"/>
          <w:szCs w:val="24"/>
          <w:highlight w:val="none"/>
        </w:rPr>
        <w:t>为中标候选人的评标方法。</w:t>
      </w:r>
    </w:p>
    <w:p w14:paraId="785812D1">
      <w:pPr>
        <w:spacing w:line="520" w:lineRule="exact"/>
        <w:ind w:firstLine="420" w:firstLineChars="175"/>
        <w:rPr>
          <w:rFonts w:hint="eastAsia" w:ascii="宋体" w:hAnsi="宋体"/>
          <w:color w:val="auto"/>
          <w:sz w:val="24"/>
          <w:highlight w:val="none"/>
        </w:rPr>
      </w:pPr>
      <w:r>
        <w:rPr>
          <w:rFonts w:hint="eastAsia" w:ascii="宋体" w:hAnsi="宋体"/>
          <w:color w:val="auto"/>
          <w:sz w:val="24"/>
          <w:highlight w:val="none"/>
        </w:rPr>
        <w:t>24.3  根据《政府采购促进中小企业发展管理办法》（财库〔2020〕46号）、《财政部 司法部关于政府采购支持监狱企业发展有关问题的通知》（财库〔2014〕68号）和《三部门联合发布关于促进残疾人就业政府采购政策的通知》（</w:t>
      </w:r>
      <w:bookmarkStart w:id="159" w:name="sendNo"/>
      <w:r>
        <w:rPr>
          <w:rFonts w:hint="eastAsia" w:ascii="宋体" w:hAnsi="宋体"/>
          <w:color w:val="auto"/>
          <w:sz w:val="24"/>
          <w:highlight w:val="none"/>
        </w:rPr>
        <w:t>财库〔</w:t>
      </w:r>
      <w:bookmarkEnd w:id="159"/>
      <w:r>
        <w:rPr>
          <w:rFonts w:hint="eastAsia" w:ascii="宋体" w:hAnsi="宋体"/>
          <w:color w:val="auto"/>
          <w:sz w:val="24"/>
          <w:highlight w:val="none"/>
        </w:rPr>
        <w:t>2017〕141号）的规定，对满足价格扣除条件且在</w:t>
      </w:r>
      <w:r>
        <w:rPr>
          <w:rFonts w:hint="eastAsia" w:ascii="宋体" w:hAnsi="宋体"/>
          <w:color w:val="auto"/>
          <w:sz w:val="24"/>
          <w:highlight w:val="none"/>
          <w:lang w:val="en-US" w:eastAsia="zh-CN"/>
        </w:rPr>
        <w:t>投标</w:t>
      </w:r>
      <w:r>
        <w:rPr>
          <w:rFonts w:hint="eastAsia" w:ascii="宋体" w:hAnsi="宋体"/>
          <w:color w:val="auto"/>
          <w:sz w:val="24"/>
          <w:highlight w:val="none"/>
        </w:rPr>
        <w:t>文件中提交了《</w:t>
      </w:r>
      <w:r>
        <w:rPr>
          <w:rFonts w:hint="eastAsia" w:ascii="宋体" w:hAnsi="宋体"/>
          <w:color w:val="auto"/>
          <w:sz w:val="24"/>
          <w:highlight w:val="none"/>
          <w:lang w:val="en-US" w:eastAsia="zh-CN"/>
        </w:rPr>
        <w:t>中小企业声明函</w:t>
      </w:r>
      <w:r>
        <w:rPr>
          <w:rFonts w:hint="eastAsia" w:ascii="宋体" w:hAnsi="宋体"/>
          <w:color w:val="auto"/>
          <w:sz w:val="24"/>
          <w:highlight w:val="none"/>
        </w:rPr>
        <w:t>》或省级以上监狱管理局、戒毒管理局 (含新疆生产建设兵团) 出具的属于监狱企业的证明文件的</w:t>
      </w:r>
      <w:r>
        <w:rPr>
          <w:rFonts w:hint="eastAsia" w:ascii="宋体" w:hAnsi="宋体"/>
          <w:color w:val="auto"/>
          <w:sz w:val="24"/>
          <w:highlight w:val="none"/>
          <w:lang w:val="en-US" w:eastAsia="zh-CN"/>
        </w:rPr>
        <w:t>投标</w:t>
      </w:r>
      <w:r>
        <w:rPr>
          <w:rFonts w:hint="eastAsia" w:ascii="宋体" w:hAnsi="宋体"/>
          <w:color w:val="auto"/>
          <w:sz w:val="24"/>
          <w:highlight w:val="none"/>
        </w:rPr>
        <w:t>，其</w:t>
      </w:r>
      <w:r>
        <w:rPr>
          <w:rFonts w:hint="eastAsia" w:ascii="宋体" w:hAnsi="宋体"/>
          <w:color w:val="auto"/>
          <w:sz w:val="24"/>
          <w:highlight w:val="none"/>
          <w:lang w:val="en-US" w:eastAsia="zh-CN"/>
        </w:rPr>
        <w:t>投标报价</w:t>
      </w:r>
      <w:r>
        <w:rPr>
          <w:rFonts w:hint="eastAsia" w:ascii="宋体" w:hAnsi="宋体"/>
          <w:color w:val="auto"/>
          <w:sz w:val="24"/>
          <w:highlight w:val="none"/>
        </w:rPr>
        <w:t>扣除10%后参与</w:t>
      </w:r>
      <w:r>
        <w:rPr>
          <w:rFonts w:hint="eastAsia" w:ascii="宋体" w:hAnsi="宋体"/>
          <w:color w:val="auto"/>
          <w:sz w:val="24"/>
          <w:highlight w:val="none"/>
          <w:lang w:val="en-US" w:eastAsia="zh-CN"/>
        </w:rPr>
        <w:t>投标</w:t>
      </w:r>
      <w:r>
        <w:rPr>
          <w:rFonts w:hint="eastAsia" w:ascii="宋体" w:hAnsi="宋体"/>
          <w:color w:val="auto"/>
          <w:sz w:val="24"/>
          <w:highlight w:val="none"/>
        </w:rPr>
        <w:t>。具体办法及比例详见</w:t>
      </w:r>
      <w:r>
        <w:rPr>
          <w:rFonts w:hint="eastAsia" w:ascii="宋体" w:hAnsi="宋体"/>
          <w:color w:val="auto"/>
          <w:sz w:val="24"/>
          <w:highlight w:val="none"/>
          <w:lang w:val="en-US" w:eastAsia="zh-CN"/>
        </w:rPr>
        <w:t>招标</w:t>
      </w:r>
      <w:r>
        <w:rPr>
          <w:rFonts w:hint="eastAsia" w:ascii="宋体" w:hAnsi="宋体"/>
          <w:color w:val="auto"/>
          <w:sz w:val="24"/>
          <w:highlight w:val="none"/>
        </w:rPr>
        <w:t>文件第5章</w:t>
      </w:r>
      <w:r>
        <w:rPr>
          <w:rFonts w:hint="eastAsia" w:ascii="宋体" w:hAnsi="宋体"/>
          <w:color w:val="auto"/>
          <w:sz w:val="24"/>
          <w:highlight w:val="none"/>
          <w:lang w:eastAsia="zh-CN"/>
        </w:rPr>
        <w:t>。</w:t>
      </w:r>
    </w:p>
    <w:p w14:paraId="1A0AF32E">
      <w:pPr>
        <w:pStyle w:val="14"/>
        <w:spacing w:line="520" w:lineRule="exact"/>
        <w:ind w:firstLine="420" w:firstLineChars="175"/>
        <w:rPr>
          <w:rFonts w:hint="eastAsia" w:hAnsi="宋体"/>
          <w:color w:val="auto"/>
          <w:sz w:val="24"/>
          <w:szCs w:val="24"/>
          <w:highlight w:val="none"/>
        </w:rPr>
      </w:pPr>
      <w:r>
        <w:rPr>
          <w:rFonts w:hint="eastAsia" w:hAnsi="宋体"/>
          <w:color w:val="auto"/>
          <w:sz w:val="24"/>
          <w:szCs w:val="24"/>
          <w:highlight w:val="none"/>
        </w:rPr>
        <w:t xml:space="preserve">24.4 </w:t>
      </w:r>
      <w:bookmarkStart w:id="160" w:name="_Toc520356168"/>
      <w:bookmarkStart w:id="161" w:name="_Toc9378"/>
      <w:bookmarkStart w:id="162" w:name="_Toc515647785"/>
      <w:bookmarkStart w:id="163" w:name="_Toc20227"/>
      <w:r>
        <w:rPr>
          <w:rFonts w:hint="eastAsia" w:hAnsi="宋体"/>
          <w:color w:val="auto"/>
          <w:sz w:val="24"/>
          <w:szCs w:val="24"/>
          <w:highlight w:val="none"/>
        </w:rPr>
        <w:t>根据国家有关节能环保政策，对满足加分条件且在投标文件中提交了国家确定的认证机构出具的、处于有效期之内的节能产品、环境标志产品认证证书的投标人，</w:t>
      </w:r>
      <w:r>
        <w:rPr>
          <w:rFonts w:hAnsi="宋体" w:cs="宋体"/>
          <w:color w:val="auto"/>
          <w:sz w:val="24"/>
          <w:szCs w:val="24"/>
          <w:highlight w:val="none"/>
        </w:rPr>
        <w:t>可给予认证产品</w:t>
      </w:r>
      <w:r>
        <w:rPr>
          <w:rFonts w:hint="eastAsia" w:hAnsi="宋体" w:cs="宋体"/>
          <w:color w:val="auto"/>
          <w:sz w:val="24"/>
          <w:szCs w:val="24"/>
          <w:highlight w:val="none"/>
          <w:u w:val="single"/>
        </w:rPr>
        <w:t>6</w:t>
      </w:r>
      <w:r>
        <w:rPr>
          <w:rFonts w:hAnsi="宋体" w:cs="宋体"/>
          <w:color w:val="auto"/>
          <w:sz w:val="24"/>
          <w:szCs w:val="24"/>
          <w:highlight w:val="none"/>
        </w:rPr>
        <w:t>%的评审价格扣除优惠，同等条件下，优先采购认证产品。</w:t>
      </w:r>
      <w:r>
        <w:rPr>
          <w:rFonts w:hint="eastAsia" w:hAnsi="宋体"/>
          <w:color w:val="auto"/>
          <w:sz w:val="24"/>
          <w:szCs w:val="24"/>
          <w:highlight w:val="none"/>
        </w:rPr>
        <w:t>具体办法及比例详见招标文件第5章。</w:t>
      </w:r>
    </w:p>
    <w:p w14:paraId="27429F5C">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24.5 公开发布的招标文件中的评分细则，在评标期间，不允许做出更改。</w:t>
      </w:r>
    </w:p>
    <w:p w14:paraId="442521F6">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24.6 采购代理机构对进入详细评审的投标人的报价按招标文件规定进行打分。</w:t>
      </w:r>
    </w:p>
    <w:p w14:paraId="5409D523">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24.7 评分结束后，交采购代理机构汇总、统计，打印出结果，由评标委员会应对投标人的价格、商务和技术得分进行最后的复核，并签字确认。</w:t>
      </w:r>
    </w:p>
    <w:p w14:paraId="7B479B74">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24.8 投标人得分是由评标委员会成员打分的算术平均值。</w:t>
      </w:r>
    </w:p>
    <w:p w14:paraId="313ECF85">
      <w:pPr>
        <w:spacing w:line="520" w:lineRule="exact"/>
        <w:ind w:firstLine="420" w:firstLineChars="175"/>
        <w:rPr>
          <w:rFonts w:ascii="宋体" w:hAnsi="宋体"/>
          <w:color w:val="auto"/>
          <w:sz w:val="24"/>
          <w:highlight w:val="none"/>
        </w:rPr>
      </w:pPr>
      <w:r>
        <w:rPr>
          <w:rFonts w:hint="eastAsia" w:ascii="宋体" w:hAnsi="宋体"/>
          <w:color w:val="auto"/>
          <w:sz w:val="24"/>
          <w:highlight w:val="none"/>
        </w:rPr>
        <w:t>24.9 评标委员会判断投标文件的响应性仅基于投标文件本身而不靠外部因素。评标委员会将拒绝被确定为非实质性响应的投标，投标人不能通过修正或撤销不符之处而使其投标成为实质性响应的投标。评标委员会可以允许投标人修改其投标文件中不构成实质偏离的、微小的、非正规的不一致或不规则的地方。</w:t>
      </w:r>
    </w:p>
    <w:p w14:paraId="2544063D">
      <w:pPr>
        <w:pStyle w:val="4"/>
        <w:spacing w:before="0" w:after="0" w:line="520" w:lineRule="exact"/>
        <w:rPr>
          <w:rFonts w:hint="eastAsia" w:hAnsi="宋体"/>
          <w:color w:val="auto"/>
          <w:highlight w:val="none"/>
        </w:rPr>
      </w:pPr>
      <w:bookmarkStart w:id="164" w:name="_Toc10229"/>
      <w:r>
        <w:rPr>
          <w:rFonts w:hint="eastAsia" w:hAnsi="宋体"/>
          <w:color w:val="auto"/>
          <w:highlight w:val="none"/>
        </w:rPr>
        <w:t>2</w:t>
      </w:r>
      <w:bookmarkEnd w:id="160"/>
      <w:r>
        <w:rPr>
          <w:rFonts w:hint="eastAsia" w:hAnsi="宋体"/>
          <w:color w:val="auto"/>
          <w:highlight w:val="none"/>
        </w:rPr>
        <w:t>5.废标</w:t>
      </w:r>
      <w:bookmarkEnd w:id="161"/>
      <w:bookmarkEnd w:id="162"/>
      <w:bookmarkEnd w:id="163"/>
      <w:bookmarkEnd w:id="164"/>
    </w:p>
    <w:p w14:paraId="50A17D0B">
      <w:pPr>
        <w:spacing w:line="520" w:lineRule="exact"/>
        <w:ind w:firstLine="417" w:firstLineChars="174"/>
        <w:rPr>
          <w:rFonts w:hint="eastAsia" w:ascii="宋体" w:hAnsi="宋体"/>
          <w:color w:val="auto"/>
          <w:sz w:val="24"/>
          <w:highlight w:val="none"/>
        </w:rPr>
      </w:pPr>
      <w:r>
        <w:rPr>
          <w:rFonts w:hint="eastAsia" w:ascii="宋体" w:hAnsi="宋体"/>
          <w:color w:val="auto"/>
          <w:sz w:val="24"/>
          <w:highlight w:val="none"/>
        </w:rPr>
        <w:t xml:space="preserve">出现下列情形之一，将导致项目废标： </w:t>
      </w:r>
    </w:p>
    <w:p w14:paraId="51584CF4">
      <w:pPr>
        <w:spacing w:line="520" w:lineRule="exact"/>
        <w:ind w:firstLine="417" w:firstLineChars="174"/>
        <w:rPr>
          <w:rFonts w:hint="eastAsia" w:ascii="宋体" w:hAnsi="宋体"/>
          <w:color w:val="auto"/>
          <w:sz w:val="24"/>
          <w:highlight w:val="none"/>
        </w:rPr>
      </w:pPr>
      <w:r>
        <w:rPr>
          <w:rFonts w:hint="eastAsia" w:ascii="宋体" w:hAnsi="宋体"/>
          <w:color w:val="auto"/>
          <w:sz w:val="24"/>
          <w:highlight w:val="none"/>
        </w:rPr>
        <w:t>（1）符合专业条件的投标人或者对招标文件做实质性响应的投标人不足3家；</w:t>
      </w:r>
    </w:p>
    <w:p w14:paraId="36E58CA2">
      <w:pPr>
        <w:spacing w:line="520" w:lineRule="exact"/>
        <w:ind w:firstLine="417" w:firstLineChars="174"/>
        <w:rPr>
          <w:rFonts w:hint="eastAsia" w:ascii="宋体" w:hAnsi="宋体"/>
          <w:color w:val="auto"/>
          <w:sz w:val="24"/>
          <w:highlight w:val="none"/>
        </w:rPr>
      </w:pPr>
      <w:r>
        <w:rPr>
          <w:rFonts w:hint="eastAsia" w:ascii="宋体" w:hAnsi="宋体"/>
          <w:color w:val="auto"/>
          <w:sz w:val="24"/>
          <w:highlight w:val="none"/>
        </w:rPr>
        <w:t>（2）出现影响采购公正的违法、违规行为的；</w:t>
      </w:r>
    </w:p>
    <w:p w14:paraId="74F72245">
      <w:pPr>
        <w:spacing w:line="520" w:lineRule="exact"/>
        <w:ind w:firstLine="417" w:firstLineChars="174"/>
        <w:rPr>
          <w:rFonts w:hint="eastAsia" w:ascii="宋体" w:hAnsi="宋体"/>
          <w:color w:val="auto"/>
          <w:sz w:val="24"/>
          <w:highlight w:val="none"/>
        </w:rPr>
      </w:pPr>
      <w:r>
        <w:rPr>
          <w:rFonts w:hint="eastAsia" w:ascii="宋体" w:hAnsi="宋体"/>
          <w:color w:val="auto"/>
          <w:sz w:val="24"/>
          <w:highlight w:val="none"/>
        </w:rPr>
        <w:t>（3）投标人的报价均超过了采购预算或最高限价，采购人不能支付的；</w:t>
      </w:r>
    </w:p>
    <w:p w14:paraId="5EC2F4C2">
      <w:pPr>
        <w:spacing w:line="520" w:lineRule="exact"/>
        <w:ind w:firstLine="417" w:firstLineChars="174"/>
        <w:rPr>
          <w:rFonts w:hint="eastAsia" w:ascii="宋体" w:hAnsi="宋体"/>
          <w:color w:val="auto"/>
          <w:sz w:val="24"/>
          <w:highlight w:val="none"/>
        </w:rPr>
      </w:pPr>
      <w:r>
        <w:rPr>
          <w:rFonts w:hint="eastAsia" w:ascii="宋体" w:hAnsi="宋体"/>
          <w:color w:val="auto"/>
          <w:sz w:val="24"/>
          <w:highlight w:val="none"/>
        </w:rPr>
        <w:t xml:space="preserve">（4）因重大变故，采购任务取消的。   </w:t>
      </w:r>
    </w:p>
    <w:p w14:paraId="2AC51489">
      <w:pPr>
        <w:pStyle w:val="4"/>
        <w:spacing w:before="0" w:after="0" w:line="520" w:lineRule="exact"/>
        <w:rPr>
          <w:rFonts w:hAnsi="宋体"/>
          <w:color w:val="auto"/>
          <w:highlight w:val="none"/>
        </w:rPr>
      </w:pPr>
      <w:bookmarkStart w:id="165" w:name="_Toc24972"/>
      <w:bookmarkStart w:id="166" w:name="_Toc31289"/>
      <w:bookmarkStart w:id="167" w:name="_Toc515647786"/>
      <w:bookmarkStart w:id="168" w:name="_Toc11516"/>
      <w:bookmarkStart w:id="169" w:name="_Toc520356169"/>
      <w:r>
        <w:rPr>
          <w:rFonts w:hAnsi="宋体"/>
          <w:color w:val="auto"/>
          <w:highlight w:val="none"/>
        </w:rPr>
        <w:t>2</w:t>
      </w:r>
      <w:r>
        <w:rPr>
          <w:rFonts w:hint="eastAsia" w:hAnsi="宋体"/>
          <w:color w:val="auto"/>
          <w:highlight w:val="none"/>
        </w:rPr>
        <w:t>6.保密</w:t>
      </w:r>
      <w:bookmarkEnd w:id="165"/>
      <w:bookmarkEnd w:id="166"/>
      <w:bookmarkEnd w:id="167"/>
      <w:r>
        <w:rPr>
          <w:rFonts w:hint="eastAsia" w:hAnsi="宋体"/>
          <w:color w:val="auto"/>
          <w:highlight w:val="none"/>
        </w:rPr>
        <w:t>要求</w:t>
      </w:r>
      <w:bookmarkEnd w:id="168"/>
    </w:p>
    <w:p w14:paraId="73CF6103">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6.1评标将在严格保密的情况下进行。</w:t>
      </w:r>
    </w:p>
    <w:p w14:paraId="570A98D3">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6.2有关人员</w:t>
      </w:r>
      <w:r>
        <w:rPr>
          <w:rFonts w:ascii="宋体" w:hAnsi="宋体"/>
          <w:color w:val="auto"/>
          <w:sz w:val="24"/>
          <w:highlight w:val="none"/>
        </w:rPr>
        <w:t>应当</w:t>
      </w:r>
      <w:r>
        <w:rPr>
          <w:rFonts w:hint="eastAsia" w:ascii="宋体" w:hAnsi="宋体"/>
          <w:color w:val="auto"/>
          <w:sz w:val="24"/>
          <w:highlight w:val="none"/>
        </w:rPr>
        <w:t>遵</w:t>
      </w:r>
      <w:r>
        <w:rPr>
          <w:rFonts w:ascii="宋体" w:hAnsi="宋体"/>
          <w:color w:val="auto"/>
          <w:sz w:val="24"/>
          <w:highlight w:val="none"/>
        </w:rPr>
        <w:t>守评审工作纪律</w:t>
      </w:r>
      <w:r>
        <w:rPr>
          <w:rFonts w:ascii="宋体" w:hAnsi="宋体"/>
          <w:b/>
          <w:color w:val="auto"/>
          <w:sz w:val="24"/>
          <w:highlight w:val="none"/>
        </w:rPr>
        <w:t>，</w:t>
      </w:r>
      <w:r>
        <w:rPr>
          <w:rFonts w:hint="eastAsia" w:ascii="宋体" w:hAnsi="宋体"/>
          <w:b/>
          <w:color w:val="auto"/>
          <w:sz w:val="24"/>
          <w:highlight w:val="none"/>
        </w:rPr>
        <w:t>不得记录、复制或者带走任何评标资料，</w:t>
      </w:r>
      <w:r>
        <w:rPr>
          <w:rFonts w:ascii="宋体" w:hAnsi="宋体"/>
          <w:b/>
          <w:color w:val="auto"/>
          <w:sz w:val="24"/>
          <w:highlight w:val="none"/>
        </w:rPr>
        <w:t>不</w:t>
      </w:r>
      <w:r>
        <w:rPr>
          <w:rFonts w:ascii="宋体" w:hAnsi="宋体"/>
          <w:color w:val="auto"/>
          <w:sz w:val="24"/>
          <w:highlight w:val="none"/>
        </w:rPr>
        <w:t>得</w:t>
      </w:r>
      <w:r>
        <w:rPr>
          <w:rFonts w:hint="eastAsia" w:ascii="宋体" w:hAnsi="宋体"/>
          <w:color w:val="auto"/>
          <w:sz w:val="24"/>
          <w:highlight w:val="none"/>
        </w:rPr>
        <w:t>泄露</w:t>
      </w:r>
      <w:r>
        <w:rPr>
          <w:rFonts w:ascii="宋体" w:hAnsi="宋体"/>
          <w:color w:val="auto"/>
          <w:sz w:val="24"/>
          <w:highlight w:val="none"/>
        </w:rPr>
        <w:t>评审</w:t>
      </w:r>
      <w:r>
        <w:rPr>
          <w:rFonts w:hint="eastAsia" w:ascii="宋体" w:hAnsi="宋体"/>
          <w:color w:val="auto"/>
          <w:sz w:val="24"/>
          <w:highlight w:val="none"/>
        </w:rPr>
        <w:t>文件</w:t>
      </w:r>
      <w:r>
        <w:rPr>
          <w:rFonts w:ascii="宋体" w:hAnsi="宋体"/>
          <w:color w:val="auto"/>
          <w:sz w:val="24"/>
          <w:highlight w:val="none"/>
        </w:rPr>
        <w:t>、评审情况和评审中获悉的商业秘密。</w:t>
      </w:r>
    </w:p>
    <w:p w14:paraId="6112DB44">
      <w:pPr>
        <w:pStyle w:val="3"/>
        <w:spacing w:line="520" w:lineRule="exact"/>
        <w:rPr>
          <w:rFonts w:hint="eastAsia" w:ascii="宋体" w:hAnsi="宋体"/>
          <w:color w:val="auto"/>
          <w:highlight w:val="none"/>
        </w:rPr>
      </w:pPr>
      <w:bookmarkStart w:id="170" w:name="_Toc9787"/>
      <w:bookmarkStart w:id="171" w:name="_Toc12143"/>
      <w:bookmarkStart w:id="172" w:name="_Toc515647787"/>
      <w:bookmarkStart w:id="173" w:name="_Toc23904"/>
      <w:bookmarkStart w:id="174" w:name="_Toc216582810"/>
      <w:r>
        <w:rPr>
          <w:rFonts w:hint="eastAsia" w:ascii="宋体" w:hAnsi="宋体"/>
          <w:color w:val="auto"/>
          <w:highlight w:val="none"/>
        </w:rPr>
        <w:t xml:space="preserve">六   </w:t>
      </w:r>
      <w:bookmarkEnd w:id="169"/>
      <w:r>
        <w:rPr>
          <w:rFonts w:hint="eastAsia" w:ascii="宋体" w:hAnsi="宋体"/>
          <w:color w:val="auto"/>
          <w:highlight w:val="none"/>
        </w:rPr>
        <w:t>确定中标</w:t>
      </w:r>
      <w:bookmarkEnd w:id="170"/>
      <w:bookmarkEnd w:id="171"/>
      <w:bookmarkEnd w:id="172"/>
      <w:bookmarkEnd w:id="173"/>
      <w:bookmarkEnd w:id="174"/>
    </w:p>
    <w:p w14:paraId="6135B92A">
      <w:pPr>
        <w:pStyle w:val="4"/>
        <w:spacing w:before="0" w:after="0" w:line="520" w:lineRule="exact"/>
        <w:rPr>
          <w:rFonts w:hAnsi="宋体"/>
          <w:color w:val="auto"/>
          <w:highlight w:val="none"/>
        </w:rPr>
      </w:pPr>
      <w:bookmarkStart w:id="175" w:name="_Toc520356170"/>
      <w:bookmarkStart w:id="176" w:name="_Toc6323"/>
      <w:bookmarkStart w:id="177" w:name="_Toc23762"/>
      <w:bookmarkStart w:id="178" w:name="_Ref467307010"/>
      <w:bookmarkStart w:id="179" w:name="_Toc23617"/>
      <w:bookmarkStart w:id="180" w:name="_Toc515647788"/>
      <w:r>
        <w:rPr>
          <w:rFonts w:hAnsi="宋体"/>
          <w:color w:val="auto"/>
          <w:highlight w:val="none"/>
        </w:rPr>
        <w:t>2</w:t>
      </w:r>
      <w:r>
        <w:rPr>
          <w:rFonts w:hint="eastAsia" w:hAnsi="宋体"/>
          <w:color w:val="auto"/>
          <w:highlight w:val="none"/>
        </w:rPr>
        <w:t>7.中标候选人的确定原则及标准</w:t>
      </w:r>
      <w:bookmarkEnd w:id="175"/>
      <w:bookmarkEnd w:id="176"/>
      <w:bookmarkEnd w:id="177"/>
      <w:bookmarkEnd w:id="178"/>
      <w:bookmarkEnd w:id="179"/>
      <w:bookmarkEnd w:id="180"/>
    </w:p>
    <w:p w14:paraId="61E5F872">
      <w:pPr>
        <w:spacing w:line="520" w:lineRule="exact"/>
        <w:ind w:firstLine="638" w:firstLineChars="266"/>
        <w:jc w:val="left"/>
        <w:rPr>
          <w:rFonts w:hint="eastAsia" w:ascii="宋体" w:hAnsi="宋体"/>
          <w:color w:val="auto"/>
          <w:sz w:val="24"/>
          <w:highlight w:val="none"/>
        </w:rPr>
      </w:pPr>
      <w:r>
        <w:rPr>
          <w:rFonts w:hint="eastAsia" w:ascii="宋体" w:hAnsi="宋体"/>
          <w:color w:val="auto"/>
          <w:sz w:val="24"/>
          <w:highlight w:val="none"/>
        </w:rPr>
        <w:t>除29条规定外，对实质上响应招标文件的</w:t>
      </w:r>
      <w:r>
        <w:rPr>
          <w:rFonts w:ascii="宋体" w:hAnsi="宋体"/>
          <w:color w:val="auto"/>
          <w:sz w:val="24"/>
          <w:highlight w:val="none"/>
        </w:rPr>
        <w:t>投标人</w:t>
      </w:r>
      <w:r>
        <w:rPr>
          <w:rFonts w:hint="eastAsia" w:ascii="宋体" w:hAnsi="宋体"/>
          <w:color w:val="auto"/>
          <w:sz w:val="24"/>
          <w:highlight w:val="none"/>
        </w:rPr>
        <w:t>按下列方法</w:t>
      </w:r>
      <w:r>
        <w:rPr>
          <w:rFonts w:ascii="宋体" w:hAnsi="宋体"/>
          <w:color w:val="auto"/>
          <w:sz w:val="24"/>
          <w:highlight w:val="none"/>
        </w:rPr>
        <w:t>进行排序</w:t>
      </w:r>
      <w:r>
        <w:rPr>
          <w:rFonts w:hint="eastAsia" w:ascii="宋体" w:hAnsi="宋体"/>
          <w:color w:val="auto"/>
          <w:sz w:val="24"/>
          <w:highlight w:val="none"/>
        </w:rPr>
        <w:t>，确定</w:t>
      </w:r>
      <w:r>
        <w:rPr>
          <w:rFonts w:ascii="宋体" w:hAnsi="宋体"/>
          <w:color w:val="auto"/>
          <w:sz w:val="24"/>
          <w:highlight w:val="none"/>
        </w:rPr>
        <w:t>中标候选人</w:t>
      </w:r>
      <w:r>
        <w:rPr>
          <w:rFonts w:hint="eastAsia" w:ascii="宋体" w:hAnsi="宋体"/>
          <w:color w:val="auto"/>
          <w:sz w:val="24"/>
          <w:highlight w:val="none"/>
        </w:rPr>
        <w:t>：</w:t>
      </w:r>
    </w:p>
    <w:p w14:paraId="3227703E">
      <w:pPr>
        <w:spacing w:line="520" w:lineRule="exact"/>
        <w:ind w:firstLine="638" w:firstLineChars="266"/>
        <w:rPr>
          <w:rFonts w:hint="eastAsia" w:ascii="宋体" w:hAnsi="宋体"/>
          <w:color w:val="auto"/>
          <w:sz w:val="24"/>
          <w:highlight w:val="none"/>
        </w:rPr>
      </w:pPr>
      <w:r>
        <w:rPr>
          <w:rFonts w:hint="eastAsia" w:ascii="宋体" w:hAnsi="宋体"/>
          <w:color w:val="auto"/>
          <w:sz w:val="24"/>
          <w:highlight w:val="none"/>
        </w:rPr>
        <w:t>评标</w:t>
      </w:r>
      <w:r>
        <w:rPr>
          <w:rFonts w:ascii="宋体" w:hAnsi="宋体"/>
          <w:color w:val="auto"/>
          <w:sz w:val="24"/>
          <w:highlight w:val="none"/>
        </w:rPr>
        <w:t>结果</w:t>
      </w:r>
      <w:r>
        <w:rPr>
          <w:rFonts w:hint="eastAsia" w:ascii="宋体" w:hAnsi="宋体"/>
          <w:color w:val="auto"/>
          <w:sz w:val="24"/>
          <w:highlight w:val="none"/>
        </w:rPr>
        <w:t>按评审后得分由高到低顺序排列。得分相同的，按投标报价由低到高顺序排列。得分与投标报价均相同的处理</w:t>
      </w:r>
      <w:r>
        <w:rPr>
          <w:rFonts w:ascii="宋体" w:hAnsi="宋体"/>
          <w:color w:val="auto"/>
          <w:sz w:val="24"/>
          <w:highlight w:val="none"/>
        </w:rPr>
        <w:t>方式</w:t>
      </w:r>
      <w:r>
        <w:rPr>
          <w:rFonts w:hint="eastAsia" w:ascii="宋体" w:hAnsi="宋体"/>
          <w:color w:val="auto"/>
          <w:sz w:val="24"/>
          <w:highlight w:val="none"/>
        </w:rPr>
        <w:t>详见招标</w:t>
      </w:r>
      <w:r>
        <w:rPr>
          <w:rFonts w:ascii="宋体" w:hAnsi="宋体"/>
          <w:color w:val="auto"/>
          <w:sz w:val="24"/>
          <w:highlight w:val="none"/>
        </w:rPr>
        <w:t>文件</w:t>
      </w:r>
      <w:r>
        <w:rPr>
          <w:rFonts w:hint="eastAsia" w:ascii="宋体" w:hAnsi="宋体"/>
          <w:color w:val="auto"/>
          <w:sz w:val="24"/>
          <w:highlight w:val="none"/>
        </w:rPr>
        <w:t>第5章。</w:t>
      </w:r>
    </w:p>
    <w:p w14:paraId="237F57C1">
      <w:pPr>
        <w:pStyle w:val="4"/>
        <w:spacing w:before="0" w:after="0" w:line="520" w:lineRule="exact"/>
        <w:rPr>
          <w:rFonts w:hint="eastAsia" w:hAnsi="宋体"/>
          <w:color w:val="auto"/>
          <w:highlight w:val="none"/>
        </w:rPr>
      </w:pPr>
      <w:bookmarkStart w:id="181" w:name="_Toc289"/>
      <w:bookmarkStart w:id="182" w:name="_Toc45739165"/>
      <w:bookmarkStart w:id="183" w:name="_Toc17649"/>
      <w:bookmarkStart w:id="184" w:name="_Toc515905230"/>
      <w:bookmarkStart w:id="185" w:name="_Toc4250"/>
      <w:bookmarkStart w:id="186" w:name="_Toc29270"/>
      <w:bookmarkStart w:id="187" w:name="_Toc14140"/>
      <w:bookmarkStart w:id="188" w:name="_Ref467307062"/>
      <w:bookmarkStart w:id="189" w:name="_Toc790"/>
      <w:bookmarkStart w:id="190" w:name="_Ref467306377"/>
      <w:bookmarkStart w:id="191" w:name="_Ref467306978"/>
      <w:bookmarkStart w:id="192" w:name="_Toc515647792"/>
      <w:bookmarkStart w:id="193" w:name="_Toc520356175"/>
      <w:bookmarkStart w:id="194" w:name="_Ref467307204"/>
      <w:bookmarkStart w:id="195" w:name="_Toc7779"/>
      <w:r>
        <w:rPr>
          <w:rFonts w:hint="eastAsia" w:hAnsi="宋体"/>
          <w:color w:val="auto"/>
          <w:highlight w:val="none"/>
        </w:rPr>
        <w:t>28.确定中标候选人和中标人</w:t>
      </w:r>
      <w:bookmarkEnd w:id="181"/>
      <w:bookmarkEnd w:id="182"/>
      <w:bookmarkEnd w:id="183"/>
      <w:bookmarkEnd w:id="184"/>
      <w:bookmarkEnd w:id="185"/>
      <w:bookmarkEnd w:id="186"/>
      <w:bookmarkEnd w:id="187"/>
    </w:p>
    <w:p w14:paraId="68FFC0EF">
      <w:pPr>
        <w:spacing w:line="520" w:lineRule="exact"/>
        <w:ind w:firstLine="480" w:firstLineChars="200"/>
        <w:rPr>
          <w:rFonts w:hint="eastAsia" w:ascii="宋体" w:hAnsi="宋体"/>
          <w:b/>
          <w:bCs/>
          <w:color w:val="auto"/>
          <w:sz w:val="24"/>
          <w:highlight w:val="none"/>
        </w:rPr>
      </w:pPr>
      <w:r>
        <w:rPr>
          <w:rFonts w:hint="eastAsia" w:ascii="宋体" w:hAnsi="宋体"/>
          <w:color w:val="auto"/>
          <w:sz w:val="24"/>
          <w:highlight w:val="none"/>
        </w:rPr>
        <w:t>评标委员会将根据评标标准，按</w:t>
      </w:r>
      <w:r>
        <w:rPr>
          <w:rFonts w:hint="eastAsia" w:ascii="宋体" w:hAnsi="宋体"/>
          <w:color w:val="auto"/>
          <w:sz w:val="24"/>
          <w:highlight w:val="none"/>
          <w:u w:val="single"/>
        </w:rPr>
        <w:t>投标人须知资料表中</w:t>
      </w:r>
      <w:r>
        <w:rPr>
          <w:rFonts w:hint="eastAsia" w:ascii="宋体" w:hAnsi="宋体"/>
          <w:color w:val="auto"/>
          <w:sz w:val="24"/>
          <w:highlight w:val="none"/>
        </w:rPr>
        <w:t>规定</w:t>
      </w:r>
      <w:r>
        <w:rPr>
          <w:rFonts w:ascii="宋体" w:hAnsi="宋体"/>
          <w:color w:val="auto"/>
          <w:sz w:val="24"/>
          <w:highlight w:val="none"/>
        </w:rPr>
        <w:t>数量</w:t>
      </w:r>
      <w:r>
        <w:rPr>
          <w:rFonts w:hint="eastAsia" w:ascii="宋体" w:hAnsi="宋体"/>
          <w:color w:val="auto"/>
          <w:sz w:val="24"/>
          <w:highlight w:val="none"/>
        </w:rPr>
        <w:t>推荐中标候选人或根据采购人的委托直接确定中标人。</w:t>
      </w:r>
      <w:bookmarkStart w:id="196" w:name="_Toc520356173"/>
      <w:bookmarkStart w:id="197" w:name="_Ref467306874"/>
    </w:p>
    <w:p w14:paraId="5E90D394">
      <w:pPr>
        <w:pStyle w:val="4"/>
        <w:spacing w:before="0" w:after="0" w:line="520" w:lineRule="exact"/>
        <w:rPr>
          <w:rFonts w:hint="eastAsia" w:hAnsi="宋体"/>
          <w:color w:val="auto"/>
          <w:highlight w:val="none"/>
        </w:rPr>
      </w:pPr>
      <w:bookmarkStart w:id="198" w:name="_Toc14600"/>
      <w:r>
        <w:rPr>
          <w:rFonts w:hint="eastAsia" w:hAnsi="宋体"/>
          <w:color w:val="auto"/>
          <w:highlight w:val="none"/>
        </w:rPr>
        <w:t>29.采购任务取消</w:t>
      </w:r>
      <w:bookmarkEnd w:id="198"/>
    </w:p>
    <w:p w14:paraId="746992ED">
      <w:pPr>
        <w:spacing w:line="52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因重大变故采购任务取消时，采购人有权拒绝任何投标人中标，且对受影响的投标人不承担任何责任。</w:t>
      </w:r>
    </w:p>
    <w:p w14:paraId="218F8E2B">
      <w:pPr>
        <w:pStyle w:val="4"/>
        <w:spacing w:before="0" w:after="0" w:line="520" w:lineRule="exact"/>
        <w:rPr>
          <w:rFonts w:hint="eastAsia" w:hAnsi="宋体"/>
          <w:color w:val="auto"/>
          <w:highlight w:val="none"/>
        </w:rPr>
      </w:pPr>
      <w:bookmarkStart w:id="199" w:name="_Toc27565"/>
      <w:r>
        <w:rPr>
          <w:rFonts w:hint="eastAsia" w:hAnsi="宋体"/>
          <w:color w:val="auto"/>
          <w:highlight w:val="none"/>
        </w:rPr>
        <w:t>30. 中标通知书和招标结果通知书</w:t>
      </w:r>
      <w:bookmarkEnd w:id="199"/>
    </w:p>
    <w:bookmarkEnd w:id="196"/>
    <w:bookmarkEnd w:id="197"/>
    <w:p w14:paraId="1FD1BD32">
      <w:pPr>
        <w:spacing w:line="520" w:lineRule="exact"/>
        <w:ind w:firstLine="417" w:firstLineChars="174"/>
        <w:rPr>
          <w:rFonts w:hint="eastAsia" w:ascii="宋体" w:hAnsi="宋体"/>
          <w:color w:val="auto"/>
          <w:sz w:val="24"/>
          <w:highlight w:val="none"/>
        </w:rPr>
      </w:pPr>
      <w:r>
        <w:rPr>
          <w:rFonts w:hint="eastAsia" w:ascii="宋体" w:hAnsi="宋体"/>
          <w:color w:val="auto"/>
          <w:sz w:val="24"/>
          <w:highlight w:val="none"/>
        </w:rPr>
        <w:t>30.1</w:t>
      </w:r>
      <w:r>
        <w:rPr>
          <w:rFonts w:hint="eastAsia" w:ascii="宋体" w:hAnsi="宋体"/>
          <w:color w:val="auto"/>
          <w:sz w:val="24"/>
          <w:highlight w:val="none"/>
          <w:lang w:val="en-US" w:eastAsia="zh-CN"/>
        </w:rPr>
        <w:t xml:space="preserve"> </w:t>
      </w:r>
      <w:r>
        <w:rPr>
          <w:rFonts w:hint="eastAsia" w:ascii="宋体" w:hAnsi="宋体"/>
          <w:color w:val="auto"/>
          <w:sz w:val="24"/>
          <w:highlight w:val="none"/>
        </w:rPr>
        <w:t>在</w:t>
      </w:r>
      <w:r>
        <w:rPr>
          <w:rFonts w:hint="eastAsia" w:ascii="宋体" w:hAnsi="宋体"/>
          <w:b/>
          <w:bCs/>
          <w:color w:val="auto"/>
          <w:sz w:val="24"/>
          <w:highlight w:val="none"/>
        </w:rPr>
        <w:t>法定期限内</w:t>
      </w:r>
      <w:r>
        <w:rPr>
          <w:rFonts w:hint="eastAsia" w:ascii="宋体" w:hAnsi="宋体"/>
          <w:color w:val="auto"/>
          <w:sz w:val="24"/>
          <w:highlight w:val="none"/>
        </w:rPr>
        <w:t>，中标人确定后，采购人或者</w:t>
      </w:r>
      <w:r>
        <w:rPr>
          <w:rFonts w:ascii="宋体" w:hAnsi="宋体"/>
          <w:color w:val="auto"/>
          <w:sz w:val="24"/>
          <w:highlight w:val="none"/>
        </w:rPr>
        <w:t>采购代理机构</w:t>
      </w:r>
      <w:r>
        <w:rPr>
          <w:rFonts w:hint="eastAsia" w:ascii="宋体" w:hAnsi="宋体"/>
          <w:color w:val="auto"/>
          <w:sz w:val="24"/>
          <w:highlight w:val="none"/>
        </w:rPr>
        <w:t>按照规定发布</w:t>
      </w:r>
      <w:r>
        <w:rPr>
          <w:rFonts w:ascii="宋体" w:hAnsi="宋体"/>
          <w:color w:val="auto"/>
          <w:sz w:val="24"/>
          <w:highlight w:val="none"/>
        </w:rPr>
        <w:t>中标公告，应同时公告投标人未中标的原因</w:t>
      </w:r>
      <w:r>
        <w:rPr>
          <w:rFonts w:hint="eastAsia" w:ascii="宋体" w:hAnsi="宋体"/>
          <w:color w:val="auto"/>
          <w:sz w:val="24"/>
          <w:highlight w:val="none"/>
        </w:rPr>
        <w:t>，在公告中标结果的</w:t>
      </w:r>
      <w:r>
        <w:rPr>
          <w:rFonts w:ascii="宋体" w:hAnsi="宋体"/>
          <w:color w:val="auto"/>
          <w:sz w:val="24"/>
          <w:highlight w:val="none"/>
        </w:rPr>
        <w:t>同时</w:t>
      </w:r>
      <w:r>
        <w:rPr>
          <w:rFonts w:hint="eastAsia" w:ascii="宋体" w:hAnsi="宋体"/>
          <w:color w:val="auto"/>
          <w:sz w:val="24"/>
          <w:highlight w:val="none"/>
        </w:rPr>
        <w:t>，向中标人发出中标通知书，中标通知书是合同的组成部分。</w:t>
      </w:r>
    </w:p>
    <w:p w14:paraId="26EA0CA4">
      <w:pPr>
        <w:spacing w:line="520" w:lineRule="exact"/>
        <w:ind w:firstLine="417" w:firstLineChars="174"/>
        <w:rPr>
          <w:rFonts w:hint="eastAsia" w:ascii="宋体" w:hAnsi="宋体"/>
          <w:color w:val="auto"/>
          <w:sz w:val="24"/>
          <w:highlight w:val="none"/>
        </w:rPr>
      </w:pPr>
      <w:r>
        <w:rPr>
          <w:rFonts w:hint="eastAsia" w:ascii="宋体" w:hAnsi="宋体"/>
          <w:color w:val="auto"/>
          <w:sz w:val="24"/>
          <w:highlight w:val="none"/>
        </w:rPr>
        <w:t xml:space="preserve">30.2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招标结果通知书和中标通知书同时发出。招标结果通知书中将告知未通过资格审查的投标人未通过的原因；采用综合评分法评审的，还将告知未中标人本人的评审得分和排序。</w:t>
      </w:r>
    </w:p>
    <w:bookmarkEnd w:id="188"/>
    <w:bookmarkEnd w:id="189"/>
    <w:bookmarkEnd w:id="190"/>
    <w:bookmarkEnd w:id="191"/>
    <w:bookmarkEnd w:id="192"/>
    <w:bookmarkEnd w:id="193"/>
    <w:bookmarkEnd w:id="194"/>
    <w:bookmarkEnd w:id="195"/>
    <w:p w14:paraId="2E651156">
      <w:pPr>
        <w:pStyle w:val="4"/>
        <w:spacing w:before="0" w:after="0" w:line="520" w:lineRule="exact"/>
        <w:rPr>
          <w:rFonts w:hint="eastAsia" w:hAnsi="宋体"/>
          <w:color w:val="auto"/>
          <w:highlight w:val="none"/>
        </w:rPr>
      </w:pPr>
      <w:bookmarkStart w:id="200" w:name="_Toc31462"/>
      <w:bookmarkStart w:id="201" w:name="_Toc46235105"/>
      <w:bookmarkStart w:id="202" w:name="_Toc518923096"/>
      <w:r>
        <w:rPr>
          <w:rFonts w:hint="eastAsia" w:hAnsi="宋体"/>
          <w:color w:val="auto"/>
          <w:highlight w:val="none"/>
        </w:rPr>
        <w:t>31.签订合同</w:t>
      </w:r>
      <w:bookmarkEnd w:id="200"/>
      <w:bookmarkEnd w:id="201"/>
      <w:bookmarkEnd w:id="202"/>
    </w:p>
    <w:p w14:paraId="2128A4FE">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 xml:space="preserve">1.1 </w:t>
      </w:r>
      <w:r>
        <w:rPr>
          <w:rFonts w:hint="eastAsia" w:ascii="宋体" w:hAnsi="宋体"/>
          <w:color w:val="auto"/>
          <w:sz w:val="24"/>
          <w:highlight w:val="none"/>
          <w:lang w:eastAsia="zh-CN"/>
        </w:rPr>
        <w:t>中标人应当自发出中标通知书之日起10日内</w:t>
      </w:r>
      <w:r>
        <w:rPr>
          <w:rFonts w:hint="eastAsia" w:ascii="宋体" w:hAnsi="宋体"/>
          <w:color w:val="auto"/>
          <w:sz w:val="24"/>
          <w:highlight w:val="none"/>
        </w:rPr>
        <w:t>，与采购人签订合同。</w:t>
      </w:r>
    </w:p>
    <w:p w14:paraId="0AE5C790">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1.2</w:t>
      </w:r>
      <w:bookmarkStart w:id="203" w:name="_Ref467307090"/>
      <w:bookmarkStart w:id="204" w:name="_Ref467306425"/>
      <w:bookmarkStart w:id="205" w:name="_Toc520356176"/>
      <w:r>
        <w:rPr>
          <w:rFonts w:hint="eastAsia" w:ascii="宋体" w:hAnsi="宋体"/>
          <w:color w:val="auto"/>
          <w:sz w:val="24"/>
          <w:highlight w:val="none"/>
        </w:rPr>
        <w:t xml:space="preserve"> 招标文件、中标人的投标文件及其澄清文件等，均为签订合同的依据。</w:t>
      </w:r>
    </w:p>
    <w:p w14:paraId="04EDCBC4">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1.3 如中</w:t>
      </w:r>
      <w:r>
        <w:rPr>
          <w:rFonts w:ascii="宋体" w:hAnsi="宋体"/>
          <w:color w:val="auto"/>
          <w:sz w:val="24"/>
          <w:highlight w:val="none"/>
        </w:rPr>
        <w:t>标</w:t>
      </w:r>
      <w:r>
        <w:rPr>
          <w:rFonts w:hint="eastAsia" w:ascii="宋体" w:hAnsi="宋体"/>
          <w:color w:val="auto"/>
          <w:sz w:val="24"/>
          <w:highlight w:val="none"/>
        </w:rPr>
        <w:t>人</w:t>
      </w:r>
      <w:r>
        <w:rPr>
          <w:rFonts w:ascii="宋体" w:hAnsi="宋体"/>
          <w:color w:val="auto"/>
          <w:sz w:val="24"/>
          <w:highlight w:val="none"/>
        </w:rPr>
        <w:t>拒绝与采购人签订合同的，采购人可以按照评审报告推荐的中标候选人</w:t>
      </w:r>
      <w:r>
        <w:rPr>
          <w:rFonts w:hint="eastAsia" w:ascii="宋体" w:hAnsi="宋体"/>
          <w:color w:val="auto"/>
          <w:sz w:val="24"/>
          <w:highlight w:val="none"/>
        </w:rPr>
        <w:t>名单</w:t>
      </w:r>
      <w:r>
        <w:rPr>
          <w:rFonts w:ascii="宋体" w:hAnsi="宋体"/>
          <w:color w:val="auto"/>
          <w:sz w:val="24"/>
          <w:highlight w:val="none"/>
        </w:rPr>
        <w:t>排序</w:t>
      </w:r>
      <w:r>
        <w:rPr>
          <w:rFonts w:hint="eastAsia" w:ascii="宋体" w:hAnsi="宋体"/>
          <w:color w:val="auto"/>
          <w:sz w:val="24"/>
          <w:highlight w:val="none"/>
        </w:rPr>
        <w:t>，</w:t>
      </w:r>
      <w:r>
        <w:rPr>
          <w:rFonts w:ascii="宋体" w:hAnsi="宋体"/>
          <w:color w:val="auto"/>
          <w:sz w:val="24"/>
          <w:highlight w:val="none"/>
        </w:rPr>
        <w:t>确定下一</w:t>
      </w:r>
      <w:r>
        <w:rPr>
          <w:rFonts w:hint="eastAsia" w:ascii="宋体" w:hAnsi="宋体"/>
          <w:color w:val="auto"/>
          <w:sz w:val="24"/>
          <w:highlight w:val="none"/>
        </w:rPr>
        <w:t>中标候选</w:t>
      </w:r>
      <w:r>
        <w:rPr>
          <w:rFonts w:ascii="宋体" w:hAnsi="宋体"/>
          <w:color w:val="auto"/>
          <w:sz w:val="24"/>
          <w:highlight w:val="none"/>
        </w:rPr>
        <w:t>人为中标</w:t>
      </w:r>
      <w:r>
        <w:rPr>
          <w:rFonts w:hint="eastAsia" w:ascii="宋体" w:hAnsi="宋体"/>
          <w:color w:val="auto"/>
          <w:sz w:val="24"/>
          <w:highlight w:val="none"/>
        </w:rPr>
        <w:t>人</w:t>
      </w:r>
      <w:r>
        <w:rPr>
          <w:rFonts w:ascii="宋体" w:hAnsi="宋体"/>
          <w:color w:val="auto"/>
          <w:sz w:val="24"/>
          <w:highlight w:val="none"/>
        </w:rPr>
        <w:t>，也可以重新开展政府采购活动。</w:t>
      </w:r>
    </w:p>
    <w:p w14:paraId="5B10F212">
      <w:pPr>
        <w:spacing w:line="520" w:lineRule="exact"/>
        <w:ind w:firstLine="420" w:firstLineChars="175"/>
        <w:rPr>
          <w:rFonts w:hint="eastAsia"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1.4 当出现法规规定的中标无效或中标结果无效情形时，采购人依规可与排名下一位的中标候选人另行签订合同，或依法重新开展</w:t>
      </w:r>
      <w:r>
        <w:rPr>
          <w:rFonts w:ascii="宋体" w:hAnsi="宋体"/>
          <w:color w:val="auto"/>
          <w:sz w:val="24"/>
          <w:highlight w:val="none"/>
        </w:rPr>
        <w:t>采购活动</w:t>
      </w:r>
      <w:r>
        <w:rPr>
          <w:rFonts w:hint="eastAsia" w:ascii="宋体" w:hAnsi="宋体"/>
          <w:color w:val="auto"/>
          <w:sz w:val="24"/>
          <w:highlight w:val="none"/>
        </w:rPr>
        <w:t>。</w:t>
      </w:r>
    </w:p>
    <w:bookmarkEnd w:id="203"/>
    <w:bookmarkEnd w:id="204"/>
    <w:bookmarkEnd w:id="205"/>
    <w:p w14:paraId="401F805D">
      <w:pPr>
        <w:pStyle w:val="4"/>
        <w:keepNext/>
        <w:keepLines/>
        <w:pageBreakBefore w:val="0"/>
        <w:widowControl w:val="0"/>
        <w:kinsoku/>
        <w:wordWrap/>
        <w:overflowPunct/>
        <w:topLinePunct w:val="0"/>
        <w:autoSpaceDE w:val="0"/>
        <w:autoSpaceDN w:val="0"/>
        <w:bidi w:val="0"/>
        <w:adjustRightInd w:val="0"/>
        <w:snapToGrid/>
        <w:spacing w:before="0" w:after="0" w:line="520" w:lineRule="exact"/>
        <w:textAlignment w:val="auto"/>
        <w:rPr>
          <w:color w:val="auto"/>
          <w:highlight w:val="none"/>
        </w:rPr>
      </w:pPr>
      <w:bookmarkStart w:id="206" w:name="_Toc19087105"/>
      <w:bookmarkStart w:id="207" w:name="_Toc30000"/>
      <w:bookmarkStart w:id="208" w:name="_Toc518923097"/>
      <w:r>
        <w:rPr>
          <w:rFonts w:hint="eastAsia"/>
          <w:color w:val="auto"/>
          <w:highlight w:val="none"/>
        </w:rPr>
        <w:t>32.履约保证金</w:t>
      </w:r>
      <w:bookmarkEnd w:id="206"/>
      <w:bookmarkEnd w:id="207"/>
      <w:bookmarkEnd w:id="208"/>
    </w:p>
    <w:p w14:paraId="4A9ADF32">
      <w:pPr>
        <w:spacing w:line="480" w:lineRule="exact"/>
        <w:ind w:firstLine="424" w:firstLineChars="177"/>
        <w:rPr>
          <w:rFonts w:hint="eastAsia" w:ascii="宋体" w:hAnsi="宋体" w:cs="宋体"/>
          <w:color w:val="auto"/>
          <w:sz w:val="24"/>
          <w:highlight w:val="none"/>
        </w:rPr>
      </w:pPr>
      <w:r>
        <w:rPr>
          <w:rFonts w:hint="eastAsia" w:ascii="宋体" w:hAnsi="宋体" w:cs="宋体"/>
          <w:color w:val="auto"/>
          <w:sz w:val="24"/>
          <w:highlight w:val="none"/>
        </w:rPr>
        <w:t>32.1 如果需要履约保证金，</w:t>
      </w:r>
      <w:r>
        <w:rPr>
          <w:rFonts w:hint="eastAsia" w:ascii="宋体" w:hAnsi="宋体" w:cs="宋体"/>
          <w:color w:val="auto"/>
          <w:sz w:val="24"/>
          <w:highlight w:val="none"/>
          <w:lang w:eastAsia="zh-CN"/>
        </w:rPr>
        <w:t>中标人</w:t>
      </w:r>
      <w:r>
        <w:rPr>
          <w:rFonts w:hint="eastAsia" w:ascii="宋体" w:hAnsi="宋体" w:cs="宋体"/>
          <w:color w:val="auto"/>
          <w:sz w:val="24"/>
          <w:highlight w:val="none"/>
        </w:rPr>
        <w:t>应按照</w:t>
      </w:r>
      <w:r>
        <w:rPr>
          <w:rFonts w:hint="eastAsia" w:ascii="宋体" w:hAnsi="宋体"/>
          <w:color w:val="auto"/>
          <w:sz w:val="24"/>
          <w:highlight w:val="none"/>
          <w:u w:val="single"/>
        </w:rPr>
        <w:t>投标人须知资料表中</w:t>
      </w:r>
      <w:r>
        <w:rPr>
          <w:rFonts w:hint="eastAsia" w:ascii="宋体" w:hAnsi="宋体" w:cs="宋体"/>
          <w:color w:val="auto"/>
          <w:sz w:val="24"/>
          <w:highlight w:val="none"/>
        </w:rPr>
        <w:t>规定向采购人缴纳履约保证金。</w:t>
      </w:r>
    </w:p>
    <w:p w14:paraId="1C550ABA">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32.2 政府采购利用担保试点范围内的项目，除32.1规定的情形外，</w:t>
      </w:r>
      <w:r>
        <w:rPr>
          <w:rFonts w:hint="eastAsia" w:ascii="宋体" w:hAnsi="宋体" w:cs="宋体"/>
          <w:color w:val="auto"/>
          <w:sz w:val="24"/>
          <w:highlight w:val="none"/>
          <w:lang w:eastAsia="zh-CN"/>
        </w:rPr>
        <w:t>中标人</w:t>
      </w:r>
      <w:r>
        <w:rPr>
          <w:rFonts w:hint="eastAsia" w:ascii="宋体" w:hAnsi="宋体" w:cs="宋体"/>
          <w:color w:val="auto"/>
          <w:sz w:val="24"/>
          <w:highlight w:val="none"/>
        </w:rPr>
        <w:t>也可以按照财政部门的规定，向采购人提供合格的履约担保函。</w:t>
      </w:r>
    </w:p>
    <w:p w14:paraId="5563F2B0">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32.3 如果</w:t>
      </w:r>
      <w:r>
        <w:rPr>
          <w:rFonts w:hint="eastAsia" w:ascii="宋体" w:hAnsi="宋体" w:cs="宋体"/>
          <w:color w:val="auto"/>
          <w:sz w:val="24"/>
          <w:highlight w:val="none"/>
          <w:lang w:eastAsia="zh-CN"/>
        </w:rPr>
        <w:t>中标人</w:t>
      </w:r>
      <w:r>
        <w:rPr>
          <w:rFonts w:hint="eastAsia" w:ascii="宋体" w:hAnsi="宋体" w:cs="宋体"/>
          <w:color w:val="auto"/>
          <w:sz w:val="24"/>
          <w:highlight w:val="none"/>
        </w:rPr>
        <w:t>没有按照上述履约保证金的规定执行，将视为放弃成交资格，</w:t>
      </w:r>
      <w:r>
        <w:rPr>
          <w:rFonts w:hint="eastAsia" w:ascii="宋体" w:hAnsi="宋体" w:cs="宋体"/>
          <w:color w:val="auto"/>
          <w:sz w:val="24"/>
          <w:highlight w:val="none"/>
          <w:lang w:eastAsia="zh-CN"/>
        </w:rPr>
        <w:t>中标人</w:t>
      </w:r>
      <w:r>
        <w:rPr>
          <w:rFonts w:hint="eastAsia" w:ascii="宋体" w:hAnsi="宋体" w:cs="宋体"/>
          <w:color w:val="auto"/>
          <w:sz w:val="24"/>
          <w:highlight w:val="none"/>
        </w:rPr>
        <w:t>的磋商保证金将不予退还（如有）。在此情况下，采购人可依规确定下一候选人为</w:t>
      </w:r>
      <w:r>
        <w:rPr>
          <w:rFonts w:hint="eastAsia" w:ascii="宋体" w:hAnsi="宋体" w:cs="宋体"/>
          <w:color w:val="auto"/>
          <w:sz w:val="24"/>
          <w:highlight w:val="none"/>
          <w:lang w:eastAsia="zh-CN"/>
        </w:rPr>
        <w:t>中标人</w:t>
      </w:r>
      <w:r>
        <w:rPr>
          <w:rFonts w:hint="eastAsia" w:ascii="宋体" w:hAnsi="宋体" w:cs="宋体"/>
          <w:color w:val="auto"/>
          <w:sz w:val="24"/>
          <w:highlight w:val="none"/>
        </w:rPr>
        <w:t>，也可以重新开展采购活动。</w:t>
      </w:r>
    </w:p>
    <w:p w14:paraId="6289B4CE">
      <w:pPr>
        <w:pStyle w:val="4"/>
        <w:keepNext/>
        <w:keepLines/>
        <w:pageBreakBefore w:val="0"/>
        <w:widowControl w:val="0"/>
        <w:kinsoku/>
        <w:wordWrap/>
        <w:overflowPunct/>
        <w:topLinePunct w:val="0"/>
        <w:autoSpaceDE w:val="0"/>
        <w:autoSpaceDN w:val="0"/>
        <w:bidi w:val="0"/>
        <w:adjustRightInd w:val="0"/>
        <w:snapToGrid/>
        <w:spacing w:before="0" w:after="0" w:line="520" w:lineRule="exact"/>
        <w:textAlignment w:val="auto"/>
        <w:rPr>
          <w:rFonts w:hint="eastAsia" w:cs="Times New Roman"/>
          <w:color w:val="auto"/>
          <w:highlight w:val="none"/>
        </w:rPr>
      </w:pPr>
      <w:bookmarkStart w:id="209" w:name="_Toc30239"/>
      <w:bookmarkStart w:id="210" w:name="_Toc31411"/>
      <w:bookmarkStart w:id="211" w:name="_Toc518923099"/>
      <w:bookmarkStart w:id="212" w:name="_Toc51176617"/>
      <w:r>
        <w:rPr>
          <w:rFonts w:hint="eastAsia" w:cs="Times New Roman"/>
          <w:color w:val="auto"/>
          <w:highlight w:val="none"/>
        </w:rPr>
        <w:t>33.政府采购信用担保</w:t>
      </w:r>
      <w:bookmarkEnd w:id="209"/>
      <w:bookmarkEnd w:id="210"/>
      <w:bookmarkEnd w:id="211"/>
      <w:bookmarkEnd w:id="212"/>
    </w:p>
    <w:p w14:paraId="1B0E0E60">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33.1 本项目是否属于信用担保试点范围见</w:t>
      </w:r>
      <w:r>
        <w:rPr>
          <w:rFonts w:hint="eastAsia" w:ascii="宋体" w:hAnsi="宋体" w:cs="宋体"/>
          <w:color w:val="auto"/>
          <w:sz w:val="24"/>
          <w:highlight w:val="none"/>
          <w:lang w:eastAsia="zh-CN"/>
        </w:rPr>
        <w:t>投标人须知资料表</w:t>
      </w:r>
      <w:r>
        <w:rPr>
          <w:rFonts w:hint="eastAsia" w:ascii="宋体" w:hAnsi="宋体" w:cs="宋体"/>
          <w:color w:val="auto"/>
          <w:sz w:val="24"/>
          <w:highlight w:val="none"/>
        </w:rPr>
        <w:t>。</w:t>
      </w:r>
    </w:p>
    <w:p w14:paraId="15A8526F">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33.2 如属于政府采购信用担保试点范围内，中小型企业</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可以自由按照财政部门的规定，采用磋商担保、履约担保和融资担保。</w:t>
      </w:r>
    </w:p>
    <w:p w14:paraId="650DA7AE">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 xml:space="preserve">33.2.1 </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递交的磋商担保函和履约担保函应符合本</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的规定。</w:t>
      </w:r>
    </w:p>
    <w:p w14:paraId="5C49AE94">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 xml:space="preserve">33.2.2 </w:t>
      </w:r>
      <w:r>
        <w:rPr>
          <w:rFonts w:hint="eastAsia" w:ascii="宋体" w:hAnsi="宋体" w:cs="宋体"/>
          <w:color w:val="auto"/>
          <w:sz w:val="24"/>
          <w:highlight w:val="none"/>
          <w:lang w:eastAsia="zh-CN"/>
        </w:rPr>
        <w:t>中标人</w:t>
      </w:r>
      <w:r>
        <w:rPr>
          <w:rFonts w:hint="eastAsia" w:ascii="宋体" w:hAnsi="宋体" w:cs="宋体"/>
          <w:color w:val="auto"/>
          <w:sz w:val="24"/>
          <w:highlight w:val="none"/>
        </w:rPr>
        <w:t>可以采取融资担保的形式为政府采购项目履约进行融资。</w:t>
      </w:r>
    </w:p>
    <w:p w14:paraId="42ECC125">
      <w:pPr>
        <w:pStyle w:val="4"/>
        <w:keepNext/>
        <w:keepLines/>
        <w:pageBreakBefore w:val="0"/>
        <w:widowControl w:val="0"/>
        <w:kinsoku/>
        <w:wordWrap/>
        <w:overflowPunct/>
        <w:topLinePunct w:val="0"/>
        <w:autoSpaceDE w:val="0"/>
        <w:autoSpaceDN w:val="0"/>
        <w:bidi w:val="0"/>
        <w:adjustRightInd w:val="0"/>
        <w:snapToGrid/>
        <w:spacing w:before="0" w:after="0" w:line="520" w:lineRule="exact"/>
        <w:textAlignment w:val="auto"/>
        <w:rPr>
          <w:rFonts w:hint="eastAsia" w:cs="Times New Roman"/>
          <w:color w:val="auto"/>
          <w:highlight w:val="none"/>
        </w:rPr>
      </w:pPr>
      <w:bookmarkStart w:id="213" w:name="_Toc20350"/>
      <w:bookmarkStart w:id="214" w:name="_Toc4136"/>
      <w:bookmarkStart w:id="215" w:name="_Toc11482"/>
      <w:r>
        <w:rPr>
          <w:rFonts w:hint="eastAsia" w:cs="Times New Roman"/>
          <w:color w:val="auto"/>
          <w:highlight w:val="none"/>
        </w:rPr>
        <w:t>3</w:t>
      </w:r>
      <w:r>
        <w:rPr>
          <w:rFonts w:hint="eastAsia" w:cs="Times New Roman"/>
          <w:color w:val="auto"/>
          <w:highlight w:val="none"/>
          <w:lang w:val="en-US" w:eastAsia="zh-CN"/>
        </w:rPr>
        <w:t>4</w:t>
      </w:r>
      <w:r>
        <w:rPr>
          <w:rFonts w:hint="eastAsia" w:cs="Times New Roman"/>
          <w:color w:val="auto"/>
          <w:highlight w:val="none"/>
        </w:rPr>
        <w:t>.</w:t>
      </w:r>
      <w:bookmarkEnd w:id="213"/>
      <w:r>
        <w:rPr>
          <w:rFonts w:hint="eastAsia" w:cs="Times New Roman"/>
          <w:color w:val="auto"/>
          <w:highlight w:val="none"/>
        </w:rPr>
        <w:t>政府采购合同融资</w:t>
      </w:r>
      <w:bookmarkEnd w:id="214"/>
      <w:bookmarkEnd w:id="215"/>
    </w:p>
    <w:p w14:paraId="29D0D8AC">
      <w:pPr>
        <w:pageBreakBefore w:val="0"/>
        <w:widowControl w:val="0"/>
        <w:kinsoku/>
        <w:wordWrap/>
        <w:overflowPunct/>
        <w:topLinePunct w:val="0"/>
        <w:bidi w:val="0"/>
        <w:snapToGrid/>
        <w:spacing w:line="480" w:lineRule="exact"/>
        <w:ind w:firstLine="424" w:firstLineChars="177"/>
        <w:textAlignment w:val="auto"/>
        <w:rPr>
          <w:rFonts w:ascii="宋体" w:hAnsi="宋体"/>
          <w:color w:val="auto"/>
          <w:sz w:val="24"/>
          <w:highlight w:val="none"/>
        </w:rPr>
      </w:pPr>
      <w:r>
        <w:rPr>
          <w:rFonts w:hint="eastAsia" w:ascii="宋体" w:hAnsi="宋体"/>
          <w:color w:val="auto"/>
          <w:sz w:val="24"/>
          <w:highlight w:val="none"/>
        </w:rPr>
        <w:t>3</w:t>
      </w:r>
      <w:r>
        <w:rPr>
          <w:rFonts w:hint="eastAsia" w:ascii="宋体" w:hAnsi="宋体"/>
          <w:color w:val="auto"/>
          <w:sz w:val="24"/>
          <w:highlight w:val="none"/>
          <w:lang w:val="en-US" w:eastAsia="zh-CN"/>
        </w:rPr>
        <w:t>4</w:t>
      </w:r>
      <w:r>
        <w:rPr>
          <w:rFonts w:hint="eastAsia" w:ascii="宋体" w:hAnsi="宋体"/>
          <w:color w:val="auto"/>
          <w:sz w:val="24"/>
          <w:highlight w:val="none"/>
        </w:rPr>
        <w:t>.1 本</w:t>
      </w:r>
      <w:r>
        <w:rPr>
          <w:rFonts w:ascii="宋体" w:hAnsi="宋体"/>
          <w:color w:val="auto"/>
          <w:sz w:val="24"/>
          <w:highlight w:val="none"/>
        </w:rPr>
        <w:t>项目是否属于</w:t>
      </w:r>
      <w:r>
        <w:rPr>
          <w:rFonts w:hint="eastAsia" w:ascii="宋体" w:hAnsi="宋体"/>
          <w:color w:val="auto"/>
          <w:sz w:val="24"/>
          <w:highlight w:val="none"/>
        </w:rPr>
        <w:t>政府采购合同融资</w:t>
      </w:r>
      <w:r>
        <w:rPr>
          <w:rFonts w:ascii="宋体" w:hAnsi="宋体"/>
          <w:color w:val="auto"/>
          <w:sz w:val="24"/>
          <w:highlight w:val="none"/>
        </w:rPr>
        <w:t>范围</w:t>
      </w:r>
      <w:r>
        <w:rPr>
          <w:rFonts w:hint="eastAsia" w:ascii="宋体" w:hAnsi="宋体"/>
          <w:color w:val="auto"/>
          <w:sz w:val="24"/>
          <w:highlight w:val="none"/>
        </w:rPr>
        <w:t>见</w:t>
      </w:r>
      <w:r>
        <w:rPr>
          <w:rFonts w:hint="eastAsia" w:ascii="宋体" w:hAnsi="宋体"/>
          <w:color w:val="auto"/>
          <w:sz w:val="24"/>
          <w:highlight w:val="none"/>
          <w:u w:val="single"/>
          <w:lang w:val="en-US" w:eastAsia="zh-CN"/>
        </w:rPr>
        <w:t>投标人须知资料表</w:t>
      </w:r>
      <w:r>
        <w:rPr>
          <w:rFonts w:hint="eastAsia" w:ascii="宋体" w:hAnsi="宋体"/>
          <w:color w:val="auto"/>
          <w:sz w:val="24"/>
          <w:highlight w:val="none"/>
        </w:rPr>
        <w:t>。</w:t>
      </w:r>
    </w:p>
    <w:p w14:paraId="034FF9EF">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lang w:val="en-US" w:eastAsia="zh-CN"/>
        </w:rPr>
        <w:t>34.2</w:t>
      </w:r>
      <w:r>
        <w:rPr>
          <w:rFonts w:hint="eastAsia" w:ascii="宋体" w:hAnsi="宋体"/>
          <w:color w:val="auto"/>
          <w:sz w:val="24"/>
          <w:highlight w:val="none"/>
        </w:rPr>
        <w:t xml:space="preserve"> 融资流程</w:t>
      </w:r>
    </w:p>
    <w:p w14:paraId="4783A6C0">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（一）登记融资需求。</w:t>
      </w:r>
      <w:r>
        <w:rPr>
          <w:rFonts w:hint="eastAsia" w:ascii="宋体" w:hAnsi="宋体"/>
          <w:color w:val="auto"/>
          <w:sz w:val="24"/>
          <w:highlight w:val="none"/>
          <w:lang w:eastAsia="zh-CN"/>
        </w:rPr>
        <w:t>投标人</w:t>
      </w:r>
      <w:r>
        <w:rPr>
          <w:rFonts w:hint="eastAsia" w:ascii="宋体" w:hAnsi="宋体"/>
          <w:color w:val="auto"/>
          <w:sz w:val="24"/>
          <w:highlight w:val="none"/>
        </w:rPr>
        <w:t>只需在“山东省政府采购信息公开平台”注册登记即可使用该用户名及密码，通过“山东省政府采购信息公开平台” 一键联通进入“山东省政府采购合同融资与履约保函服务平台”，也可通过扫描二维码方式进入“山东省政府采购合同融资与履约保函服务平台”，根据自身资金需要，填写融资需求，申请融资服务。</w:t>
      </w:r>
    </w:p>
    <w:p w14:paraId="660610FE">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（二）对接资金供需。</w:t>
      </w:r>
      <w:r>
        <w:rPr>
          <w:rFonts w:hint="eastAsia" w:ascii="宋体" w:hAnsi="宋体"/>
          <w:color w:val="auto"/>
          <w:sz w:val="24"/>
          <w:highlight w:val="none"/>
          <w:lang w:eastAsia="zh-CN"/>
        </w:rPr>
        <w:t>投标人</w:t>
      </w:r>
      <w:r>
        <w:rPr>
          <w:rFonts w:hint="eastAsia" w:ascii="宋体" w:hAnsi="宋体"/>
          <w:color w:val="auto"/>
          <w:sz w:val="24"/>
          <w:highlight w:val="none"/>
        </w:rPr>
        <w:t>可以进入“融资超市”自主选择平台展示的金融产品，自主对接金融机构；也可以选择“撮合模式” 由平台合作机构提供融资专业服务。金融机构可以根据</w:t>
      </w:r>
      <w:r>
        <w:rPr>
          <w:rFonts w:hint="eastAsia" w:ascii="宋体" w:hAnsi="宋体"/>
          <w:color w:val="auto"/>
          <w:sz w:val="24"/>
          <w:highlight w:val="none"/>
          <w:lang w:eastAsia="zh-CN"/>
        </w:rPr>
        <w:t>投标人</w:t>
      </w:r>
      <w:r>
        <w:rPr>
          <w:rFonts w:hint="eastAsia" w:ascii="宋体" w:hAnsi="宋体"/>
          <w:color w:val="auto"/>
          <w:sz w:val="24"/>
          <w:highlight w:val="none"/>
        </w:rPr>
        <w:t>的融资需求，主动对接</w:t>
      </w:r>
      <w:r>
        <w:rPr>
          <w:rFonts w:hint="eastAsia" w:ascii="宋体" w:hAnsi="宋体"/>
          <w:color w:val="auto"/>
          <w:sz w:val="24"/>
          <w:highlight w:val="none"/>
          <w:lang w:eastAsia="zh-CN"/>
        </w:rPr>
        <w:t>投标人</w:t>
      </w:r>
      <w:r>
        <w:rPr>
          <w:rFonts w:hint="eastAsia" w:ascii="宋体" w:hAnsi="宋体"/>
          <w:color w:val="auto"/>
          <w:sz w:val="24"/>
          <w:highlight w:val="none"/>
        </w:rPr>
        <w:t>，平台同步将融资信息和信用报告与合作金融机构和政府性融资担保机构共享，由政府性融资担保机构提供担保。</w:t>
      </w:r>
    </w:p>
    <w:p w14:paraId="7B048383">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（三）完成授信审批。金融机构提高贷前风险筛查效率，确保在</w:t>
      </w:r>
      <w:r>
        <w:rPr>
          <w:rFonts w:hint="eastAsia" w:ascii="宋体" w:hAnsi="宋体"/>
          <w:color w:val="auto"/>
          <w:sz w:val="24"/>
          <w:highlight w:val="none"/>
          <w:lang w:eastAsia="zh-CN"/>
        </w:rPr>
        <w:t>投标人</w:t>
      </w:r>
      <w:r>
        <w:rPr>
          <w:rFonts w:hint="eastAsia" w:ascii="宋体" w:hAnsi="宋体"/>
          <w:color w:val="auto"/>
          <w:sz w:val="24"/>
          <w:highlight w:val="none"/>
        </w:rPr>
        <w:t>合同签订前，完成对目标客户贷款的授信审批。届时，</w:t>
      </w:r>
      <w:r>
        <w:rPr>
          <w:rFonts w:hint="eastAsia" w:ascii="宋体" w:hAnsi="宋体"/>
          <w:color w:val="auto"/>
          <w:sz w:val="24"/>
          <w:highlight w:val="none"/>
          <w:lang w:eastAsia="zh-CN"/>
        </w:rPr>
        <w:t>中标人</w:t>
      </w:r>
      <w:r>
        <w:rPr>
          <w:rFonts w:hint="eastAsia" w:ascii="宋体" w:hAnsi="宋体"/>
          <w:color w:val="auto"/>
          <w:sz w:val="24"/>
          <w:highlight w:val="none"/>
        </w:rPr>
        <w:t>将依据政府采购合同获取合同融资服务。</w:t>
      </w:r>
    </w:p>
    <w:p w14:paraId="4B1D4F64">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（四）锁定合同账号。对</w:t>
      </w:r>
      <w:r>
        <w:rPr>
          <w:rFonts w:hint="eastAsia" w:ascii="宋体" w:hAnsi="宋体"/>
          <w:color w:val="auto"/>
          <w:sz w:val="24"/>
          <w:highlight w:val="none"/>
          <w:lang w:eastAsia="zh-CN"/>
        </w:rPr>
        <w:t>投标人</w:t>
      </w:r>
      <w:r>
        <w:rPr>
          <w:rFonts w:hint="eastAsia" w:ascii="宋体" w:hAnsi="宋体"/>
          <w:color w:val="auto"/>
          <w:sz w:val="24"/>
          <w:highlight w:val="none"/>
        </w:rPr>
        <w:t>以政府采购合同信用获得的融资项目，贷款金融机构应在“融资平台”对相应的政府采购合同进行确认并填报相关信息，平台将信息回传“山东省政府采购信息公开平台”。采购人对已进行融资抵押的政府采购合同，未经相关贷款银行同意不得随意变更合同中的银行账号。</w:t>
      </w:r>
    </w:p>
    <w:p w14:paraId="44B3F897">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（五）资金即时到账。金融机构提前办理完善</w:t>
      </w:r>
      <w:r>
        <w:rPr>
          <w:rFonts w:hint="eastAsia" w:ascii="宋体" w:hAnsi="宋体"/>
          <w:color w:val="auto"/>
          <w:sz w:val="24"/>
          <w:highlight w:val="none"/>
          <w:lang w:eastAsia="zh-CN"/>
        </w:rPr>
        <w:t>投标人</w:t>
      </w:r>
      <w:r>
        <w:rPr>
          <w:rFonts w:hint="eastAsia" w:ascii="宋体" w:hAnsi="宋体"/>
          <w:color w:val="auto"/>
          <w:sz w:val="24"/>
          <w:highlight w:val="none"/>
        </w:rPr>
        <w:t>融资所需各项审批手续，待</w:t>
      </w:r>
      <w:r>
        <w:rPr>
          <w:rFonts w:hint="eastAsia" w:ascii="宋体" w:hAnsi="宋体"/>
          <w:color w:val="auto"/>
          <w:sz w:val="24"/>
          <w:highlight w:val="none"/>
          <w:lang w:eastAsia="zh-CN"/>
        </w:rPr>
        <w:t>投标人</w:t>
      </w:r>
      <w:r>
        <w:rPr>
          <w:rFonts w:hint="eastAsia" w:ascii="宋体" w:hAnsi="宋体"/>
          <w:color w:val="auto"/>
          <w:sz w:val="24"/>
          <w:highlight w:val="none"/>
        </w:rPr>
        <w:t>与采购人签订政府采购合同后，随即向</w:t>
      </w:r>
      <w:r>
        <w:rPr>
          <w:rFonts w:hint="eastAsia" w:ascii="宋体" w:hAnsi="宋体"/>
          <w:color w:val="auto"/>
          <w:sz w:val="24"/>
          <w:highlight w:val="none"/>
          <w:lang w:eastAsia="zh-CN"/>
        </w:rPr>
        <w:t>投标人</w:t>
      </w:r>
      <w:r>
        <w:rPr>
          <w:rFonts w:hint="eastAsia" w:ascii="宋体" w:hAnsi="宋体"/>
          <w:color w:val="auto"/>
          <w:sz w:val="24"/>
          <w:highlight w:val="none"/>
        </w:rPr>
        <w:t>账号发放贷款，确保</w:t>
      </w:r>
      <w:r>
        <w:rPr>
          <w:rFonts w:hint="eastAsia" w:ascii="宋体" w:hAnsi="宋体"/>
          <w:color w:val="auto"/>
          <w:sz w:val="24"/>
          <w:highlight w:val="none"/>
          <w:lang w:eastAsia="zh-CN"/>
        </w:rPr>
        <w:t>投标人</w:t>
      </w:r>
      <w:r>
        <w:rPr>
          <w:rFonts w:hint="eastAsia" w:ascii="宋体" w:hAnsi="宋体"/>
          <w:color w:val="auto"/>
          <w:sz w:val="24"/>
          <w:highlight w:val="none"/>
        </w:rPr>
        <w:t>资金需求及时到位。</w:t>
      </w:r>
    </w:p>
    <w:p w14:paraId="5116A78D">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lang w:val="en-US" w:eastAsia="zh-CN"/>
        </w:rPr>
        <w:t xml:space="preserve">34.3 </w:t>
      </w:r>
      <w:r>
        <w:rPr>
          <w:rFonts w:hint="eastAsia" w:ascii="宋体" w:hAnsi="宋体"/>
          <w:color w:val="auto"/>
          <w:sz w:val="24"/>
          <w:highlight w:val="none"/>
        </w:rPr>
        <w:t>配合政府采购合同融资工作。采购人做好</w:t>
      </w:r>
      <w:r>
        <w:rPr>
          <w:rFonts w:hint="eastAsia" w:ascii="宋体" w:hAnsi="宋体"/>
          <w:color w:val="auto"/>
          <w:sz w:val="24"/>
          <w:highlight w:val="none"/>
          <w:lang w:eastAsia="zh-CN"/>
        </w:rPr>
        <w:t>投标人</w:t>
      </w:r>
      <w:r>
        <w:rPr>
          <w:rFonts w:hint="eastAsia" w:ascii="宋体" w:hAnsi="宋体"/>
          <w:color w:val="auto"/>
          <w:sz w:val="24"/>
          <w:highlight w:val="none"/>
        </w:rPr>
        <w:t>通过政府采购合同融资的配合工作，协助</w:t>
      </w:r>
      <w:r>
        <w:rPr>
          <w:rFonts w:hint="eastAsia" w:ascii="宋体" w:hAnsi="宋体"/>
          <w:color w:val="auto"/>
          <w:sz w:val="24"/>
          <w:highlight w:val="none"/>
          <w:lang w:eastAsia="zh-CN"/>
        </w:rPr>
        <w:t>投标人</w:t>
      </w:r>
      <w:r>
        <w:rPr>
          <w:rFonts w:hint="eastAsia" w:ascii="宋体" w:hAnsi="宋体"/>
          <w:color w:val="auto"/>
          <w:sz w:val="24"/>
          <w:highlight w:val="none"/>
        </w:rPr>
        <w:t>根据融资需要及时变更合同账号，对已进行融资抵押的政府合同锁定账号。</w:t>
      </w:r>
    </w:p>
    <w:p w14:paraId="5DC3090B">
      <w:pPr>
        <w:pStyle w:val="4"/>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rPr>
      </w:pPr>
      <w:bookmarkStart w:id="216" w:name="_Toc518923098"/>
      <w:bookmarkStart w:id="217" w:name="_Toc19016170"/>
      <w:bookmarkStart w:id="218" w:name="_Toc19087106"/>
      <w:bookmarkStart w:id="219" w:name="_Toc26769"/>
      <w:bookmarkStart w:id="220" w:name="_Toc322"/>
      <w:bookmarkStart w:id="221" w:name="_Toc518923100"/>
      <w:r>
        <w:rPr>
          <w:rFonts w:hint="eastAsia" w:hAnsi="宋体" w:cs="宋体"/>
          <w:color w:val="auto"/>
          <w:highlight w:val="none"/>
          <w:u w:val="none"/>
        </w:rPr>
        <w:t>3</w:t>
      </w:r>
      <w:r>
        <w:rPr>
          <w:rFonts w:hint="eastAsia" w:hAnsi="宋体" w:cs="宋体"/>
          <w:color w:val="auto"/>
          <w:highlight w:val="none"/>
          <w:u w:val="none"/>
          <w:lang w:val="en-US" w:eastAsia="zh-CN"/>
        </w:rPr>
        <w:t>5</w:t>
      </w:r>
      <w:r>
        <w:rPr>
          <w:rFonts w:hint="eastAsia" w:hAnsi="宋体" w:cs="宋体"/>
          <w:color w:val="auto"/>
          <w:highlight w:val="none"/>
          <w:u w:val="none"/>
        </w:rPr>
        <w:t>.</w:t>
      </w:r>
      <w:bookmarkEnd w:id="216"/>
      <w:r>
        <w:rPr>
          <w:rFonts w:hint="eastAsia" w:hAnsi="宋体" w:cs="宋体"/>
          <w:color w:val="auto"/>
          <w:highlight w:val="none"/>
          <w:u w:val="none"/>
        </w:rPr>
        <w:t>预付款</w:t>
      </w:r>
      <w:bookmarkEnd w:id="217"/>
      <w:bookmarkEnd w:id="218"/>
      <w:bookmarkEnd w:id="219"/>
      <w:bookmarkEnd w:id="220"/>
    </w:p>
    <w:p w14:paraId="7579E374">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.1</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预付款是在指政府采购合同签订后、履行前，采购人向</w:t>
      </w:r>
      <w:r>
        <w:rPr>
          <w:rFonts w:hint="eastAsia" w:ascii="宋体" w:hAnsi="宋体" w:cs="宋体"/>
          <w:color w:val="auto"/>
          <w:sz w:val="24"/>
          <w:highlight w:val="none"/>
          <w:lang w:eastAsia="zh-CN"/>
        </w:rPr>
        <w:t>中标人</w:t>
      </w:r>
      <w:r>
        <w:rPr>
          <w:rFonts w:hint="eastAsia" w:ascii="宋体" w:hAnsi="宋体" w:cs="宋体"/>
          <w:color w:val="auto"/>
          <w:sz w:val="24"/>
          <w:highlight w:val="none"/>
        </w:rPr>
        <w:t>预先支付部分合同款项，预付款比例按照</w:t>
      </w:r>
      <w:r>
        <w:rPr>
          <w:rFonts w:hint="eastAsia" w:ascii="宋体" w:hAnsi="宋体" w:cs="宋体"/>
          <w:color w:val="auto"/>
          <w:sz w:val="24"/>
          <w:highlight w:val="none"/>
          <w:u w:val="single"/>
          <w:lang w:eastAsia="zh-CN"/>
        </w:rPr>
        <w:t>投标人须知资料表</w:t>
      </w:r>
      <w:r>
        <w:rPr>
          <w:rFonts w:hint="eastAsia" w:ascii="宋体" w:hAnsi="宋体" w:cs="宋体"/>
          <w:color w:val="auto"/>
          <w:sz w:val="24"/>
          <w:highlight w:val="none"/>
        </w:rPr>
        <w:t>规定执行。</w:t>
      </w:r>
    </w:p>
    <w:p w14:paraId="472793BC">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.2</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本项目采购人不需要支付预付款的情形，见</w:t>
      </w:r>
      <w:r>
        <w:rPr>
          <w:rFonts w:hint="eastAsia" w:ascii="宋体" w:hAnsi="宋体" w:cs="宋体"/>
          <w:color w:val="auto"/>
          <w:sz w:val="24"/>
          <w:highlight w:val="none"/>
          <w:u w:val="single"/>
          <w:lang w:eastAsia="zh-CN"/>
        </w:rPr>
        <w:t>投标人须知资料表</w:t>
      </w:r>
      <w:r>
        <w:rPr>
          <w:rFonts w:hint="eastAsia" w:ascii="宋体" w:hAnsi="宋体" w:cs="宋体"/>
          <w:color w:val="auto"/>
          <w:sz w:val="24"/>
          <w:highlight w:val="none"/>
        </w:rPr>
        <w:t>。</w:t>
      </w:r>
    </w:p>
    <w:p w14:paraId="557916AB">
      <w:pPr>
        <w:pStyle w:val="4"/>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rPr>
      </w:pPr>
      <w:bookmarkStart w:id="222" w:name="_Toc794"/>
      <w:bookmarkStart w:id="223" w:name="_Toc27311"/>
      <w:bookmarkStart w:id="224" w:name="_Toc19087107"/>
      <w:r>
        <w:rPr>
          <w:rFonts w:hint="eastAsia" w:hAnsi="宋体" w:cs="宋体"/>
          <w:color w:val="auto"/>
          <w:highlight w:val="none"/>
          <w:u w:val="none"/>
        </w:rPr>
        <w:t>3</w:t>
      </w:r>
      <w:r>
        <w:rPr>
          <w:rFonts w:hint="eastAsia" w:hAnsi="宋体" w:cs="宋体"/>
          <w:color w:val="auto"/>
          <w:highlight w:val="none"/>
          <w:u w:val="none"/>
          <w:lang w:val="en-US" w:eastAsia="zh-CN"/>
        </w:rPr>
        <w:t>6</w:t>
      </w:r>
      <w:r>
        <w:rPr>
          <w:rFonts w:hint="eastAsia" w:hAnsi="宋体" w:cs="宋体"/>
          <w:color w:val="auto"/>
          <w:highlight w:val="none"/>
          <w:u w:val="none"/>
        </w:rPr>
        <w:t>.廉洁自律规定</w:t>
      </w:r>
      <w:bookmarkEnd w:id="221"/>
      <w:bookmarkEnd w:id="222"/>
      <w:bookmarkEnd w:id="223"/>
      <w:bookmarkEnd w:id="224"/>
    </w:p>
    <w:p w14:paraId="291DC8E6">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.1 采购代理机构工作人员不得与采购人、</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恶意串通操纵政府采购活动。</w:t>
      </w:r>
    </w:p>
    <w:p w14:paraId="61A3E15F">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.2 采购代理机构工作人员不得接受采购人或者</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组织的宴请、旅游、娱乐，不得收受礼品、现金、有价证券等，不得向采购人或者</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报销应当由个人承担的费用。</w:t>
      </w:r>
    </w:p>
    <w:p w14:paraId="160B04E9">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.3 为强化采购代理机构内部监督机制，</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可按</w:t>
      </w:r>
      <w:r>
        <w:rPr>
          <w:rFonts w:hint="eastAsia" w:ascii="宋体" w:hAnsi="宋体" w:cs="宋体"/>
          <w:color w:val="auto"/>
          <w:sz w:val="24"/>
          <w:highlight w:val="none"/>
          <w:u w:val="single"/>
          <w:lang w:eastAsia="zh-CN"/>
        </w:rPr>
        <w:t>投标人须知资料表</w:t>
      </w:r>
      <w:r>
        <w:rPr>
          <w:rFonts w:hint="eastAsia" w:ascii="宋体" w:hAnsi="宋体" w:cs="宋体"/>
          <w:color w:val="auto"/>
          <w:sz w:val="24"/>
          <w:highlight w:val="none"/>
        </w:rPr>
        <w:t>中的监督电话和邮箱，反映采购代理机构的廉洁自律等问题。</w:t>
      </w:r>
    </w:p>
    <w:p w14:paraId="3DE8A2AC">
      <w:pPr>
        <w:pStyle w:val="4"/>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rPr>
      </w:pPr>
      <w:bookmarkStart w:id="225" w:name="_Toc518923101"/>
      <w:bookmarkStart w:id="226" w:name="_Toc3817"/>
      <w:bookmarkStart w:id="227" w:name="_Toc18732"/>
      <w:bookmarkStart w:id="228" w:name="_Toc19087108"/>
      <w:r>
        <w:rPr>
          <w:rFonts w:hint="eastAsia" w:hAnsi="宋体" w:cs="宋体"/>
          <w:color w:val="auto"/>
          <w:highlight w:val="none"/>
          <w:u w:val="none"/>
        </w:rPr>
        <w:t>3</w:t>
      </w:r>
      <w:r>
        <w:rPr>
          <w:rFonts w:hint="eastAsia" w:hAnsi="宋体" w:cs="宋体"/>
          <w:color w:val="auto"/>
          <w:highlight w:val="none"/>
          <w:u w:val="none"/>
          <w:lang w:val="en-US" w:eastAsia="zh-CN"/>
        </w:rPr>
        <w:t>7</w:t>
      </w:r>
      <w:r>
        <w:rPr>
          <w:rFonts w:hint="eastAsia" w:hAnsi="宋体" w:cs="宋体"/>
          <w:color w:val="auto"/>
          <w:highlight w:val="none"/>
          <w:u w:val="none"/>
        </w:rPr>
        <w:t>.人员回避</w:t>
      </w:r>
      <w:bookmarkEnd w:id="225"/>
      <w:bookmarkEnd w:id="226"/>
      <w:bookmarkEnd w:id="227"/>
      <w:bookmarkEnd w:id="228"/>
    </w:p>
    <w:p w14:paraId="62E43C79">
      <w:pPr>
        <w:pageBreakBefore w:val="0"/>
        <w:widowControl w:val="0"/>
        <w:kinsoku/>
        <w:wordWrap/>
        <w:overflowPunct/>
        <w:topLinePunct w:val="0"/>
        <w:bidi w:val="0"/>
        <w:snapToGrid/>
        <w:spacing w:line="48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潜在</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认为</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使自己的权益受到损害的，</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认为采购人员、采购代理机构工作人员及其相关人员有法律法规所列与其他</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有利害关系的，可以向采购人或采购代理机构书面提出回避申请，并说明理由。</w:t>
      </w:r>
    </w:p>
    <w:p w14:paraId="04E4A095">
      <w:pPr>
        <w:pStyle w:val="4"/>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rPr>
      </w:pPr>
      <w:bookmarkStart w:id="229" w:name="_Toc17708"/>
      <w:bookmarkStart w:id="230" w:name="_Toc518923102"/>
      <w:bookmarkStart w:id="231" w:name="_Toc12632"/>
      <w:bookmarkStart w:id="232" w:name="_Toc19087109"/>
      <w:r>
        <w:rPr>
          <w:rFonts w:hint="eastAsia" w:hAnsi="宋体" w:cs="宋体"/>
          <w:color w:val="auto"/>
          <w:highlight w:val="none"/>
          <w:u w:val="none"/>
        </w:rPr>
        <w:t>3</w:t>
      </w:r>
      <w:r>
        <w:rPr>
          <w:rFonts w:hint="eastAsia" w:hAnsi="宋体" w:cs="宋体"/>
          <w:color w:val="auto"/>
          <w:highlight w:val="none"/>
          <w:u w:val="none"/>
          <w:lang w:val="en-US" w:eastAsia="zh-CN"/>
        </w:rPr>
        <w:t>8</w:t>
      </w:r>
      <w:r>
        <w:rPr>
          <w:rFonts w:hint="eastAsia" w:hAnsi="宋体" w:cs="宋体"/>
          <w:color w:val="auto"/>
          <w:highlight w:val="none"/>
          <w:u w:val="none"/>
        </w:rPr>
        <w:t>.质疑与接收</w:t>
      </w:r>
      <w:bookmarkEnd w:id="229"/>
      <w:bookmarkEnd w:id="230"/>
      <w:bookmarkEnd w:id="231"/>
      <w:bookmarkEnd w:id="232"/>
    </w:p>
    <w:p w14:paraId="0A92E5AF">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.1</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认为</w:t>
      </w: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招标</w:t>
      </w:r>
      <w:r>
        <w:rPr>
          <w:rFonts w:hint="eastAsia" w:ascii="宋体" w:hAnsi="宋体" w:cs="宋体"/>
          <w:color w:val="auto"/>
          <w:sz w:val="24"/>
          <w:highlight w:val="none"/>
        </w:rPr>
        <w:t>过程和</w:t>
      </w:r>
      <w:r>
        <w:rPr>
          <w:rFonts w:hint="eastAsia" w:ascii="宋体" w:hAnsi="宋体" w:cs="宋体"/>
          <w:color w:val="auto"/>
          <w:sz w:val="24"/>
          <w:highlight w:val="none"/>
          <w:lang w:val="en-US" w:eastAsia="zh-CN"/>
        </w:rPr>
        <w:t>中标</w:t>
      </w:r>
      <w:r>
        <w:rPr>
          <w:rFonts w:hint="eastAsia" w:ascii="宋体" w:hAnsi="宋体" w:cs="宋体"/>
          <w:color w:val="auto"/>
          <w:sz w:val="24"/>
          <w:highlight w:val="none"/>
        </w:rPr>
        <w:t>结果使自己的权益受到损害的，可以根据《中华人民共和国政府采购法》、《中华人民共和国政府采购法实施条例》和《政府采购质疑和投诉办法》的有关规定，依法向采购人或其委托的采购代理机构提出质疑。</w:t>
      </w:r>
    </w:p>
    <w:p w14:paraId="0DA64C7D">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.2  质疑</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应按照财政部制定的《政府采购质疑函范本》格式（可从财政部官方网站下载）和《政府采购质疑和投诉办法》的要求，在法定质疑期内以书面形式提出质疑，针对同一采购程序环节的质疑应一次性提出。</w:t>
      </w:r>
    </w:p>
    <w:p w14:paraId="0494F633">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超出法定质疑期的、重复提出的、分次提出的或内容、形式不符合《政府采购质疑和投诉办法》的，质疑</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将依法承担不利后果。</w:t>
      </w:r>
    </w:p>
    <w:p w14:paraId="6C18D68F">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u w:val="singl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.3 采购人或采购代理机构质疑函接收部门、联系电话和通讯地址, 见</w:t>
      </w:r>
      <w:r>
        <w:rPr>
          <w:rFonts w:hint="eastAsia" w:ascii="宋体" w:hAnsi="宋体" w:cs="宋体"/>
          <w:color w:val="auto"/>
          <w:sz w:val="24"/>
          <w:highlight w:val="none"/>
          <w:u w:val="single"/>
          <w:lang w:eastAsia="zh-CN"/>
        </w:rPr>
        <w:t>投标人须知资料表</w:t>
      </w:r>
      <w:r>
        <w:rPr>
          <w:rFonts w:hint="eastAsia" w:ascii="宋体" w:hAnsi="宋体" w:cs="宋体"/>
          <w:color w:val="auto"/>
          <w:sz w:val="24"/>
          <w:highlight w:val="none"/>
          <w:u w:val="single"/>
        </w:rPr>
        <w:t>。</w:t>
      </w:r>
    </w:p>
    <w:p w14:paraId="130805E1">
      <w:pPr>
        <w:pStyle w:val="4"/>
        <w:pageBreakBefore w:val="0"/>
        <w:widowControl w:val="0"/>
        <w:kinsoku/>
        <w:wordWrap/>
        <w:overflowPunct/>
        <w:topLinePunct w:val="0"/>
        <w:bidi w:val="0"/>
        <w:snapToGrid/>
        <w:spacing w:before="0" w:after="0" w:line="480" w:lineRule="exact"/>
        <w:textAlignment w:val="auto"/>
        <w:rPr>
          <w:rFonts w:hAnsi="宋体" w:cs="宋体"/>
          <w:color w:val="auto"/>
          <w:highlight w:val="none"/>
        </w:rPr>
      </w:pPr>
      <w:bookmarkStart w:id="233" w:name="_Toc4478"/>
      <w:bookmarkStart w:id="234" w:name="_Toc51176622"/>
      <w:bookmarkStart w:id="235" w:name="_Toc12826"/>
      <w:r>
        <w:rPr>
          <w:rFonts w:hint="eastAsia" w:hAnsi="宋体" w:cs="宋体"/>
          <w:color w:val="auto"/>
          <w:highlight w:val="none"/>
        </w:rPr>
        <w:t>3</w:t>
      </w:r>
      <w:r>
        <w:rPr>
          <w:rFonts w:hint="eastAsia" w:hAnsi="宋体" w:cs="宋体"/>
          <w:color w:val="auto"/>
          <w:highlight w:val="none"/>
          <w:lang w:val="en-US" w:eastAsia="zh-CN"/>
        </w:rPr>
        <w:t>9</w:t>
      </w:r>
      <w:r>
        <w:rPr>
          <w:rFonts w:hint="eastAsia" w:hAnsi="宋体" w:cs="宋体"/>
          <w:color w:val="auto"/>
          <w:highlight w:val="none"/>
        </w:rPr>
        <w:t>.项目其他相关费用</w:t>
      </w:r>
      <w:bookmarkEnd w:id="233"/>
      <w:bookmarkEnd w:id="234"/>
      <w:bookmarkEnd w:id="235"/>
    </w:p>
    <w:p w14:paraId="1FF067D5">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lang w:eastAsia="zh-CN"/>
        </w:rPr>
      </w:pPr>
      <w:bookmarkStart w:id="236" w:name="_Toc411637995"/>
      <w:r>
        <w:rPr>
          <w:rFonts w:hint="eastAsia" w:ascii="宋体" w:hAnsi="宋体" w:cs="宋体"/>
          <w:color w:val="auto"/>
          <w:sz w:val="24"/>
          <w:highlight w:val="none"/>
        </w:rPr>
        <w:t>3</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 xml:space="preserve">.1 </w:t>
      </w:r>
      <w:bookmarkEnd w:id="236"/>
      <w:r>
        <w:rPr>
          <w:rFonts w:hint="eastAsia" w:ascii="宋体" w:hAnsi="宋体" w:cs="宋体"/>
          <w:color w:val="auto"/>
          <w:sz w:val="24"/>
          <w:highlight w:val="none"/>
          <w:lang w:eastAsia="zh-CN"/>
        </w:rPr>
        <w:t>中标服务费</w:t>
      </w:r>
    </w:p>
    <w:p w14:paraId="332370EB">
      <w:pPr>
        <w:pageBreakBefore w:val="0"/>
        <w:widowControl w:val="0"/>
        <w:kinsoku/>
        <w:wordWrap/>
        <w:overflowPunct/>
        <w:topLinePunct w:val="0"/>
        <w:bidi w:val="0"/>
        <w:snapToGrid/>
        <w:spacing w:line="480" w:lineRule="exact"/>
        <w:ind w:left="630" w:leftChars="300"/>
        <w:textAlignment w:val="auto"/>
        <w:rPr>
          <w:rFonts w:ascii="宋体" w:hAnsi="宋体" w:cs="宋体"/>
          <w:color w:val="auto"/>
          <w:sz w:val="24"/>
          <w:highlight w:val="none"/>
        </w:rPr>
      </w:pPr>
      <w:r>
        <w:rPr>
          <w:rFonts w:hint="eastAsia" w:ascii="宋体" w:hAnsi="宋体" w:cs="宋体"/>
          <w:color w:val="auto"/>
          <w:sz w:val="24"/>
          <w:highlight w:val="none"/>
          <w:lang w:eastAsia="zh-CN"/>
        </w:rPr>
        <w:t>中标服务费</w:t>
      </w:r>
      <w:r>
        <w:rPr>
          <w:rFonts w:hint="eastAsia" w:ascii="宋体" w:hAnsi="宋体" w:cs="宋体"/>
          <w:color w:val="auto"/>
          <w:sz w:val="24"/>
          <w:highlight w:val="none"/>
        </w:rPr>
        <w:t>收取标准：</w:t>
      </w:r>
      <w:r>
        <w:rPr>
          <w:rFonts w:hint="eastAsia" w:ascii="宋体" w:hAnsi="宋体" w:cs="宋体"/>
          <w:color w:val="auto"/>
          <w:sz w:val="24"/>
          <w:highlight w:val="none"/>
          <w:u w:val="single"/>
        </w:rPr>
        <w:t>见</w:t>
      </w:r>
      <w:r>
        <w:rPr>
          <w:rFonts w:hint="eastAsia" w:ascii="宋体" w:hAnsi="宋体" w:cs="宋体"/>
          <w:color w:val="auto"/>
          <w:sz w:val="24"/>
          <w:highlight w:val="none"/>
          <w:u w:val="single"/>
          <w:lang w:eastAsia="zh-CN"/>
        </w:rPr>
        <w:t>投标人须知资料表</w:t>
      </w:r>
      <w:r>
        <w:rPr>
          <w:rFonts w:hint="eastAsia" w:ascii="宋体" w:hAnsi="宋体" w:cs="宋体"/>
          <w:color w:val="auto"/>
          <w:sz w:val="24"/>
          <w:highlight w:val="none"/>
          <w:u w:val="single"/>
        </w:rPr>
        <w:t>。</w:t>
      </w:r>
    </w:p>
    <w:p w14:paraId="2DE0A63E">
      <w:pPr>
        <w:pageBreakBefore w:val="0"/>
        <w:widowControl w:val="0"/>
        <w:kinsoku/>
        <w:wordWrap/>
        <w:overflowPunct/>
        <w:topLinePunct w:val="0"/>
        <w:bidi w:val="0"/>
        <w:snapToGrid/>
        <w:spacing w:line="480" w:lineRule="exact"/>
        <w:textAlignment w:val="auto"/>
        <w:rPr>
          <w:rFonts w:ascii="宋体" w:hAnsi="宋体" w:cs="宋体"/>
          <w:color w:val="auto"/>
          <w:sz w:val="24"/>
          <w:highlight w:val="none"/>
        </w:rPr>
      </w:pPr>
      <w:bookmarkStart w:id="237" w:name="_Toc411637996"/>
      <w:r>
        <w:rPr>
          <w:rFonts w:hint="eastAsia" w:ascii="宋体" w:hAnsi="宋体" w:cs="宋体"/>
          <w:color w:val="auto"/>
          <w:sz w:val="24"/>
          <w:highlight w:val="none"/>
        </w:rPr>
        <w:t>3</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 xml:space="preserve">.2 </w:t>
      </w:r>
      <w:bookmarkEnd w:id="237"/>
      <w:r>
        <w:rPr>
          <w:rFonts w:hint="eastAsia" w:ascii="宋体" w:hAnsi="宋体" w:cs="宋体"/>
          <w:color w:val="auto"/>
          <w:sz w:val="24"/>
          <w:highlight w:val="none"/>
        </w:rPr>
        <w:t xml:space="preserve"> 政府采购专家评审费</w:t>
      </w:r>
    </w:p>
    <w:p w14:paraId="15D22237">
      <w:pPr>
        <w:pageBreakBefore w:val="0"/>
        <w:widowControl w:val="0"/>
        <w:kinsoku/>
        <w:wordWrap/>
        <w:overflowPunct/>
        <w:topLinePunct w:val="0"/>
        <w:bidi w:val="0"/>
        <w:snapToGrid/>
        <w:spacing w:line="480" w:lineRule="exact"/>
        <w:ind w:firstLine="600" w:firstLineChars="250"/>
        <w:textAlignment w:val="auto"/>
        <w:rPr>
          <w:rFonts w:ascii="宋体" w:hAnsi="宋体" w:cs="宋体"/>
          <w:color w:val="auto"/>
          <w:sz w:val="24"/>
          <w:highlight w:val="none"/>
        </w:rPr>
      </w:pPr>
      <w:r>
        <w:rPr>
          <w:rFonts w:hint="eastAsia" w:ascii="宋体" w:hAnsi="宋体" w:cs="宋体"/>
          <w:color w:val="auto"/>
          <w:sz w:val="24"/>
          <w:highlight w:val="none"/>
        </w:rPr>
        <w:t>由采购人承担，按照山东省有关规定的标准执行。</w:t>
      </w:r>
    </w:p>
    <w:p w14:paraId="1AF0C860">
      <w:pPr>
        <w:pStyle w:val="4"/>
        <w:pageBreakBefore w:val="0"/>
        <w:widowControl w:val="0"/>
        <w:kinsoku/>
        <w:wordWrap/>
        <w:overflowPunct/>
        <w:topLinePunct w:val="0"/>
        <w:bidi w:val="0"/>
        <w:snapToGrid/>
        <w:spacing w:before="0" w:after="0" w:line="480" w:lineRule="exact"/>
        <w:textAlignment w:val="auto"/>
        <w:rPr>
          <w:rFonts w:hAnsi="宋体" w:cs="宋体"/>
          <w:color w:val="auto"/>
          <w:szCs w:val="28"/>
          <w:highlight w:val="none"/>
        </w:rPr>
      </w:pPr>
      <w:bookmarkStart w:id="238" w:name="_Toc51176623"/>
      <w:bookmarkStart w:id="239" w:name="_Toc30578"/>
      <w:bookmarkStart w:id="240" w:name="_Toc10917"/>
      <w:r>
        <w:rPr>
          <w:rFonts w:hint="eastAsia" w:hAnsi="宋体" w:cs="宋体"/>
          <w:color w:val="auto"/>
          <w:szCs w:val="28"/>
          <w:highlight w:val="none"/>
          <w:lang w:val="en-US" w:eastAsia="zh-CN"/>
        </w:rPr>
        <w:t>40</w:t>
      </w:r>
      <w:r>
        <w:rPr>
          <w:rFonts w:hint="eastAsia" w:hAnsi="宋体" w:cs="宋体"/>
          <w:color w:val="auto"/>
          <w:highlight w:val="none"/>
        </w:rPr>
        <w:t>.</w:t>
      </w:r>
      <w:r>
        <w:rPr>
          <w:rFonts w:hint="eastAsia" w:hAnsi="宋体" w:cs="宋体"/>
          <w:color w:val="auto"/>
          <w:szCs w:val="28"/>
          <w:highlight w:val="none"/>
          <w:lang w:eastAsia="zh-CN"/>
        </w:rPr>
        <w:t>招标文件</w:t>
      </w:r>
      <w:r>
        <w:rPr>
          <w:rFonts w:hint="eastAsia" w:hAnsi="宋体" w:cs="宋体"/>
          <w:color w:val="auto"/>
          <w:szCs w:val="28"/>
          <w:highlight w:val="none"/>
        </w:rPr>
        <w:t>解释权</w:t>
      </w:r>
      <w:bookmarkEnd w:id="238"/>
      <w:bookmarkEnd w:id="239"/>
      <w:bookmarkEnd w:id="240"/>
    </w:p>
    <w:p w14:paraId="757043C4">
      <w:pPr>
        <w:pageBreakBefore w:val="0"/>
        <w:widowControl w:val="0"/>
        <w:kinsoku/>
        <w:wordWrap/>
        <w:overflowPunct/>
        <w:topLinePunct w:val="0"/>
        <w:bidi w:val="0"/>
        <w:snapToGrid/>
        <w:spacing w:line="480" w:lineRule="exact"/>
        <w:ind w:firstLine="480" w:firstLineChars="200"/>
        <w:textAlignment w:val="auto"/>
        <w:rPr>
          <w:rFonts w:ascii="宋体" w:hAnsi="宋体" w:cs="宋体"/>
          <w:color w:val="auto"/>
          <w:sz w:val="24"/>
          <w:highlight w:val="none"/>
          <w:lang w:val="en-GB"/>
        </w:rPr>
      </w:pPr>
      <w:r>
        <w:rPr>
          <w:rFonts w:hint="eastAsia" w:ascii="宋体" w:hAnsi="宋体" w:cs="宋体"/>
          <w:color w:val="auto"/>
          <w:sz w:val="24"/>
          <w:highlight w:val="none"/>
          <w:u w:val="single"/>
          <w:lang w:val="en-GB"/>
        </w:rPr>
        <w:t>见</w:t>
      </w:r>
      <w:r>
        <w:rPr>
          <w:rFonts w:hint="eastAsia" w:ascii="宋体" w:hAnsi="宋体" w:cs="宋体"/>
          <w:color w:val="auto"/>
          <w:sz w:val="24"/>
          <w:highlight w:val="none"/>
          <w:u w:val="single"/>
          <w:lang w:eastAsia="zh-CN"/>
        </w:rPr>
        <w:t>投标人须知资料表</w:t>
      </w:r>
      <w:r>
        <w:rPr>
          <w:rFonts w:hint="eastAsia" w:ascii="宋体" w:hAnsi="宋体" w:cs="宋体"/>
          <w:color w:val="auto"/>
          <w:sz w:val="24"/>
          <w:highlight w:val="none"/>
          <w:lang w:val="en-GB"/>
        </w:rPr>
        <w:t>。</w:t>
      </w:r>
    </w:p>
    <w:p w14:paraId="7511DE8A">
      <w:pPr>
        <w:spacing w:line="600" w:lineRule="exact"/>
        <w:ind w:left="1080" w:leftChars="257" w:hanging="540"/>
        <w:jc w:val="center"/>
        <w:rPr>
          <w:rFonts w:hint="eastAsia" w:ascii="宋体" w:hAnsi="宋体"/>
          <w:color w:val="auto"/>
          <w:sz w:val="24"/>
          <w:highlight w:val="none"/>
        </w:rPr>
      </w:pPr>
      <w:r>
        <w:rPr>
          <w:rFonts w:ascii="宋体" w:hAnsi="宋体" w:cs="Arial"/>
          <w:color w:val="auto"/>
          <w:sz w:val="24"/>
          <w:highlight w:val="none"/>
          <w:lang w:val="en-GB"/>
        </w:rPr>
        <w:br w:type="page"/>
      </w:r>
    </w:p>
    <w:p w14:paraId="09EF17DA">
      <w:pPr>
        <w:spacing w:line="600" w:lineRule="exact"/>
        <w:ind w:left="1080" w:leftChars="257" w:hanging="540"/>
        <w:jc w:val="center"/>
        <w:rPr>
          <w:rFonts w:ascii="宋体" w:hAnsi="宋体"/>
          <w:b/>
          <w:color w:val="auto"/>
          <w:sz w:val="52"/>
          <w:szCs w:val="52"/>
          <w:highlight w:val="none"/>
        </w:rPr>
      </w:pPr>
    </w:p>
    <w:p w14:paraId="186612CA">
      <w:pPr>
        <w:spacing w:line="600" w:lineRule="exact"/>
        <w:rPr>
          <w:rFonts w:hint="eastAsia" w:ascii="宋体" w:hAnsi="宋体"/>
          <w:b/>
          <w:color w:val="auto"/>
          <w:sz w:val="52"/>
          <w:szCs w:val="52"/>
          <w:highlight w:val="none"/>
        </w:rPr>
      </w:pPr>
    </w:p>
    <w:p w14:paraId="66A9D6EE">
      <w:pPr>
        <w:spacing w:line="840" w:lineRule="exact"/>
        <w:ind w:firstLine="1"/>
        <w:jc w:val="center"/>
        <w:rPr>
          <w:rFonts w:hint="eastAsia" w:ascii="宋体" w:hAnsi="宋体" w:cs="华文中宋"/>
          <w:b/>
          <w:bCs/>
          <w:color w:val="auto"/>
          <w:sz w:val="68"/>
          <w:szCs w:val="52"/>
          <w:highlight w:val="none"/>
        </w:rPr>
      </w:pPr>
      <w:r>
        <w:rPr>
          <w:rFonts w:hint="eastAsia" w:ascii="宋体" w:hAnsi="宋体" w:cs="华文中宋"/>
          <w:b/>
          <w:bCs/>
          <w:color w:val="auto"/>
          <w:sz w:val="68"/>
          <w:szCs w:val="52"/>
          <w:highlight w:val="none"/>
        </w:rPr>
        <w:t>政府采购公开招标文件</w:t>
      </w:r>
    </w:p>
    <w:p w14:paraId="2F51943F">
      <w:pPr>
        <w:spacing w:line="600" w:lineRule="exact"/>
        <w:ind w:left="1080" w:leftChars="257" w:hanging="540"/>
        <w:jc w:val="center"/>
        <w:rPr>
          <w:rFonts w:hint="eastAsia" w:ascii="宋体" w:hAnsi="宋体" w:cs="华文中宋"/>
          <w:b/>
          <w:bCs/>
          <w:color w:val="auto"/>
          <w:sz w:val="36"/>
          <w:szCs w:val="36"/>
          <w:highlight w:val="none"/>
        </w:rPr>
      </w:pPr>
    </w:p>
    <w:p w14:paraId="2B9E3A0F">
      <w:pPr>
        <w:spacing w:line="600" w:lineRule="exact"/>
        <w:ind w:left="1080" w:leftChars="257" w:hanging="540"/>
        <w:jc w:val="center"/>
        <w:rPr>
          <w:rFonts w:hint="eastAsia" w:ascii="宋体" w:hAnsi="宋体"/>
          <w:b/>
          <w:color w:val="auto"/>
          <w:sz w:val="32"/>
          <w:szCs w:val="32"/>
          <w:highlight w:val="none"/>
        </w:rPr>
      </w:pPr>
    </w:p>
    <w:p w14:paraId="6AF0A0E0">
      <w:pPr>
        <w:spacing w:line="600" w:lineRule="exact"/>
        <w:ind w:left="1080" w:leftChars="257" w:hanging="540"/>
        <w:rPr>
          <w:rFonts w:hint="eastAsia" w:ascii="宋体" w:hAnsi="宋体"/>
          <w:b/>
          <w:color w:val="auto"/>
          <w:sz w:val="28"/>
          <w:highlight w:val="none"/>
        </w:rPr>
      </w:pPr>
    </w:p>
    <w:p w14:paraId="439F9240">
      <w:pPr>
        <w:spacing w:line="600" w:lineRule="exact"/>
        <w:ind w:left="1080" w:leftChars="257" w:hanging="540"/>
        <w:jc w:val="center"/>
        <w:rPr>
          <w:rFonts w:hint="eastAsia" w:ascii="宋体" w:hAnsi="宋体"/>
          <w:b/>
          <w:color w:val="auto"/>
          <w:sz w:val="32"/>
          <w:szCs w:val="32"/>
          <w:highlight w:val="none"/>
        </w:rPr>
      </w:pPr>
      <w:r>
        <w:rPr>
          <w:rFonts w:hint="eastAsia" w:ascii="宋体" w:hAnsi="宋体"/>
          <w:b/>
          <w:color w:val="auto"/>
          <w:sz w:val="32"/>
          <w:szCs w:val="32"/>
          <w:highlight w:val="none"/>
        </w:rPr>
        <w:t>第二册</w:t>
      </w:r>
    </w:p>
    <w:p w14:paraId="0D6BB1B5">
      <w:pPr>
        <w:spacing w:line="600" w:lineRule="exact"/>
        <w:rPr>
          <w:rFonts w:hint="eastAsia" w:ascii="宋体" w:hAnsi="宋体"/>
          <w:b/>
          <w:color w:val="auto"/>
          <w:sz w:val="52"/>
          <w:highlight w:val="none"/>
        </w:rPr>
      </w:pPr>
    </w:p>
    <w:p w14:paraId="7229B6EB">
      <w:pPr>
        <w:spacing w:line="600" w:lineRule="exact"/>
        <w:rPr>
          <w:rFonts w:hint="eastAsia" w:ascii="宋体" w:hAnsi="宋体"/>
          <w:b/>
          <w:color w:val="auto"/>
          <w:sz w:val="52"/>
          <w:highlight w:val="none"/>
        </w:rPr>
      </w:pPr>
    </w:p>
    <w:p w14:paraId="463D1389">
      <w:pPr>
        <w:spacing w:line="600" w:lineRule="exact"/>
        <w:rPr>
          <w:rFonts w:hint="eastAsia" w:ascii="宋体" w:hAnsi="宋体"/>
          <w:b/>
          <w:color w:val="auto"/>
          <w:sz w:val="52"/>
          <w:highlight w:val="none"/>
        </w:rPr>
      </w:pPr>
    </w:p>
    <w:p w14:paraId="4609DD2D">
      <w:pPr>
        <w:spacing w:line="600" w:lineRule="exact"/>
        <w:rPr>
          <w:rFonts w:hint="eastAsia" w:ascii="宋体" w:hAnsi="宋体"/>
          <w:b/>
          <w:color w:val="auto"/>
          <w:sz w:val="52"/>
          <w:highlight w:val="none"/>
        </w:rPr>
      </w:pPr>
    </w:p>
    <w:p w14:paraId="7FC02A59">
      <w:pPr>
        <w:spacing w:line="600" w:lineRule="exact"/>
        <w:ind w:left="645" w:leftChars="307" w:firstLine="488" w:firstLineChars="162"/>
        <w:jc w:val="left"/>
        <w:rPr>
          <w:rFonts w:hint="eastAsia" w:ascii="宋体" w:hAnsi="宋体" w:eastAsia="宋体"/>
          <w:b/>
          <w:color w:val="auto"/>
          <w:sz w:val="30"/>
          <w:szCs w:val="30"/>
          <w:highlight w:val="none"/>
          <w:lang w:eastAsia="zh-CN"/>
        </w:rPr>
      </w:pPr>
      <w:r>
        <w:rPr>
          <w:rFonts w:hint="eastAsia" w:ascii="宋体" w:hAnsi="宋体"/>
          <w:b/>
          <w:color w:val="auto"/>
          <w:sz w:val="30"/>
          <w:szCs w:val="30"/>
          <w:highlight w:val="none"/>
        </w:rPr>
        <w:t>项目编号：</w:t>
      </w:r>
      <w:r>
        <w:rPr>
          <w:rFonts w:hint="eastAsia" w:ascii="宋体" w:hAnsi="宋体"/>
          <w:b/>
          <w:color w:val="auto"/>
          <w:sz w:val="30"/>
          <w:szCs w:val="30"/>
          <w:highlight w:val="none"/>
          <w:lang w:eastAsia="zh-CN"/>
        </w:rPr>
        <w:t>SDGP370000000202502003605</w:t>
      </w:r>
    </w:p>
    <w:p w14:paraId="135A4F52">
      <w:pPr>
        <w:spacing w:line="600" w:lineRule="exact"/>
        <w:ind w:left="645" w:leftChars="307" w:firstLine="488" w:firstLineChars="162"/>
        <w:jc w:val="left"/>
        <w:rPr>
          <w:rFonts w:hint="eastAsia" w:ascii="宋体" w:hAnsi="宋体" w:eastAsia="宋体"/>
          <w:b/>
          <w:color w:val="auto"/>
          <w:sz w:val="30"/>
          <w:szCs w:val="30"/>
          <w:highlight w:val="none"/>
          <w:u w:val="single"/>
          <w:lang w:eastAsia="zh-CN"/>
        </w:rPr>
      </w:pPr>
      <w:r>
        <w:rPr>
          <w:rFonts w:hint="eastAsia" w:ascii="宋体" w:hAnsi="宋体"/>
          <w:b/>
          <w:color w:val="auto"/>
          <w:sz w:val="30"/>
          <w:szCs w:val="30"/>
          <w:highlight w:val="none"/>
        </w:rPr>
        <w:t>项目名称:</w:t>
      </w:r>
      <w:r>
        <w:rPr>
          <w:rFonts w:hint="eastAsia" w:ascii="宋体" w:hAnsi="宋体"/>
          <w:b/>
          <w:color w:val="auto"/>
          <w:sz w:val="30"/>
          <w:szCs w:val="30"/>
          <w:highlight w:val="none"/>
          <w:lang w:eastAsia="zh-CN"/>
        </w:rPr>
        <w:t>临沂大学第一生活区D8、D9学生公寓楼物业管理与服务采购项目</w:t>
      </w:r>
    </w:p>
    <w:p w14:paraId="4EA606F5">
      <w:pPr>
        <w:spacing w:line="600" w:lineRule="exact"/>
        <w:ind w:firstLine="1081" w:firstLineChars="299"/>
        <w:jc w:val="center"/>
        <w:rPr>
          <w:rFonts w:hint="eastAsia" w:ascii="宋体" w:hAnsi="宋体" w:cs="黑体"/>
          <w:b/>
          <w:bCs/>
          <w:color w:val="auto"/>
          <w:sz w:val="36"/>
          <w:szCs w:val="36"/>
          <w:highlight w:val="none"/>
        </w:rPr>
      </w:pPr>
    </w:p>
    <w:p w14:paraId="34F47BA8">
      <w:pPr>
        <w:spacing w:line="600" w:lineRule="exact"/>
        <w:ind w:firstLine="1081" w:firstLineChars="299"/>
        <w:jc w:val="center"/>
        <w:rPr>
          <w:rFonts w:hint="eastAsia" w:ascii="宋体" w:hAnsi="宋体" w:cs="黑体"/>
          <w:b/>
          <w:bCs/>
          <w:color w:val="auto"/>
          <w:sz w:val="36"/>
          <w:szCs w:val="36"/>
          <w:highlight w:val="none"/>
        </w:rPr>
      </w:pPr>
    </w:p>
    <w:p w14:paraId="3A7D3C5F">
      <w:pPr>
        <w:spacing w:line="600" w:lineRule="exact"/>
        <w:rPr>
          <w:rFonts w:hint="eastAsia" w:ascii="宋体" w:hAnsi="宋体" w:cs="黑体"/>
          <w:b/>
          <w:bCs/>
          <w:color w:val="auto"/>
          <w:sz w:val="36"/>
          <w:szCs w:val="36"/>
          <w:highlight w:val="none"/>
        </w:rPr>
      </w:pPr>
    </w:p>
    <w:p w14:paraId="6987407C">
      <w:pPr>
        <w:spacing w:line="600" w:lineRule="exact"/>
        <w:ind w:firstLine="1282" w:firstLineChars="399"/>
        <w:rPr>
          <w:rFonts w:hint="eastAsia" w:ascii="宋体" w:hAnsi="宋体" w:eastAsia="宋体" w:cs="黑体"/>
          <w:b/>
          <w:bCs/>
          <w:color w:val="auto"/>
          <w:sz w:val="32"/>
          <w:szCs w:val="32"/>
          <w:highlight w:val="none"/>
          <w:lang w:eastAsia="zh-CN"/>
        </w:rPr>
      </w:pPr>
      <w:r>
        <w:rPr>
          <w:rFonts w:ascii="宋体" w:hAnsi="宋体" w:cs="黑体"/>
          <w:b/>
          <w:bCs/>
          <w:color w:val="auto"/>
          <w:sz w:val="32"/>
          <w:szCs w:val="32"/>
          <w:highlight w:val="none"/>
        </w:rPr>
        <w:t>采</w:t>
      </w:r>
      <w:r>
        <w:rPr>
          <w:rFonts w:hint="eastAsia" w:ascii="宋体" w:hAnsi="宋体" w:cs="黑体"/>
          <w:b/>
          <w:bCs/>
          <w:color w:val="auto"/>
          <w:sz w:val="32"/>
          <w:szCs w:val="32"/>
          <w:highlight w:val="none"/>
        </w:rPr>
        <w:t xml:space="preserve"> </w:t>
      </w:r>
      <w:r>
        <w:rPr>
          <w:rFonts w:ascii="宋体" w:hAnsi="宋体" w:cs="黑体"/>
          <w:b/>
          <w:bCs/>
          <w:color w:val="auto"/>
          <w:sz w:val="32"/>
          <w:szCs w:val="32"/>
          <w:highlight w:val="none"/>
        </w:rPr>
        <w:t>购</w:t>
      </w:r>
      <w:r>
        <w:rPr>
          <w:rFonts w:hint="eastAsia" w:ascii="宋体" w:hAnsi="宋体" w:cs="黑体"/>
          <w:b/>
          <w:bCs/>
          <w:color w:val="auto"/>
          <w:sz w:val="32"/>
          <w:szCs w:val="32"/>
          <w:highlight w:val="none"/>
        </w:rPr>
        <w:t xml:space="preserve"> </w:t>
      </w:r>
      <w:r>
        <w:rPr>
          <w:rFonts w:ascii="宋体" w:hAnsi="宋体" w:cs="黑体"/>
          <w:b/>
          <w:bCs/>
          <w:color w:val="auto"/>
          <w:sz w:val="32"/>
          <w:szCs w:val="32"/>
          <w:highlight w:val="none"/>
        </w:rPr>
        <w:t>人</w:t>
      </w:r>
      <w:r>
        <w:rPr>
          <w:rFonts w:hint="eastAsia" w:ascii="宋体" w:hAnsi="宋体" w:cs="黑体"/>
          <w:b/>
          <w:bCs/>
          <w:color w:val="auto"/>
          <w:sz w:val="32"/>
          <w:szCs w:val="32"/>
          <w:highlight w:val="none"/>
        </w:rPr>
        <w:t xml:space="preserve">: </w:t>
      </w:r>
      <w:r>
        <w:rPr>
          <w:rFonts w:hint="eastAsia" w:ascii="宋体" w:hAnsi="宋体" w:cs="黑体"/>
          <w:b/>
          <w:bCs/>
          <w:color w:val="auto"/>
          <w:sz w:val="32"/>
          <w:szCs w:val="32"/>
          <w:highlight w:val="none"/>
          <w:lang w:eastAsia="zh-CN"/>
        </w:rPr>
        <w:t>临沂大学</w:t>
      </w:r>
    </w:p>
    <w:p w14:paraId="0E04707F">
      <w:pPr>
        <w:spacing w:line="600" w:lineRule="exact"/>
        <w:ind w:firstLine="1282" w:firstLineChars="399"/>
        <w:rPr>
          <w:rFonts w:ascii="宋体" w:hAnsi="宋体"/>
          <w:b/>
          <w:bCs/>
          <w:color w:val="auto"/>
          <w:sz w:val="32"/>
          <w:szCs w:val="32"/>
          <w:highlight w:val="none"/>
        </w:rPr>
      </w:pPr>
      <w:r>
        <w:rPr>
          <w:rFonts w:hint="eastAsia" w:ascii="宋体" w:hAnsi="宋体" w:cs="黑体"/>
          <w:b/>
          <w:bCs/>
          <w:color w:val="auto"/>
          <w:sz w:val="32"/>
          <w:szCs w:val="32"/>
          <w:highlight w:val="none"/>
        </w:rPr>
        <w:t>采购</w:t>
      </w:r>
      <w:r>
        <w:rPr>
          <w:rFonts w:ascii="宋体" w:hAnsi="宋体" w:cs="黑体"/>
          <w:b/>
          <w:bCs/>
          <w:color w:val="auto"/>
          <w:sz w:val="32"/>
          <w:szCs w:val="32"/>
          <w:highlight w:val="none"/>
        </w:rPr>
        <w:t>代理机构</w:t>
      </w:r>
      <w:r>
        <w:rPr>
          <w:rFonts w:hint="eastAsia" w:ascii="宋体" w:hAnsi="宋体" w:cs="黑体"/>
          <w:b/>
          <w:bCs/>
          <w:color w:val="auto"/>
          <w:sz w:val="32"/>
          <w:szCs w:val="32"/>
          <w:highlight w:val="none"/>
        </w:rPr>
        <w:t>：临沂市沂蒙国际招标有限公司</w:t>
      </w:r>
    </w:p>
    <w:p w14:paraId="335562DD">
      <w:pPr>
        <w:spacing w:line="600" w:lineRule="exact"/>
        <w:ind w:left="1080" w:leftChars="257" w:hanging="540"/>
        <w:rPr>
          <w:rFonts w:hint="eastAsia" w:ascii="宋体" w:hAnsi="宋体"/>
          <w:b/>
          <w:color w:val="auto"/>
          <w:szCs w:val="21"/>
          <w:highlight w:val="none"/>
        </w:rPr>
      </w:pPr>
    </w:p>
    <w:p w14:paraId="216F89EA">
      <w:pPr>
        <w:spacing w:line="600" w:lineRule="exact"/>
        <w:ind w:left="1080" w:leftChars="257" w:hanging="540"/>
        <w:jc w:val="center"/>
        <w:rPr>
          <w:rFonts w:hint="eastAsia" w:hAnsi="宋体"/>
          <w:color w:val="auto"/>
          <w:highlight w:val="none"/>
        </w:rPr>
      </w:pPr>
      <w:r>
        <w:rPr>
          <w:rFonts w:hint="eastAsia" w:ascii="宋体" w:hAnsi="宋体" w:cs="黑体"/>
          <w:b/>
          <w:bCs/>
          <w:color w:val="auto"/>
          <w:sz w:val="30"/>
          <w:szCs w:val="30"/>
          <w:highlight w:val="none"/>
        </w:rPr>
        <w:t>发</w:t>
      </w:r>
      <w:r>
        <w:rPr>
          <w:rFonts w:ascii="宋体" w:hAnsi="宋体" w:cs="黑体"/>
          <w:b/>
          <w:bCs/>
          <w:color w:val="auto"/>
          <w:sz w:val="30"/>
          <w:szCs w:val="30"/>
          <w:highlight w:val="none"/>
        </w:rPr>
        <w:t xml:space="preserve"> </w:t>
      </w:r>
      <w:r>
        <w:rPr>
          <w:rFonts w:hint="eastAsia" w:ascii="宋体" w:hAnsi="宋体" w:cs="黑体"/>
          <w:b/>
          <w:bCs/>
          <w:color w:val="auto"/>
          <w:sz w:val="30"/>
          <w:szCs w:val="30"/>
          <w:highlight w:val="none"/>
        </w:rPr>
        <w:t>出</w:t>
      </w:r>
      <w:r>
        <w:rPr>
          <w:rFonts w:ascii="宋体" w:hAnsi="宋体" w:cs="黑体"/>
          <w:b/>
          <w:bCs/>
          <w:color w:val="auto"/>
          <w:sz w:val="30"/>
          <w:szCs w:val="30"/>
          <w:highlight w:val="none"/>
        </w:rPr>
        <w:t xml:space="preserve"> </w:t>
      </w:r>
      <w:r>
        <w:rPr>
          <w:rFonts w:hint="eastAsia" w:ascii="宋体" w:hAnsi="宋体" w:cs="黑体"/>
          <w:b/>
          <w:bCs/>
          <w:color w:val="auto"/>
          <w:sz w:val="30"/>
          <w:szCs w:val="30"/>
          <w:highlight w:val="none"/>
        </w:rPr>
        <w:t>日</w:t>
      </w:r>
      <w:r>
        <w:rPr>
          <w:rFonts w:ascii="宋体" w:hAnsi="宋体" w:cs="黑体"/>
          <w:b/>
          <w:bCs/>
          <w:color w:val="auto"/>
          <w:sz w:val="30"/>
          <w:szCs w:val="30"/>
          <w:highlight w:val="none"/>
        </w:rPr>
        <w:t xml:space="preserve"> </w:t>
      </w:r>
      <w:r>
        <w:rPr>
          <w:rFonts w:hint="eastAsia" w:ascii="宋体" w:hAnsi="宋体" w:cs="黑体"/>
          <w:b/>
          <w:bCs/>
          <w:color w:val="auto"/>
          <w:sz w:val="30"/>
          <w:szCs w:val="30"/>
          <w:highlight w:val="none"/>
        </w:rPr>
        <w:t>期：</w:t>
      </w:r>
      <w:r>
        <w:rPr>
          <w:rFonts w:hint="eastAsia" w:ascii="宋体" w:hAnsi="宋体" w:cs="黑体"/>
          <w:b/>
          <w:bCs/>
          <w:color w:val="auto"/>
          <w:sz w:val="30"/>
          <w:szCs w:val="30"/>
          <w:highlight w:val="none"/>
          <w:lang w:eastAsia="zh-CN"/>
        </w:rPr>
        <w:t>2025年6月3日</w:t>
      </w:r>
      <w:r>
        <w:rPr>
          <w:rFonts w:hint="eastAsia" w:ascii="宋体" w:hAnsi="宋体"/>
          <w:b/>
          <w:color w:val="auto"/>
          <w:sz w:val="52"/>
          <w:highlight w:val="none"/>
        </w:rPr>
        <w:br w:type="page"/>
      </w:r>
      <w:bookmarkStart w:id="241" w:name="_Toc4766525"/>
      <w:bookmarkStart w:id="242" w:name="_Toc216582822"/>
      <w:bookmarkStart w:id="243" w:name="_Toc16370"/>
      <w:bookmarkStart w:id="244" w:name="_Toc28765"/>
      <w:bookmarkStart w:id="245" w:name="_Toc515647829"/>
      <w:bookmarkStart w:id="246" w:name="_Toc218935350"/>
      <w:bookmarkStart w:id="247" w:name="_Toc507399902"/>
      <w:bookmarkStart w:id="248" w:name="_Toc219175634"/>
      <w:r>
        <w:rPr>
          <w:rFonts w:hint="eastAsia" w:ascii="宋体" w:hAnsi="宋体"/>
          <w:b/>
          <w:color w:val="auto"/>
          <w:kern w:val="44"/>
          <w:sz w:val="32"/>
          <w:szCs w:val="32"/>
          <w:highlight w:val="none"/>
        </w:rPr>
        <w:t>第2章 投标邀请</w:t>
      </w:r>
      <w:bookmarkEnd w:id="241"/>
      <w:bookmarkEnd w:id="242"/>
      <w:bookmarkEnd w:id="243"/>
      <w:bookmarkEnd w:id="244"/>
      <w:bookmarkEnd w:id="245"/>
      <w:bookmarkEnd w:id="246"/>
      <w:bookmarkEnd w:id="247"/>
      <w:bookmarkEnd w:id="248"/>
    </w:p>
    <w:p w14:paraId="54B926AB">
      <w:pPr>
        <w:keepNext w:val="0"/>
        <w:keepLines w:val="0"/>
        <w:pageBreakBefore w:val="0"/>
        <w:widowControl w:val="0"/>
        <w:kinsoku/>
        <w:wordWrap/>
        <w:overflowPunct/>
        <w:topLinePunct w:val="0"/>
        <w:autoSpaceDE/>
        <w:autoSpaceDN/>
        <w:bidi w:val="0"/>
        <w:adjustRightInd/>
        <w:snapToGrid/>
        <w:spacing w:line="520" w:lineRule="exact"/>
        <w:ind w:firstLine="420" w:firstLineChars="175"/>
        <w:textAlignment w:val="auto"/>
        <w:rPr>
          <w:rFonts w:hint="eastAsia" w:ascii="宋体" w:hAnsi="宋体"/>
          <w:color w:val="auto"/>
          <w:sz w:val="24"/>
          <w:highlight w:val="none"/>
        </w:rPr>
      </w:pPr>
      <w:r>
        <w:rPr>
          <w:rFonts w:hint="eastAsia" w:ascii="宋体" w:hAnsi="宋体"/>
          <w:color w:val="auto"/>
          <w:sz w:val="24"/>
          <w:highlight w:val="none"/>
        </w:rPr>
        <w:t xml:space="preserve"> </w:t>
      </w:r>
      <w:bookmarkStart w:id="249" w:name="_Toc512937850"/>
      <w:r>
        <w:rPr>
          <w:rFonts w:hint="eastAsia" w:ascii="宋体" w:hAnsi="宋体"/>
          <w:color w:val="auto"/>
          <w:sz w:val="24"/>
          <w:highlight w:val="none"/>
        </w:rPr>
        <w:t>临沂市沂蒙国际招标有限公司受</w:t>
      </w:r>
      <w:r>
        <w:rPr>
          <w:rFonts w:hint="eastAsia" w:ascii="宋体" w:hAnsi="宋体"/>
          <w:color w:val="auto"/>
          <w:sz w:val="24"/>
          <w:highlight w:val="none"/>
          <w:lang w:eastAsia="zh-CN"/>
        </w:rPr>
        <w:t>临沂大学</w:t>
      </w:r>
      <w:r>
        <w:rPr>
          <w:rFonts w:hint="eastAsia" w:ascii="宋体" w:hAnsi="宋体"/>
          <w:color w:val="auto"/>
          <w:sz w:val="24"/>
          <w:highlight w:val="none"/>
        </w:rPr>
        <w:t>委托，对下述</w:t>
      </w:r>
      <w:r>
        <w:rPr>
          <w:rFonts w:hint="eastAsia" w:ascii="宋体" w:hAnsi="宋体"/>
          <w:color w:val="auto"/>
          <w:sz w:val="24"/>
          <w:highlight w:val="none"/>
          <w:lang w:val="en-US" w:eastAsia="zh-CN"/>
        </w:rPr>
        <w:t>服务</w:t>
      </w:r>
      <w:r>
        <w:rPr>
          <w:rFonts w:hint="eastAsia" w:ascii="宋体" w:hAnsi="宋体"/>
          <w:color w:val="auto"/>
          <w:sz w:val="24"/>
          <w:highlight w:val="none"/>
        </w:rPr>
        <w:t>进行国内公开招标。现邀请合格的投标人前来投标。</w:t>
      </w:r>
    </w:p>
    <w:p w14:paraId="588AC87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rPr>
      </w:pPr>
      <w:bookmarkStart w:id="250" w:name="_Toc28359079"/>
      <w:bookmarkStart w:id="251" w:name="_Toc35393790"/>
      <w:bookmarkStart w:id="252" w:name="_Toc28359002"/>
      <w:bookmarkStart w:id="253" w:name="_Toc35393621"/>
      <w:bookmarkStart w:id="254" w:name="_Hlk24379207"/>
      <w:r>
        <w:rPr>
          <w:rFonts w:hint="eastAsia" w:ascii="宋体" w:hAnsi="宋体" w:eastAsia="宋体" w:cs="宋体"/>
          <w:color w:val="auto"/>
          <w:sz w:val="24"/>
          <w:szCs w:val="24"/>
          <w:highlight w:val="none"/>
        </w:rPr>
        <w:t>一、项目基本情况</w:t>
      </w:r>
      <w:bookmarkEnd w:id="250"/>
      <w:bookmarkEnd w:id="251"/>
      <w:bookmarkEnd w:id="252"/>
      <w:bookmarkEnd w:id="253"/>
    </w:p>
    <w:p w14:paraId="28287BBD">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lang w:eastAsia="zh-CN"/>
        </w:rPr>
        <w:t>SDGP370000000202502003605</w:t>
      </w:r>
    </w:p>
    <w:p w14:paraId="53DB8218">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临沂大学第一生活区D8、D9学生公寓楼物业管理与服务采购项目</w:t>
      </w:r>
    </w:p>
    <w:bookmarkEnd w:id="254"/>
    <w:p w14:paraId="6F63B63A">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预算金额：91.4164</w:t>
      </w:r>
      <w:r>
        <w:rPr>
          <w:rFonts w:hint="eastAsia" w:ascii="宋体" w:hAnsi="宋体" w:eastAsia="宋体" w:cs="宋体"/>
          <w:color w:val="auto"/>
          <w:sz w:val="24"/>
          <w:szCs w:val="24"/>
          <w:highlight w:val="none"/>
          <w:lang w:val="en-US" w:eastAsia="zh-CN"/>
        </w:rPr>
        <w:t>万元</w:t>
      </w:r>
    </w:p>
    <w:p w14:paraId="52739BD6">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最高限价：91.4164</w:t>
      </w:r>
      <w:r>
        <w:rPr>
          <w:rFonts w:hint="eastAsia" w:ascii="宋体" w:hAnsi="宋体" w:eastAsia="宋体" w:cs="宋体"/>
          <w:color w:val="auto"/>
          <w:sz w:val="24"/>
          <w:szCs w:val="24"/>
          <w:highlight w:val="none"/>
          <w:lang w:val="en-US" w:eastAsia="zh-CN"/>
        </w:rPr>
        <w:t>万元</w:t>
      </w:r>
    </w:p>
    <w:p w14:paraId="681742ED">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采购需求：</w:t>
      </w:r>
    </w:p>
    <w:tbl>
      <w:tblPr>
        <w:tblStyle w:val="33"/>
        <w:tblW w:w="52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106"/>
        <w:gridCol w:w="707"/>
        <w:gridCol w:w="3659"/>
        <w:gridCol w:w="1973"/>
      </w:tblGrid>
      <w:tr w14:paraId="4EF59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77" w:type="pct"/>
            <w:noWrap w:val="0"/>
            <w:vAlign w:val="center"/>
          </w:tcPr>
          <w:p w14:paraId="19E6519E">
            <w:pPr>
              <w:keepNext w:val="0"/>
              <w:keepLines w:val="0"/>
              <w:pageBreakBefore w:val="0"/>
              <w:widowControl w:val="0"/>
              <w:kinsoku/>
              <w:wordWrap/>
              <w:overflowPunct/>
              <w:topLinePunct w:val="0"/>
              <w:autoSpaceDE/>
              <w:autoSpaceDN/>
              <w:bidi w:val="0"/>
              <w:adjustRightInd/>
              <w:snapToGrid/>
              <w:spacing w:line="52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标包</w:t>
            </w:r>
          </w:p>
        </w:tc>
        <w:tc>
          <w:tcPr>
            <w:tcW w:w="1177" w:type="pct"/>
            <w:noWrap w:val="0"/>
            <w:vAlign w:val="center"/>
          </w:tcPr>
          <w:p w14:paraId="4A65C7A7">
            <w:pPr>
              <w:keepNext w:val="0"/>
              <w:keepLines w:val="0"/>
              <w:pageBreakBefore w:val="0"/>
              <w:widowControl w:val="0"/>
              <w:kinsoku/>
              <w:wordWrap/>
              <w:overflowPunct/>
              <w:topLinePunct w:val="0"/>
              <w:autoSpaceDE/>
              <w:autoSpaceDN/>
              <w:bidi w:val="0"/>
              <w:adjustRightInd/>
              <w:snapToGrid/>
              <w:spacing w:line="52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标的</w:t>
            </w:r>
            <w:r>
              <w:rPr>
                <w:rFonts w:hint="eastAsia" w:ascii="宋体" w:hAnsi="宋体" w:eastAsia="宋体" w:cs="宋体"/>
                <w:color w:val="auto"/>
                <w:sz w:val="24"/>
                <w:szCs w:val="24"/>
                <w:highlight w:val="none"/>
                <w:lang w:eastAsia="zh-CN"/>
              </w:rPr>
              <w:t>名称</w:t>
            </w:r>
          </w:p>
        </w:tc>
        <w:tc>
          <w:tcPr>
            <w:tcW w:w="395" w:type="pct"/>
            <w:noWrap w:val="0"/>
            <w:vAlign w:val="center"/>
          </w:tcPr>
          <w:p w14:paraId="70B91C6A">
            <w:pPr>
              <w:keepNext w:val="0"/>
              <w:keepLines w:val="0"/>
              <w:pageBreakBefore w:val="0"/>
              <w:widowControl w:val="0"/>
              <w:kinsoku/>
              <w:wordWrap/>
              <w:overflowPunct/>
              <w:topLinePunct w:val="0"/>
              <w:autoSpaceDE/>
              <w:autoSpaceDN/>
              <w:bidi w:val="0"/>
              <w:adjustRightInd/>
              <w:snapToGrid/>
              <w:spacing w:line="52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数量</w:t>
            </w:r>
          </w:p>
        </w:tc>
        <w:tc>
          <w:tcPr>
            <w:tcW w:w="2045" w:type="pct"/>
            <w:noWrap w:val="0"/>
            <w:vAlign w:val="center"/>
          </w:tcPr>
          <w:p w14:paraId="3DDFE215">
            <w:pPr>
              <w:keepNext w:val="0"/>
              <w:keepLines w:val="0"/>
              <w:pageBreakBefore w:val="0"/>
              <w:widowControl w:val="0"/>
              <w:kinsoku/>
              <w:wordWrap/>
              <w:overflowPunct/>
              <w:topLinePunct w:val="0"/>
              <w:autoSpaceDE/>
              <w:autoSpaceDN/>
              <w:bidi w:val="0"/>
              <w:adjustRightInd/>
              <w:snapToGrid/>
              <w:spacing w:line="52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简要技术需求或服务要求</w:t>
            </w:r>
          </w:p>
        </w:tc>
        <w:tc>
          <w:tcPr>
            <w:tcW w:w="1103" w:type="pct"/>
            <w:noWrap w:val="0"/>
            <w:vAlign w:val="center"/>
          </w:tcPr>
          <w:p w14:paraId="33EEB78C">
            <w:pPr>
              <w:keepNext w:val="0"/>
              <w:keepLines w:val="0"/>
              <w:pageBreakBefore w:val="0"/>
              <w:widowControl w:val="0"/>
              <w:kinsoku/>
              <w:wordWrap/>
              <w:overflowPunct/>
              <w:topLinePunct w:val="0"/>
              <w:autoSpaceDE/>
              <w:autoSpaceDN/>
              <w:bidi w:val="0"/>
              <w:adjustRightInd/>
              <w:snapToGrid/>
              <w:spacing w:line="480" w:lineRule="exact"/>
              <w:ind w:left="-1" w:left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highlight w:val="none"/>
                <w:lang w:val="en-US" w:eastAsia="zh-CN"/>
              </w:rPr>
              <w:t>本包预算金额（单位：万元）</w:t>
            </w:r>
          </w:p>
        </w:tc>
      </w:tr>
      <w:tr w14:paraId="51887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77" w:type="pct"/>
            <w:noWrap w:val="0"/>
            <w:vAlign w:val="center"/>
          </w:tcPr>
          <w:p w14:paraId="1CDA38EB">
            <w:pPr>
              <w:spacing w:line="500" w:lineRule="exact"/>
              <w:ind w:left="-1" w:leftChars="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highlight w:val="none"/>
              </w:rPr>
              <w:t>A</w:t>
            </w:r>
          </w:p>
        </w:tc>
        <w:tc>
          <w:tcPr>
            <w:tcW w:w="1177" w:type="pct"/>
            <w:noWrap w:val="0"/>
            <w:vAlign w:val="center"/>
          </w:tcPr>
          <w:p w14:paraId="03D1CD83">
            <w:pPr>
              <w:spacing w:line="500" w:lineRule="exact"/>
              <w:ind w:left="-1" w:leftChars="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highlight w:val="none"/>
                <w:lang w:eastAsia="zh-CN"/>
              </w:rPr>
              <w:t>临沂大学第一生活区D8、D9学生公寓楼物业管理与服务采购项目</w:t>
            </w:r>
          </w:p>
        </w:tc>
        <w:tc>
          <w:tcPr>
            <w:tcW w:w="395" w:type="pct"/>
            <w:noWrap w:val="0"/>
            <w:vAlign w:val="center"/>
          </w:tcPr>
          <w:p w14:paraId="417E059A">
            <w:pPr>
              <w:spacing w:line="500" w:lineRule="exact"/>
              <w:ind w:left="-1" w:leftChars="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highlight w:val="none"/>
              </w:rPr>
              <w:t>1</w:t>
            </w:r>
          </w:p>
        </w:tc>
        <w:tc>
          <w:tcPr>
            <w:tcW w:w="2045" w:type="pct"/>
            <w:noWrap w:val="0"/>
            <w:vAlign w:val="center"/>
          </w:tcPr>
          <w:p w14:paraId="1C2A9420">
            <w:pPr>
              <w:spacing w:line="500" w:lineRule="exact"/>
              <w:rPr>
                <w:rFonts w:hint="eastAsia" w:ascii="宋体" w:hAnsi="宋体" w:eastAsia="宋体" w:cs="宋体"/>
                <w:color w:val="auto"/>
                <w:sz w:val="24"/>
                <w:szCs w:val="24"/>
                <w:highlight w:val="none"/>
                <w:lang w:val="en-US" w:eastAsia="zh-CN"/>
              </w:rPr>
            </w:pPr>
            <w:r>
              <w:rPr>
                <w:rFonts w:hint="eastAsia" w:ascii="宋体" w:hAnsi="宋体" w:cs="宋体"/>
                <w:color w:val="auto"/>
                <w:sz w:val="24"/>
                <w:highlight w:val="none"/>
                <w:lang w:eastAsia="zh-CN"/>
              </w:rPr>
              <w:t>临沂大学第一生活区D8、D9学生公寓楼物业管理与服务，</w:t>
            </w:r>
            <w:r>
              <w:rPr>
                <w:rFonts w:hint="eastAsia" w:ascii="宋体" w:hAnsi="宋体" w:cs="宋体"/>
                <w:color w:val="auto"/>
                <w:sz w:val="24"/>
                <w:highlight w:val="none"/>
                <w:lang w:val="en-US" w:eastAsia="zh-CN"/>
              </w:rPr>
              <w:t>服务期一年，具体</w:t>
            </w:r>
            <w:r>
              <w:rPr>
                <w:rFonts w:hint="eastAsia" w:ascii="宋体" w:hAnsi="宋体" w:cs="宋体"/>
                <w:color w:val="auto"/>
                <w:sz w:val="24"/>
                <w:highlight w:val="none"/>
              </w:rPr>
              <w:t>详见</w:t>
            </w:r>
            <w:r>
              <w:rPr>
                <w:rFonts w:hint="eastAsia" w:ascii="宋体" w:hAnsi="宋体" w:cs="宋体"/>
                <w:color w:val="auto"/>
                <w:sz w:val="24"/>
                <w:highlight w:val="none"/>
                <w:lang w:val="en-US" w:eastAsia="zh-CN"/>
              </w:rPr>
              <w:t>招标</w:t>
            </w:r>
            <w:r>
              <w:rPr>
                <w:rFonts w:hint="eastAsia" w:ascii="宋体" w:hAnsi="宋体" w:cs="宋体"/>
                <w:color w:val="auto"/>
                <w:sz w:val="24"/>
                <w:highlight w:val="none"/>
              </w:rPr>
              <w:t>文件</w:t>
            </w:r>
            <w:r>
              <w:rPr>
                <w:rFonts w:hint="eastAsia" w:ascii="宋体" w:hAnsi="宋体" w:cs="宋体"/>
                <w:color w:val="auto"/>
                <w:sz w:val="24"/>
                <w:highlight w:val="none"/>
                <w:lang w:eastAsia="zh-CN"/>
              </w:rPr>
              <w:t>。</w:t>
            </w:r>
          </w:p>
        </w:tc>
        <w:tc>
          <w:tcPr>
            <w:tcW w:w="1103" w:type="pct"/>
            <w:noWrap w:val="0"/>
            <w:vAlign w:val="center"/>
          </w:tcPr>
          <w:p w14:paraId="4A8DD016">
            <w:pPr>
              <w:keepNext w:val="0"/>
              <w:keepLines w:val="0"/>
              <w:pageBreakBefore w:val="0"/>
              <w:widowControl w:val="0"/>
              <w:kinsoku/>
              <w:wordWrap/>
              <w:overflowPunct/>
              <w:topLinePunct w:val="0"/>
              <w:autoSpaceDE/>
              <w:autoSpaceDN/>
              <w:bidi w:val="0"/>
              <w:adjustRightInd/>
              <w:snapToGrid/>
              <w:spacing w:line="480" w:lineRule="exact"/>
              <w:ind w:left="-1" w:leftChars="0"/>
              <w:jc w:val="center"/>
              <w:textAlignment w:val="auto"/>
              <w:rPr>
                <w:rFonts w:hint="eastAsia" w:ascii="宋体" w:hAnsi="宋体" w:cs="宋体"/>
                <w:color w:val="auto"/>
                <w:sz w:val="24"/>
                <w:highlight w:val="none"/>
                <w:lang w:eastAsia="zh-CN"/>
              </w:rPr>
            </w:pPr>
            <w:r>
              <w:rPr>
                <w:rFonts w:hint="eastAsia" w:ascii="宋体" w:hAnsi="宋体" w:eastAsia="宋体" w:cs="宋体"/>
                <w:color w:val="auto"/>
                <w:sz w:val="24"/>
                <w:szCs w:val="24"/>
                <w:highlight w:val="none"/>
              </w:rPr>
              <w:t>91.4164</w:t>
            </w:r>
          </w:p>
        </w:tc>
      </w:tr>
    </w:tbl>
    <w:p w14:paraId="6B532EB8">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合同履行期限：</w:t>
      </w:r>
      <w:r>
        <w:rPr>
          <w:rFonts w:hint="eastAsia" w:ascii="宋体" w:hAnsi="宋体" w:cs="宋体"/>
          <w:color w:val="auto"/>
          <w:sz w:val="24"/>
          <w:highlight w:val="none"/>
          <w:lang w:val="en-US" w:eastAsia="zh-CN"/>
        </w:rPr>
        <w:t>服务期一年</w:t>
      </w:r>
      <w:r>
        <w:rPr>
          <w:rFonts w:hint="eastAsia" w:ascii="宋体" w:hAnsi="宋体" w:cs="宋体"/>
          <w:color w:val="auto"/>
          <w:sz w:val="24"/>
          <w:highlight w:val="none"/>
          <w:lang w:eastAsia="zh-CN"/>
        </w:rPr>
        <w:t>。</w:t>
      </w:r>
    </w:p>
    <w:p w14:paraId="082E2031">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rPr>
      </w:pPr>
      <w:bookmarkStart w:id="255" w:name="_Toc35393622"/>
      <w:bookmarkStart w:id="256" w:name="_Toc28359003"/>
      <w:bookmarkStart w:id="257" w:name="_Toc28359080"/>
      <w:bookmarkStart w:id="258" w:name="_Toc35393791"/>
      <w:r>
        <w:rPr>
          <w:rFonts w:hint="eastAsia" w:ascii="宋体" w:hAnsi="宋体" w:eastAsia="宋体" w:cs="宋体"/>
          <w:color w:val="auto"/>
          <w:sz w:val="24"/>
          <w:szCs w:val="24"/>
          <w:highlight w:val="none"/>
        </w:rPr>
        <w:t>二、申请人的资格要求：</w:t>
      </w:r>
      <w:bookmarkEnd w:id="255"/>
      <w:bookmarkEnd w:id="256"/>
      <w:bookmarkEnd w:id="257"/>
      <w:bookmarkEnd w:id="258"/>
    </w:p>
    <w:p w14:paraId="1994938F">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1.满足《中华人民共和国政府采购法》第二十二条规定；</w:t>
      </w:r>
    </w:p>
    <w:p w14:paraId="773E566A">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bookmarkStart w:id="259" w:name="_Toc28359081"/>
      <w:bookmarkStart w:id="260" w:name="_Toc28359004"/>
      <w:r>
        <w:rPr>
          <w:rFonts w:hint="eastAsia" w:ascii="宋体" w:hAnsi="宋体" w:eastAsia="宋体" w:cs="宋体"/>
          <w:color w:val="auto"/>
          <w:sz w:val="24"/>
          <w:szCs w:val="24"/>
          <w:highlight w:val="none"/>
        </w:rPr>
        <w:t>2.落实政府采购政策需满足的资格要求：</w:t>
      </w:r>
      <w:r>
        <w:rPr>
          <w:rFonts w:hint="eastAsia" w:ascii="宋体" w:hAnsi="宋体" w:cs="宋体"/>
          <w:color w:val="auto"/>
          <w:sz w:val="24"/>
          <w:szCs w:val="24"/>
          <w:highlight w:val="none"/>
          <w:lang w:val="en-US" w:eastAsia="zh-CN"/>
        </w:rPr>
        <w:t>无</w:t>
      </w:r>
      <w:r>
        <w:rPr>
          <w:rFonts w:hint="eastAsia" w:ascii="宋体" w:hAnsi="宋体" w:eastAsia="宋体" w:cs="宋体"/>
          <w:color w:val="auto"/>
          <w:sz w:val="24"/>
          <w:szCs w:val="24"/>
          <w:highlight w:val="none"/>
          <w:lang w:val="en-US" w:eastAsia="zh-CN"/>
        </w:rPr>
        <w:t>。</w:t>
      </w:r>
    </w:p>
    <w:p w14:paraId="0858936F">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szCs w:val="24"/>
          <w:highlight w:val="none"/>
          <w:lang w:eastAsia="zh-CN"/>
        </w:rPr>
      </w:pPr>
      <w:r>
        <w:rPr>
          <w:rFonts w:hint="eastAsia" w:ascii="宋体" w:hAnsi="宋体" w:eastAsia="宋体" w:cs="宋体"/>
          <w:color w:val="auto"/>
          <w:sz w:val="24"/>
          <w:szCs w:val="24"/>
          <w:highlight w:val="none"/>
        </w:rPr>
        <w:t>3.本项目的特定资格要求</w:t>
      </w:r>
      <w:r>
        <w:rPr>
          <w:rFonts w:hint="eastAsia" w:ascii="宋体" w:hAnsi="宋体" w:cs="宋体"/>
          <w:color w:val="auto"/>
          <w:sz w:val="24"/>
          <w:szCs w:val="24"/>
          <w:highlight w:val="none"/>
          <w:lang w:eastAsia="zh-CN"/>
        </w:rPr>
        <w:t>：（1）在“信用中国”（www.creditchina.gov.cn）、中国政府采购网（www.ccgp.gov.cn）等网站中被列入失信被执行人、重大税收违法失信主体、政府采购严重违法失信行为记录名单的供应商，不得参加本次政府采购活动；（</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）单位负责人为同一人或者存在直接控股、管理关系的不同</w:t>
      </w:r>
      <w:r>
        <w:rPr>
          <w:rFonts w:hint="eastAsia" w:ascii="宋体" w:hAnsi="宋体" w:cs="宋体"/>
          <w:color w:val="auto"/>
          <w:sz w:val="24"/>
          <w:szCs w:val="24"/>
          <w:highlight w:val="none"/>
          <w:lang w:val="en-US" w:eastAsia="zh-CN"/>
        </w:rPr>
        <w:t>投标人</w:t>
      </w:r>
      <w:r>
        <w:rPr>
          <w:rFonts w:hint="eastAsia" w:ascii="宋体" w:hAnsi="宋体" w:cs="宋体"/>
          <w:color w:val="auto"/>
          <w:sz w:val="24"/>
          <w:szCs w:val="24"/>
          <w:highlight w:val="none"/>
          <w:lang w:eastAsia="zh-CN"/>
        </w:rPr>
        <w:t>，不得参加同一合同项下的政府采购活动。</w:t>
      </w:r>
    </w:p>
    <w:p w14:paraId="058F828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lang w:eastAsia="zh-CN"/>
        </w:rPr>
      </w:pPr>
      <w:bookmarkStart w:id="261" w:name="_Toc35393623"/>
      <w:bookmarkStart w:id="262" w:name="_Toc35393792"/>
      <w:r>
        <w:rPr>
          <w:rFonts w:hint="eastAsia" w:ascii="宋体" w:hAnsi="宋体" w:eastAsia="宋体" w:cs="宋体"/>
          <w:color w:val="auto"/>
          <w:sz w:val="24"/>
          <w:szCs w:val="24"/>
          <w:highlight w:val="none"/>
        </w:rPr>
        <w:t>三、获取</w:t>
      </w:r>
      <w:bookmarkEnd w:id="259"/>
      <w:bookmarkEnd w:id="260"/>
      <w:bookmarkEnd w:id="261"/>
      <w:bookmarkEnd w:id="262"/>
      <w:r>
        <w:rPr>
          <w:rFonts w:hint="eastAsia" w:ascii="宋体" w:hAnsi="宋体" w:eastAsia="宋体" w:cs="宋体"/>
          <w:color w:val="auto"/>
          <w:sz w:val="24"/>
          <w:szCs w:val="24"/>
          <w:highlight w:val="none"/>
          <w:lang w:eastAsia="zh-CN"/>
        </w:rPr>
        <w:t>招标文件</w:t>
      </w:r>
    </w:p>
    <w:p w14:paraId="117084D5">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w:t>
      </w:r>
      <w:r>
        <w:rPr>
          <w:rFonts w:hint="eastAsia" w:ascii="宋体" w:hAnsi="宋体" w:cs="宋体"/>
          <w:color w:val="auto"/>
          <w:sz w:val="24"/>
          <w:szCs w:val="24"/>
          <w:highlight w:val="none"/>
          <w:lang w:eastAsia="zh-CN"/>
        </w:rPr>
        <w:t>2025年</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lang w:eastAsia="zh-CN"/>
        </w:rPr>
        <w:t>月</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日</w:t>
      </w:r>
      <w:r>
        <w:rPr>
          <w:rFonts w:hint="eastAsia" w:ascii="宋体" w:hAnsi="宋体" w:eastAsia="宋体" w:cs="宋体"/>
          <w:color w:val="auto"/>
          <w:sz w:val="24"/>
          <w:szCs w:val="24"/>
          <w:highlight w:val="none"/>
        </w:rPr>
        <w:t>8时30分至</w:t>
      </w:r>
      <w:r>
        <w:rPr>
          <w:rFonts w:hint="eastAsia" w:ascii="宋体" w:hAnsi="宋体" w:eastAsia="宋体" w:cs="宋体"/>
          <w:color w:val="auto"/>
          <w:sz w:val="24"/>
          <w:szCs w:val="24"/>
          <w:highlight w:val="none"/>
          <w:lang w:eastAsia="zh-CN"/>
        </w:rPr>
        <w:t>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日17时00分（报名截止时间）（北京时间，法定节假日除外）</w:t>
      </w:r>
    </w:p>
    <w:p w14:paraId="6A1FE071">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地点：</w:t>
      </w:r>
      <w:r>
        <w:rPr>
          <w:rFonts w:hint="eastAsia" w:ascii="宋体" w:hAnsi="宋体" w:cs="宋体"/>
          <w:color w:val="auto"/>
          <w:sz w:val="24"/>
          <w:szCs w:val="24"/>
          <w:highlight w:val="none"/>
          <w:lang w:eastAsia="zh-CN"/>
        </w:rPr>
        <w:t>临沂市兰山区柳青街道北京路与沭河路交汇北50米红日大厦20楼临沂市沂蒙国际招标有限公司开标室</w:t>
      </w:r>
      <w:r>
        <w:rPr>
          <w:rFonts w:hint="eastAsia" w:ascii="宋体" w:hAnsi="宋体" w:eastAsia="宋体" w:cs="宋体"/>
          <w:color w:val="auto"/>
          <w:sz w:val="24"/>
          <w:szCs w:val="24"/>
          <w:highlight w:val="none"/>
        </w:rPr>
        <w:t>；</w:t>
      </w:r>
    </w:p>
    <w:p w14:paraId="119DB6A3">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方式：凡有意参加本次政府采购的单位，须在山东省政府采购信息公开平台（http://www.ccgp-shandong.gov.cn）注册并进行投标备案，备案后请及时致电代理机构购买竞争性</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及确认投标备案（联系电话：0539-7578911，邮箱ymgjzb@163.com，开户名：临沂市沂蒙国际招标有限公司，开户行：建设银行临沂分行营业部，账号：37001828301050001489）。因自身行为导致未成功获取</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及补充（答疑、澄清）文件、未能够在中国山东政府采购网投标备案，后果自负</w:t>
      </w:r>
      <w:r>
        <w:rPr>
          <w:rFonts w:hint="eastAsia" w:ascii="宋体" w:hAnsi="宋体" w:cs="宋体"/>
          <w:color w:val="auto"/>
          <w:sz w:val="24"/>
          <w:szCs w:val="24"/>
          <w:highlight w:val="none"/>
          <w:lang w:eastAsia="zh-CN"/>
        </w:rPr>
        <w:t>；</w:t>
      </w:r>
    </w:p>
    <w:p w14:paraId="4A34D4FE">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售价：每</w:t>
      </w:r>
      <w:r>
        <w:rPr>
          <w:rFonts w:hint="eastAsia" w:ascii="宋体" w:hAnsi="宋体" w:cs="宋体"/>
          <w:color w:val="auto"/>
          <w:sz w:val="24"/>
          <w:szCs w:val="24"/>
          <w:highlight w:val="none"/>
          <w:lang w:val="en-US" w:eastAsia="zh-CN"/>
        </w:rPr>
        <w:t>份</w:t>
      </w:r>
      <w:r>
        <w:rPr>
          <w:rFonts w:hint="eastAsia" w:ascii="宋体" w:hAnsi="宋体" w:eastAsia="宋体" w:cs="宋体"/>
          <w:color w:val="auto"/>
          <w:sz w:val="24"/>
          <w:szCs w:val="24"/>
          <w:highlight w:val="none"/>
        </w:rPr>
        <w:t>人民币</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val="en-US" w:eastAsia="zh-CN"/>
        </w:rPr>
        <w:t>招标文件</w:t>
      </w:r>
      <w:r>
        <w:rPr>
          <w:rFonts w:hint="eastAsia" w:ascii="宋体" w:hAnsi="宋体" w:eastAsia="宋体" w:cs="宋体"/>
          <w:color w:val="auto"/>
          <w:sz w:val="24"/>
          <w:szCs w:val="24"/>
          <w:highlight w:val="none"/>
        </w:rPr>
        <w:t>售后不退。</w:t>
      </w:r>
    </w:p>
    <w:p w14:paraId="444829C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rPr>
      </w:pPr>
      <w:bookmarkStart w:id="263" w:name="_Toc28359082"/>
      <w:bookmarkStart w:id="264" w:name="_Toc28359005"/>
      <w:bookmarkStart w:id="265" w:name="_Toc35393793"/>
      <w:bookmarkStart w:id="266" w:name="_Toc35393624"/>
      <w:r>
        <w:rPr>
          <w:rFonts w:hint="eastAsia" w:ascii="宋体" w:hAnsi="宋体" w:eastAsia="宋体" w:cs="宋体"/>
          <w:color w:val="auto"/>
          <w:sz w:val="24"/>
          <w:szCs w:val="24"/>
          <w:highlight w:val="none"/>
        </w:rPr>
        <w:t>四、提交</w:t>
      </w:r>
      <w:bookmarkEnd w:id="263"/>
      <w:bookmarkEnd w:id="264"/>
      <w:r>
        <w:rPr>
          <w:rFonts w:hint="eastAsia" w:ascii="宋体" w:hAnsi="宋体" w:cs="宋体"/>
          <w:color w:val="auto"/>
          <w:sz w:val="24"/>
          <w:szCs w:val="24"/>
          <w:highlight w:val="none"/>
          <w:lang w:eastAsia="zh-CN"/>
        </w:rPr>
        <w:t>投标文件</w:t>
      </w:r>
      <w:r>
        <w:rPr>
          <w:rFonts w:hint="eastAsia" w:ascii="宋体" w:hAnsi="宋体" w:eastAsia="宋体" w:cs="宋体"/>
          <w:color w:val="auto"/>
          <w:sz w:val="24"/>
          <w:szCs w:val="24"/>
          <w:highlight w:val="none"/>
        </w:rPr>
        <w:t>截止时间和地点</w:t>
      </w:r>
      <w:bookmarkEnd w:id="265"/>
      <w:bookmarkEnd w:id="266"/>
    </w:p>
    <w:p w14:paraId="49F5369D">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1.时间：</w:t>
      </w:r>
      <w:r>
        <w:rPr>
          <w:rFonts w:hint="eastAsia" w:ascii="宋体" w:hAnsi="宋体" w:eastAsia="宋体" w:cs="宋体"/>
          <w:color w:val="auto"/>
          <w:sz w:val="24"/>
          <w:szCs w:val="24"/>
          <w:highlight w:val="none"/>
          <w:lang w:eastAsia="zh-CN"/>
        </w:rPr>
        <w:t>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cs="宋体"/>
          <w:color w:val="auto"/>
          <w:sz w:val="24"/>
          <w:szCs w:val="24"/>
          <w:highlight w:val="none"/>
          <w:lang w:val="en-US" w:eastAsia="zh-CN"/>
        </w:rPr>
        <w:t>24</w:t>
      </w:r>
      <w:r>
        <w:rPr>
          <w:rFonts w:hint="eastAsia" w:ascii="宋体" w:hAnsi="宋体" w:eastAsia="宋体" w:cs="宋体"/>
          <w:color w:val="auto"/>
          <w:sz w:val="24"/>
          <w:szCs w:val="24"/>
          <w:highlight w:val="none"/>
          <w:lang w:eastAsia="zh-CN"/>
        </w:rPr>
        <w:t>日</w:t>
      </w:r>
      <w:r>
        <w:rPr>
          <w:rFonts w:hint="eastAsia" w:ascii="宋体" w:hAnsi="宋体" w:cs="宋体"/>
          <w:color w:val="auto"/>
          <w:sz w:val="24"/>
          <w:szCs w:val="24"/>
          <w:highlight w:val="none"/>
          <w:lang w:val="en-US" w:eastAsia="zh-CN"/>
        </w:rPr>
        <w:t>09</w:t>
      </w:r>
      <w:r>
        <w:rPr>
          <w:rFonts w:hint="eastAsia" w:ascii="宋体" w:hAnsi="宋体" w:eastAsia="宋体" w:cs="宋体"/>
          <w:color w:val="auto"/>
          <w:sz w:val="24"/>
          <w:szCs w:val="24"/>
          <w:highlight w:val="none"/>
        </w:rPr>
        <w:t>时30分（北京时间）；</w:t>
      </w:r>
    </w:p>
    <w:p w14:paraId="50DE0E96">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w:t>
      </w:r>
      <w:r>
        <w:rPr>
          <w:rFonts w:hint="eastAsia" w:ascii="宋体" w:hAnsi="宋体" w:cs="宋体"/>
          <w:color w:val="auto"/>
          <w:sz w:val="24"/>
          <w:szCs w:val="24"/>
          <w:highlight w:val="none"/>
          <w:lang w:val="zh-CN"/>
        </w:rPr>
        <w:t>临沂市兰山区柳青街道北京路与沭河路交汇北50米红日大厦20楼临沂市沂蒙国际招标有限公司开标室</w:t>
      </w:r>
      <w:r>
        <w:rPr>
          <w:rFonts w:hint="eastAsia" w:ascii="宋体" w:hAnsi="宋体" w:eastAsia="宋体" w:cs="宋体"/>
          <w:color w:val="auto"/>
          <w:sz w:val="24"/>
          <w:szCs w:val="24"/>
          <w:highlight w:val="none"/>
          <w:lang w:val="zh-CN"/>
        </w:rPr>
        <w:t>。</w:t>
      </w:r>
    </w:p>
    <w:p w14:paraId="7DE06AB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rPr>
      </w:pPr>
      <w:bookmarkStart w:id="267" w:name="_Toc35393802"/>
      <w:bookmarkStart w:id="268" w:name="_Toc28359093"/>
      <w:bookmarkStart w:id="269" w:name="_Toc35393633"/>
      <w:bookmarkStart w:id="270" w:name="_Toc28359016"/>
      <w:r>
        <w:rPr>
          <w:rFonts w:hint="eastAsia" w:ascii="宋体" w:hAnsi="宋体" w:eastAsia="宋体" w:cs="宋体"/>
          <w:color w:val="auto"/>
          <w:sz w:val="24"/>
          <w:szCs w:val="24"/>
          <w:highlight w:val="none"/>
        </w:rPr>
        <w:t>五、开启</w:t>
      </w:r>
      <w:bookmarkEnd w:id="267"/>
      <w:bookmarkEnd w:id="268"/>
      <w:bookmarkEnd w:id="269"/>
      <w:bookmarkEnd w:id="270"/>
      <w:r>
        <w:rPr>
          <w:rFonts w:hint="eastAsia" w:ascii="宋体" w:hAnsi="宋体" w:eastAsia="宋体" w:cs="宋体"/>
          <w:color w:val="auto"/>
          <w:sz w:val="24"/>
          <w:szCs w:val="24"/>
          <w:highlight w:val="none"/>
        </w:rPr>
        <w:t xml:space="preserve"> </w:t>
      </w:r>
    </w:p>
    <w:p w14:paraId="096E5761">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bookmarkStart w:id="271" w:name="_Toc28359017"/>
      <w:bookmarkStart w:id="272" w:name="_Toc28359094"/>
      <w:bookmarkStart w:id="273" w:name="_Toc35393634"/>
      <w:bookmarkStart w:id="274" w:name="_Toc35393803"/>
      <w:r>
        <w:rPr>
          <w:rFonts w:hint="eastAsia" w:ascii="宋体" w:hAnsi="宋体" w:eastAsia="宋体" w:cs="宋体"/>
          <w:color w:val="auto"/>
          <w:sz w:val="24"/>
          <w:szCs w:val="24"/>
          <w:highlight w:val="none"/>
        </w:rPr>
        <w:t>1.时间：</w:t>
      </w:r>
      <w:r>
        <w:rPr>
          <w:rFonts w:hint="eastAsia" w:ascii="宋体" w:hAnsi="宋体" w:eastAsia="宋体" w:cs="宋体"/>
          <w:color w:val="auto"/>
          <w:sz w:val="24"/>
          <w:szCs w:val="24"/>
          <w:highlight w:val="none"/>
          <w:lang w:eastAsia="zh-CN"/>
        </w:rPr>
        <w:t>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cs="宋体"/>
          <w:color w:val="auto"/>
          <w:sz w:val="24"/>
          <w:szCs w:val="24"/>
          <w:highlight w:val="none"/>
          <w:lang w:val="en-US" w:eastAsia="zh-CN"/>
        </w:rPr>
        <w:t>24</w:t>
      </w:r>
      <w:r>
        <w:rPr>
          <w:rFonts w:hint="eastAsia" w:ascii="宋体" w:hAnsi="宋体" w:eastAsia="宋体" w:cs="宋体"/>
          <w:color w:val="auto"/>
          <w:sz w:val="24"/>
          <w:szCs w:val="24"/>
          <w:highlight w:val="none"/>
          <w:lang w:eastAsia="zh-CN"/>
        </w:rPr>
        <w:t>日</w:t>
      </w:r>
      <w:r>
        <w:rPr>
          <w:rFonts w:hint="eastAsia" w:ascii="宋体" w:hAnsi="宋体" w:cs="宋体"/>
          <w:color w:val="auto"/>
          <w:sz w:val="24"/>
          <w:szCs w:val="24"/>
          <w:highlight w:val="none"/>
          <w:lang w:val="en-US" w:eastAsia="zh-CN"/>
        </w:rPr>
        <w:t>09</w:t>
      </w:r>
      <w:r>
        <w:rPr>
          <w:rFonts w:hint="eastAsia" w:ascii="宋体" w:hAnsi="宋体" w:eastAsia="宋体" w:cs="宋体"/>
          <w:color w:val="auto"/>
          <w:sz w:val="24"/>
          <w:szCs w:val="24"/>
          <w:highlight w:val="none"/>
        </w:rPr>
        <w:t>时30分（北京时间）；</w:t>
      </w:r>
    </w:p>
    <w:p w14:paraId="6BEB7383">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w:t>
      </w:r>
      <w:r>
        <w:rPr>
          <w:rFonts w:hint="eastAsia" w:ascii="宋体" w:hAnsi="宋体" w:cs="宋体"/>
          <w:color w:val="auto"/>
          <w:sz w:val="24"/>
          <w:szCs w:val="24"/>
          <w:highlight w:val="none"/>
          <w:lang w:val="zh-CN"/>
        </w:rPr>
        <w:t>临沂市兰山区柳青街道北京路与沭河路交汇北50米红日大厦20楼临沂市沂蒙国际招标有限公司开标室</w:t>
      </w:r>
      <w:r>
        <w:rPr>
          <w:rFonts w:hint="eastAsia" w:ascii="宋体" w:hAnsi="宋体" w:eastAsia="宋体" w:cs="宋体"/>
          <w:color w:val="auto"/>
          <w:sz w:val="24"/>
          <w:szCs w:val="24"/>
          <w:highlight w:val="none"/>
          <w:lang w:val="zh-CN"/>
        </w:rPr>
        <w:t>。</w:t>
      </w:r>
    </w:p>
    <w:p w14:paraId="48DEC50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六、公告期限</w:t>
      </w:r>
      <w:bookmarkEnd w:id="271"/>
      <w:bookmarkEnd w:id="272"/>
      <w:bookmarkEnd w:id="273"/>
      <w:bookmarkEnd w:id="274"/>
    </w:p>
    <w:p w14:paraId="33A56D41">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个工作日。</w:t>
      </w:r>
    </w:p>
    <w:p w14:paraId="0286CCC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rPr>
      </w:pPr>
      <w:bookmarkStart w:id="275" w:name="_Toc35393635"/>
      <w:bookmarkStart w:id="276" w:name="_Toc35393804"/>
      <w:r>
        <w:rPr>
          <w:rFonts w:hint="eastAsia" w:ascii="宋体" w:hAnsi="宋体" w:eastAsia="宋体" w:cs="宋体"/>
          <w:color w:val="auto"/>
          <w:sz w:val="24"/>
          <w:szCs w:val="24"/>
          <w:highlight w:val="none"/>
          <w:lang w:val="en-US" w:eastAsia="zh-CN"/>
        </w:rPr>
        <w:t>七、</w:t>
      </w:r>
      <w:r>
        <w:rPr>
          <w:rFonts w:hint="eastAsia" w:ascii="宋体" w:hAnsi="宋体" w:eastAsia="宋体" w:cs="宋体"/>
          <w:color w:val="auto"/>
          <w:sz w:val="24"/>
          <w:szCs w:val="24"/>
          <w:highlight w:val="none"/>
        </w:rPr>
        <w:t>其他补充事宜</w:t>
      </w:r>
      <w:bookmarkEnd w:id="275"/>
      <w:bookmarkEnd w:id="276"/>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采购项目需要落实的政府采购政策：</w:t>
      </w:r>
    </w:p>
    <w:p w14:paraId="7937D90E">
      <w:pPr>
        <w:spacing w:line="500" w:lineRule="exact"/>
        <w:ind w:firstLine="480" w:firstLineChars="200"/>
        <w:rPr>
          <w:rFonts w:ascii="宋体" w:hAnsi="宋体" w:cs="宋体"/>
          <w:sz w:val="24"/>
          <w:highlight w:val="none"/>
        </w:rPr>
      </w:pPr>
      <w:r>
        <w:rPr>
          <w:rFonts w:hint="eastAsia" w:ascii="宋体" w:hAnsi="宋体" w:cs="宋体"/>
          <w:sz w:val="24"/>
          <w:highlight w:val="none"/>
        </w:rPr>
        <w:t>（一）中小微型企业政府采购政策；</w:t>
      </w:r>
    </w:p>
    <w:p w14:paraId="45D83000">
      <w:pPr>
        <w:spacing w:line="500" w:lineRule="exact"/>
        <w:ind w:firstLine="480" w:firstLineChars="200"/>
        <w:rPr>
          <w:rFonts w:ascii="宋体" w:hAnsi="宋体" w:cs="宋体"/>
          <w:sz w:val="24"/>
          <w:highlight w:val="none"/>
        </w:rPr>
      </w:pPr>
      <w:r>
        <w:rPr>
          <w:rFonts w:hint="eastAsia" w:ascii="宋体" w:hAnsi="宋体" w:cs="宋体"/>
          <w:sz w:val="24"/>
          <w:highlight w:val="none"/>
        </w:rPr>
        <w:t>（二）监狱企业政府采购政策；</w:t>
      </w:r>
    </w:p>
    <w:p w14:paraId="0D5EF5C8">
      <w:pPr>
        <w:spacing w:line="500" w:lineRule="exact"/>
        <w:ind w:firstLine="480" w:firstLineChars="200"/>
        <w:rPr>
          <w:rFonts w:ascii="宋体" w:hAnsi="宋体" w:cs="宋体"/>
          <w:sz w:val="24"/>
          <w:highlight w:val="none"/>
        </w:rPr>
      </w:pPr>
      <w:r>
        <w:rPr>
          <w:rFonts w:hint="eastAsia" w:ascii="宋体" w:hAnsi="宋体" w:cs="宋体"/>
          <w:sz w:val="24"/>
          <w:highlight w:val="none"/>
        </w:rPr>
        <w:t>（三）促进残疾人就业政府采购政策，详见</w:t>
      </w:r>
      <w:r>
        <w:rPr>
          <w:rFonts w:hint="eastAsia" w:ascii="宋体" w:hAnsi="宋体" w:cs="宋体"/>
          <w:sz w:val="24"/>
          <w:highlight w:val="none"/>
          <w:lang w:val="en-US" w:eastAsia="zh-CN"/>
        </w:rPr>
        <w:t>招标</w:t>
      </w:r>
      <w:r>
        <w:rPr>
          <w:rFonts w:hint="eastAsia" w:ascii="宋体" w:hAnsi="宋体" w:cs="宋体"/>
          <w:sz w:val="24"/>
          <w:highlight w:val="none"/>
        </w:rPr>
        <w:t>文件。</w:t>
      </w:r>
    </w:p>
    <w:p w14:paraId="3DE9591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4"/>
          <w:highlight w:val="none"/>
          <w:lang w:eastAsia="zh-CN"/>
        </w:rPr>
      </w:pPr>
      <w:bookmarkStart w:id="277" w:name="_Toc28359018"/>
      <w:bookmarkStart w:id="278" w:name="_Toc35393805"/>
      <w:bookmarkStart w:id="279" w:name="_Toc35393636"/>
      <w:bookmarkStart w:id="280" w:name="_Toc28359095"/>
      <w:r>
        <w:rPr>
          <w:rFonts w:hint="eastAsia" w:ascii="宋体" w:hAnsi="宋体" w:eastAsia="宋体" w:cs="宋体"/>
          <w:color w:val="auto"/>
          <w:sz w:val="24"/>
          <w:szCs w:val="24"/>
          <w:highlight w:val="none"/>
        </w:rPr>
        <w:t>八、凡对本次采购提出询问，请按以下方式联系</w:t>
      </w:r>
      <w:bookmarkEnd w:id="277"/>
      <w:bookmarkEnd w:id="278"/>
      <w:bookmarkEnd w:id="279"/>
      <w:bookmarkEnd w:id="280"/>
      <w:r>
        <w:rPr>
          <w:rFonts w:hint="eastAsia" w:ascii="宋体" w:hAnsi="宋体" w:eastAsia="宋体" w:cs="宋体"/>
          <w:color w:val="auto"/>
          <w:sz w:val="24"/>
          <w:szCs w:val="24"/>
          <w:highlight w:val="none"/>
          <w:lang w:val="en-US" w:eastAsia="zh-CN"/>
        </w:rPr>
        <w:t>:</w:t>
      </w:r>
    </w:p>
    <w:p w14:paraId="4BFEC50E">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采购人：</w:t>
      </w:r>
      <w:r>
        <w:rPr>
          <w:rFonts w:hint="eastAsia" w:ascii="宋体" w:hAnsi="宋体" w:cs="宋体"/>
          <w:color w:val="auto"/>
          <w:sz w:val="24"/>
          <w:szCs w:val="24"/>
          <w:highlight w:val="none"/>
          <w:lang w:eastAsia="zh-CN"/>
        </w:rPr>
        <w:t>临沂大学</w:t>
      </w:r>
    </w:p>
    <w:p w14:paraId="57453C25">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联系地址：山东省临沂市双岭路中段</w:t>
      </w:r>
    </w:p>
    <w:p w14:paraId="21B3A109">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联系方式：0539-7258758</w:t>
      </w:r>
    </w:p>
    <w:p w14:paraId="7630F2DF">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采购代理机构：临沂市沂蒙国际招标有限公司</w:t>
      </w:r>
    </w:p>
    <w:p w14:paraId="4E661957">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地址：山东省临沂市兰山区柳青街道北京路与沭河路交汇北50米红日大厦20楼2008室</w:t>
      </w:r>
    </w:p>
    <w:p w14:paraId="5A5AF17F">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项目联系人：毛锟</w:t>
      </w:r>
    </w:p>
    <w:p w14:paraId="04A77B01">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联系方式：0539-7578911</w:t>
      </w:r>
    </w:p>
    <w:p w14:paraId="77EAD924">
      <w:pPr>
        <w:pStyle w:val="2"/>
        <w:spacing w:line="600" w:lineRule="exact"/>
        <w:rPr>
          <w:rFonts w:hint="eastAsia" w:hAnsi="宋体"/>
          <w:b w:val="0"/>
          <w:color w:val="auto"/>
          <w:szCs w:val="32"/>
          <w:highlight w:val="none"/>
        </w:rPr>
      </w:pPr>
      <w:bookmarkStart w:id="281" w:name="_Toc31583"/>
      <w:bookmarkStart w:id="282" w:name="_Toc507399903"/>
      <w:bookmarkStart w:id="283" w:name="_Toc10488"/>
      <w:bookmarkStart w:id="284" w:name="_Toc216582823"/>
      <w:bookmarkStart w:id="285" w:name="_Toc4766526"/>
      <w:bookmarkStart w:id="286" w:name="_Toc515647830"/>
      <w:r>
        <w:rPr>
          <w:rFonts w:hAnsi="宋体"/>
          <w:color w:val="auto"/>
          <w:highlight w:val="none"/>
        </w:rPr>
        <w:br w:type="page"/>
      </w:r>
      <w:bookmarkStart w:id="287" w:name="_Toc13890"/>
      <w:r>
        <w:rPr>
          <w:rFonts w:hint="eastAsia" w:hAnsi="宋体"/>
          <w:color w:val="auto"/>
          <w:highlight w:val="none"/>
        </w:rPr>
        <w:t>第3章  投标人须知</w:t>
      </w:r>
      <w:r>
        <w:rPr>
          <w:rFonts w:hint="eastAsia" w:hAnsi="宋体"/>
          <w:color w:val="auto"/>
          <w:szCs w:val="32"/>
          <w:highlight w:val="none"/>
        </w:rPr>
        <w:t>资料表</w:t>
      </w:r>
      <w:bookmarkEnd w:id="281"/>
      <w:bookmarkEnd w:id="282"/>
      <w:bookmarkEnd w:id="283"/>
      <w:bookmarkEnd w:id="284"/>
      <w:bookmarkEnd w:id="285"/>
      <w:bookmarkEnd w:id="286"/>
      <w:bookmarkEnd w:id="287"/>
    </w:p>
    <w:bookmarkEnd w:id="249"/>
    <w:p w14:paraId="1ADE7AF1">
      <w:pPr>
        <w:spacing w:line="520" w:lineRule="exact"/>
        <w:ind w:firstLine="360" w:firstLineChars="150"/>
        <w:rPr>
          <w:rFonts w:hint="eastAsia" w:ascii="宋体" w:hAnsi="宋体"/>
          <w:color w:val="auto"/>
          <w:sz w:val="24"/>
          <w:highlight w:val="none"/>
        </w:rPr>
      </w:pPr>
      <w:r>
        <w:rPr>
          <w:rFonts w:hint="eastAsia" w:ascii="宋体" w:hAnsi="宋体"/>
          <w:color w:val="auto"/>
          <w:sz w:val="24"/>
          <w:highlight w:val="none"/>
        </w:rPr>
        <w:t xml:space="preserve"> 本表是本招标项目的具体资料，是对投标人须知的具体补充和修改，如有矛盾，应以本资料表为准。</w:t>
      </w:r>
    </w:p>
    <w:tbl>
      <w:tblPr>
        <w:tblStyle w:val="33"/>
        <w:tblW w:w="919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21"/>
        <w:gridCol w:w="8170"/>
      </w:tblGrid>
      <w:tr w14:paraId="36288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44C285D1">
            <w:pPr>
              <w:keepNext w:val="0"/>
              <w:keepLines w:val="0"/>
              <w:pageBreakBefore w:val="0"/>
              <w:kinsoku/>
              <w:wordWrap/>
              <w:overflowPunct/>
              <w:topLinePunct w:val="0"/>
              <w:autoSpaceDE/>
              <w:autoSpaceDN/>
              <w:bidi w:val="0"/>
              <w:adjustRightInd/>
              <w:snapToGrid/>
              <w:spacing w:line="520" w:lineRule="exact"/>
              <w:jc w:val="center"/>
              <w:textAlignment w:val="auto"/>
              <w:rPr>
                <w:rFonts w:ascii="宋体" w:hAnsi="宋体"/>
                <w:color w:val="auto"/>
                <w:sz w:val="24"/>
                <w:highlight w:val="none"/>
              </w:rPr>
            </w:pPr>
            <w:r>
              <w:rPr>
                <w:rFonts w:hint="eastAsia" w:ascii="宋体" w:hAnsi="宋体"/>
                <w:color w:val="auto"/>
                <w:sz w:val="24"/>
                <w:highlight w:val="none"/>
              </w:rPr>
              <w:t>条款号</w:t>
            </w:r>
          </w:p>
        </w:tc>
        <w:tc>
          <w:tcPr>
            <w:tcW w:w="8170" w:type="dxa"/>
            <w:noWrap w:val="0"/>
            <w:vAlign w:val="center"/>
          </w:tcPr>
          <w:p w14:paraId="546CF2AB">
            <w:pPr>
              <w:keepNext w:val="0"/>
              <w:keepLines w:val="0"/>
              <w:pageBreakBefore w:val="0"/>
              <w:kinsoku/>
              <w:wordWrap/>
              <w:overflowPunct/>
              <w:topLinePunct w:val="0"/>
              <w:autoSpaceDE/>
              <w:autoSpaceDN/>
              <w:bidi w:val="0"/>
              <w:adjustRightInd/>
              <w:snapToGrid/>
              <w:spacing w:line="520" w:lineRule="exact"/>
              <w:ind w:left="0" w:leftChars="0" w:firstLine="0" w:firstLineChars="0"/>
              <w:jc w:val="center"/>
              <w:textAlignment w:val="auto"/>
              <w:rPr>
                <w:rFonts w:ascii="宋体" w:hAnsi="宋体"/>
                <w:b/>
                <w:color w:val="auto"/>
                <w:sz w:val="24"/>
                <w:highlight w:val="none"/>
              </w:rPr>
            </w:pPr>
            <w:r>
              <w:rPr>
                <w:rFonts w:hint="eastAsia" w:ascii="宋体" w:hAnsi="宋体"/>
                <w:b/>
                <w:color w:val="auto"/>
                <w:sz w:val="24"/>
                <w:highlight w:val="none"/>
              </w:rPr>
              <w:t>内</w:t>
            </w:r>
            <w:r>
              <w:rPr>
                <w:rFonts w:ascii="宋体" w:hAnsi="宋体"/>
                <w:b/>
                <w:color w:val="auto"/>
                <w:sz w:val="24"/>
                <w:highlight w:val="none"/>
              </w:rPr>
              <w:t xml:space="preserve">      </w:t>
            </w:r>
            <w:r>
              <w:rPr>
                <w:rFonts w:hint="eastAsia" w:ascii="宋体" w:hAnsi="宋体"/>
                <w:b/>
                <w:color w:val="auto"/>
                <w:sz w:val="24"/>
                <w:highlight w:val="none"/>
              </w:rPr>
              <w:t>容</w:t>
            </w:r>
          </w:p>
        </w:tc>
      </w:tr>
      <w:tr w14:paraId="1F4B6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96" w:hRule="atLeast"/>
          <w:jc w:val="center"/>
        </w:trPr>
        <w:tc>
          <w:tcPr>
            <w:tcW w:w="1021" w:type="dxa"/>
            <w:noWrap w:val="0"/>
            <w:vAlign w:val="center"/>
          </w:tcPr>
          <w:p w14:paraId="5F91EAE2">
            <w:pPr>
              <w:keepNext w:val="0"/>
              <w:keepLines w:val="0"/>
              <w:pageBreakBefore w:val="0"/>
              <w:kinsoku/>
              <w:wordWrap/>
              <w:overflowPunct/>
              <w:topLinePunct w:val="0"/>
              <w:autoSpaceDE/>
              <w:autoSpaceDN/>
              <w:bidi w:val="0"/>
              <w:adjustRightInd/>
              <w:snapToGrid/>
              <w:spacing w:line="520" w:lineRule="exact"/>
              <w:jc w:val="center"/>
              <w:textAlignment w:val="auto"/>
              <w:rPr>
                <w:rFonts w:ascii="宋体" w:hAnsi="宋体"/>
                <w:color w:val="auto"/>
                <w:sz w:val="24"/>
                <w:highlight w:val="none"/>
              </w:rPr>
            </w:pPr>
            <w:r>
              <w:rPr>
                <w:rFonts w:ascii="宋体" w:hAnsi="宋体"/>
                <w:color w:val="auto"/>
                <w:sz w:val="24"/>
                <w:highlight w:val="none"/>
              </w:rPr>
              <w:t>1.1</w:t>
            </w:r>
          </w:p>
        </w:tc>
        <w:tc>
          <w:tcPr>
            <w:tcW w:w="8170" w:type="dxa"/>
            <w:noWrap w:val="0"/>
            <w:vAlign w:val="center"/>
          </w:tcPr>
          <w:p w14:paraId="156ACC60">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采购人：</w:t>
            </w:r>
            <w:r>
              <w:rPr>
                <w:rFonts w:hint="eastAsia" w:ascii="宋体" w:hAnsi="宋体"/>
                <w:color w:val="auto"/>
                <w:sz w:val="24"/>
                <w:highlight w:val="none"/>
                <w:lang w:eastAsia="zh-CN"/>
              </w:rPr>
              <w:t>临沂大学</w:t>
            </w:r>
            <w:r>
              <w:rPr>
                <w:rFonts w:hint="eastAsia" w:ascii="宋体" w:hAnsi="宋体"/>
                <w:color w:val="auto"/>
                <w:sz w:val="24"/>
                <w:highlight w:val="none"/>
              </w:rPr>
              <w:t xml:space="preserve"> </w:t>
            </w:r>
          </w:p>
          <w:p w14:paraId="245E5900">
            <w:pPr>
              <w:pStyle w:val="77"/>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highlight w:val="none"/>
              </w:rPr>
            </w:pPr>
            <w:r>
              <w:rPr>
                <w:rFonts w:hint="eastAsia" w:ascii="宋体" w:hAnsi="宋体"/>
                <w:color w:val="auto"/>
                <w:highlight w:val="none"/>
              </w:rPr>
              <w:t>联系地址：山东省临沂市双岭路中段</w:t>
            </w:r>
          </w:p>
          <w:p w14:paraId="796D03D0">
            <w:pPr>
              <w:pStyle w:val="77"/>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olor w:val="auto"/>
                <w:highlight w:val="none"/>
                <w:lang w:eastAsia="zh-CN"/>
              </w:rPr>
            </w:pPr>
            <w:r>
              <w:rPr>
                <w:rFonts w:hint="eastAsia" w:ascii="宋体" w:hAnsi="宋体"/>
                <w:color w:val="auto"/>
                <w:highlight w:val="none"/>
              </w:rPr>
              <w:t>联系方式：0539-725875</w:t>
            </w:r>
            <w:r>
              <w:rPr>
                <w:rFonts w:hint="eastAsia" w:ascii="宋体" w:hAnsi="宋体"/>
                <w:color w:val="auto"/>
                <w:highlight w:val="none"/>
                <w:lang w:val="en-US" w:eastAsia="zh-CN"/>
              </w:rPr>
              <w:t>8</w:t>
            </w:r>
          </w:p>
        </w:tc>
      </w:tr>
      <w:tr w14:paraId="6BDCF2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96" w:hRule="atLeast"/>
          <w:jc w:val="center"/>
        </w:trPr>
        <w:tc>
          <w:tcPr>
            <w:tcW w:w="1021" w:type="dxa"/>
            <w:noWrap w:val="0"/>
            <w:vAlign w:val="center"/>
          </w:tcPr>
          <w:p w14:paraId="4EC4FDDE">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ascii="宋体" w:hAnsi="宋体"/>
                <w:color w:val="auto"/>
                <w:sz w:val="24"/>
                <w:highlight w:val="none"/>
              </w:rPr>
              <w:t>1.2</w:t>
            </w:r>
          </w:p>
        </w:tc>
        <w:tc>
          <w:tcPr>
            <w:tcW w:w="8170" w:type="dxa"/>
            <w:noWrap w:val="0"/>
            <w:vAlign w:val="center"/>
          </w:tcPr>
          <w:p w14:paraId="2B6A895F">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 xml:space="preserve">采购代理机构：临沂市沂蒙国际招标有限公司 </w:t>
            </w:r>
          </w:p>
          <w:p w14:paraId="37978F73">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 xml:space="preserve">地址：山东省临沂市兰山区柳青北京路与沭河路交汇北50米红日大厦2008室  </w:t>
            </w:r>
          </w:p>
          <w:p w14:paraId="18A20D3B">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 xml:space="preserve">联系方式：0539-7578911 </w:t>
            </w:r>
          </w:p>
          <w:p w14:paraId="22ED3487">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联系人：毛锟</w:t>
            </w:r>
          </w:p>
        </w:tc>
      </w:tr>
      <w:tr w14:paraId="642460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7D2EEB4E">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rPr>
              <w:t>1.3</w:t>
            </w:r>
          </w:p>
        </w:tc>
        <w:tc>
          <w:tcPr>
            <w:tcW w:w="8170" w:type="dxa"/>
            <w:noWrap w:val="0"/>
            <w:vAlign w:val="center"/>
          </w:tcPr>
          <w:p w14:paraId="7F1E177A">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s="Times New Roman"/>
                <w:color w:val="auto"/>
                <w:sz w:val="24"/>
                <w:highlight w:val="none"/>
              </w:rPr>
              <w:t>合格投标人的特定资格要求：</w:t>
            </w:r>
            <w:r>
              <w:rPr>
                <w:rFonts w:hint="eastAsia" w:ascii="宋体" w:hAnsi="宋体" w:cs="宋体"/>
                <w:color w:val="auto"/>
                <w:sz w:val="24"/>
                <w:szCs w:val="24"/>
                <w:highlight w:val="none"/>
                <w:lang w:eastAsia="zh-CN"/>
              </w:rPr>
              <w:t>（1）在“信用中国”（www.creditchina.gov.cn）、中国政府采购网（www.ccgp.gov.cn）等网站中被列入失信被执行人、重大税收违法失信主体、政府采购严重违法失信行为记录名单的供应商，不得参加本次政府采购活动；（</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）单位负责人为同一人或者存在直接控股、管理关系的不同</w:t>
            </w:r>
            <w:r>
              <w:rPr>
                <w:rFonts w:hint="eastAsia" w:ascii="宋体" w:hAnsi="宋体" w:cs="宋体"/>
                <w:color w:val="auto"/>
                <w:sz w:val="24"/>
                <w:szCs w:val="24"/>
                <w:highlight w:val="none"/>
                <w:lang w:val="en-US" w:eastAsia="zh-CN"/>
              </w:rPr>
              <w:t>投标人</w:t>
            </w:r>
            <w:r>
              <w:rPr>
                <w:rFonts w:hint="eastAsia" w:ascii="宋体" w:hAnsi="宋体" w:cs="宋体"/>
                <w:color w:val="auto"/>
                <w:sz w:val="24"/>
                <w:szCs w:val="24"/>
                <w:highlight w:val="none"/>
                <w:lang w:eastAsia="zh-CN"/>
              </w:rPr>
              <w:t>，不得参加同一合同项下的政府采购活动。</w:t>
            </w:r>
          </w:p>
        </w:tc>
      </w:tr>
      <w:tr w14:paraId="76A6DF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jc w:val="center"/>
        </w:trPr>
        <w:tc>
          <w:tcPr>
            <w:tcW w:w="1021" w:type="dxa"/>
            <w:noWrap w:val="0"/>
            <w:vAlign w:val="center"/>
          </w:tcPr>
          <w:p w14:paraId="6D8EE3FD">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rPr>
              <w:t>1.4</w:t>
            </w:r>
          </w:p>
        </w:tc>
        <w:tc>
          <w:tcPr>
            <w:tcW w:w="8170" w:type="dxa"/>
            <w:noWrap w:val="0"/>
            <w:vAlign w:val="center"/>
          </w:tcPr>
          <w:p w14:paraId="2ECEA75D">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i/>
                <w:color w:val="auto"/>
                <w:sz w:val="24"/>
                <w:highlight w:val="none"/>
              </w:rPr>
            </w:pPr>
            <w:r>
              <w:rPr>
                <w:rFonts w:hint="eastAsia" w:ascii="宋体" w:hAnsi="宋体"/>
                <w:color w:val="auto"/>
                <w:sz w:val="24"/>
                <w:highlight w:val="none"/>
              </w:rPr>
              <w:t>是否为专门面向</w:t>
            </w:r>
            <w:r>
              <w:rPr>
                <w:rFonts w:ascii="宋体" w:hAnsi="宋体"/>
                <w:color w:val="auto"/>
                <w:sz w:val="24"/>
                <w:highlight w:val="none"/>
              </w:rPr>
              <w:t>中小企业采购</w:t>
            </w:r>
            <w:r>
              <w:rPr>
                <w:rFonts w:hint="eastAsia" w:ascii="宋体" w:hAnsi="宋体"/>
                <w:color w:val="auto"/>
                <w:sz w:val="24"/>
                <w:highlight w:val="none"/>
              </w:rPr>
              <w:t>：（是</w:t>
            </w:r>
            <w:r>
              <w:rPr>
                <w:rFonts w:hint="eastAsia" w:ascii="宋体" w:hAnsi="宋体"/>
                <w:color w:val="auto"/>
                <w:sz w:val="24"/>
                <w:highlight w:val="none"/>
              </w:rPr>
              <w:sym w:font="Wingdings 2" w:char="00A3"/>
            </w:r>
            <w:r>
              <w:rPr>
                <w:rFonts w:hint="eastAsia" w:ascii="宋体" w:hAnsi="宋体"/>
                <w:color w:val="auto"/>
                <w:sz w:val="24"/>
                <w:highlight w:val="none"/>
              </w:rPr>
              <w:t xml:space="preserve">   否</w:t>
            </w:r>
            <w:r>
              <w:rPr>
                <w:rFonts w:hint="eastAsia" w:ascii="宋体" w:hAnsi="宋体"/>
                <w:color w:val="auto"/>
                <w:sz w:val="24"/>
                <w:highlight w:val="none"/>
                <w:lang w:eastAsia="zh-CN"/>
              </w:rPr>
              <w:sym w:font="Wingdings 2" w:char="0052"/>
            </w:r>
            <w:r>
              <w:rPr>
                <w:rFonts w:hint="eastAsia" w:ascii="宋体" w:hAnsi="宋体"/>
                <w:color w:val="auto"/>
                <w:sz w:val="24"/>
                <w:highlight w:val="none"/>
              </w:rPr>
              <w:t>）</w:t>
            </w:r>
          </w:p>
        </w:tc>
      </w:tr>
      <w:tr w14:paraId="1B2818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jc w:val="center"/>
        </w:trPr>
        <w:tc>
          <w:tcPr>
            <w:tcW w:w="1021" w:type="dxa"/>
            <w:noWrap w:val="0"/>
            <w:vAlign w:val="center"/>
          </w:tcPr>
          <w:p w14:paraId="09AEE716">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olor w:val="auto"/>
                <w:sz w:val="24"/>
                <w:highlight w:val="none"/>
                <w:lang w:eastAsia="zh-CN"/>
              </w:rPr>
            </w:pPr>
            <w:r>
              <w:rPr>
                <w:rFonts w:hint="eastAsia" w:ascii="宋体" w:hAnsi="宋体"/>
                <w:color w:val="auto"/>
                <w:sz w:val="24"/>
                <w:highlight w:val="none"/>
              </w:rPr>
              <w:t>1.</w:t>
            </w:r>
            <w:r>
              <w:rPr>
                <w:rFonts w:hint="eastAsia" w:ascii="宋体" w:hAnsi="宋体"/>
                <w:color w:val="auto"/>
                <w:sz w:val="24"/>
                <w:highlight w:val="none"/>
                <w:lang w:val="en-US" w:eastAsia="zh-CN"/>
              </w:rPr>
              <w:t>5</w:t>
            </w:r>
          </w:p>
        </w:tc>
        <w:tc>
          <w:tcPr>
            <w:tcW w:w="8170" w:type="dxa"/>
            <w:noWrap w:val="0"/>
            <w:vAlign w:val="center"/>
          </w:tcPr>
          <w:p w14:paraId="3B58D83C">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是否允许联合体投标：（是□   否☑）</w:t>
            </w:r>
          </w:p>
        </w:tc>
      </w:tr>
      <w:tr w14:paraId="67BBB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jc w:val="center"/>
        </w:trPr>
        <w:tc>
          <w:tcPr>
            <w:tcW w:w="1021" w:type="dxa"/>
            <w:noWrap w:val="0"/>
            <w:vAlign w:val="center"/>
          </w:tcPr>
          <w:p w14:paraId="1E7CB741">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5</w:t>
            </w:r>
            <w:r>
              <w:rPr>
                <w:rFonts w:hint="eastAsia" w:ascii="宋体" w:hAnsi="宋体"/>
                <w:color w:val="auto"/>
                <w:sz w:val="24"/>
                <w:highlight w:val="none"/>
              </w:rPr>
              <w:t>.1</w:t>
            </w:r>
          </w:p>
        </w:tc>
        <w:tc>
          <w:tcPr>
            <w:tcW w:w="8170" w:type="dxa"/>
            <w:noWrap w:val="0"/>
            <w:vAlign w:val="center"/>
          </w:tcPr>
          <w:p w14:paraId="09BCC74A">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联合体的其他资格要求：无</w:t>
            </w:r>
          </w:p>
        </w:tc>
      </w:tr>
      <w:tr w14:paraId="5F6A85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jc w:val="center"/>
        </w:trPr>
        <w:tc>
          <w:tcPr>
            <w:tcW w:w="1021" w:type="dxa"/>
            <w:noWrap w:val="0"/>
            <w:vAlign w:val="center"/>
          </w:tcPr>
          <w:p w14:paraId="78B6E3E4">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rPr>
              <w:t>2.1</w:t>
            </w:r>
          </w:p>
        </w:tc>
        <w:tc>
          <w:tcPr>
            <w:tcW w:w="8170" w:type="dxa"/>
            <w:noWrap w:val="0"/>
            <w:vAlign w:val="center"/>
          </w:tcPr>
          <w:p w14:paraId="6A9751BF">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本分包最高限价：</w:t>
            </w:r>
            <w:r>
              <w:rPr>
                <w:rFonts w:hint="eastAsia" w:ascii="宋体" w:hAnsi="宋体"/>
                <w:color w:val="auto"/>
                <w:sz w:val="24"/>
                <w:highlight w:val="none"/>
                <w:lang w:val="en-US" w:eastAsia="zh-CN"/>
              </w:rPr>
              <w:t>详见招标公告</w:t>
            </w:r>
            <w:r>
              <w:rPr>
                <w:rFonts w:hint="eastAsia" w:ascii="宋体" w:hAnsi="宋体"/>
                <w:color w:val="auto"/>
                <w:sz w:val="24"/>
                <w:highlight w:val="none"/>
              </w:rPr>
              <w:t>。</w:t>
            </w:r>
          </w:p>
          <w:p w14:paraId="657EFA32">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ascii="宋体" w:hAnsi="宋体"/>
                <w:color w:val="auto"/>
                <w:sz w:val="24"/>
                <w:highlight w:val="none"/>
              </w:rPr>
            </w:pPr>
            <w:r>
              <w:rPr>
                <w:rFonts w:ascii="宋体" w:hAnsi="宋体"/>
                <w:color w:val="auto"/>
                <w:sz w:val="24"/>
                <w:highlight w:val="none"/>
              </w:rPr>
              <w:t>本项目预算属于以下情形：</w:t>
            </w:r>
          </w:p>
          <w:p w14:paraId="55F8BB96">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ascii="宋体" w:hAnsi="宋体"/>
                <w:color w:val="auto"/>
                <w:sz w:val="24"/>
                <w:highlight w:val="none"/>
              </w:rPr>
            </w:pPr>
            <w:r>
              <w:rPr>
                <w:rFonts w:ascii="宋体" w:hAnsi="宋体"/>
                <w:color w:val="auto"/>
                <w:sz w:val="24"/>
                <w:highlight w:val="none"/>
              </w:rPr>
              <w:t>(1)项目为非预采购项目</w:t>
            </w:r>
            <w:r>
              <w:rPr>
                <w:rFonts w:hint="eastAsia" w:ascii="宋体" w:hAnsi="宋体"/>
                <w:color w:val="auto"/>
                <w:sz w:val="24"/>
                <w:highlight w:val="none"/>
              </w:rPr>
              <w:t>：</w:t>
            </w:r>
            <w:r>
              <w:rPr>
                <w:rFonts w:hint="eastAsia" w:ascii="宋体" w:hAnsi="宋体"/>
                <w:color w:val="auto"/>
                <w:sz w:val="24"/>
                <w:highlight w:val="none"/>
                <w:lang w:eastAsia="zh-CN"/>
              </w:rPr>
              <w:sym w:font="Wingdings 2" w:char="0052"/>
            </w:r>
            <w:r>
              <w:rPr>
                <w:rFonts w:hint="eastAsia" w:ascii="宋体" w:hAnsi="宋体"/>
                <w:color w:val="auto"/>
                <w:sz w:val="24"/>
                <w:highlight w:val="none"/>
              </w:rPr>
              <w:t xml:space="preserve">   </w:t>
            </w:r>
            <w:r>
              <w:rPr>
                <w:rFonts w:ascii="宋体" w:hAnsi="宋体"/>
                <w:color w:val="auto"/>
                <w:sz w:val="24"/>
                <w:highlight w:val="none"/>
              </w:rPr>
              <w:t>预采购项目：</w:t>
            </w:r>
            <w:r>
              <w:rPr>
                <w:rFonts w:hint="eastAsia" w:ascii="宋体" w:hAnsi="宋体"/>
                <w:color w:val="auto"/>
                <w:sz w:val="24"/>
                <w:highlight w:val="none"/>
              </w:rPr>
              <w:sym w:font="Wingdings 2" w:char="00A3"/>
            </w:r>
          </w:p>
          <w:p w14:paraId="0D5897A6">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ascii="宋体" w:hAnsi="宋体"/>
                <w:color w:val="auto"/>
                <w:sz w:val="24"/>
                <w:highlight w:val="none"/>
              </w:rPr>
            </w:pPr>
            <w:r>
              <w:rPr>
                <w:rFonts w:ascii="宋体" w:hAnsi="宋体"/>
                <w:color w:val="auto"/>
                <w:sz w:val="24"/>
                <w:highlight w:val="none"/>
              </w:rPr>
              <w:t>(</w:t>
            </w:r>
            <w:r>
              <w:rPr>
                <w:rFonts w:hint="eastAsia" w:ascii="宋体" w:hAnsi="宋体"/>
                <w:color w:val="auto"/>
                <w:sz w:val="24"/>
                <w:highlight w:val="none"/>
              </w:rPr>
              <w:t>2</w:t>
            </w:r>
            <w:r>
              <w:rPr>
                <w:rFonts w:ascii="宋体" w:hAnsi="宋体"/>
                <w:color w:val="auto"/>
                <w:sz w:val="24"/>
                <w:highlight w:val="none"/>
              </w:rPr>
              <w:t>)项目为</w:t>
            </w:r>
            <w:r>
              <w:rPr>
                <w:rFonts w:hint="eastAsia" w:ascii="宋体" w:hAnsi="宋体"/>
                <w:color w:val="auto"/>
                <w:sz w:val="24"/>
                <w:highlight w:val="none"/>
              </w:rPr>
              <w:t>（非）</w:t>
            </w:r>
            <w:r>
              <w:rPr>
                <w:rFonts w:ascii="宋体" w:hAnsi="宋体"/>
                <w:color w:val="auto"/>
                <w:sz w:val="24"/>
                <w:highlight w:val="none"/>
              </w:rPr>
              <w:t>预采购项目</w:t>
            </w:r>
            <w:r>
              <w:rPr>
                <w:rFonts w:hint="eastAsia" w:ascii="宋体" w:hAnsi="宋体"/>
                <w:color w:val="auto"/>
                <w:sz w:val="24"/>
                <w:highlight w:val="none"/>
              </w:rPr>
              <w:t>:□</w:t>
            </w:r>
            <w:r>
              <w:rPr>
                <w:rFonts w:ascii="宋体" w:hAnsi="宋体"/>
                <w:color w:val="auto"/>
                <w:sz w:val="24"/>
                <w:highlight w:val="none"/>
              </w:rPr>
              <w:t>，</w:t>
            </w:r>
            <w:r>
              <w:rPr>
                <w:rFonts w:hint="eastAsia" w:ascii="宋体" w:hAnsi="宋体"/>
                <w:color w:val="auto"/>
                <w:sz w:val="24"/>
                <w:highlight w:val="none"/>
              </w:rPr>
              <w:t>（预采购）</w:t>
            </w:r>
            <w:r>
              <w:rPr>
                <w:rFonts w:ascii="宋体" w:hAnsi="宋体"/>
                <w:color w:val="auto"/>
                <w:sz w:val="24"/>
                <w:highlight w:val="none"/>
              </w:rPr>
              <w:t>预算</w:t>
            </w:r>
            <w:r>
              <w:rPr>
                <w:rFonts w:hint="eastAsia" w:ascii="宋体" w:hAnsi="宋体"/>
                <w:color w:val="auto"/>
                <w:sz w:val="24"/>
                <w:highlight w:val="none"/>
              </w:rPr>
              <w:t>/</w:t>
            </w:r>
            <w:r>
              <w:rPr>
                <w:rFonts w:ascii="宋体" w:hAnsi="宋体"/>
                <w:color w:val="auto"/>
                <w:sz w:val="24"/>
                <w:highlight w:val="none"/>
              </w:rPr>
              <w:t>元。</w:t>
            </w:r>
          </w:p>
          <w:p w14:paraId="731031B5">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ascii="宋体" w:hAnsi="宋体"/>
                <w:color w:val="auto"/>
                <w:sz w:val="24"/>
                <w:highlight w:val="none"/>
              </w:rPr>
            </w:pPr>
            <w:r>
              <w:rPr>
                <w:rFonts w:ascii="宋体" w:hAnsi="宋体"/>
                <w:color w:val="auto"/>
                <w:sz w:val="24"/>
                <w:highlight w:val="none"/>
              </w:rPr>
              <w:t>(</w:t>
            </w:r>
            <w:r>
              <w:rPr>
                <w:rFonts w:hint="eastAsia" w:ascii="宋体" w:hAnsi="宋体"/>
                <w:color w:val="auto"/>
                <w:sz w:val="24"/>
                <w:highlight w:val="none"/>
              </w:rPr>
              <w:t>3</w:t>
            </w:r>
            <w:r>
              <w:rPr>
                <w:rFonts w:ascii="宋体" w:hAnsi="宋体"/>
                <w:color w:val="auto"/>
                <w:sz w:val="24"/>
                <w:highlight w:val="none"/>
              </w:rPr>
              <w:t>)项目为跨年度预采购项目</w:t>
            </w:r>
            <w:r>
              <w:rPr>
                <w:rFonts w:hint="eastAsia" w:ascii="宋体" w:hAnsi="宋体"/>
                <w:color w:val="auto"/>
                <w:sz w:val="24"/>
                <w:highlight w:val="none"/>
              </w:rPr>
              <w:t>□</w:t>
            </w:r>
            <w:r>
              <w:rPr>
                <w:rFonts w:ascii="宋体" w:hAnsi="宋体"/>
                <w:color w:val="auto"/>
                <w:sz w:val="24"/>
                <w:highlight w:val="none"/>
              </w:rPr>
              <w:t>，概算总金额</w:t>
            </w:r>
            <w:r>
              <w:rPr>
                <w:rFonts w:hint="eastAsia" w:ascii="宋体" w:hAnsi="宋体"/>
                <w:color w:val="auto"/>
                <w:sz w:val="24"/>
                <w:highlight w:val="none"/>
              </w:rPr>
              <w:t>/</w:t>
            </w:r>
            <w:r>
              <w:rPr>
                <w:rFonts w:ascii="宋体" w:hAnsi="宋体"/>
                <w:color w:val="auto"/>
                <w:sz w:val="24"/>
                <w:highlight w:val="none"/>
              </w:rPr>
              <w:t>元，采购年限为</w:t>
            </w:r>
            <w:r>
              <w:rPr>
                <w:rFonts w:hint="eastAsia" w:ascii="宋体" w:hAnsi="宋体"/>
                <w:color w:val="auto"/>
                <w:sz w:val="24"/>
                <w:highlight w:val="none"/>
              </w:rPr>
              <w:t>/</w:t>
            </w:r>
            <w:r>
              <w:rPr>
                <w:rFonts w:ascii="宋体" w:hAnsi="宋体"/>
                <w:color w:val="auto"/>
                <w:sz w:val="24"/>
                <w:highlight w:val="none"/>
              </w:rPr>
              <w:t>年，当年安排数</w:t>
            </w:r>
            <w:r>
              <w:rPr>
                <w:rFonts w:hint="eastAsia" w:ascii="宋体" w:hAnsi="宋体"/>
                <w:color w:val="auto"/>
                <w:sz w:val="24"/>
                <w:highlight w:val="none"/>
              </w:rPr>
              <w:t>/</w:t>
            </w:r>
            <w:r>
              <w:rPr>
                <w:rFonts w:ascii="宋体" w:hAnsi="宋体"/>
                <w:color w:val="auto"/>
                <w:sz w:val="24"/>
                <w:highlight w:val="none"/>
              </w:rPr>
              <w:t>元。</w:t>
            </w:r>
          </w:p>
          <w:p w14:paraId="4E85BEC9">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根据《转发财政部关于做好政府采购信息公开工作的通知》（鲁财采【</w:t>
            </w:r>
            <w:r>
              <w:rPr>
                <w:rFonts w:ascii="宋体" w:hAnsi="宋体"/>
                <w:color w:val="auto"/>
                <w:sz w:val="24"/>
                <w:highlight w:val="none"/>
              </w:rPr>
              <w:t>2015】33号）文件规定，预采购项目有取消和终止采购的可能。</w:t>
            </w:r>
          </w:p>
        </w:tc>
      </w:tr>
      <w:tr w14:paraId="2E1AB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jc w:val="center"/>
        </w:trPr>
        <w:tc>
          <w:tcPr>
            <w:tcW w:w="1021" w:type="dxa"/>
            <w:noWrap w:val="0"/>
            <w:vAlign w:val="center"/>
          </w:tcPr>
          <w:p w14:paraId="08D8791B">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rPr>
              <w:t>3.1</w:t>
            </w:r>
          </w:p>
        </w:tc>
        <w:tc>
          <w:tcPr>
            <w:tcW w:w="8170" w:type="dxa"/>
            <w:noWrap w:val="0"/>
            <w:vAlign w:val="center"/>
          </w:tcPr>
          <w:p w14:paraId="4509989D">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现场踏勘描述：</w:t>
            </w:r>
            <w:r>
              <w:rPr>
                <w:rFonts w:hint="eastAsia" w:ascii="宋体" w:hAnsi="宋体" w:cs="宋体"/>
                <w:sz w:val="24"/>
                <w:highlight w:val="none"/>
              </w:rPr>
              <w:t>（是</w:t>
            </w:r>
            <w:r>
              <w:rPr>
                <w:rFonts w:hint="eastAsia" w:ascii="仿宋" w:hAnsi="仿宋" w:eastAsia="仿宋" w:cs="宋体"/>
                <w:sz w:val="24"/>
                <w:highlight w:val="none"/>
              </w:rPr>
              <w:t>□</w:t>
            </w:r>
            <w:r>
              <w:rPr>
                <w:rFonts w:hint="eastAsia" w:ascii="宋体" w:hAnsi="宋体" w:cs="宋体"/>
                <w:sz w:val="24"/>
                <w:highlight w:val="none"/>
              </w:rPr>
              <w:t xml:space="preserve">   否</w:t>
            </w:r>
            <w:r>
              <w:rPr>
                <w:rFonts w:hint="eastAsia" w:ascii="宋体" w:hAnsi="宋体" w:cs="宋体"/>
                <w:sz w:val="24"/>
                <w:highlight w:val="none"/>
              </w:rPr>
              <w:sym w:font="Wingdings 2" w:char="F052"/>
            </w:r>
            <w:r>
              <w:rPr>
                <w:rFonts w:hint="eastAsia" w:ascii="宋体" w:hAnsi="宋体" w:cs="宋体"/>
                <w:sz w:val="24"/>
                <w:highlight w:val="none"/>
              </w:rPr>
              <w:t>）</w:t>
            </w:r>
          </w:p>
        </w:tc>
      </w:tr>
      <w:tr w14:paraId="4CB0DF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jc w:val="center"/>
        </w:trPr>
        <w:tc>
          <w:tcPr>
            <w:tcW w:w="1021" w:type="dxa"/>
            <w:noWrap w:val="0"/>
            <w:vAlign w:val="center"/>
          </w:tcPr>
          <w:p w14:paraId="0CE14CE0">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rPr>
              <w:t>4.1</w:t>
            </w:r>
          </w:p>
        </w:tc>
        <w:tc>
          <w:tcPr>
            <w:tcW w:w="8170" w:type="dxa"/>
            <w:noWrap w:val="0"/>
            <w:vAlign w:val="center"/>
          </w:tcPr>
          <w:p w14:paraId="6E9B6039">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本项目是否采用电子投标：（是□   否☑）</w:t>
            </w:r>
          </w:p>
        </w:tc>
      </w:tr>
      <w:tr w14:paraId="04AFE0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jc w:val="center"/>
        </w:trPr>
        <w:tc>
          <w:tcPr>
            <w:tcW w:w="1021" w:type="dxa"/>
            <w:noWrap w:val="0"/>
            <w:vAlign w:val="center"/>
          </w:tcPr>
          <w:p w14:paraId="7C487CC8">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.1</w:t>
            </w:r>
          </w:p>
        </w:tc>
        <w:tc>
          <w:tcPr>
            <w:tcW w:w="8170" w:type="dxa"/>
            <w:noWrap w:val="0"/>
            <w:vAlign w:val="center"/>
          </w:tcPr>
          <w:p w14:paraId="218A8D2D">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ascii="宋体" w:hAnsi="宋体"/>
                <w:color w:val="auto"/>
                <w:sz w:val="24"/>
                <w:highlight w:val="none"/>
              </w:rPr>
            </w:pPr>
            <w:r>
              <w:rPr>
                <w:rFonts w:ascii="宋体" w:hAnsi="宋体"/>
                <w:color w:val="auto"/>
                <w:sz w:val="24"/>
                <w:highlight w:val="none"/>
              </w:rPr>
              <w:t>报价要求</w:t>
            </w:r>
            <w:r>
              <w:rPr>
                <w:rFonts w:hint="eastAsia" w:ascii="宋体" w:hAnsi="宋体"/>
                <w:color w:val="auto"/>
                <w:sz w:val="24"/>
                <w:highlight w:val="none"/>
              </w:rPr>
              <w:t>：</w:t>
            </w:r>
            <w:r>
              <w:rPr>
                <w:rFonts w:hint="eastAsia" w:ascii="宋体" w:hAnsi="宋体"/>
                <w:color w:val="auto"/>
                <w:sz w:val="24"/>
                <w:highlight w:val="none"/>
                <w:lang w:val="en-US" w:eastAsia="zh-CN"/>
              </w:rPr>
              <w:t>投标人</w:t>
            </w:r>
            <w:r>
              <w:rPr>
                <w:rFonts w:ascii="宋体" w:hAnsi="宋体"/>
                <w:color w:val="auto"/>
                <w:sz w:val="24"/>
                <w:highlight w:val="none"/>
              </w:rPr>
              <w:t>所报</w:t>
            </w:r>
            <w:r>
              <w:rPr>
                <w:rFonts w:hint="eastAsia" w:ascii="宋体" w:hAnsi="宋体"/>
                <w:color w:val="auto"/>
                <w:sz w:val="24"/>
                <w:highlight w:val="none"/>
                <w:lang w:val="en-US" w:eastAsia="zh-CN"/>
              </w:rPr>
              <w:t>单价或</w:t>
            </w:r>
            <w:r>
              <w:rPr>
                <w:rFonts w:ascii="宋体" w:hAnsi="宋体"/>
                <w:color w:val="auto"/>
                <w:sz w:val="24"/>
                <w:highlight w:val="none"/>
              </w:rPr>
              <w:t>总价包括</w:t>
            </w:r>
            <w:r>
              <w:rPr>
                <w:rFonts w:hint="eastAsia" w:ascii="宋体" w:hAnsi="宋体"/>
                <w:color w:val="auto"/>
                <w:sz w:val="24"/>
                <w:highlight w:val="none"/>
              </w:rPr>
              <w:t>完成服务所需的</w:t>
            </w:r>
            <w:r>
              <w:rPr>
                <w:rFonts w:ascii="宋体" w:hAnsi="宋体"/>
                <w:color w:val="auto"/>
                <w:sz w:val="24"/>
                <w:highlight w:val="none"/>
              </w:rPr>
              <w:t>全部费用</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全费用单价</w:t>
            </w:r>
            <w:r>
              <w:rPr>
                <w:rFonts w:hint="eastAsia" w:ascii="宋体" w:hAnsi="宋体"/>
                <w:color w:val="auto"/>
                <w:sz w:val="24"/>
                <w:highlight w:val="none"/>
                <w:lang w:eastAsia="zh-CN"/>
              </w:rPr>
              <w:t>）</w:t>
            </w:r>
            <w:r>
              <w:rPr>
                <w:rFonts w:ascii="宋体" w:hAnsi="宋体"/>
                <w:color w:val="auto"/>
                <w:sz w:val="24"/>
                <w:highlight w:val="none"/>
              </w:rPr>
              <w:t>。</w:t>
            </w:r>
            <w:r>
              <w:rPr>
                <w:rFonts w:hint="eastAsia" w:ascii="宋体" w:hAnsi="宋体"/>
                <w:color w:val="auto"/>
                <w:sz w:val="24"/>
                <w:highlight w:val="none"/>
              </w:rPr>
              <w:t>报价须包括</w:t>
            </w:r>
            <w:r>
              <w:rPr>
                <w:rFonts w:hint="eastAsia" w:ascii="宋体" w:hAnsi="宋体"/>
                <w:color w:val="auto"/>
                <w:sz w:val="24"/>
                <w:highlight w:val="none"/>
                <w:lang w:val="en-US" w:eastAsia="zh-CN"/>
              </w:rPr>
              <w:t>人员、</w:t>
            </w:r>
            <w:r>
              <w:rPr>
                <w:rFonts w:hint="eastAsia" w:ascii="宋体" w:hAnsi="宋体"/>
                <w:color w:val="auto"/>
                <w:sz w:val="24"/>
                <w:highlight w:val="none"/>
              </w:rPr>
              <w:t>管理、</w:t>
            </w:r>
            <w:r>
              <w:rPr>
                <w:rFonts w:hint="eastAsia" w:ascii="宋体" w:hAnsi="宋体"/>
                <w:color w:val="auto"/>
                <w:sz w:val="24"/>
                <w:highlight w:val="none"/>
                <w:lang w:val="en-US" w:eastAsia="zh-CN"/>
              </w:rPr>
              <w:t>材料费、维保维修、保洁、</w:t>
            </w:r>
            <w:r>
              <w:rPr>
                <w:rFonts w:hint="eastAsia" w:ascii="宋体" w:hAnsi="宋体"/>
                <w:color w:val="auto"/>
                <w:sz w:val="24"/>
                <w:highlight w:val="none"/>
              </w:rPr>
              <w:t>税金、</w:t>
            </w:r>
            <w:r>
              <w:rPr>
                <w:rFonts w:hint="eastAsia" w:ascii="宋体" w:hAnsi="宋体"/>
                <w:color w:val="auto"/>
                <w:sz w:val="24"/>
                <w:highlight w:val="none"/>
                <w:lang w:val="en-US" w:eastAsia="zh-CN"/>
              </w:rPr>
              <w:t>服务</w:t>
            </w:r>
            <w:r>
              <w:rPr>
                <w:rFonts w:hint="eastAsia" w:ascii="宋体" w:hAnsi="宋体"/>
                <w:color w:val="auto"/>
                <w:sz w:val="24"/>
                <w:highlight w:val="none"/>
              </w:rPr>
              <w:t>费用等所有费用，</w:t>
            </w:r>
            <w:r>
              <w:rPr>
                <w:rFonts w:hint="eastAsia" w:ascii="宋体" w:hAnsi="宋体"/>
                <w:color w:val="auto"/>
                <w:sz w:val="24"/>
                <w:highlight w:val="none"/>
                <w:lang w:eastAsia="zh-CN"/>
              </w:rPr>
              <w:t>投标人</w:t>
            </w:r>
            <w:r>
              <w:rPr>
                <w:rFonts w:hint="eastAsia" w:ascii="宋体" w:hAnsi="宋体"/>
                <w:color w:val="auto"/>
                <w:sz w:val="24"/>
                <w:highlight w:val="none"/>
              </w:rPr>
              <w:t>须实现采购人所有服务要求，若有</w:t>
            </w:r>
            <w:r>
              <w:rPr>
                <w:rFonts w:hint="eastAsia" w:ascii="宋体" w:hAnsi="宋体"/>
                <w:color w:val="auto"/>
                <w:sz w:val="24"/>
                <w:highlight w:val="none"/>
                <w:lang w:eastAsia="zh-CN"/>
              </w:rPr>
              <w:t>招标文件</w:t>
            </w:r>
            <w:r>
              <w:rPr>
                <w:rFonts w:hint="eastAsia" w:ascii="宋体" w:hAnsi="宋体"/>
                <w:color w:val="auto"/>
                <w:sz w:val="24"/>
                <w:highlight w:val="none"/>
              </w:rPr>
              <w:t>中未涉及到的货物或服务，</w:t>
            </w:r>
            <w:r>
              <w:rPr>
                <w:rFonts w:hint="eastAsia" w:ascii="宋体" w:hAnsi="宋体"/>
                <w:color w:val="auto"/>
                <w:sz w:val="24"/>
                <w:highlight w:val="none"/>
                <w:lang w:eastAsia="zh-CN"/>
              </w:rPr>
              <w:t>投标人</w:t>
            </w:r>
            <w:r>
              <w:rPr>
                <w:rFonts w:hint="eastAsia" w:ascii="宋体" w:hAnsi="宋体"/>
                <w:color w:val="auto"/>
                <w:sz w:val="24"/>
                <w:highlight w:val="none"/>
              </w:rPr>
              <w:t>报价时自行考虑并详细列明清单，采购人不再额外支付由此产生的一切费用</w:t>
            </w:r>
            <w:r>
              <w:rPr>
                <w:rFonts w:hint="eastAsia" w:ascii="宋体" w:hAnsi="宋体"/>
                <w:color w:val="auto"/>
                <w:sz w:val="24"/>
                <w:highlight w:val="none"/>
                <w:lang w:eastAsia="zh-CN"/>
              </w:rPr>
              <w:t>。</w:t>
            </w:r>
          </w:p>
        </w:tc>
      </w:tr>
      <w:tr w14:paraId="77E9B6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jc w:val="center"/>
        </w:trPr>
        <w:tc>
          <w:tcPr>
            <w:tcW w:w="1021" w:type="dxa"/>
            <w:noWrap w:val="0"/>
            <w:vAlign w:val="center"/>
          </w:tcPr>
          <w:p w14:paraId="2735C108">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.1</w:t>
            </w:r>
          </w:p>
        </w:tc>
        <w:tc>
          <w:tcPr>
            <w:tcW w:w="8170" w:type="dxa"/>
            <w:noWrap w:val="0"/>
            <w:vAlign w:val="center"/>
          </w:tcPr>
          <w:p w14:paraId="6AD09982">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i/>
                <w:color w:val="auto"/>
                <w:sz w:val="24"/>
                <w:highlight w:val="none"/>
              </w:rPr>
            </w:pPr>
            <w:r>
              <w:rPr>
                <w:rFonts w:hint="eastAsia" w:ascii="宋体" w:hAnsi="宋体"/>
                <w:b/>
                <w:color w:val="auto"/>
                <w:sz w:val="24"/>
                <w:highlight w:val="none"/>
              </w:rPr>
              <w:t>投标保证金：</w:t>
            </w:r>
            <w:r>
              <w:rPr>
                <w:rFonts w:hint="eastAsia" w:ascii="宋体" w:hAnsi="宋体"/>
                <w:color w:val="auto"/>
                <w:sz w:val="24"/>
                <w:highlight w:val="none"/>
              </w:rPr>
              <w:t>根据鲁财采【2019】40号的规定，本项目不向诚信记录良好的投标人收取投标保证金。</w:t>
            </w:r>
          </w:p>
        </w:tc>
      </w:tr>
      <w:tr w14:paraId="5CC28A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4" w:hRule="atLeast"/>
          <w:jc w:val="center"/>
        </w:trPr>
        <w:tc>
          <w:tcPr>
            <w:tcW w:w="1021" w:type="dxa"/>
            <w:noWrap w:val="0"/>
            <w:vAlign w:val="center"/>
          </w:tcPr>
          <w:p w14:paraId="38AC45AD">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.1</w:t>
            </w:r>
          </w:p>
        </w:tc>
        <w:tc>
          <w:tcPr>
            <w:tcW w:w="8170" w:type="dxa"/>
            <w:noWrap w:val="0"/>
            <w:vAlign w:val="center"/>
          </w:tcPr>
          <w:p w14:paraId="51886C3B">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ascii="宋体" w:hAnsi="宋体"/>
                <w:color w:val="auto"/>
                <w:sz w:val="24"/>
                <w:highlight w:val="none"/>
                <w:u w:val="single"/>
              </w:rPr>
            </w:pPr>
            <w:r>
              <w:rPr>
                <w:rFonts w:hint="eastAsia" w:ascii="宋体" w:hAnsi="宋体"/>
                <w:color w:val="auto"/>
                <w:sz w:val="24"/>
                <w:highlight w:val="none"/>
              </w:rPr>
              <w:t>投标有效期：</w:t>
            </w:r>
            <w:r>
              <w:rPr>
                <w:rFonts w:hint="eastAsia" w:ascii="宋体" w:hAnsi="宋体"/>
                <w:color w:val="auto"/>
                <w:sz w:val="24"/>
                <w:highlight w:val="none"/>
                <w:u w:val="single"/>
              </w:rPr>
              <w:t>90</w:t>
            </w:r>
            <w:r>
              <w:rPr>
                <w:rFonts w:hint="eastAsia" w:ascii="宋体" w:hAnsi="宋体"/>
                <w:color w:val="auto"/>
                <w:sz w:val="24"/>
                <w:highlight w:val="none"/>
              </w:rPr>
              <w:t>日历日</w:t>
            </w:r>
          </w:p>
        </w:tc>
      </w:tr>
      <w:tr w14:paraId="0C3D58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jc w:val="center"/>
        </w:trPr>
        <w:tc>
          <w:tcPr>
            <w:tcW w:w="1021" w:type="dxa"/>
            <w:noWrap w:val="0"/>
            <w:vAlign w:val="center"/>
          </w:tcPr>
          <w:p w14:paraId="601610F5">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lang w:val="en-US" w:eastAsia="zh-CN"/>
              </w:rPr>
              <w:t>8</w:t>
            </w:r>
            <w:r>
              <w:rPr>
                <w:rFonts w:hint="eastAsia" w:ascii="宋体" w:hAnsi="宋体"/>
                <w:color w:val="auto"/>
                <w:sz w:val="24"/>
                <w:highlight w:val="none"/>
              </w:rPr>
              <w:t>.1</w:t>
            </w:r>
          </w:p>
        </w:tc>
        <w:tc>
          <w:tcPr>
            <w:tcW w:w="8170" w:type="dxa"/>
            <w:noWrap w:val="0"/>
            <w:vAlign w:val="center"/>
          </w:tcPr>
          <w:p w14:paraId="5F8E6532">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highlight w:val="none"/>
              </w:rPr>
            </w:pPr>
            <w:r>
              <w:rPr>
                <w:rFonts w:hint="eastAsia" w:ascii="宋体" w:hAnsi="宋体"/>
                <w:color w:val="auto"/>
                <w:sz w:val="24"/>
                <w:highlight w:val="none"/>
              </w:rPr>
              <w:t>投标文件（含资格证明材料、商务和技术标书）：</w:t>
            </w:r>
            <w:r>
              <w:rPr>
                <w:rFonts w:hint="eastAsia" w:ascii="宋体" w:hAnsi="宋体"/>
                <w:b/>
                <w:bCs/>
                <w:color w:val="auto"/>
                <w:sz w:val="24"/>
                <w:highlight w:val="none"/>
              </w:rPr>
              <w:t>正本：1份、副本：4份；除</w:t>
            </w:r>
            <w:r>
              <w:rPr>
                <w:rFonts w:ascii="宋体" w:hAnsi="宋体"/>
                <w:b/>
                <w:bCs/>
                <w:color w:val="auto"/>
                <w:sz w:val="24"/>
                <w:highlight w:val="none"/>
              </w:rPr>
              <w:t>上述文件外，还</w:t>
            </w:r>
            <w:r>
              <w:rPr>
                <w:rFonts w:hint="eastAsia" w:ascii="宋体" w:hAnsi="宋体"/>
                <w:b/>
                <w:bCs/>
                <w:color w:val="auto"/>
                <w:sz w:val="24"/>
                <w:highlight w:val="none"/>
                <w:lang w:val="en-US" w:eastAsia="zh-CN"/>
              </w:rPr>
              <w:t>需提供</w:t>
            </w:r>
            <w:r>
              <w:rPr>
                <w:rFonts w:hint="eastAsia" w:ascii="宋体" w:hAnsi="宋体" w:eastAsia="宋体" w:cs="宋体"/>
                <w:b/>
                <w:bCs/>
                <w:color w:val="auto"/>
                <w:sz w:val="24"/>
                <w:highlight w:val="none"/>
              </w:rPr>
              <w:t>完整</w:t>
            </w:r>
            <w:r>
              <w:rPr>
                <w:rFonts w:hint="eastAsia" w:ascii="宋体" w:hAnsi="宋体" w:eastAsia="宋体" w:cs="宋体"/>
                <w:b/>
                <w:bCs/>
                <w:color w:val="auto"/>
                <w:sz w:val="24"/>
                <w:highlight w:val="none"/>
                <w:lang w:val="en-US" w:eastAsia="zh-CN"/>
              </w:rPr>
              <w:t>投标</w:t>
            </w:r>
            <w:r>
              <w:rPr>
                <w:rFonts w:hint="eastAsia" w:ascii="宋体" w:hAnsi="宋体" w:eastAsia="宋体" w:cs="宋体"/>
                <w:b/>
                <w:bCs/>
                <w:color w:val="auto"/>
                <w:sz w:val="24"/>
                <w:highlight w:val="none"/>
              </w:rPr>
              <w:t>文件电子版一份（word格式，U盘或光盘存储）密封后随</w:t>
            </w:r>
            <w:r>
              <w:rPr>
                <w:rFonts w:hint="eastAsia" w:ascii="宋体" w:hAnsi="宋体" w:cs="宋体"/>
                <w:b/>
                <w:bCs/>
                <w:color w:val="auto"/>
                <w:sz w:val="24"/>
                <w:highlight w:val="none"/>
                <w:lang w:eastAsia="zh-CN"/>
              </w:rPr>
              <w:t>投标文件</w:t>
            </w:r>
            <w:r>
              <w:rPr>
                <w:rFonts w:hint="eastAsia" w:ascii="宋体" w:hAnsi="宋体" w:eastAsia="宋体" w:cs="宋体"/>
                <w:b/>
                <w:bCs/>
                <w:color w:val="auto"/>
                <w:sz w:val="24"/>
                <w:highlight w:val="none"/>
              </w:rPr>
              <w:t>一起提交</w:t>
            </w:r>
            <w:r>
              <w:rPr>
                <w:rFonts w:hint="eastAsia" w:ascii="宋体" w:hAnsi="宋体"/>
                <w:b/>
                <w:bCs/>
                <w:color w:val="auto"/>
                <w:sz w:val="24"/>
                <w:highlight w:val="none"/>
              </w:rPr>
              <w:t>。</w:t>
            </w:r>
          </w:p>
        </w:tc>
      </w:tr>
      <w:tr w14:paraId="7E20F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jc w:val="center"/>
        </w:trPr>
        <w:tc>
          <w:tcPr>
            <w:tcW w:w="1021" w:type="dxa"/>
            <w:noWrap w:val="0"/>
            <w:vAlign w:val="center"/>
          </w:tcPr>
          <w:p w14:paraId="62480144">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lang w:val="en-US" w:eastAsia="zh-CN"/>
              </w:rPr>
              <w:t>9</w:t>
            </w:r>
            <w:r>
              <w:rPr>
                <w:rFonts w:hint="eastAsia" w:ascii="宋体" w:hAnsi="宋体"/>
                <w:color w:val="auto"/>
                <w:sz w:val="24"/>
                <w:highlight w:val="none"/>
              </w:rPr>
              <w:t>．1</w:t>
            </w:r>
          </w:p>
        </w:tc>
        <w:tc>
          <w:tcPr>
            <w:tcW w:w="8170" w:type="dxa"/>
            <w:noWrap w:val="0"/>
            <w:vAlign w:val="center"/>
          </w:tcPr>
          <w:p w14:paraId="149FEB29">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投标截止时间：</w:t>
            </w:r>
            <w:r>
              <w:rPr>
                <w:rFonts w:hint="eastAsia" w:ascii="宋体" w:hAnsi="宋体"/>
                <w:color w:val="auto"/>
                <w:sz w:val="24"/>
                <w:highlight w:val="none"/>
                <w:u w:val="single"/>
              </w:rPr>
              <w:t>见招标公告</w:t>
            </w:r>
            <w:r>
              <w:rPr>
                <w:rFonts w:hint="eastAsia" w:ascii="宋体" w:hAnsi="宋体"/>
                <w:color w:val="auto"/>
                <w:sz w:val="24"/>
                <w:highlight w:val="none"/>
              </w:rPr>
              <w:t xml:space="preserve"> 　</w:t>
            </w:r>
          </w:p>
        </w:tc>
      </w:tr>
      <w:tr w14:paraId="038AEB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jc w:val="center"/>
        </w:trPr>
        <w:tc>
          <w:tcPr>
            <w:tcW w:w="1021" w:type="dxa"/>
            <w:noWrap w:val="0"/>
            <w:vAlign w:val="center"/>
          </w:tcPr>
          <w:p w14:paraId="36047E71">
            <w:pPr>
              <w:keepNext w:val="0"/>
              <w:keepLines w:val="0"/>
              <w:pageBreakBefore w:val="0"/>
              <w:kinsoku/>
              <w:wordWrap/>
              <w:overflowPunct/>
              <w:topLinePunct w:val="0"/>
              <w:autoSpaceDE/>
              <w:autoSpaceDN/>
              <w:bidi w:val="0"/>
              <w:adjustRightInd/>
              <w:snapToGrid/>
              <w:spacing w:line="520" w:lineRule="exact"/>
              <w:jc w:val="center"/>
              <w:textAlignment w:val="auto"/>
              <w:rPr>
                <w:rFonts w:ascii="宋体" w:hAnsi="宋体"/>
                <w:color w:val="auto"/>
                <w:sz w:val="24"/>
                <w:highlight w:val="none"/>
              </w:rPr>
            </w:pPr>
            <w:r>
              <w:rPr>
                <w:rFonts w:hint="eastAsia" w:ascii="宋体" w:hAnsi="宋体"/>
                <w:color w:val="auto"/>
                <w:sz w:val="24"/>
                <w:highlight w:val="none"/>
              </w:rPr>
              <w:t>10.1</w:t>
            </w:r>
          </w:p>
        </w:tc>
        <w:tc>
          <w:tcPr>
            <w:tcW w:w="8170" w:type="dxa"/>
            <w:noWrap w:val="0"/>
            <w:vAlign w:val="center"/>
          </w:tcPr>
          <w:p w14:paraId="177CD744">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u w:val="single"/>
              </w:rPr>
            </w:pPr>
            <w:r>
              <w:rPr>
                <w:rFonts w:hint="eastAsia" w:ascii="宋体" w:hAnsi="宋体"/>
                <w:color w:val="auto"/>
                <w:sz w:val="24"/>
                <w:highlight w:val="none"/>
              </w:rPr>
              <w:t>开标时间：</w:t>
            </w:r>
            <w:r>
              <w:rPr>
                <w:rFonts w:hint="eastAsia" w:ascii="宋体" w:hAnsi="宋体"/>
                <w:color w:val="auto"/>
                <w:sz w:val="24"/>
                <w:highlight w:val="none"/>
                <w:u w:val="single"/>
              </w:rPr>
              <w:t>见招标公告</w:t>
            </w:r>
          </w:p>
          <w:p w14:paraId="6C93BFE2">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ascii="宋体" w:hAnsi="宋体"/>
                <w:color w:val="auto"/>
                <w:sz w:val="24"/>
                <w:highlight w:val="none"/>
              </w:rPr>
            </w:pPr>
            <w:r>
              <w:rPr>
                <w:rFonts w:hint="eastAsia" w:ascii="宋体" w:hAnsi="宋体"/>
                <w:color w:val="auto"/>
                <w:sz w:val="24"/>
                <w:highlight w:val="none"/>
              </w:rPr>
              <w:t>开标地点：</w:t>
            </w:r>
            <w:r>
              <w:rPr>
                <w:rFonts w:hint="eastAsia" w:ascii="宋体" w:hAnsi="宋体"/>
                <w:color w:val="auto"/>
                <w:sz w:val="24"/>
                <w:highlight w:val="none"/>
                <w:u w:val="single"/>
              </w:rPr>
              <w:t>见招标公告</w:t>
            </w:r>
            <w:r>
              <w:rPr>
                <w:rFonts w:hint="eastAsia" w:ascii="宋体" w:hAnsi="宋体"/>
                <w:color w:val="auto"/>
                <w:sz w:val="24"/>
                <w:highlight w:val="none"/>
              </w:rPr>
              <w:t xml:space="preserve"> </w:t>
            </w:r>
          </w:p>
        </w:tc>
      </w:tr>
      <w:tr w14:paraId="7179EB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jc w:val="center"/>
        </w:trPr>
        <w:tc>
          <w:tcPr>
            <w:tcW w:w="1021" w:type="dxa"/>
            <w:noWrap w:val="0"/>
            <w:vAlign w:val="center"/>
          </w:tcPr>
          <w:p w14:paraId="41B0BAE2">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olor w:val="auto"/>
                <w:sz w:val="24"/>
                <w:highlight w:val="none"/>
                <w:lang w:eastAsia="zh-CN"/>
              </w:rPr>
            </w:pPr>
            <w:r>
              <w:rPr>
                <w:rFonts w:hint="eastAsia" w:ascii="宋体" w:hAnsi="宋体"/>
                <w:color w:val="auto"/>
                <w:sz w:val="24"/>
                <w:highlight w:val="none"/>
              </w:rPr>
              <w:t>11.</w:t>
            </w:r>
            <w:r>
              <w:rPr>
                <w:rFonts w:hint="eastAsia" w:ascii="宋体" w:hAnsi="宋体"/>
                <w:color w:val="auto"/>
                <w:sz w:val="24"/>
                <w:highlight w:val="none"/>
                <w:lang w:val="en-US" w:eastAsia="zh-CN"/>
              </w:rPr>
              <w:t>1</w:t>
            </w:r>
          </w:p>
        </w:tc>
        <w:tc>
          <w:tcPr>
            <w:tcW w:w="8170" w:type="dxa"/>
            <w:noWrap w:val="0"/>
            <w:vAlign w:val="center"/>
          </w:tcPr>
          <w:p w14:paraId="225205D6">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i/>
                <w:color w:val="auto"/>
                <w:sz w:val="24"/>
                <w:highlight w:val="none"/>
              </w:rPr>
            </w:pPr>
            <w:r>
              <w:rPr>
                <w:rFonts w:hint="eastAsia" w:ascii="宋体" w:hAnsi="宋体"/>
                <w:color w:val="auto"/>
                <w:sz w:val="24"/>
                <w:highlight w:val="none"/>
              </w:rPr>
              <w:t>评标方法：最低价评标法□      综合评标法☑　　</w:t>
            </w:r>
          </w:p>
        </w:tc>
      </w:tr>
      <w:tr w14:paraId="3C781B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jc w:val="center"/>
        </w:trPr>
        <w:tc>
          <w:tcPr>
            <w:tcW w:w="1021" w:type="dxa"/>
            <w:noWrap w:val="0"/>
            <w:vAlign w:val="center"/>
          </w:tcPr>
          <w:p w14:paraId="5056848F">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olor w:val="auto"/>
                <w:sz w:val="24"/>
                <w:highlight w:val="none"/>
                <w:lang w:eastAsia="zh-CN"/>
              </w:rPr>
            </w:pPr>
            <w:r>
              <w:rPr>
                <w:rFonts w:hint="eastAsia" w:ascii="宋体" w:hAnsi="宋体"/>
                <w:color w:val="auto"/>
                <w:sz w:val="24"/>
                <w:highlight w:val="none"/>
              </w:rPr>
              <w:t>11.</w:t>
            </w:r>
            <w:r>
              <w:rPr>
                <w:rFonts w:hint="eastAsia" w:ascii="宋体" w:hAnsi="宋体"/>
                <w:color w:val="auto"/>
                <w:sz w:val="24"/>
                <w:highlight w:val="none"/>
                <w:lang w:val="en-US" w:eastAsia="zh-CN"/>
              </w:rPr>
              <w:t>2</w:t>
            </w:r>
          </w:p>
        </w:tc>
        <w:tc>
          <w:tcPr>
            <w:tcW w:w="8170" w:type="dxa"/>
            <w:noWrap w:val="0"/>
            <w:vAlign w:val="center"/>
          </w:tcPr>
          <w:p w14:paraId="4EB2D79F">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推荐</w:t>
            </w:r>
            <w:r>
              <w:rPr>
                <w:rFonts w:ascii="宋体" w:hAnsi="宋体"/>
                <w:color w:val="auto"/>
                <w:sz w:val="24"/>
                <w:highlight w:val="none"/>
              </w:rPr>
              <w:t>中标候选</w:t>
            </w:r>
            <w:r>
              <w:rPr>
                <w:rFonts w:hint="eastAsia" w:ascii="宋体" w:hAnsi="宋体"/>
                <w:color w:val="auto"/>
                <w:sz w:val="24"/>
                <w:highlight w:val="none"/>
                <w:lang w:eastAsia="zh-CN"/>
              </w:rPr>
              <w:t>投标人</w:t>
            </w:r>
            <w:r>
              <w:rPr>
                <w:rFonts w:ascii="宋体" w:hAnsi="宋体"/>
                <w:color w:val="auto"/>
                <w:sz w:val="24"/>
                <w:highlight w:val="none"/>
              </w:rPr>
              <w:t>的数量：</w:t>
            </w:r>
            <w:r>
              <w:rPr>
                <w:rFonts w:hint="eastAsia" w:ascii="宋体" w:hAnsi="宋体"/>
                <w:color w:val="auto"/>
                <w:sz w:val="24"/>
                <w:highlight w:val="none"/>
              </w:rPr>
              <w:t>不少于三家</w:t>
            </w:r>
          </w:p>
        </w:tc>
      </w:tr>
      <w:tr w14:paraId="05DC54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jc w:val="center"/>
        </w:trPr>
        <w:tc>
          <w:tcPr>
            <w:tcW w:w="1021" w:type="dxa"/>
            <w:noWrap w:val="0"/>
            <w:vAlign w:val="center"/>
          </w:tcPr>
          <w:p w14:paraId="29D1AE08">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olor w:val="auto"/>
                <w:sz w:val="24"/>
                <w:highlight w:val="none"/>
                <w:lang w:eastAsia="zh-CN"/>
              </w:rPr>
            </w:pPr>
            <w:r>
              <w:rPr>
                <w:rFonts w:hint="eastAsia" w:ascii="宋体" w:hAnsi="宋体"/>
                <w:color w:val="auto"/>
                <w:sz w:val="24"/>
                <w:highlight w:val="none"/>
              </w:rPr>
              <w:t>11.</w:t>
            </w:r>
            <w:r>
              <w:rPr>
                <w:rFonts w:hint="eastAsia" w:ascii="宋体" w:hAnsi="宋体"/>
                <w:color w:val="auto"/>
                <w:sz w:val="24"/>
                <w:highlight w:val="none"/>
                <w:lang w:val="en-US" w:eastAsia="zh-CN"/>
              </w:rPr>
              <w:t>3</w:t>
            </w:r>
          </w:p>
        </w:tc>
        <w:tc>
          <w:tcPr>
            <w:tcW w:w="8170" w:type="dxa"/>
            <w:noWrap w:val="0"/>
            <w:vAlign w:val="center"/>
          </w:tcPr>
          <w:p w14:paraId="42B850C8">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招标人是否委托评标委员会直接确定中标人：是☑  否□</w:t>
            </w:r>
          </w:p>
        </w:tc>
      </w:tr>
      <w:tr w14:paraId="6BB347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82" w:hRule="atLeast"/>
          <w:jc w:val="center"/>
        </w:trPr>
        <w:tc>
          <w:tcPr>
            <w:tcW w:w="1021" w:type="dxa"/>
            <w:noWrap w:val="0"/>
            <w:vAlign w:val="center"/>
          </w:tcPr>
          <w:p w14:paraId="4797296D">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rPr>
              <w:t>12.1</w:t>
            </w:r>
          </w:p>
        </w:tc>
        <w:tc>
          <w:tcPr>
            <w:tcW w:w="8170" w:type="dxa"/>
            <w:noWrap w:val="0"/>
            <w:vAlign w:val="center"/>
          </w:tcPr>
          <w:p w14:paraId="1E49AED5">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u w:val="single"/>
              </w:rPr>
            </w:pPr>
            <w:r>
              <w:rPr>
                <w:rFonts w:hint="eastAsia" w:ascii="宋体" w:hAnsi="宋体"/>
                <w:color w:val="auto"/>
                <w:sz w:val="24"/>
                <w:highlight w:val="none"/>
              </w:rPr>
              <w:t>本项目是否</w:t>
            </w:r>
            <w:r>
              <w:rPr>
                <w:rFonts w:ascii="宋体" w:hAnsi="宋体"/>
                <w:color w:val="auto"/>
                <w:sz w:val="24"/>
                <w:highlight w:val="none"/>
              </w:rPr>
              <w:t>属于信用担保试点范围</w:t>
            </w:r>
            <w:r>
              <w:rPr>
                <w:rFonts w:hint="eastAsia" w:ascii="宋体" w:hAnsi="宋体"/>
                <w:color w:val="auto"/>
                <w:sz w:val="24"/>
                <w:highlight w:val="none"/>
              </w:rPr>
              <w:t>：（是☑   否□）</w:t>
            </w:r>
          </w:p>
        </w:tc>
      </w:tr>
      <w:tr w14:paraId="04E54D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82" w:hRule="atLeast"/>
          <w:jc w:val="center"/>
        </w:trPr>
        <w:tc>
          <w:tcPr>
            <w:tcW w:w="1021" w:type="dxa"/>
            <w:noWrap w:val="0"/>
            <w:vAlign w:val="center"/>
          </w:tcPr>
          <w:p w14:paraId="0D8D4B53">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12.2</w:t>
            </w:r>
          </w:p>
        </w:tc>
        <w:tc>
          <w:tcPr>
            <w:tcW w:w="8170" w:type="dxa"/>
            <w:noWrap w:val="0"/>
            <w:vAlign w:val="center"/>
          </w:tcPr>
          <w:p w14:paraId="384D32D3">
            <w:pPr>
              <w:spacing w:line="480" w:lineRule="exact"/>
              <w:ind w:left="0" w:leftChars="0" w:firstLine="0" w:firstLineChars="0"/>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本项目是否可以办理政府采购融资贷款：</w:t>
            </w:r>
            <w:r>
              <w:rPr>
                <w:rFonts w:hint="eastAsia" w:ascii="宋体" w:hAnsi="宋体"/>
                <w:color w:val="auto"/>
                <w:sz w:val="24"/>
                <w:highlight w:val="none"/>
              </w:rPr>
              <w:t>（是☑   否□）</w:t>
            </w:r>
          </w:p>
          <w:p w14:paraId="38CA4E04">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s="宋体"/>
                <w:b w:val="0"/>
                <w:bCs w:val="0"/>
                <w:color w:val="auto"/>
                <w:sz w:val="24"/>
                <w:highlight w:val="none"/>
                <w:lang w:val="en-US" w:eastAsia="zh-CN"/>
              </w:rPr>
              <w:t>投标人</w:t>
            </w:r>
            <w:r>
              <w:rPr>
                <w:rFonts w:hint="eastAsia" w:ascii="宋体" w:hAnsi="宋体" w:eastAsia="宋体" w:cs="宋体"/>
                <w:b w:val="0"/>
                <w:bCs w:val="0"/>
                <w:color w:val="auto"/>
                <w:sz w:val="24"/>
                <w:highlight w:val="none"/>
                <w:lang w:val="en-US" w:eastAsia="zh-CN"/>
              </w:rPr>
              <w:t>如需了解详细办理程序请登录“http://www.ccgp-shandong-rz.cn/”</w:t>
            </w:r>
            <w:r>
              <w:rPr>
                <w:rFonts w:hint="eastAsia" w:ascii="宋体" w:hAnsi="宋体" w:eastAsia="宋体" w:cs="宋体"/>
                <w:color w:val="auto"/>
                <w:sz w:val="24"/>
                <w:highlight w:val="none"/>
                <w:lang w:val="en-US" w:eastAsia="zh-CN"/>
              </w:rPr>
              <w:t>。</w:t>
            </w:r>
          </w:p>
        </w:tc>
      </w:tr>
      <w:tr w14:paraId="201031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65DAF8E1">
            <w:pPr>
              <w:keepNext w:val="0"/>
              <w:keepLines w:val="0"/>
              <w:pageBreakBefore w:val="0"/>
              <w:kinsoku/>
              <w:wordWrap/>
              <w:overflowPunct/>
              <w:topLinePunct w:val="0"/>
              <w:autoSpaceDE/>
              <w:autoSpaceDN/>
              <w:bidi w:val="0"/>
              <w:adjustRightInd/>
              <w:snapToGrid/>
              <w:spacing w:line="520" w:lineRule="exact"/>
              <w:jc w:val="center"/>
              <w:textAlignment w:val="auto"/>
              <w:rPr>
                <w:rFonts w:ascii="宋体" w:hAnsi="宋体"/>
                <w:color w:val="auto"/>
                <w:sz w:val="24"/>
                <w:highlight w:val="none"/>
              </w:rPr>
            </w:pPr>
            <w:r>
              <w:rPr>
                <w:rFonts w:hint="eastAsia" w:ascii="宋体" w:hAnsi="宋体"/>
                <w:color w:val="auto"/>
                <w:sz w:val="24"/>
                <w:highlight w:val="none"/>
              </w:rPr>
              <w:t>12.3</w:t>
            </w:r>
          </w:p>
        </w:tc>
        <w:tc>
          <w:tcPr>
            <w:tcW w:w="8170" w:type="dxa"/>
            <w:noWrap w:val="0"/>
            <w:vAlign w:val="center"/>
          </w:tcPr>
          <w:p w14:paraId="0C639C76">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预付款比例为</w:t>
            </w:r>
            <w:r>
              <w:rPr>
                <w:rFonts w:hint="eastAsia" w:ascii="宋体" w:hAnsi="宋体"/>
                <w:color w:val="auto"/>
                <w:sz w:val="24"/>
                <w:highlight w:val="none"/>
                <w:lang w:eastAsia="zh-CN"/>
              </w:rPr>
              <w:t>：</w:t>
            </w:r>
            <w:r>
              <w:rPr>
                <w:rFonts w:hint="eastAsia" w:ascii="宋体" w:hAnsi="宋体" w:cs="宋体"/>
                <w:color w:val="auto"/>
                <w:sz w:val="24"/>
                <w:highlight w:val="none"/>
                <w:lang w:val="en-US" w:eastAsia="zh-CN"/>
              </w:rPr>
              <w:t>无</w:t>
            </w:r>
          </w:p>
        </w:tc>
      </w:tr>
      <w:tr w14:paraId="61A129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0D44BD39">
            <w:pPr>
              <w:keepNext w:val="0"/>
              <w:keepLines w:val="0"/>
              <w:pageBreakBefore w:val="0"/>
              <w:kinsoku/>
              <w:wordWrap/>
              <w:overflowPunct/>
              <w:topLinePunct w:val="0"/>
              <w:autoSpaceDE/>
              <w:autoSpaceDN/>
              <w:bidi w:val="0"/>
              <w:adjustRightInd/>
              <w:snapToGrid/>
              <w:spacing w:line="520" w:lineRule="exact"/>
              <w:jc w:val="center"/>
              <w:textAlignment w:val="auto"/>
              <w:rPr>
                <w:rFonts w:ascii="宋体" w:hAnsi="宋体"/>
                <w:color w:val="auto"/>
                <w:sz w:val="24"/>
                <w:highlight w:val="none"/>
              </w:rPr>
            </w:pPr>
            <w:r>
              <w:rPr>
                <w:rFonts w:hint="eastAsia" w:ascii="宋体" w:hAnsi="宋体"/>
                <w:color w:val="auto"/>
                <w:sz w:val="24"/>
                <w:highlight w:val="none"/>
              </w:rPr>
              <w:t>13.1</w:t>
            </w:r>
          </w:p>
        </w:tc>
        <w:tc>
          <w:tcPr>
            <w:tcW w:w="8170" w:type="dxa"/>
            <w:noWrap w:val="0"/>
            <w:vAlign w:val="center"/>
          </w:tcPr>
          <w:p w14:paraId="1E4FE248">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质疑函接收部门、联系电话和通讯地址：</w:t>
            </w:r>
          </w:p>
          <w:p w14:paraId="0C28FF18">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ascii="宋体" w:hAnsi="宋体"/>
                <w:color w:val="auto"/>
                <w:sz w:val="24"/>
                <w:highlight w:val="none"/>
              </w:rPr>
            </w:pPr>
            <w:r>
              <w:rPr>
                <w:rFonts w:hint="eastAsia" w:ascii="宋体" w:hAnsi="宋体"/>
                <w:color w:val="auto"/>
                <w:sz w:val="24"/>
                <w:highlight w:val="none"/>
              </w:rPr>
              <w:t>联系部门：临沂</w:t>
            </w:r>
            <w:r>
              <w:rPr>
                <w:rFonts w:ascii="宋体" w:hAnsi="宋体"/>
                <w:color w:val="auto"/>
                <w:sz w:val="24"/>
                <w:highlight w:val="none"/>
              </w:rPr>
              <w:t>市沂蒙国际招标有限公司</w:t>
            </w:r>
          </w:p>
          <w:p w14:paraId="03D62F04">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联系电话</w:t>
            </w:r>
            <w:r>
              <w:rPr>
                <w:rFonts w:ascii="宋体" w:hAnsi="宋体"/>
                <w:color w:val="auto"/>
                <w:sz w:val="24"/>
                <w:highlight w:val="none"/>
              </w:rPr>
              <w:t>：</w:t>
            </w:r>
            <w:r>
              <w:rPr>
                <w:rFonts w:hint="eastAsia" w:ascii="宋体" w:hAnsi="宋体"/>
                <w:color w:val="auto"/>
                <w:sz w:val="24"/>
                <w:highlight w:val="none"/>
              </w:rPr>
              <w:t>0539-7578911</w:t>
            </w:r>
          </w:p>
          <w:p w14:paraId="5C13D486">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通讯</w:t>
            </w:r>
            <w:r>
              <w:rPr>
                <w:rFonts w:ascii="宋体" w:hAnsi="宋体"/>
                <w:color w:val="auto"/>
                <w:sz w:val="24"/>
                <w:highlight w:val="none"/>
              </w:rPr>
              <w:t>地址</w:t>
            </w:r>
            <w:r>
              <w:rPr>
                <w:rFonts w:hint="eastAsia" w:ascii="宋体" w:hAnsi="宋体"/>
                <w:color w:val="auto"/>
                <w:sz w:val="24"/>
                <w:highlight w:val="none"/>
                <w:lang w:eastAsia="zh-CN"/>
              </w:rPr>
              <w:t>：</w:t>
            </w:r>
            <w:r>
              <w:rPr>
                <w:rFonts w:hint="eastAsia" w:ascii="宋体" w:hAnsi="宋体"/>
                <w:color w:val="auto"/>
                <w:sz w:val="24"/>
                <w:highlight w:val="none"/>
              </w:rPr>
              <w:t>山东省临沂市兰山区柳青北京路与沭河路交汇北50米红日大厦2008室</w:t>
            </w:r>
          </w:p>
        </w:tc>
      </w:tr>
      <w:tr w14:paraId="573BD4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35FEED5B">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rPr>
              <w:t>14.1</w:t>
            </w:r>
          </w:p>
        </w:tc>
        <w:tc>
          <w:tcPr>
            <w:tcW w:w="8170" w:type="dxa"/>
            <w:noWrap w:val="0"/>
            <w:vAlign w:val="center"/>
          </w:tcPr>
          <w:p w14:paraId="232DF2DF">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lang w:val="en-US" w:eastAsia="zh-CN"/>
              </w:rPr>
              <w:t>中标服务费：按合同总金额1.2%收取</w:t>
            </w:r>
            <w:r>
              <w:rPr>
                <w:rFonts w:hint="eastAsia" w:ascii="宋体" w:hAnsi="宋体"/>
                <w:color w:val="auto"/>
                <w:sz w:val="24"/>
                <w:highlight w:val="none"/>
              </w:rPr>
              <w:t>，由中标人向代理机构支付。</w:t>
            </w:r>
          </w:p>
          <w:p w14:paraId="3DE7A998">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收款信息：</w:t>
            </w:r>
          </w:p>
          <w:p w14:paraId="60F8DB97">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名：临沂市沂蒙国际招标有限公司</w:t>
            </w:r>
          </w:p>
          <w:p w14:paraId="79FE6183">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行：建设银行临沂分行营业部</w:t>
            </w:r>
          </w:p>
          <w:p w14:paraId="53A04CCE">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    号：37001828301050001489</w:t>
            </w:r>
          </w:p>
          <w:p w14:paraId="11651BF6">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支付时间：领取中标通知书前。</w:t>
            </w:r>
          </w:p>
          <w:p w14:paraId="1BCB1396">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eastAsia="宋体" w:cs="宋体"/>
                <w:color w:val="auto"/>
                <w:sz w:val="24"/>
                <w:highlight w:val="none"/>
              </w:rPr>
              <w:t>支付时间：确定</w:t>
            </w:r>
            <w:r>
              <w:rPr>
                <w:rFonts w:hint="eastAsia" w:ascii="宋体" w:hAnsi="宋体" w:cs="宋体"/>
                <w:color w:val="auto"/>
                <w:sz w:val="24"/>
                <w:highlight w:val="none"/>
                <w:lang w:val="en-US" w:eastAsia="zh-CN"/>
              </w:rPr>
              <w:t>中标</w:t>
            </w:r>
            <w:r>
              <w:rPr>
                <w:rFonts w:hint="eastAsia" w:ascii="宋体" w:hAnsi="宋体" w:eastAsia="宋体" w:cs="宋体"/>
                <w:color w:val="auto"/>
                <w:sz w:val="24"/>
                <w:highlight w:val="none"/>
              </w:rPr>
              <w:t>结果后5个工作日内。</w:t>
            </w:r>
          </w:p>
        </w:tc>
      </w:tr>
      <w:tr w14:paraId="277EE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191" w:type="dxa"/>
            <w:gridSpan w:val="2"/>
            <w:noWrap w:val="0"/>
            <w:vAlign w:val="center"/>
          </w:tcPr>
          <w:p w14:paraId="0275941E">
            <w:pPr>
              <w:keepNext w:val="0"/>
              <w:keepLines w:val="0"/>
              <w:pageBreakBefore w:val="0"/>
              <w:kinsoku/>
              <w:wordWrap/>
              <w:overflowPunct/>
              <w:topLinePunct w:val="0"/>
              <w:autoSpaceDE/>
              <w:autoSpaceDN/>
              <w:bidi w:val="0"/>
              <w:adjustRightInd/>
              <w:snapToGrid/>
              <w:spacing w:line="520" w:lineRule="exact"/>
              <w:ind w:left="0" w:leftChars="0" w:firstLine="0" w:firstLineChars="0"/>
              <w:jc w:val="center"/>
              <w:textAlignment w:val="auto"/>
              <w:rPr>
                <w:rFonts w:hint="eastAsia" w:ascii="宋体" w:hAnsi="宋体"/>
                <w:color w:val="auto"/>
                <w:sz w:val="24"/>
                <w:highlight w:val="none"/>
              </w:rPr>
            </w:pPr>
            <w:r>
              <w:rPr>
                <w:rFonts w:hint="eastAsia" w:ascii="宋体" w:hAnsi="宋体"/>
                <w:color w:val="auto"/>
                <w:sz w:val="24"/>
                <w:highlight w:val="none"/>
              </w:rPr>
              <w:t>适用于本投标人须知的额外增加的变动：</w:t>
            </w:r>
          </w:p>
        </w:tc>
      </w:tr>
      <w:tr w14:paraId="65B6D1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78365992">
            <w:pPr>
              <w:keepNext w:val="0"/>
              <w:keepLines w:val="0"/>
              <w:pageBreakBefore w:val="0"/>
              <w:kinsoku/>
              <w:wordWrap/>
              <w:overflowPunct/>
              <w:topLinePunct w:val="0"/>
              <w:autoSpaceDE/>
              <w:autoSpaceDN/>
              <w:bidi w:val="0"/>
              <w:adjustRightInd/>
              <w:snapToGrid/>
              <w:spacing w:line="520" w:lineRule="exact"/>
              <w:jc w:val="center"/>
              <w:textAlignment w:val="auto"/>
              <w:rPr>
                <w:rFonts w:ascii="宋体" w:hAnsi="宋体"/>
                <w:color w:val="auto"/>
                <w:sz w:val="24"/>
                <w:highlight w:val="none"/>
              </w:rPr>
            </w:pPr>
            <w:r>
              <w:rPr>
                <w:rFonts w:hint="eastAsia" w:ascii="宋体" w:hAnsi="宋体"/>
                <w:color w:val="auto"/>
                <w:sz w:val="24"/>
                <w:highlight w:val="none"/>
              </w:rPr>
              <w:t>1</w:t>
            </w:r>
          </w:p>
        </w:tc>
        <w:tc>
          <w:tcPr>
            <w:tcW w:w="8170" w:type="dxa"/>
            <w:noWrap w:val="0"/>
            <w:vAlign w:val="center"/>
          </w:tcPr>
          <w:p w14:paraId="62D54395">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olor w:val="auto"/>
                <w:sz w:val="24"/>
                <w:highlight w:val="none"/>
              </w:rPr>
              <w:t>法律法规对相应</w:t>
            </w:r>
            <w:r>
              <w:rPr>
                <w:rFonts w:hint="eastAsia" w:ascii="宋体" w:hAnsi="宋体"/>
                <w:color w:val="auto"/>
                <w:sz w:val="24"/>
                <w:highlight w:val="none"/>
                <w:lang w:val="en-US" w:eastAsia="zh-CN"/>
              </w:rPr>
              <w:t>服务</w:t>
            </w:r>
            <w:r>
              <w:rPr>
                <w:rFonts w:hint="eastAsia" w:ascii="宋体" w:hAnsi="宋体"/>
                <w:color w:val="auto"/>
                <w:sz w:val="24"/>
                <w:highlight w:val="none"/>
              </w:rPr>
              <w:t>规定的条件：无</w:t>
            </w:r>
          </w:p>
        </w:tc>
      </w:tr>
      <w:tr w14:paraId="3B7921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61603F81">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olor w:val="auto"/>
                <w:sz w:val="24"/>
                <w:highlight w:val="none"/>
              </w:rPr>
            </w:pPr>
            <w:r>
              <w:rPr>
                <w:rFonts w:hint="eastAsia" w:ascii="宋体" w:hAnsi="宋体"/>
                <w:color w:val="auto"/>
                <w:sz w:val="24"/>
                <w:highlight w:val="none"/>
              </w:rPr>
              <w:t>2</w:t>
            </w:r>
          </w:p>
        </w:tc>
        <w:tc>
          <w:tcPr>
            <w:tcW w:w="8170" w:type="dxa"/>
            <w:noWrap w:val="0"/>
            <w:vAlign w:val="center"/>
          </w:tcPr>
          <w:p w14:paraId="59C72C49">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color w:val="auto"/>
                <w:sz w:val="24"/>
                <w:highlight w:val="none"/>
              </w:rPr>
            </w:pPr>
            <w:r>
              <w:rPr>
                <w:rFonts w:hint="eastAsia" w:ascii="宋体" w:hAnsi="宋体" w:cs="宋体"/>
                <w:color w:val="auto"/>
                <w:sz w:val="24"/>
                <w:highlight w:val="none"/>
              </w:rPr>
              <w:t>是否允许投标人将项目非主体、非关键性工作交由他人完成：是□  否</w:t>
            </w:r>
            <w:r>
              <w:rPr>
                <w:rFonts w:hint="eastAsia" w:ascii="宋体" w:hAnsi="宋体"/>
                <w:color w:val="auto"/>
                <w:sz w:val="24"/>
                <w:highlight w:val="none"/>
              </w:rPr>
              <w:t>☑</w:t>
            </w:r>
          </w:p>
        </w:tc>
      </w:tr>
      <w:tr w14:paraId="2C8269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191" w:type="dxa"/>
            <w:gridSpan w:val="2"/>
            <w:noWrap w:val="0"/>
            <w:vAlign w:val="center"/>
          </w:tcPr>
          <w:p w14:paraId="14BC214D">
            <w:pPr>
              <w:keepNext w:val="0"/>
              <w:keepLines w:val="0"/>
              <w:pageBreakBefore w:val="0"/>
              <w:kinsoku/>
              <w:wordWrap/>
              <w:overflowPunct/>
              <w:topLinePunct w:val="0"/>
              <w:autoSpaceDE/>
              <w:autoSpaceDN/>
              <w:bidi w:val="0"/>
              <w:adjustRightInd/>
              <w:snapToGrid/>
              <w:spacing w:line="520" w:lineRule="exact"/>
              <w:ind w:left="0" w:leftChars="0" w:firstLine="0" w:firstLineChars="0"/>
              <w:jc w:val="center"/>
              <w:textAlignment w:val="auto"/>
              <w:rPr>
                <w:rFonts w:hint="eastAsia" w:ascii="宋体" w:hAnsi="宋体"/>
                <w:color w:val="auto"/>
                <w:sz w:val="24"/>
                <w:highlight w:val="none"/>
              </w:rPr>
            </w:pPr>
            <w:r>
              <w:rPr>
                <w:rFonts w:hint="eastAsia" w:ascii="宋体" w:hAnsi="宋体"/>
                <w:color w:val="auto"/>
                <w:sz w:val="24"/>
                <w:highlight w:val="none"/>
              </w:rPr>
              <w:t>合同条款</w:t>
            </w:r>
          </w:p>
        </w:tc>
      </w:tr>
      <w:tr w14:paraId="4CC2EC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16160B51">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lang w:eastAsia="zh-CN"/>
              </w:rPr>
              <w:t>1</w:t>
            </w:r>
          </w:p>
        </w:tc>
        <w:tc>
          <w:tcPr>
            <w:tcW w:w="8170" w:type="dxa"/>
            <w:noWrap w:val="0"/>
            <w:vAlign w:val="center"/>
          </w:tcPr>
          <w:p w14:paraId="5BA6015D">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ascii="宋体" w:hAnsi="宋体" w:cs="宋体"/>
                <w:color w:val="auto"/>
                <w:sz w:val="24"/>
                <w:highlight w:val="none"/>
              </w:rPr>
            </w:pPr>
            <w:r>
              <w:rPr>
                <w:rFonts w:hint="eastAsia" w:ascii="宋体" w:hAnsi="宋体" w:cs="宋体"/>
                <w:color w:val="auto"/>
                <w:sz w:val="24"/>
                <w:highlight w:val="none"/>
              </w:rPr>
              <w:t>付款途径：采购人支付</w:t>
            </w:r>
          </w:p>
        </w:tc>
      </w:tr>
      <w:tr w14:paraId="2BDD4C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446A2760">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lang w:eastAsia="zh-CN"/>
              </w:rPr>
              <w:t>2</w:t>
            </w:r>
          </w:p>
        </w:tc>
        <w:tc>
          <w:tcPr>
            <w:tcW w:w="8170" w:type="dxa"/>
            <w:noWrap w:val="0"/>
            <w:vAlign w:val="center"/>
          </w:tcPr>
          <w:p w14:paraId="18F8C98D">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ascii="宋体" w:hAnsi="宋体" w:cs="宋体"/>
                <w:color w:val="auto"/>
                <w:sz w:val="24"/>
                <w:highlight w:val="none"/>
              </w:rPr>
            </w:pPr>
            <w:r>
              <w:rPr>
                <w:rFonts w:hint="eastAsia" w:ascii="宋体" w:hAnsi="宋体" w:cs="宋体"/>
                <w:color w:val="auto"/>
                <w:sz w:val="24"/>
                <w:highlight w:val="none"/>
              </w:rPr>
              <w:t>付款方式：</w:t>
            </w:r>
            <w:r>
              <w:rPr>
                <w:rFonts w:hint="eastAsia" w:ascii="宋体" w:hAnsi="宋体" w:eastAsia="宋体" w:cs="宋体"/>
                <w:b w:val="0"/>
                <w:bCs w:val="0"/>
                <w:color w:val="auto"/>
                <w:sz w:val="24"/>
                <w:highlight w:val="none"/>
              </w:rPr>
              <w:t>按两个月向</w:t>
            </w:r>
            <w:r>
              <w:rPr>
                <w:rFonts w:hint="eastAsia" w:ascii="宋体" w:hAnsi="宋体" w:cs="宋体"/>
                <w:b w:val="0"/>
                <w:bCs w:val="0"/>
                <w:color w:val="auto"/>
                <w:sz w:val="24"/>
                <w:highlight w:val="none"/>
                <w:lang w:eastAsia="zh-CN"/>
              </w:rPr>
              <w:t>成交供应商</w:t>
            </w:r>
            <w:r>
              <w:rPr>
                <w:rFonts w:hint="eastAsia" w:ascii="宋体" w:hAnsi="宋体" w:eastAsia="宋体" w:cs="宋体"/>
                <w:b w:val="0"/>
                <w:bCs w:val="0"/>
                <w:color w:val="auto"/>
                <w:sz w:val="24"/>
                <w:highlight w:val="none"/>
              </w:rPr>
              <w:t>支付服务费，经甲方考核合格后一次性无息支付上两个月服务费，每两个月支付额=成交总价/6 -考核扣除，考核不合格的事项应按照合同中的考核标准相应扣除</w:t>
            </w:r>
            <w:r>
              <w:rPr>
                <w:rFonts w:hint="eastAsia" w:ascii="宋体" w:hAnsi="宋体" w:eastAsia="宋体" w:cs="宋体"/>
                <w:b w:val="0"/>
                <w:bCs w:val="0"/>
                <w:color w:val="auto"/>
                <w:sz w:val="24"/>
                <w:highlight w:val="none"/>
                <w:lang w:eastAsia="zh-CN"/>
              </w:rPr>
              <w:t>。</w:t>
            </w:r>
          </w:p>
        </w:tc>
      </w:tr>
      <w:tr w14:paraId="494915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6B671FDD">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lang w:eastAsia="zh-CN"/>
              </w:rPr>
              <w:t>3</w:t>
            </w:r>
          </w:p>
        </w:tc>
        <w:tc>
          <w:tcPr>
            <w:tcW w:w="8170" w:type="dxa"/>
            <w:noWrap w:val="0"/>
            <w:vAlign w:val="center"/>
          </w:tcPr>
          <w:p w14:paraId="7A38E27D">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服务期限：</w:t>
            </w:r>
            <w:r>
              <w:rPr>
                <w:rFonts w:hint="eastAsia" w:ascii="宋体" w:hAnsi="宋体" w:cs="宋体"/>
                <w:b w:val="0"/>
                <w:bCs w:val="0"/>
                <w:color w:val="auto"/>
                <w:sz w:val="24"/>
                <w:highlight w:val="none"/>
              </w:rPr>
              <w:t>1年，自2025年8月26日至2026年8月25日。采用“1+1+1”模式管理，合同期满经甲方考核合格，甲乙双方同意可以续签</w:t>
            </w:r>
            <w:r>
              <w:rPr>
                <w:rFonts w:hint="eastAsia" w:ascii="宋体" w:hAnsi="宋体" w:cs="宋体"/>
                <w:b w:val="0"/>
                <w:bCs w:val="0"/>
                <w:color w:val="auto"/>
                <w:sz w:val="24"/>
                <w:highlight w:val="none"/>
                <w:lang w:eastAsia="zh-CN"/>
              </w:rPr>
              <w:t>。</w:t>
            </w:r>
          </w:p>
        </w:tc>
      </w:tr>
      <w:tr w14:paraId="45B54F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39F447B7">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lang w:eastAsia="zh-CN"/>
              </w:rPr>
              <w:t>4</w:t>
            </w:r>
          </w:p>
        </w:tc>
        <w:tc>
          <w:tcPr>
            <w:tcW w:w="8170" w:type="dxa"/>
            <w:noWrap w:val="0"/>
            <w:vAlign w:val="center"/>
          </w:tcPr>
          <w:p w14:paraId="003CA7F0">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服务</w:t>
            </w:r>
            <w:r>
              <w:rPr>
                <w:rFonts w:hint="eastAsia" w:ascii="宋体" w:hAnsi="宋体" w:cs="宋体"/>
                <w:color w:val="auto"/>
                <w:sz w:val="24"/>
                <w:highlight w:val="none"/>
              </w:rPr>
              <w:t>地点：临沂大学D8、D9学生公寓楼</w:t>
            </w:r>
            <w:r>
              <w:rPr>
                <w:rFonts w:hint="eastAsia" w:ascii="宋体" w:hAnsi="宋体" w:cs="宋体"/>
                <w:color w:val="auto"/>
                <w:sz w:val="24"/>
                <w:highlight w:val="none"/>
                <w:lang w:eastAsia="zh-CN"/>
              </w:rPr>
              <w:t>。</w:t>
            </w:r>
          </w:p>
        </w:tc>
      </w:tr>
      <w:tr w14:paraId="21892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129EE4B8">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Times New Roman"/>
                <w:color w:val="auto"/>
                <w:sz w:val="24"/>
                <w:highlight w:val="none"/>
                <w:lang w:eastAsia="zh-CN"/>
              </w:rPr>
            </w:pPr>
            <w:r>
              <w:rPr>
                <w:rFonts w:hint="eastAsia" w:ascii="宋体" w:hAnsi="宋体" w:eastAsia="宋体" w:cs="Times New Roman"/>
                <w:color w:val="auto"/>
                <w:sz w:val="24"/>
                <w:highlight w:val="none"/>
                <w:lang w:val="en-US" w:eastAsia="zh-CN"/>
              </w:rPr>
              <w:t>5</w:t>
            </w:r>
          </w:p>
        </w:tc>
        <w:tc>
          <w:tcPr>
            <w:tcW w:w="8170" w:type="dxa"/>
            <w:noWrap w:val="0"/>
            <w:vAlign w:val="center"/>
          </w:tcPr>
          <w:p w14:paraId="436DCBA3">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ascii="宋体" w:hAnsi="宋体" w:cs="宋体"/>
                <w:color w:val="auto"/>
                <w:sz w:val="24"/>
                <w:highlight w:val="none"/>
              </w:rPr>
            </w:pPr>
            <w:r>
              <w:rPr>
                <w:rFonts w:hint="eastAsia" w:ascii="宋体" w:hAnsi="宋体" w:cs="宋体"/>
                <w:color w:val="auto"/>
                <w:sz w:val="24"/>
                <w:highlight w:val="none"/>
              </w:rPr>
              <w:t>争议的解决：提交临沂仲裁委员会。</w:t>
            </w:r>
          </w:p>
        </w:tc>
      </w:tr>
    </w:tbl>
    <w:p w14:paraId="271B99FD">
      <w:pPr>
        <w:widowControl/>
        <w:spacing w:line="600" w:lineRule="exact"/>
        <w:jc w:val="left"/>
        <w:rPr>
          <w:rFonts w:ascii="宋体" w:hAnsi="宋体"/>
          <w:color w:val="auto"/>
          <w:sz w:val="24"/>
          <w:highlight w:val="none"/>
        </w:rPr>
        <w:sectPr>
          <w:footerReference r:id="rId3" w:type="default"/>
          <w:pgSz w:w="11906" w:h="16838"/>
          <w:pgMar w:top="1440" w:right="1797" w:bottom="1440" w:left="1797" w:header="851" w:footer="992" w:gutter="0"/>
          <w:cols w:space="720" w:num="1"/>
        </w:sectPr>
      </w:pPr>
    </w:p>
    <w:p w14:paraId="066EDFA5">
      <w:pPr>
        <w:pStyle w:val="2"/>
        <w:tabs>
          <w:tab w:val="left" w:pos="0"/>
        </w:tabs>
        <w:spacing w:before="0" w:after="0" w:line="600" w:lineRule="exact"/>
        <w:ind w:left="0" w:leftChars="0" w:firstLine="0" w:firstLineChars="0"/>
        <w:jc w:val="center"/>
        <w:rPr>
          <w:rFonts w:hint="eastAsia" w:hAnsi="宋体"/>
          <w:color w:val="auto"/>
          <w:highlight w:val="none"/>
        </w:rPr>
      </w:pPr>
      <w:bookmarkStart w:id="288" w:name="_Toc216582825"/>
      <w:bookmarkStart w:id="289" w:name="_Toc219175638"/>
      <w:bookmarkStart w:id="290" w:name="_Toc218935354"/>
      <w:bookmarkStart w:id="291" w:name="_Toc4766527"/>
      <w:bookmarkStart w:id="292" w:name="_Toc515647831"/>
      <w:bookmarkStart w:id="293" w:name="_Toc9032"/>
      <w:bookmarkStart w:id="294" w:name="_Toc507399906"/>
      <w:bookmarkStart w:id="295" w:name="_Toc9887"/>
      <w:bookmarkStart w:id="296" w:name="_Toc23611"/>
      <w:bookmarkStart w:id="297" w:name="_Toc512937852"/>
      <w:r>
        <w:rPr>
          <w:rFonts w:hint="eastAsia" w:hAnsi="宋体"/>
          <w:color w:val="auto"/>
          <w:highlight w:val="none"/>
        </w:rPr>
        <w:t xml:space="preserve">第4章  </w:t>
      </w:r>
      <w:bookmarkEnd w:id="288"/>
      <w:bookmarkEnd w:id="289"/>
      <w:bookmarkEnd w:id="290"/>
      <w:bookmarkEnd w:id="291"/>
      <w:bookmarkEnd w:id="292"/>
      <w:bookmarkEnd w:id="293"/>
      <w:bookmarkEnd w:id="294"/>
      <w:bookmarkEnd w:id="295"/>
      <w:r>
        <w:rPr>
          <w:rFonts w:hint="eastAsia" w:hAnsi="宋体"/>
          <w:color w:val="auto"/>
          <w:highlight w:val="none"/>
          <w:lang w:eastAsia="zh-CN"/>
        </w:rPr>
        <w:t>服务需求</w:t>
      </w:r>
      <w:bookmarkEnd w:id="296"/>
    </w:p>
    <w:bookmarkEnd w:id="297"/>
    <w:p w14:paraId="3666BF4C">
      <w:pPr>
        <w:pStyle w:val="10"/>
        <w:keepNext w:val="0"/>
        <w:keepLines w:val="0"/>
        <w:pageBreakBefore w:val="0"/>
        <w:tabs>
          <w:tab w:val="left" w:pos="0"/>
        </w:tabs>
        <w:wordWrap/>
        <w:topLinePunct w:val="0"/>
        <w:autoSpaceDE/>
        <w:autoSpaceDN/>
        <w:bidi w:val="0"/>
        <w:adjustRightInd/>
        <w:spacing w:line="520" w:lineRule="exact"/>
        <w:ind w:left="0" w:leftChars="0" w:firstLine="0" w:firstLineChars="0"/>
        <w:jc w:val="center"/>
        <w:rPr>
          <w:rFonts w:ascii="宋体" w:hAnsi="宋体"/>
          <w:b/>
          <w:sz w:val="36"/>
          <w:szCs w:val="36"/>
          <w:highlight w:val="none"/>
        </w:rPr>
      </w:pPr>
      <w:bookmarkStart w:id="298" w:name="_Toc507399907"/>
      <w:bookmarkStart w:id="299" w:name="_Toc7971"/>
      <w:bookmarkStart w:id="300" w:name="_Toc216582826"/>
      <w:bookmarkStart w:id="301" w:name="_Toc4766528"/>
      <w:bookmarkStart w:id="302" w:name="_Toc218935355"/>
      <w:bookmarkStart w:id="303" w:name="_Toc32647"/>
      <w:bookmarkStart w:id="304" w:name="_Toc515647832"/>
      <w:bookmarkStart w:id="305" w:name="_Toc219175639"/>
      <w:r>
        <w:rPr>
          <w:rFonts w:hint="eastAsia" w:ascii="宋体" w:hAnsi="宋体"/>
          <w:b/>
          <w:sz w:val="36"/>
          <w:szCs w:val="36"/>
          <w:highlight w:val="none"/>
        </w:rPr>
        <w:t>项目需求</w:t>
      </w:r>
    </w:p>
    <w:p w14:paraId="44B3B2CF">
      <w:pPr>
        <w:keepNext w:val="0"/>
        <w:keepLines w:val="0"/>
        <w:pageBreakBefore w:val="0"/>
        <w:widowControl/>
        <w:wordWrap/>
        <w:topLinePunct w:val="0"/>
        <w:autoSpaceDE/>
        <w:autoSpaceDN/>
        <w:bidi w:val="0"/>
        <w:adjustRightInd/>
        <w:spacing w:line="520" w:lineRule="exact"/>
        <w:ind w:firstLine="482" w:firstLineChars="200"/>
        <w:rPr>
          <w:rFonts w:ascii="宋体" w:hAnsi="宋体"/>
          <w:b/>
          <w:bCs/>
          <w:sz w:val="32"/>
          <w:szCs w:val="32"/>
          <w:highlight w:val="none"/>
        </w:rPr>
      </w:pPr>
      <w:r>
        <w:rPr>
          <w:rFonts w:hint="eastAsia" w:ascii="宋体" w:hAnsi="宋体" w:cs="宋体"/>
          <w:b/>
          <w:kern w:val="0"/>
          <w:sz w:val="24"/>
          <w:szCs w:val="24"/>
          <w:highlight w:val="none"/>
        </w:rPr>
        <w:t>一、项目概况</w:t>
      </w:r>
    </w:p>
    <w:p w14:paraId="1EAA3657">
      <w:pPr>
        <w:keepNext w:val="0"/>
        <w:keepLines w:val="0"/>
        <w:pageBreakBefore w:val="0"/>
        <w:widowControl/>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sz w:val="24"/>
          <w:szCs w:val="24"/>
          <w:highlight w:val="none"/>
        </w:rPr>
        <w:t>本项目为临沂大学D8、D9学生公寓楼物业管理与服务项目，</w:t>
      </w:r>
      <w:r>
        <w:rPr>
          <w:rFonts w:hint="eastAsia" w:ascii="宋体" w:hAnsi="宋体" w:cs="宋体"/>
          <w:kern w:val="0"/>
          <w:sz w:val="24"/>
          <w:szCs w:val="24"/>
          <w:highlight w:val="none"/>
        </w:rPr>
        <w:t>位于临沂市双岭路中段北侧，总建筑面积约62425平方米，服务内容为学生公寓值班管理、安保、消防、维修、保洁、资产管理等。</w:t>
      </w:r>
    </w:p>
    <w:p w14:paraId="46651476">
      <w:pPr>
        <w:keepNext w:val="0"/>
        <w:keepLines w:val="0"/>
        <w:pageBreakBefore w:val="0"/>
        <w:widowControl/>
        <w:wordWrap/>
        <w:topLinePunct w:val="0"/>
        <w:autoSpaceDE/>
        <w:autoSpaceDN/>
        <w:bidi w:val="0"/>
        <w:adjustRightInd/>
        <w:spacing w:line="520" w:lineRule="exact"/>
        <w:ind w:firstLine="482" w:firstLineChars="200"/>
        <w:rPr>
          <w:rFonts w:ascii="宋体" w:hAnsi="宋体" w:cs="宋体"/>
          <w:kern w:val="0"/>
          <w:sz w:val="24"/>
          <w:szCs w:val="24"/>
          <w:highlight w:val="none"/>
        </w:rPr>
      </w:pPr>
      <w:r>
        <w:rPr>
          <w:rFonts w:hint="eastAsia" w:ascii="宋体" w:hAnsi="宋体" w:cs="宋体"/>
          <w:b/>
          <w:kern w:val="0"/>
          <w:sz w:val="24"/>
          <w:szCs w:val="24"/>
          <w:highlight w:val="none"/>
        </w:rPr>
        <w:t>二、服务期限1年</w:t>
      </w:r>
      <w:r>
        <w:rPr>
          <w:rFonts w:hint="eastAsia" w:ascii="宋体" w:hAnsi="宋体" w:cs="宋体"/>
          <w:kern w:val="0"/>
          <w:sz w:val="24"/>
          <w:szCs w:val="24"/>
          <w:highlight w:val="none"/>
        </w:rPr>
        <w:t>，自2025年8月26日至2026年8月25日。采用“1+1+1”模式管理，</w:t>
      </w:r>
      <w:r>
        <w:rPr>
          <w:rFonts w:ascii="宋体" w:hAnsi="宋体" w:cs="宋体"/>
          <w:kern w:val="0"/>
          <w:sz w:val="24"/>
          <w:szCs w:val="24"/>
          <w:highlight w:val="none"/>
        </w:rPr>
        <w:t>合同期满</w:t>
      </w:r>
      <w:r>
        <w:rPr>
          <w:rFonts w:hint="eastAsia" w:ascii="宋体" w:hAnsi="宋体" w:cs="宋体"/>
          <w:kern w:val="0"/>
          <w:sz w:val="24"/>
          <w:szCs w:val="24"/>
          <w:highlight w:val="none"/>
        </w:rPr>
        <w:t>经</w:t>
      </w:r>
      <w:r>
        <w:rPr>
          <w:rFonts w:ascii="宋体" w:hAnsi="宋体" w:cs="宋体"/>
          <w:kern w:val="0"/>
          <w:sz w:val="24"/>
          <w:szCs w:val="24"/>
          <w:highlight w:val="none"/>
        </w:rPr>
        <w:t>甲方</w:t>
      </w:r>
      <w:r>
        <w:rPr>
          <w:rFonts w:hint="eastAsia" w:ascii="宋体" w:hAnsi="宋体" w:cs="宋体"/>
          <w:kern w:val="0"/>
          <w:sz w:val="24"/>
          <w:szCs w:val="24"/>
          <w:highlight w:val="none"/>
        </w:rPr>
        <w:t>考核合格</w:t>
      </w:r>
      <w:r>
        <w:rPr>
          <w:rFonts w:ascii="宋体" w:hAnsi="宋体" w:cs="宋体"/>
          <w:kern w:val="0"/>
          <w:sz w:val="24"/>
          <w:szCs w:val="24"/>
          <w:highlight w:val="none"/>
        </w:rPr>
        <w:t>，</w:t>
      </w:r>
      <w:r>
        <w:rPr>
          <w:rFonts w:ascii="宋体" w:hAnsi="宋体" w:cs="宋体"/>
          <w:kern w:val="0"/>
          <w:sz w:val="24"/>
          <w:szCs w:val="24"/>
          <w:highlight w:val="none"/>
          <w:u w:val="single"/>
        </w:rPr>
        <w:t>甲乙双方</w:t>
      </w:r>
      <w:r>
        <w:rPr>
          <w:rFonts w:hint="eastAsia" w:ascii="宋体" w:hAnsi="宋体" w:cs="宋体"/>
          <w:kern w:val="0"/>
          <w:sz w:val="24"/>
          <w:szCs w:val="24"/>
          <w:highlight w:val="none"/>
          <w:u w:val="single"/>
        </w:rPr>
        <w:t>同意可以续签</w:t>
      </w:r>
      <w:r>
        <w:rPr>
          <w:rFonts w:hint="eastAsia" w:ascii="宋体" w:hAnsi="宋体" w:cs="宋体"/>
          <w:kern w:val="0"/>
          <w:sz w:val="24"/>
          <w:szCs w:val="24"/>
          <w:highlight w:val="none"/>
        </w:rPr>
        <w:t>。</w:t>
      </w:r>
    </w:p>
    <w:p w14:paraId="3B47F72E">
      <w:pPr>
        <w:keepNext w:val="0"/>
        <w:keepLines w:val="0"/>
        <w:pageBreakBefore w:val="0"/>
        <w:widowControl/>
        <w:wordWrap/>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三、学</w:t>
      </w:r>
      <w:r>
        <w:rPr>
          <w:rFonts w:ascii="宋体" w:hAnsi="宋体" w:cs="宋体"/>
          <w:b/>
          <w:kern w:val="0"/>
          <w:sz w:val="24"/>
          <w:szCs w:val="24"/>
          <w:highlight w:val="none"/>
        </w:rPr>
        <w:t>生公寓</w:t>
      </w:r>
      <w:r>
        <w:rPr>
          <w:rFonts w:hint="eastAsia" w:ascii="宋体" w:hAnsi="宋体" w:cs="宋体"/>
          <w:b/>
          <w:kern w:val="0"/>
          <w:sz w:val="24"/>
          <w:szCs w:val="24"/>
          <w:highlight w:val="none"/>
        </w:rPr>
        <w:t>服务内容及要求</w:t>
      </w:r>
    </w:p>
    <w:p w14:paraId="653CD2E5">
      <w:pPr>
        <w:keepNext w:val="0"/>
        <w:keepLines w:val="0"/>
        <w:pageBreakBefore w:val="0"/>
        <w:widowControl/>
        <w:wordWrap/>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1.值班管理</w:t>
      </w:r>
    </w:p>
    <w:p w14:paraId="3F4CFC41">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（1）学生公寓实行24小时值班制度，封闭式管理，做好值班记录，夜间必须有值班主管负责对所有公寓进行巡视督查，公寓内无刑事案件、盗窃等安全责任事故发生。</w:t>
      </w:r>
    </w:p>
    <w:p w14:paraId="00097180">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 xml:space="preserve">（2）楼管要严格执行学生公寓管理规定，严格按照学生公寓作息时间开、关门；热情接待学生和来访者；严格登记学生晚归、违纪情况，并及时报送采购人；清楚公寓学生的住宿情况，居住本楼学生的辨识率达100%。 </w:t>
      </w:r>
    </w:p>
    <w:p w14:paraId="7F6E057A">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（3）钥匙管理规范，借用、归还登记手续完备，不外借；不得允许学生在宿舍内从事经商活动。未经采购人批准，</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不得在生活区内从事推销商品或其它经营活动。</w:t>
      </w:r>
    </w:p>
    <w:p w14:paraId="42160DF0">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（4）楼管要每天对楼内及楼周围进行至少6次全面安全巡查（夜间巡查不少于2次），检查公共区域和学生宿舍安全措施落实情况，发现隐患及时整改，并做好记录，重大问题立即报告采购人。</w:t>
      </w:r>
    </w:p>
    <w:p w14:paraId="4D690750">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（5）负责门禁通道系统、楼内及外围监控系统的运行维护工作，确保正常运行。熟练操作门禁通道系统，管理好门禁电脑，严禁使用门禁电脑上网、聊天、看电影。</w:t>
      </w:r>
    </w:p>
    <w:p w14:paraId="1DF88FD8">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6）楼管要严格执行门禁刷脸制度，门禁刷脸率达到100%，认真做好大件出入物品询问、登记备案工作；严格执行外来会客制度，禁止非因公异性进入学生公寓，因公异性须持采购人证明并登记后方可进公寓。公寓内不得留宿外人。</w:t>
      </w:r>
    </w:p>
    <w:p w14:paraId="13935D8D">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（7）因管理不到位发生治安刑事案件造成入住人员人身伤害或财产损失，由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承担赔偿责任。</w:t>
      </w:r>
    </w:p>
    <w:p w14:paraId="188A408E">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（8）因破门、破锁、管理不善等原因，导致公寓内物品失盗所造成的损失，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应承担相应责任。</w:t>
      </w:r>
    </w:p>
    <w:p w14:paraId="716F715B">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（9）发现刑事、治安等突发事件时，要做好应急处理，及时报告采购人并保护好现场，配合采购人及公安部门进行案件调查。</w:t>
      </w:r>
    </w:p>
    <w:p w14:paraId="597746C9">
      <w:pPr>
        <w:keepNext w:val="0"/>
        <w:keepLines w:val="0"/>
        <w:pageBreakBefore w:val="0"/>
        <w:kinsoku w:val="0"/>
        <w:wordWrap/>
        <w:overflowPunct w:val="0"/>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2.消防管理</w:t>
      </w:r>
    </w:p>
    <w:p w14:paraId="2C5780BB">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学生公寓内公共标志、消防安全标志、安全标志醒目完整，符合国家法律法规的要求；学生公寓内消防设施设备齐全，保持紧急疏散通道畅通，应急灯、逃生疏散标识维护正常，人为损坏的及时修复，自然损耗的及时报告；学生公寓内的监控设备、门禁通道系统等技防设施确保24小时正常运行。</w:t>
      </w:r>
    </w:p>
    <w:p w14:paraId="72621F97">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（2）消防管理工作应符合《高等学校消防安全管理规定》的有关要求。</w:t>
      </w:r>
    </w:p>
    <w:p w14:paraId="56109EBB">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（3）全面做好学生公寓的消防安全管理工作，无火灾等安全事故发生。</w:t>
      </w:r>
    </w:p>
    <w:p w14:paraId="5193FEFB">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（4）落实逐级消防安全责任制和岗位消防安全责任制，落实巡视、检查制度，配备专职消防安全管理人员。</w:t>
      </w:r>
    </w:p>
    <w:p w14:paraId="79630BE1">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5）开展全面安全检查，每月不少于2次，检查内容包括学生公寓内的安全隐患、防盗窗逃生窗钥匙、消防通道、消防标识、器材完好、入住商家的消防安全管理等，发现不安全行为及安全隐患要立即制止、整改，并及时报告采购人，跟踪整改结果。</w:t>
      </w:r>
    </w:p>
    <w:p w14:paraId="2BE0FE47">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（6）按楼制定消防应急预案，定期对物业工作人员进行消防安全知识与技能培训教育，做到物业服务人员熟练掌握消防设施、器材使用方法，熟悉楼内消防通道分布，具备消防安全“四个能力”。</w:t>
      </w:r>
    </w:p>
    <w:p w14:paraId="392FC4D3">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（7）定期组织学生学习消防法规和各项规章制度，提高学生的安全意识和防护能力，每学期至少组织1次消防应急演练。</w:t>
      </w:r>
    </w:p>
    <w:p w14:paraId="3D325242">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（8）做好楼内动火作业监管工作，进行电焊、气割等动火作业，须有采购人安全保卫处开具的施工审批单，做好现场监督和看护工作。</w:t>
      </w:r>
    </w:p>
    <w:p w14:paraId="3E48FF89">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（9）各楼值班室内要配备手电筒、喊话器、防毒面具等应急设备，每周检查1次并做好检查记录，确保正常使用。</w:t>
      </w:r>
    </w:p>
    <w:p w14:paraId="6D27DC63">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（10）因检查、维护、报修不到位引发的火灾等安全事故，由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承担相应责任。</w:t>
      </w:r>
    </w:p>
    <w:p w14:paraId="01B484D8">
      <w:pPr>
        <w:keepNext w:val="0"/>
        <w:keepLines w:val="0"/>
        <w:pageBreakBefore w:val="0"/>
        <w:kinsoku w:val="0"/>
        <w:wordWrap/>
        <w:overflowPunct w:val="0"/>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3.卫生保洁</w:t>
      </w:r>
    </w:p>
    <w:p w14:paraId="1157CCF8">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（1）负责</w:t>
      </w:r>
      <w:r>
        <w:rPr>
          <w:rFonts w:hint="eastAsia" w:ascii="宋体" w:hAnsi="宋体" w:cs="宋体"/>
          <w:sz w:val="24"/>
          <w:szCs w:val="24"/>
          <w:highlight w:val="none"/>
        </w:rPr>
        <w:t>楼内公共区域及楼周边规定区域的保洁</w:t>
      </w:r>
      <w:r>
        <w:rPr>
          <w:rFonts w:hint="eastAsia" w:ascii="宋体" w:hAnsi="宋体" w:cs="宋体"/>
          <w:kern w:val="0"/>
          <w:sz w:val="24"/>
          <w:szCs w:val="24"/>
          <w:highlight w:val="none"/>
        </w:rPr>
        <w:t>工作。公寓内包含：走廊及大厅内饰物、楼梯、公共厕所、公共洗刷间、公共淋浴间、公共开水间、地下室、阁楼等公共区域以及公共设施卫生；楼周边包括：散水坡范围内的区域保洁、所有外墙定期清洁、门前三包。</w:t>
      </w:r>
    </w:p>
    <w:p w14:paraId="3FB269FF">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sz w:val="24"/>
          <w:szCs w:val="24"/>
          <w:highlight w:val="none"/>
        </w:rPr>
      </w:pPr>
      <w:r>
        <w:rPr>
          <w:rFonts w:hint="eastAsia" w:ascii="宋体" w:hAnsi="宋体" w:cs="宋体"/>
          <w:kern w:val="0"/>
          <w:sz w:val="24"/>
          <w:szCs w:val="24"/>
          <w:highlight w:val="none"/>
        </w:rPr>
        <w:t>（2）公寓楼门厅、楼道、楼梯地面整洁，无卫生死角。墙面洁净，无污迹印痕；</w:t>
      </w:r>
      <w:r>
        <w:rPr>
          <w:rFonts w:hint="eastAsia" w:ascii="宋体" w:hAnsi="宋体" w:cs="宋体"/>
          <w:sz w:val="24"/>
          <w:szCs w:val="24"/>
          <w:highlight w:val="none"/>
        </w:rPr>
        <w:t>楼梯扶手、护栏、宣传栏、写真板、标示牌、灯罩、应急灯洁净、光亮，无污迹、蜘蛛网、积灰。</w:t>
      </w:r>
    </w:p>
    <w:p w14:paraId="54526C12">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sz w:val="24"/>
          <w:szCs w:val="24"/>
          <w:highlight w:val="none"/>
        </w:rPr>
      </w:pPr>
      <w:r>
        <w:rPr>
          <w:rFonts w:hint="eastAsia" w:ascii="宋体" w:hAnsi="宋体" w:cs="宋体"/>
          <w:sz w:val="24"/>
          <w:szCs w:val="24"/>
          <w:highlight w:val="none"/>
        </w:rPr>
        <w:t>（3）楼内公共卫生间、盥洗间、淋浴间、开水间墙面、门窗、隔断、屋顶清洁。地漏盖齐全，排水畅通，地面清洁无积水。设施设备及卫生洁具洁净。通风良好无异味，无乱刻乱画现象。</w:t>
      </w:r>
    </w:p>
    <w:p w14:paraId="4B5A3865">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sz w:val="24"/>
          <w:szCs w:val="24"/>
          <w:highlight w:val="none"/>
        </w:rPr>
      </w:pPr>
      <w:r>
        <w:rPr>
          <w:rFonts w:hint="eastAsia" w:ascii="宋体" w:hAnsi="宋体" w:cs="宋体"/>
          <w:sz w:val="24"/>
          <w:szCs w:val="24"/>
          <w:highlight w:val="none"/>
        </w:rPr>
        <w:t>（4）地面每日清洁不少于2次；公共卫生间、盥洗室等每日重点清洁2 次；楼梯扶手每日清洁1 次；门窗、玻璃、消防设施器材、暖气片每周擦拭1 次；墙面、天花板每月清扫不少于1 次。卫生工具、用品定置管理。</w:t>
      </w:r>
    </w:p>
    <w:p w14:paraId="1797311B">
      <w:pPr>
        <w:keepNext w:val="0"/>
        <w:keepLines w:val="0"/>
        <w:pageBreakBefore w:val="0"/>
        <w:kinsoku w:val="0"/>
        <w:wordWrap/>
        <w:overflowPunct w:val="0"/>
        <w:topLinePunct w:val="0"/>
        <w:autoSpaceDE/>
        <w:autoSpaceDN/>
        <w:bidi w:val="0"/>
        <w:adjustRightInd/>
        <w:spacing w:line="520" w:lineRule="exact"/>
        <w:ind w:firstLine="480" w:firstLineChars="200"/>
        <w:rPr>
          <w:rFonts w:ascii="宋体" w:hAnsi="宋体" w:cs="宋体"/>
          <w:sz w:val="24"/>
          <w:szCs w:val="24"/>
          <w:highlight w:val="none"/>
        </w:rPr>
      </w:pPr>
      <w:r>
        <w:rPr>
          <w:rFonts w:hint="eastAsia" w:ascii="宋体" w:hAnsi="宋体" w:cs="宋体"/>
          <w:sz w:val="24"/>
          <w:szCs w:val="24"/>
          <w:highlight w:val="none"/>
        </w:rPr>
        <w:t>（5）</w:t>
      </w:r>
      <w:r>
        <w:rPr>
          <w:rFonts w:hint="eastAsia" w:ascii="宋体" w:hAnsi="宋体"/>
          <w:sz w:val="24"/>
          <w:highlight w:val="none"/>
        </w:rPr>
        <w:t>依据学校要求，</w:t>
      </w:r>
      <w:r>
        <w:rPr>
          <w:rFonts w:hint="eastAsia" w:ascii="宋体" w:hAnsi="宋体" w:cs="宋体"/>
          <w:sz w:val="24"/>
          <w:szCs w:val="24"/>
          <w:highlight w:val="none"/>
        </w:rPr>
        <w:t>免费提供消毒液供学生使用；进行</w:t>
      </w:r>
      <w:r>
        <w:rPr>
          <w:rFonts w:hint="eastAsia" w:ascii="宋体" w:hAnsi="宋体"/>
          <w:sz w:val="24"/>
          <w:highlight w:val="none"/>
        </w:rPr>
        <w:t>楼宇通风、消毒杀菌，采取有效措施</w:t>
      </w:r>
      <w:r>
        <w:rPr>
          <w:rFonts w:ascii="宋体" w:hAnsi="宋体"/>
          <w:sz w:val="24"/>
          <w:highlight w:val="none"/>
        </w:rPr>
        <w:t>灭鼠、</w:t>
      </w:r>
      <w:r>
        <w:rPr>
          <w:rFonts w:hint="eastAsia" w:ascii="宋体" w:hAnsi="宋体"/>
          <w:sz w:val="24"/>
          <w:highlight w:val="none"/>
        </w:rPr>
        <w:t>杀蚊等。</w:t>
      </w:r>
    </w:p>
    <w:p w14:paraId="1F010DD1">
      <w:pPr>
        <w:keepNext w:val="0"/>
        <w:keepLines w:val="0"/>
        <w:pageBreakBefore w:val="0"/>
        <w:wordWrap/>
        <w:topLinePunct w:val="0"/>
        <w:autoSpaceDE/>
        <w:autoSpaceDN/>
        <w:bidi w:val="0"/>
        <w:adjustRightInd/>
        <w:spacing w:line="520" w:lineRule="exact"/>
        <w:ind w:firstLine="480" w:firstLineChars="200"/>
        <w:rPr>
          <w:rFonts w:ascii="宋体" w:hAnsi="宋体" w:cs="宋体"/>
          <w:sz w:val="24"/>
          <w:szCs w:val="24"/>
          <w:highlight w:val="none"/>
        </w:rPr>
      </w:pPr>
      <w:r>
        <w:rPr>
          <w:rFonts w:hint="eastAsia" w:ascii="宋体" w:hAnsi="宋体" w:cs="宋体"/>
          <w:sz w:val="24"/>
          <w:szCs w:val="24"/>
          <w:highlight w:val="none"/>
        </w:rPr>
        <w:t>（6）负责楼内非学生房源（活动室、配电室、弱电间、地下室、阁楼、储物间、辅导员办公区、辅导员值班室等）、空宿舍的日常保洁和管理工作。</w:t>
      </w:r>
    </w:p>
    <w:p w14:paraId="19C521BD">
      <w:pPr>
        <w:keepNext w:val="0"/>
        <w:keepLines w:val="0"/>
        <w:pageBreakBefore w:val="0"/>
        <w:wordWrap/>
        <w:topLinePunct w:val="0"/>
        <w:autoSpaceDE/>
        <w:autoSpaceDN/>
        <w:bidi w:val="0"/>
        <w:adjustRightInd/>
        <w:spacing w:line="520" w:lineRule="exact"/>
        <w:ind w:firstLine="480" w:firstLineChars="200"/>
        <w:rPr>
          <w:rFonts w:ascii="宋体" w:hAnsi="宋体" w:cs="宋体"/>
          <w:sz w:val="24"/>
          <w:szCs w:val="24"/>
          <w:highlight w:val="none"/>
        </w:rPr>
      </w:pPr>
      <w:r>
        <w:rPr>
          <w:rFonts w:hint="eastAsia" w:ascii="宋体" w:hAnsi="宋体" w:cs="宋体"/>
          <w:sz w:val="24"/>
          <w:szCs w:val="24"/>
          <w:highlight w:val="none"/>
        </w:rPr>
        <w:t>（7）楼内及楼体周围无乱搭建、堆放、贴画现象，无张贴物、商业广告、横幅悬挂现象。</w:t>
      </w:r>
    </w:p>
    <w:p w14:paraId="5A583137">
      <w:pPr>
        <w:keepNext w:val="0"/>
        <w:keepLines w:val="0"/>
        <w:pageBreakBefore w:val="0"/>
        <w:wordWrap/>
        <w:topLinePunct w:val="0"/>
        <w:autoSpaceDE/>
        <w:autoSpaceDN/>
        <w:bidi w:val="0"/>
        <w:adjustRightInd/>
        <w:spacing w:line="520" w:lineRule="exact"/>
        <w:ind w:firstLine="480" w:firstLineChars="200"/>
        <w:rPr>
          <w:rFonts w:ascii="宋体" w:hAnsi="宋体" w:cs="宋体"/>
          <w:sz w:val="24"/>
          <w:szCs w:val="24"/>
          <w:highlight w:val="none"/>
        </w:rPr>
      </w:pPr>
      <w:r>
        <w:rPr>
          <w:rFonts w:hint="eastAsia" w:ascii="宋体" w:hAnsi="宋体" w:cs="宋体"/>
          <w:sz w:val="24"/>
          <w:szCs w:val="24"/>
          <w:highlight w:val="none"/>
        </w:rPr>
        <w:t>（8）做好楼周边车辆（自行车、电动车等）停放管理工作，引导并负责将车辆摆放整齐有序，不挤占消防通道。</w:t>
      </w:r>
    </w:p>
    <w:p w14:paraId="40FFA182">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sz w:val="24"/>
          <w:szCs w:val="24"/>
          <w:highlight w:val="none"/>
        </w:rPr>
        <w:t>（9）</w:t>
      </w:r>
      <w:r>
        <w:rPr>
          <w:rFonts w:hint="eastAsia" w:ascii="宋体" w:hAnsi="宋体" w:cs="宋体"/>
          <w:kern w:val="0"/>
          <w:sz w:val="24"/>
          <w:szCs w:val="24"/>
          <w:highlight w:val="none"/>
        </w:rPr>
        <w:t>负责全部新生宿舍、毕业生宿舍的卫生清理工作。</w:t>
      </w:r>
    </w:p>
    <w:p w14:paraId="2F9232ED">
      <w:pPr>
        <w:keepNext w:val="0"/>
        <w:keepLines w:val="0"/>
        <w:pageBreakBefore w:val="0"/>
        <w:wordWrap/>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4.维修维护</w:t>
      </w:r>
    </w:p>
    <w:p w14:paraId="0E8A12EA">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（1）负责学生公寓内的单件材料费</w:t>
      </w:r>
      <w:r>
        <w:rPr>
          <w:rFonts w:ascii="宋体" w:hAnsi="宋体" w:cs="宋体"/>
          <w:kern w:val="0"/>
          <w:sz w:val="24"/>
          <w:szCs w:val="24"/>
          <w:highlight w:val="none"/>
        </w:rPr>
        <w:t>5</w:t>
      </w:r>
      <w:r>
        <w:rPr>
          <w:rFonts w:hint="eastAsia" w:ascii="宋体" w:hAnsi="宋体" w:cs="宋体"/>
          <w:kern w:val="0"/>
          <w:sz w:val="24"/>
          <w:szCs w:val="24"/>
          <w:highlight w:val="none"/>
        </w:rPr>
        <w:t>00元以下的家具、门窗、门锁、水电、窗帘、防盗窗（含逃生窗）、隐形防盗网、玻璃幕墙等设施设备的养护、运行管理和维修工作；负责公寓内地砖、墙砖修补，卫生间吊顶维修，污损墙面修复，安全护栏等五金构件的维修和保养，以及学生公寓内涉及安全项目的维修等。维修配件型号、规格及质量要求要符合国家标准。维修配件费、工具费、人工费均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负责。</w:t>
      </w:r>
    </w:p>
    <w:p w14:paraId="1A22B7D3">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（2）学生公寓内房屋渗漏、整楼墙面粉刷和涉及安全报废换新项目（智能控电模块、电表、楼顶栏杆、阳台护栏、楼外落水管、灭火器换粉、消防器材更新、监控系统、门禁系统）和单件材料费</w:t>
      </w:r>
      <w:r>
        <w:rPr>
          <w:rFonts w:ascii="宋体" w:hAnsi="宋体" w:cs="宋体"/>
          <w:kern w:val="0"/>
          <w:sz w:val="24"/>
          <w:szCs w:val="24"/>
          <w:highlight w:val="none"/>
        </w:rPr>
        <w:t>5</w:t>
      </w:r>
      <w:r>
        <w:rPr>
          <w:rFonts w:hint="eastAsia" w:ascii="宋体" w:hAnsi="宋体" w:cs="宋体"/>
          <w:kern w:val="0"/>
          <w:sz w:val="24"/>
          <w:szCs w:val="24"/>
          <w:highlight w:val="none"/>
        </w:rPr>
        <w:t>00元以上的，由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报修，采购人更新。房屋突发渗漏、水管爆裂等应急维修，维修费用5000元以下的由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负责，具体事宜可由双方商定。</w:t>
      </w:r>
    </w:p>
    <w:p w14:paraId="26CEC739">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（3）学生公寓内排气扇等因电机损坏无法维修需整体换新的，由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报修，采购人集中采购更新。</w:t>
      </w:r>
    </w:p>
    <w:p w14:paraId="65DF069F">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（4）供水管道、排污管道、暖气管道、供电线路维保负责范围以公寓楼散水坡为界。</w:t>
      </w:r>
    </w:p>
    <w:p w14:paraId="6B429EB6">
      <w:pPr>
        <w:keepNext w:val="0"/>
        <w:keepLines w:val="0"/>
        <w:pageBreakBefore w:val="0"/>
        <w:wordWrap/>
        <w:topLinePunct w:val="0"/>
        <w:autoSpaceDE/>
        <w:autoSpaceDN/>
        <w:bidi w:val="0"/>
        <w:adjustRightInd/>
        <w:spacing w:line="520" w:lineRule="exact"/>
        <w:rPr>
          <w:rFonts w:ascii="宋体" w:hAnsi="宋体" w:cs="宋体"/>
          <w:kern w:val="0"/>
          <w:sz w:val="24"/>
          <w:szCs w:val="24"/>
          <w:highlight w:val="none"/>
        </w:rPr>
      </w:pPr>
      <w:r>
        <w:rPr>
          <w:rFonts w:hint="eastAsia" w:ascii="宋体" w:hAnsi="宋体" w:cs="宋体"/>
          <w:kern w:val="0"/>
          <w:sz w:val="24"/>
          <w:szCs w:val="24"/>
          <w:highlight w:val="none"/>
        </w:rPr>
        <w:t>单价有异议的项目，可由双方组成的认定小组认定。</w:t>
      </w:r>
    </w:p>
    <w:p w14:paraId="06375284">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（5）学生公寓内热水洗浴系统、冷暖双供系统、开水器、公用洗衣机等维护、维修由投资运营商负责。</w:t>
      </w:r>
    </w:p>
    <w:p w14:paraId="6829E5BC">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6</w:t>
      </w:r>
      <w:r>
        <w:rPr>
          <w:rFonts w:hint="eastAsia" w:ascii="宋体" w:hAnsi="宋体" w:cs="宋体"/>
          <w:kern w:val="0"/>
          <w:sz w:val="24"/>
          <w:szCs w:val="24"/>
          <w:highlight w:val="none"/>
        </w:rPr>
        <w:t>）特殊工种持证上岗，严格执行国家、行业和地方对特殊工种的安全操作规定；正确使用、操作各种设施设备，落实设备每日巡视、点检和保养工作；做好水电设施设备、供水管道、排污管、落水管等设施巡查维护，保证管网畅通，各种设备处于良好的运行状态。</w:t>
      </w:r>
    </w:p>
    <w:p w14:paraId="1D5081DB">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7</w:t>
      </w:r>
      <w:r>
        <w:rPr>
          <w:rFonts w:hint="eastAsia" w:ascii="宋体" w:hAnsi="宋体" w:cs="宋体"/>
          <w:kern w:val="0"/>
          <w:sz w:val="24"/>
          <w:szCs w:val="24"/>
          <w:highlight w:val="none"/>
        </w:rPr>
        <w:t>）积极利用网上报修系统处理学生公寓日常报修，并设置24小时报修服务电话；水电暖、门锁等急修15分钟到位，零星维修24小时内解决，其它维修约时解决，不超过48小时；接报修、维修和回访记录规范齐全；维修平均用时≤12小时，维修学生满意率≥98%。</w:t>
      </w:r>
    </w:p>
    <w:p w14:paraId="58F7760D">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8</w:t>
      </w:r>
      <w:r>
        <w:rPr>
          <w:rFonts w:hint="eastAsia" w:ascii="宋体" w:hAnsi="宋体" w:cs="宋体"/>
          <w:kern w:val="0"/>
          <w:sz w:val="24"/>
          <w:szCs w:val="24"/>
          <w:highlight w:val="none"/>
        </w:rPr>
        <w:t>）制定学生公寓设施设备维修养护制度、计划、建立设备维修养护档案。定期做好公寓楼体的检查、维护保洁工作；加强日常巡查，在明显部位张贴防坠物警示标识，无高空坠物等安全隐患。</w:t>
      </w:r>
    </w:p>
    <w:p w14:paraId="489E6023">
      <w:pPr>
        <w:keepNext w:val="0"/>
        <w:keepLines w:val="0"/>
        <w:pageBreakBefore w:val="0"/>
        <w:wordWrap/>
        <w:topLinePunct w:val="0"/>
        <w:autoSpaceDE/>
        <w:autoSpaceDN/>
        <w:bidi w:val="0"/>
        <w:adjustRightInd/>
        <w:snapToGrid w:val="0"/>
        <w:spacing w:line="520" w:lineRule="exact"/>
        <w:ind w:firstLine="480" w:firstLineChars="200"/>
        <w:rPr>
          <w:rFonts w:ascii="宋体" w:hAnsi="宋体" w:cs="宋体"/>
          <w:sz w:val="24"/>
          <w:highlight w:val="none"/>
        </w:rPr>
      </w:pPr>
      <w:r>
        <w:rPr>
          <w:rFonts w:hint="eastAsia" w:ascii="宋体" w:hAnsi="宋体" w:cs="宋体"/>
          <w:kern w:val="0"/>
          <w:sz w:val="24"/>
          <w:szCs w:val="24"/>
          <w:highlight w:val="none"/>
        </w:rPr>
        <w:t>天气寒冷时应对各类管道采取有效的抗寒防冻措施；及时制止未经许可的施工及安装等各种对建筑物侵蚀、损害现象的发生，并将情况及时报告采购人，使建筑物处于完好状态。做好</w:t>
      </w:r>
      <w:r>
        <w:rPr>
          <w:rFonts w:hint="eastAsia" w:ascii="宋体" w:hAnsi="宋体" w:cs="宋体"/>
          <w:sz w:val="24"/>
          <w:highlight w:val="none"/>
        </w:rPr>
        <w:t>避雷接地系统日常检查维护，确保安全有效。</w:t>
      </w:r>
    </w:p>
    <w:p w14:paraId="2C1E60F6">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sz w:val="24"/>
          <w:highlight w:val="none"/>
        </w:rPr>
        <w:t>供暖期间每天巡查宿舍楼内供暖系统，暖气片、采暖管道及阀门维修、更换及时，保证完好率100%。（无市政统一供暖的忽略此句）</w:t>
      </w:r>
    </w:p>
    <w:p w14:paraId="536413F8">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9</w:t>
      </w:r>
      <w:r>
        <w:rPr>
          <w:rFonts w:hint="eastAsia" w:ascii="宋体" w:hAnsi="宋体" w:cs="宋体"/>
          <w:kern w:val="0"/>
          <w:sz w:val="24"/>
          <w:szCs w:val="24"/>
          <w:highlight w:val="none"/>
        </w:rPr>
        <w:t>）负责宿舍阳台护栏、楼顶栏杆、阳台栏杆、走廊栏杆、楼梯扶手和床（含床板、爬梯、安全护栏）的检查、维修和维护工作，建立设施设备台账，做好日常维修、维护保养；如因严重老化等原因需换新，及时报告采购人。</w:t>
      </w:r>
    </w:p>
    <w:p w14:paraId="22793F3F">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10</w:t>
      </w:r>
      <w:r>
        <w:rPr>
          <w:rFonts w:hint="eastAsia" w:ascii="宋体" w:hAnsi="宋体" w:cs="宋体"/>
          <w:kern w:val="0"/>
          <w:sz w:val="24"/>
          <w:szCs w:val="24"/>
          <w:highlight w:val="none"/>
        </w:rPr>
        <w:t>）负责及时报修由采购人承担的公寓楼体渗漏维修、墙壁整楼粉刷项目以及其他大型维修项目，配合采购人做好相关维修方案编制工作；因数据不完整、不准确造成的损失由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承担责任，自行维修。</w:t>
      </w:r>
    </w:p>
    <w:p w14:paraId="5EBCD891">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协助做好采购人在学生宿舍进行的工程维修、竣工验收及接管工作，清点物品数量，监督施工质量。</w:t>
      </w:r>
    </w:p>
    <w:p w14:paraId="4961BA1C">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11</w:t>
      </w:r>
      <w:r>
        <w:rPr>
          <w:rFonts w:hint="eastAsia" w:ascii="宋体" w:hAnsi="宋体" w:cs="宋体"/>
          <w:kern w:val="0"/>
          <w:sz w:val="24"/>
          <w:szCs w:val="24"/>
          <w:highlight w:val="none"/>
        </w:rPr>
        <w:t>）因住宿学生及其他单位、个人原因故意损坏设施设备的，</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要将当事人报采购人备案，并可以根据损失情况向责任方收取材料费或维修费，并修复恢复至原状。收费办法需报采购人审定并在各公寓楼公示。未经采购人同意，</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对住宿学生及其他单位、个人不得有任何形式的收费项目。</w:t>
      </w:r>
    </w:p>
    <w:p w14:paraId="75372316">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12</w:t>
      </w:r>
      <w:r>
        <w:rPr>
          <w:rFonts w:hint="eastAsia" w:ascii="宋体" w:hAnsi="宋体" w:cs="宋体"/>
          <w:kern w:val="0"/>
          <w:sz w:val="24"/>
          <w:szCs w:val="24"/>
          <w:highlight w:val="none"/>
        </w:rPr>
        <w:t>）设施设备在质保期内的，由质保施工单位承担其质保责任，具体维修事宜由采购人组织，</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配合。</w:t>
      </w:r>
    </w:p>
    <w:p w14:paraId="518BDC0D">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13</w:t>
      </w:r>
      <w:r>
        <w:rPr>
          <w:rFonts w:hint="eastAsia" w:ascii="宋体" w:hAnsi="宋体" w:cs="宋体"/>
          <w:kern w:val="0"/>
          <w:sz w:val="24"/>
          <w:szCs w:val="24"/>
          <w:highlight w:val="none"/>
        </w:rPr>
        <w:t>）</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违反本合同的约定，维修环节弄虚作假、累积不修、拒绝或拖延履行维修义务的，采购人可以自行或委托第三方维修，维修费用及造成的其他损失由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承担。</w:t>
      </w:r>
    </w:p>
    <w:p w14:paraId="6B15EF92">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14</w:t>
      </w:r>
      <w:r>
        <w:rPr>
          <w:rFonts w:hint="eastAsia" w:ascii="宋体" w:hAnsi="宋体" w:cs="宋体"/>
          <w:kern w:val="0"/>
          <w:sz w:val="24"/>
          <w:szCs w:val="24"/>
          <w:highlight w:val="none"/>
        </w:rPr>
        <w:t>）</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在接管本项目时存在的维修项目，均由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负责维修，不得以任何理由推脱。</w:t>
      </w:r>
    </w:p>
    <w:p w14:paraId="2973AC0A">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15</w:t>
      </w:r>
      <w:r>
        <w:rPr>
          <w:rFonts w:hint="eastAsia" w:ascii="宋体" w:hAnsi="宋体" w:cs="宋体"/>
          <w:kern w:val="0"/>
          <w:sz w:val="24"/>
          <w:szCs w:val="24"/>
          <w:highlight w:val="none"/>
        </w:rPr>
        <w:t>）</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对因管理不到位造成设施不能正常运行给学生造成伤害的，</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要承担一切责任和损失。</w:t>
      </w:r>
    </w:p>
    <w:p w14:paraId="250D4515">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16</w:t>
      </w:r>
      <w:r>
        <w:rPr>
          <w:rFonts w:hint="eastAsia" w:ascii="宋体" w:hAnsi="宋体" w:cs="宋体"/>
          <w:kern w:val="0"/>
          <w:sz w:val="24"/>
          <w:szCs w:val="24"/>
          <w:highlight w:val="none"/>
        </w:rPr>
        <w:t>）负责公寓楼</w:t>
      </w:r>
      <w:r>
        <w:rPr>
          <w:rFonts w:hint="eastAsia" w:ascii="宋体" w:hAnsi="宋体" w:cs="宋体"/>
          <w:sz w:val="24"/>
          <w:szCs w:val="24"/>
          <w:highlight w:val="none"/>
        </w:rPr>
        <w:t>内非学生房源（活动室、地下室、阁楼、辅导员办公区、辅导员值班室等）、空宿舍的</w:t>
      </w:r>
      <w:r>
        <w:rPr>
          <w:rFonts w:hint="eastAsia" w:ascii="宋体" w:hAnsi="宋体" w:cs="宋体"/>
          <w:kern w:val="0"/>
          <w:sz w:val="24"/>
          <w:szCs w:val="24"/>
          <w:highlight w:val="none"/>
        </w:rPr>
        <w:t>水电、家具维修。</w:t>
      </w:r>
    </w:p>
    <w:p w14:paraId="68C0129A">
      <w:pPr>
        <w:keepNext w:val="0"/>
        <w:keepLines w:val="0"/>
        <w:pageBreakBefore w:val="0"/>
        <w:wordWrap/>
        <w:topLinePunct w:val="0"/>
        <w:autoSpaceDE/>
        <w:autoSpaceDN/>
        <w:bidi w:val="0"/>
        <w:adjustRightInd/>
        <w:snapToGrid w:val="0"/>
        <w:spacing w:line="520" w:lineRule="exact"/>
        <w:ind w:firstLine="480" w:firstLineChars="200"/>
        <w:rPr>
          <w:rFonts w:ascii="宋体" w:hAnsi="宋体" w:cs="宋体"/>
          <w:sz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1</w:t>
      </w:r>
      <w:r>
        <w:rPr>
          <w:rFonts w:hint="eastAsia" w:ascii="宋体" w:hAnsi="宋体" w:cs="宋体"/>
          <w:kern w:val="0"/>
          <w:sz w:val="24"/>
          <w:szCs w:val="24"/>
          <w:highlight w:val="none"/>
        </w:rPr>
        <w:t>7）负责电梯、中央空调的日常维修维护工作，</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与</w:t>
      </w:r>
      <w:r>
        <w:rPr>
          <w:rFonts w:hint="eastAsia" w:ascii="宋体" w:hAnsi="宋体" w:cs="宋体"/>
          <w:sz w:val="24"/>
          <w:highlight w:val="none"/>
        </w:rPr>
        <w:t>有资质的公司签订电梯维保协议，完善电梯的维保手续，按国家相关部门规定做好电梯年检和限速器校验；做好电梯的日常维修、维护和保养，资料记录、整理和存档工作，保障正常运行。</w:t>
      </w:r>
      <w:r>
        <w:rPr>
          <w:rFonts w:hint="eastAsia" w:ascii="宋体" w:hAnsi="宋体" w:cs="宋体"/>
          <w:kern w:val="0"/>
          <w:sz w:val="24"/>
          <w:szCs w:val="24"/>
          <w:highlight w:val="none"/>
          <w:lang w:eastAsia="zh-CN"/>
        </w:rPr>
        <w:t>中标人</w:t>
      </w:r>
      <w:r>
        <w:rPr>
          <w:rFonts w:hint="eastAsia" w:ascii="宋体" w:hAnsi="宋体" w:cs="宋体"/>
          <w:sz w:val="24"/>
          <w:highlight w:val="none"/>
        </w:rPr>
        <w:t>按照国家标准安全运行并进行中央空调的检修维护，定期清理风机滤网，保证运行正常。由于是新建楼宇，质保期内维修项目由建设方承担。超过原建设单位或设备</w:t>
      </w:r>
      <w:r>
        <w:rPr>
          <w:rFonts w:hint="eastAsia" w:ascii="宋体" w:hAnsi="宋体" w:cs="宋体"/>
          <w:sz w:val="24"/>
          <w:highlight w:val="none"/>
          <w:lang w:val="en-US" w:eastAsia="zh-CN"/>
        </w:rPr>
        <w:t>中标人</w:t>
      </w:r>
      <w:r>
        <w:rPr>
          <w:rFonts w:hint="eastAsia" w:ascii="宋体" w:hAnsi="宋体" w:cs="宋体"/>
          <w:sz w:val="24"/>
          <w:highlight w:val="none"/>
        </w:rPr>
        <w:t>质保期且符合本</w:t>
      </w:r>
      <w:r>
        <w:rPr>
          <w:rFonts w:hint="eastAsia" w:ascii="宋体" w:hAnsi="宋体" w:cs="宋体"/>
          <w:sz w:val="24"/>
          <w:highlight w:val="none"/>
          <w:lang w:val="en-US" w:eastAsia="zh-CN"/>
        </w:rPr>
        <w:t>服务</w:t>
      </w:r>
      <w:r>
        <w:rPr>
          <w:rFonts w:hint="eastAsia" w:ascii="宋体" w:hAnsi="宋体" w:cs="宋体"/>
          <w:sz w:val="24"/>
          <w:highlight w:val="none"/>
        </w:rPr>
        <w:t>需求的维修项目由</w:t>
      </w:r>
      <w:r>
        <w:rPr>
          <w:rFonts w:hint="eastAsia" w:ascii="宋体" w:hAnsi="宋体" w:cs="宋体"/>
          <w:sz w:val="24"/>
          <w:highlight w:val="none"/>
          <w:lang w:val="en-US" w:eastAsia="zh-CN"/>
        </w:rPr>
        <w:t>本次中标人</w:t>
      </w:r>
      <w:r>
        <w:rPr>
          <w:rFonts w:hint="eastAsia" w:ascii="宋体" w:hAnsi="宋体" w:cs="宋体"/>
          <w:sz w:val="24"/>
          <w:highlight w:val="none"/>
        </w:rPr>
        <w:t>承担。</w:t>
      </w:r>
    </w:p>
    <w:p w14:paraId="0217F77A">
      <w:pPr>
        <w:keepNext w:val="0"/>
        <w:keepLines w:val="0"/>
        <w:pageBreakBefore w:val="0"/>
        <w:wordWrap/>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5.资产管理</w:t>
      </w:r>
    </w:p>
    <w:p w14:paraId="7076F49C">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（1）严格执行采购人资产管理制度，建立更新资产台账，确保资产完好性，完好率达100%，且处于良好使用状态。定期做好资产清点记录，按采购人要求编制、上报资产管理报表。</w:t>
      </w:r>
    </w:p>
    <w:p w14:paraId="4430FAA0">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（2）做好资产清点、交接、登记工作，负责资产的日常保管维护、追查损坏责任等管理工作。</w:t>
      </w:r>
    </w:p>
    <w:p w14:paraId="70D35CC2">
      <w:pPr>
        <w:keepNext w:val="0"/>
        <w:keepLines w:val="0"/>
        <w:pageBreakBefore w:val="0"/>
        <w:wordWrap/>
        <w:topLinePunct w:val="0"/>
        <w:autoSpaceDE/>
        <w:autoSpaceDN/>
        <w:bidi w:val="0"/>
        <w:adjustRightInd/>
        <w:spacing w:line="520" w:lineRule="exact"/>
        <w:ind w:firstLine="456" w:firstLineChars="200"/>
        <w:rPr>
          <w:rFonts w:ascii="宋体" w:hAnsi="宋体" w:cs="宋体"/>
          <w:spacing w:val="-6"/>
          <w:kern w:val="0"/>
          <w:sz w:val="24"/>
          <w:szCs w:val="24"/>
          <w:highlight w:val="none"/>
        </w:rPr>
      </w:pPr>
      <w:r>
        <w:rPr>
          <w:rFonts w:hint="eastAsia" w:ascii="宋体" w:hAnsi="宋体" w:cs="宋体"/>
          <w:spacing w:val="-6"/>
          <w:kern w:val="0"/>
          <w:sz w:val="24"/>
          <w:szCs w:val="24"/>
          <w:highlight w:val="none"/>
        </w:rPr>
        <w:t>（3）负责毕业生离校退宿手续办理工作，并及时做好毕业生宿舍资产的核查和清赔工作。</w:t>
      </w:r>
    </w:p>
    <w:p w14:paraId="68BE2BF4">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（4）负责宿舍调整搬迁学生的资产清查和清赔工作。</w:t>
      </w:r>
    </w:p>
    <w:p w14:paraId="4C3D5390">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（5）受托期间，由于</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管理不善等原因造成采购人资产缺损的，</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须及时向采购人汇报，并赔偿损失，承担相关责任。</w:t>
      </w:r>
    </w:p>
    <w:p w14:paraId="47566602">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（6）</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不得将宿舍及其内所有设备、设施进行出租、转租或利用其进行其他营利活动，也不得转让给第三方管理。服务期满，须完好归还采购人所提供的全部设施、设备。</w:t>
      </w:r>
    </w:p>
    <w:p w14:paraId="6420EC9B">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（7）</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认真做好建筑和设备有关资料、物品的管理工作，包括接收的竣工图纸及资料、设备操作运行资料、设备钥匙、专用工具、设备遥控、房间钥匙等。全部完整地保存好各项工作资料，在合同周期结束时移交采购人。</w:t>
      </w:r>
    </w:p>
    <w:p w14:paraId="5A2454BE">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（8）合同期满后，由采购人对所使用的固定资产进行评估，如有损失，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要据实赔偿。</w:t>
      </w:r>
    </w:p>
    <w:p w14:paraId="0D9C73FA">
      <w:pPr>
        <w:keepNext w:val="0"/>
        <w:keepLines w:val="0"/>
        <w:pageBreakBefore w:val="0"/>
        <w:wordWrap/>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6.人员要求</w:t>
      </w:r>
    </w:p>
    <w:p w14:paraId="7C600481">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要按不少于招标文件定额配备人数的要求来配备工作人员，各岗位工作人员精神面貌良好，身体健康，无传染性疾病，符合国家规定的物业从业人员相关要求。平均年龄不超过5</w:t>
      </w:r>
      <w:r>
        <w:rPr>
          <w:rFonts w:ascii="宋体" w:hAnsi="宋体" w:cs="宋体"/>
          <w:kern w:val="0"/>
          <w:sz w:val="24"/>
          <w:szCs w:val="24"/>
          <w:highlight w:val="none"/>
        </w:rPr>
        <w:t>5</w:t>
      </w:r>
      <w:r>
        <w:rPr>
          <w:rFonts w:hint="eastAsia" w:ascii="宋体" w:hAnsi="宋体" w:cs="宋体"/>
          <w:kern w:val="0"/>
          <w:sz w:val="24"/>
          <w:szCs w:val="24"/>
          <w:highlight w:val="none"/>
        </w:rPr>
        <w:t>周岁，60岁-65岁员工人数不超过15%，50岁以下员工人数不少于3</w:t>
      </w:r>
      <w:r>
        <w:rPr>
          <w:rFonts w:ascii="宋体" w:hAnsi="宋体" w:cs="宋体"/>
          <w:kern w:val="0"/>
          <w:sz w:val="24"/>
          <w:szCs w:val="24"/>
          <w:highlight w:val="none"/>
        </w:rPr>
        <w:t>5</w:t>
      </w:r>
      <w:r>
        <w:rPr>
          <w:rFonts w:hint="eastAsia" w:ascii="宋体" w:hAnsi="宋体" w:cs="宋体"/>
          <w:kern w:val="0"/>
          <w:sz w:val="24"/>
          <w:szCs w:val="24"/>
          <w:highlight w:val="none"/>
        </w:rPr>
        <w:t>%。项目负责人和主管要具有专科及以上学历，有较强的事业心和责任感，熟悉业务，管理经验丰富，且需采购人同意方可上岗；项目负责人具有学生公寓物业管理3年以上管理经验，须常驻学校，不得兼任其它物业项目，主管</w:t>
      </w:r>
      <w:r>
        <w:rPr>
          <w:rFonts w:hint="eastAsia" w:ascii="宋体" w:hAnsi="宋体" w:cs="宋体"/>
          <w:sz w:val="24"/>
          <w:szCs w:val="24"/>
          <w:highlight w:val="none"/>
        </w:rPr>
        <w:t>具有</w:t>
      </w:r>
      <w:r>
        <w:rPr>
          <w:rFonts w:ascii="宋体" w:hAnsi="宋体" w:cs="宋体"/>
          <w:sz w:val="24"/>
          <w:szCs w:val="24"/>
          <w:highlight w:val="none"/>
        </w:rPr>
        <w:t>2</w:t>
      </w:r>
      <w:r>
        <w:rPr>
          <w:rFonts w:hint="eastAsia" w:ascii="宋体" w:hAnsi="宋体" w:cs="宋体"/>
          <w:sz w:val="24"/>
          <w:szCs w:val="24"/>
          <w:highlight w:val="none"/>
        </w:rPr>
        <w:t>年以上</w:t>
      </w:r>
      <w:r>
        <w:rPr>
          <w:rFonts w:hint="eastAsia" w:ascii="宋体" w:hAnsi="宋体" w:cs="宋体"/>
          <w:kern w:val="0"/>
          <w:sz w:val="24"/>
          <w:szCs w:val="24"/>
          <w:highlight w:val="none"/>
        </w:rPr>
        <w:t>学生公寓物业</w:t>
      </w:r>
      <w:r>
        <w:rPr>
          <w:rFonts w:hint="eastAsia" w:ascii="宋体" w:hAnsi="宋体" w:cs="宋体"/>
          <w:sz w:val="24"/>
          <w:szCs w:val="24"/>
          <w:highlight w:val="none"/>
        </w:rPr>
        <w:t>管理经验；</w:t>
      </w:r>
      <w:r>
        <w:rPr>
          <w:rFonts w:hint="eastAsia" w:ascii="宋体" w:hAnsi="宋体" w:cs="宋体"/>
          <w:kern w:val="0"/>
          <w:sz w:val="24"/>
          <w:szCs w:val="24"/>
          <w:highlight w:val="none"/>
        </w:rPr>
        <w:t>消防专员持有消防职业资格证书，了解学生公寓发生火灾的危险性，具备基本的火灾预防知识和消防安全检查知识及相关能力；公寓其他服务人员热爱公寓管理工作，有为学生服务的思想，具有一定的文化素质。本项目物业服务员工应保持稳定，</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要在每学期开学一周前，将用工名单报采购人备案，如有人员变动，要在2日内备案。</w:t>
      </w:r>
    </w:p>
    <w:p w14:paraId="1443C672">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要依法规范用工，签订劳动（劳务）合同，自主发放工资及福利待遇，缴纳社会保险等。</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要独立承担法律责任，以及所属人员的人身安全、财物安全、医疗事故等民事、劳动责任。</w:t>
      </w:r>
    </w:p>
    <w:p w14:paraId="07C0B7D7">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要加强从业人员的教育管理，不得使用品行不端、有违法犯罪前科的人员，自觉遵守采购人相关管理规定；严禁从业人员监守自盗，杜绝外盗现象发生，严禁与学生发生冲突。</w:t>
      </w:r>
    </w:p>
    <w:p w14:paraId="5DBDD1BC">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要定期对员工进行相应的岗位培训和考核，建立人员工作规范、质量管理目标、考核评估制度和奖惩办法。</w:t>
      </w:r>
    </w:p>
    <w:p w14:paraId="400BB477">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（5）</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员工要熟知岗位职责，知晓学生公寓管理规定，具备岗位要求的各种技能。</w:t>
      </w:r>
    </w:p>
    <w:p w14:paraId="01708788">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（6）</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员工工作时间要统一着装，佩戴工牌，服务用语规范，无串岗、脱岗、抽烟、酒后上岗等现象，不做与工作无关的事情，不准携带家属、子女等外来人员出入公寓或在值班室内留宿。</w:t>
      </w:r>
    </w:p>
    <w:p w14:paraId="316E98C8">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7）项目负责人和主管要保持24小时手机畅通，其中负责人离开工作岗位1天以上，要提前1天告知学工处分管负责人，同意后方可离开；突发重大事件必须及时报告学工处负责人，对采购人布置的工作任务完成情况要及时反馈。</w:t>
      </w:r>
    </w:p>
    <w:p w14:paraId="044A8B5B">
      <w:pPr>
        <w:keepNext w:val="0"/>
        <w:keepLines w:val="0"/>
        <w:pageBreakBefore w:val="0"/>
        <w:wordWrap/>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7.日常管理服务</w:t>
      </w:r>
    </w:p>
    <w:p w14:paraId="33DE5CCA">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要按照教育部、省教育厅等有关规定及采购人的要求，结合学生公寓的特点，制定学生宿舍管理制度和应急预案，维护采购人和物业使用人的权益。</w:t>
      </w:r>
    </w:p>
    <w:p w14:paraId="66BBB04A">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（2）</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要在公寓楼门厅悬挂公示本楼楼长、楼管员、保洁员等人员的照片、姓名、电话及服务监督电话。建立定期主动征求和收集学生意见的公开渠道，并及时处理反馈。</w:t>
      </w:r>
    </w:p>
    <w:p w14:paraId="2F28982F">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（3）</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要做好学生公寓的管理和服务工作，学生宿舍全年面向住宿学生开放，按采购人要求安排假期留校学生住宿。</w:t>
      </w:r>
    </w:p>
    <w:p w14:paraId="210EE26F">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（4）</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做好宿舍安全、内务卫生检查和评价工作，每周对宿舍内务卫生检查打分1次，对违规电器做好收缴、代存等工作。卫生成绩每周向学生公布一次，每月3日前将上月内务检查打分、晚归统计、辅导员进出公寓次数、违章电器统计等汇总成绩报告采购人。</w:t>
      </w:r>
    </w:p>
    <w:p w14:paraId="734349A3">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（5）</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配合采购人办理学生入住、调整与退宿等手续，公布各类信息，发现学生私自调换宿舍要及时上报采购人；</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不得私自占有公寓房源，不得擅自调配学生宿舍和宿舍床位。</w:t>
      </w:r>
    </w:p>
    <w:p w14:paraId="66442D47">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（6）新生报到日两周前，要完成新生宿舍的全面保洁、维修、更换新锁及钥匙配备（每生1把）等工作（更换新锁费用由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承担）。</w:t>
      </w:r>
    </w:p>
    <w:p w14:paraId="2A9BF466">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（7）</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负责每学年免费为各宿舍配备笤帚1把、扒斗1个、拖把1把，学期初开学到校前配发到每间宿舍，学期间因自然损坏者，免费以旧换新。</w:t>
      </w:r>
    </w:p>
    <w:p w14:paraId="2C17C583">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（8）</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为采购人、住宿学生提供各类服务。包括便民生活服务（配备打气筒、针线包、雨伞等便民服务工具，设立留言板、天气预报信息栏等）、问询、报刊订阅、引导、秩序维护以及搬运、辅助等劳务性工作，并做好物业范畴内临时性、突发性的服务，满足学生的需求。</w:t>
      </w:r>
    </w:p>
    <w:p w14:paraId="7D60ADD5">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（9）</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要统一安排在岗工作人员工作餐，严禁工作人员在公寓内做饭，严禁在公寓内使用大功率电器，严禁公寓内给电动车（电瓶）充电。</w:t>
      </w:r>
    </w:p>
    <w:p w14:paraId="40FCE1F4">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（10）</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要建立用水、用电管理制度，做好节水、节电、环保等方面的宣传教育工作；定期向学生宣传节能环保知识，在醒目位置张贴环保与节能标识。</w:t>
      </w:r>
    </w:p>
    <w:p w14:paraId="49B900AF">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（11）</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学生公寓安保人员的业务工作须接受采购人安全保卫处的指导。</w:t>
      </w:r>
    </w:p>
    <w:p w14:paraId="1AC76B4B">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（12）</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工作人员与学生沟通或交流存在问题时，应立即通知采购人有关人员到现场处理问题，不得以任何理由与学生发生语言及肢体冲突，否则一切责任由</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承担。</w:t>
      </w:r>
    </w:p>
    <w:p w14:paraId="6892F1B1">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13）配合采购人指导、支持学生公寓自律委员会的工作，共同开展各类文化活动，创建文化氛围深厚的育人环境，为住宿学生搭建成长、成才、成功的平台和阵地；定期召开师生座谈会，听取师生意见，提高服务质量。</w:t>
      </w:r>
    </w:p>
    <w:p w14:paraId="02AF6790">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（14）寒暑假及节假日期间要根据采购人要求完成各项工作。</w:t>
      </w:r>
    </w:p>
    <w:p w14:paraId="45C063B9">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（15）未经采购人同意，</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不得接受任何媒体及单位采访、来访及播发稿件。未经采购人审批，</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不得在学生公寓内进行各类营销、展示、宣传活动，不得加装、改装任何设施。</w:t>
      </w:r>
    </w:p>
    <w:p w14:paraId="0CBF06E9">
      <w:pPr>
        <w:keepNext w:val="0"/>
        <w:keepLines w:val="0"/>
        <w:pageBreakBefore w:val="0"/>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（16）法律政策和合同规定的其它物业管理服务工作。</w:t>
      </w:r>
    </w:p>
    <w:p w14:paraId="521620B0">
      <w:pPr>
        <w:keepNext w:val="0"/>
        <w:keepLines w:val="0"/>
        <w:pageBreakBefore w:val="0"/>
        <w:wordWrap/>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8.其他。</w:t>
      </w:r>
    </w:p>
    <w:p w14:paraId="761296FF">
      <w:pPr>
        <w:keepNext w:val="0"/>
        <w:keepLines w:val="0"/>
        <w:pageBreakBefore w:val="0"/>
        <w:wordWrap/>
        <w:topLinePunct w:val="0"/>
        <w:autoSpaceDE/>
        <w:autoSpaceDN/>
        <w:bidi w:val="0"/>
        <w:adjustRightInd/>
        <w:spacing w:line="520" w:lineRule="exact"/>
        <w:ind w:firstLine="420"/>
        <w:rPr>
          <w:rFonts w:ascii="宋体" w:hAnsi="宋体" w:cs="宋体"/>
          <w:kern w:val="0"/>
          <w:sz w:val="24"/>
          <w:szCs w:val="24"/>
          <w:highlight w:val="none"/>
        </w:rPr>
      </w:pPr>
      <w:r>
        <w:rPr>
          <w:rFonts w:hint="eastAsia" w:ascii="宋体" w:hAnsi="宋体" w:cs="宋体"/>
          <w:kern w:val="0"/>
          <w:sz w:val="24"/>
          <w:szCs w:val="24"/>
          <w:highlight w:val="none"/>
        </w:rPr>
        <w:t>（1）</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独立解决运作过程中的一切地方干扰，并承担一切因此产生的法律责任。</w:t>
      </w:r>
    </w:p>
    <w:p w14:paraId="35393194">
      <w:pPr>
        <w:keepNext w:val="0"/>
        <w:keepLines w:val="0"/>
        <w:pageBreakBefore w:val="0"/>
        <w:wordWrap/>
        <w:topLinePunct w:val="0"/>
        <w:autoSpaceDE/>
        <w:autoSpaceDN/>
        <w:bidi w:val="0"/>
        <w:adjustRightInd/>
        <w:spacing w:line="520" w:lineRule="exact"/>
        <w:ind w:firstLine="420"/>
        <w:rPr>
          <w:rFonts w:ascii="宋体" w:hAnsi="宋体" w:cs="宋体"/>
          <w:kern w:val="0"/>
          <w:sz w:val="24"/>
          <w:szCs w:val="24"/>
          <w:highlight w:val="none"/>
        </w:rPr>
      </w:pPr>
      <w:r>
        <w:rPr>
          <w:rFonts w:hint="eastAsia" w:ascii="宋体" w:hAnsi="宋体" w:cs="宋体"/>
          <w:kern w:val="0"/>
          <w:sz w:val="24"/>
          <w:szCs w:val="24"/>
          <w:highlight w:val="none"/>
        </w:rPr>
        <w:t>（2）采购人按照《临沂大学学生公寓物业服务考核办法》对</w:t>
      </w:r>
      <w:r>
        <w:rPr>
          <w:rFonts w:hint="eastAsia" w:ascii="宋体" w:hAnsi="宋体" w:cs="宋体"/>
          <w:kern w:val="0"/>
          <w:sz w:val="24"/>
          <w:szCs w:val="24"/>
          <w:highlight w:val="none"/>
          <w:lang w:eastAsia="zh-CN"/>
        </w:rPr>
        <w:t>中标人</w:t>
      </w:r>
      <w:r>
        <w:rPr>
          <w:rFonts w:hint="eastAsia" w:ascii="宋体" w:hAnsi="宋体" w:cs="宋体"/>
          <w:kern w:val="0"/>
          <w:sz w:val="24"/>
          <w:szCs w:val="24"/>
          <w:highlight w:val="none"/>
        </w:rPr>
        <w:t>物业管理服务质量进行考核。</w:t>
      </w:r>
    </w:p>
    <w:p w14:paraId="2BC7A1CF">
      <w:pPr>
        <w:keepNext w:val="0"/>
        <w:keepLines w:val="0"/>
        <w:pageBreakBefore w:val="0"/>
        <w:wordWrap/>
        <w:topLinePunct w:val="0"/>
        <w:autoSpaceDE/>
        <w:autoSpaceDN/>
        <w:bidi w:val="0"/>
        <w:adjustRightInd/>
        <w:spacing w:line="520" w:lineRule="exact"/>
        <w:ind w:firstLine="420"/>
        <w:rPr>
          <w:rFonts w:hint="eastAsia" w:ascii="宋体" w:hAnsi="宋体" w:eastAsia="宋体" w:cs="宋体"/>
          <w:kern w:val="0"/>
          <w:sz w:val="24"/>
          <w:szCs w:val="24"/>
          <w:highlight w:val="none"/>
          <w:lang w:eastAsia="zh-CN"/>
        </w:rPr>
      </w:pPr>
      <w:r>
        <w:rPr>
          <w:rFonts w:hint="eastAsia" w:ascii="宋体" w:hAnsi="宋体" w:cs="宋体"/>
          <w:kern w:val="0"/>
          <w:sz w:val="24"/>
          <w:szCs w:val="24"/>
          <w:highlight w:val="none"/>
        </w:rPr>
        <w:t>（3）D8</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D9</w:t>
      </w:r>
      <w:r>
        <w:rPr>
          <w:rFonts w:hint="eastAsia" w:ascii="宋体" w:hAnsi="宋体" w:cs="宋体"/>
          <w:kern w:val="0"/>
          <w:sz w:val="24"/>
          <w:szCs w:val="24"/>
          <w:highlight w:val="none"/>
        </w:rPr>
        <w:t>公寓楼内电路消防安全专项按《D8</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D9</w:t>
      </w:r>
      <w:r>
        <w:rPr>
          <w:rFonts w:hint="eastAsia" w:ascii="宋体" w:hAnsi="宋体" w:cs="宋体"/>
          <w:kern w:val="0"/>
          <w:sz w:val="24"/>
          <w:szCs w:val="24"/>
          <w:highlight w:val="none"/>
        </w:rPr>
        <w:t>公寓楼内电路消防安全专项服务条款》执行（见附件2）</w:t>
      </w:r>
      <w:r>
        <w:rPr>
          <w:rFonts w:hint="eastAsia" w:ascii="宋体" w:hAnsi="宋体" w:cs="宋体"/>
          <w:kern w:val="0"/>
          <w:sz w:val="24"/>
          <w:szCs w:val="24"/>
          <w:highlight w:val="none"/>
          <w:lang w:eastAsia="zh-CN"/>
        </w:rPr>
        <w:t>。</w:t>
      </w:r>
    </w:p>
    <w:p w14:paraId="6775097A">
      <w:pPr>
        <w:keepNext w:val="0"/>
        <w:keepLines w:val="0"/>
        <w:pageBreakBefore w:val="0"/>
        <w:widowControl/>
        <w:wordWrap/>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五、服务岗位和人员配置</w:t>
      </w:r>
    </w:p>
    <w:p w14:paraId="30918707">
      <w:pPr>
        <w:keepNext w:val="0"/>
        <w:keepLines w:val="0"/>
        <w:pageBreakBefore w:val="0"/>
        <w:widowControl/>
        <w:wordWrap/>
        <w:topLinePunct w:val="0"/>
        <w:autoSpaceDE/>
        <w:autoSpaceDN/>
        <w:bidi w:val="0"/>
        <w:adjustRightInd/>
        <w:spacing w:line="520" w:lineRule="exact"/>
        <w:ind w:firstLine="482" w:firstLineChars="200"/>
        <w:rPr>
          <w:rFonts w:ascii="宋体" w:hAnsi="宋体" w:cs="宋体"/>
          <w:kern w:val="0"/>
          <w:sz w:val="24"/>
          <w:szCs w:val="24"/>
          <w:highlight w:val="none"/>
        </w:rPr>
      </w:pPr>
      <w:r>
        <w:rPr>
          <w:rFonts w:hint="eastAsia" w:ascii="宋体" w:hAnsi="宋体" w:cs="宋体"/>
          <w:b/>
          <w:kern w:val="0"/>
          <w:sz w:val="24"/>
          <w:szCs w:val="24"/>
          <w:highlight w:val="none"/>
        </w:rPr>
        <w:t>★</w:t>
      </w:r>
      <w:r>
        <w:rPr>
          <w:rFonts w:hint="eastAsia" w:ascii="宋体" w:hAnsi="宋体" w:cs="宋体"/>
          <w:b/>
          <w:kern w:val="0"/>
          <w:sz w:val="24"/>
          <w:szCs w:val="24"/>
          <w:highlight w:val="none"/>
          <w:u w:val="single"/>
        </w:rPr>
        <w:t>满足服务需要，配置服务人员数量≥21人</w:t>
      </w:r>
      <w:r>
        <w:rPr>
          <w:rFonts w:hint="eastAsia" w:ascii="宋体" w:hAnsi="宋体" w:cs="宋体"/>
          <w:b/>
          <w:kern w:val="0"/>
          <w:sz w:val="24"/>
          <w:szCs w:val="24"/>
          <w:highlight w:val="none"/>
        </w:rPr>
        <w:t>。</w:t>
      </w:r>
      <w:r>
        <w:rPr>
          <w:rFonts w:hint="eastAsia" w:ascii="宋体" w:hAnsi="宋体" w:cs="宋体"/>
          <w:kern w:val="0"/>
          <w:sz w:val="24"/>
          <w:szCs w:val="24"/>
          <w:highlight w:val="none"/>
        </w:rPr>
        <w:t>寒暑假期间人员数量需要满足假期住宿学生服务、值班、维修维护等需要，具体方案要报采购人批准。</w:t>
      </w:r>
    </w:p>
    <w:tbl>
      <w:tblPr>
        <w:tblStyle w:val="33"/>
        <w:tblW w:w="90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45"/>
        <w:gridCol w:w="874"/>
        <w:gridCol w:w="6441"/>
      </w:tblGrid>
      <w:tr w14:paraId="6421C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atLeast"/>
          <w:jc w:val="center"/>
        </w:trPr>
        <w:tc>
          <w:tcPr>
            <w:tcW w:w="1745" w:type="dxa"/>
            <w:tcBorders>
              <w:top w:val="single" w:color="000000" w:sz="4" w:space="0"/>
              <w:left w:val="single" w:color="000000" w:sz="4" w:space="0"/>
              <w:bottom w:val="single" w:color="000000" w:sz="4" w:space="0"/>
              <w:right w:val="single" w:color="000000" w:sz="4" w:space="0"/>
            </w:tcBorders>
            <w:vAlign w:val="center"/>
          </w:tcPr>
          <w:p w14:paraId="612F94C6">
            <w:pPr>
              <w:keepNext w:val="0"/>
              <w:keepLines w:val="0"/>
              <w:pageBreakBefore w:val="0"/>
              <w:widowControl/>
              <w:wordWrap/>
              <w:topLinePunct w:val="0"/>
              <w:autoSpaceDE/>
              <w:autoSpaceDN/>
              <w:bidi w:val="0"/>
              <w:adjustRightInd/>
              <w:spacing w:line="520" w:lineRule="exact"/>
              <w:ind w:firstLine="200"/>
              <w:jc w:val="center"/>
              <w:rPr>
                <w:rFonts w:ascii="宋体" w:hAnsi="宋体" w:cs="宋体"/>
                <w:b/>
                <w:kern w:val="0"/>
                <w:sz w:val="24"/>
                <w:szCs w:val="24"/>
                <w:highlight w:val="none"/>
              </w:rPr>
            </w:pPr>
            <w:r>
              <w:rPr>
                <w:rFonts w:hint="eastAsia" w:ascii="宋体" w:hAnsi="宋体" w:cs="宋体"/>
                <w:b/>
                <w:kern w:val="0"/>
                <w:sz w:val="24"/>
                <w:szCs w:val="24"/>
                <w:highlight w:val="none"/>
              </w:rPr>
              <w:t>岗位</w:t>
            </w:r>
          </w:p>
        </w:tc>
        <w:tc>
          <w:tcPr>
            <w:tcW w:w="874" w:type="dxa"/>
            <w:tcBorders>
              <w:top w:val="single" w:color="000000" w:sz="4" w:space="0"/>
              <w:left w:val="single" w:color="000000" w:sz="4" w:space="0"/>
              <w:bottom w:val="single" w:color="000000" w:sz="4" w:space="0"/>
              <w:right w:val="single" w:color="000000" w:sz="4" w:space="0"/>
            </w:tcBorders>
            <w:vAlign w:val="center"/>
          </w:tcPr>
          <w:p w14:paraId="24A50C35">
            <w:pPr>
              <w:keepNext w:val="0"/>
              <w:keepLines w:val="0"/>
              <w:pageBreakBefore w:val="0"/>
              <w:widowControl/>
              <w:wordWrap/>
              <w:topLinePunct w:val="0"/>
              <w:autoSpaceDE/>
              <w:autoSpaceDN/>
              <w:bidi w:val="0"/>
              <w:adjustRightInd/>
              <w:spacing w:line="520" w:lineRule="exact"/>
              <w:ind w:firstLine="200"/>
              <w:jc w:val="center"/>
              <w:rPr>
                <w:rFonts w:ascii="宋体" w:hAnsi="宋体" w:cs="宋体"/>
                <w:b/>
                <w:kern w:val="0"/>
                <w:sz w:val="24"/>
                <w:szCs w:val="24"/>
                <w:highlight w:val="none"/>
              </w:rPr>
            </w:pPr>
            <w:r>
              <w:rPr>
                <w:rFonts w:hint="eastAsia" w:ascii="宋体" w:hAnsi="宋体" w:cs="宋体"/>
                <w:b/>
                <w:kern w:val="0"/>
                <w:sz w:val="24"/>
                <w:szCs w:val="24"/>
                <w:highlight w:val="none"/>
              </w:rPr>
              <w:t>人数</w:t>
            </w:r>
          </w:p>
        </w:tc>
        <w:tc>
          <w:tcPr>
            <w:tcW w:w="6441" w:type="dxa"/>
            <w:tcBorders>
              <w:top w:val="single" w:color="000000" w:sz="4" w:space="0"/>
              <w:left w:val="single" w:color="000000" w:sz="4" w:space="0"/>
              <w:bottom w:val="single" w:color="000000" w:sz="4" w:space="0"/>
              <w:right w:val="single" w:color="000000" w:sz="4" w:space="0"/>
            </w:tcBorders>
            <w:vAlign w:val="center"/>
          </w:tcPr>
          <w:p w14:paraId="3A235C3E">
            <w:pPr>
              <w:keepNext w:val="0"/>
              <w:keepLines w:val="0"/>
              <w:pageBreakBefore w:val="0"/>
              <w:widowControl/>
              <w:wordWrap/>
              <w:topLinePunct w:val="0"/>
              <w:autoSpaceDE/>
              <w:autoSpaceDN/>
              <w:bidi w:val="0"/>
              <w:adjustRightInd/>
              <w:spacing w:line="520" w:lineRule="exact"/>
              <w:ind w:firstLine="200"/>
              <w:jc w:val="center"/>
              <w:rPr>
                <w:rFonts w:ascii="宋体" w:hAnsi="宋体" w:cs="宋体"/>
                <w:b/>
                <w:kern w:val="0"/>
                <w:sz w:val="24"/>
                <w:szCs w:val="24"/>
                <w:highlight w:val="none"/>
              </w:rPr>
            </w:pPr>
            <w:r>
              <w:rPr>
                <w:rFonts w:hint="eastAsia" w:ascii="宋体" w:hAnsi="宋体" w:cs="宋体"/>
                <w:b/>
                <w:kern w:val="0"/>
                <w:sz w:val="24"/>
                <w:szCs w:val="24"/>
                <w:highlight w:val="none"/>
              </w:rPr>
              <w:t>基本要求</w:t>
            </w:r>
          </w:p>
        </w:tc>
      </w:tr>
      <w:tr w14:paraId="54A86D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atLeast"/>
          <w:jc w:val="center"/>
        </w:trPr>
        <w:tc>
          <w:tcPr>
            <w:tcW w:w="1745" w:type="dxa"/>
            <w:tcBorders>
              <w:top w:val="single" w:color="000000" w:sz="4" w:space="0"/>
              <w:left w:val="single" w:color="000000" w:sz="4" w:space="0"/>
              <w:bottom w:val="single" w:color="000000" w:sz="4" w:space="0"/>
              <w:right w:val="single" w:color="000000" w:sz="4" w:space="0"/>
            </w:tcBorders>
            <w:vAlign w:val="center"/>
          </w:tcPr>
          <w:p w14:paraId="00E71369">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项目经理</w:t>
            </w:r>
          </w:p>
        </w:tc>
        <w:tc>
          <w:tcPr>
            <w:tcW w:w="874" w:type="dxa"/>
            <w:tcBorders>
              <w:top w:val="single" w:color="000000" w:sz="4" w:space="0"/>
              <w:left w:val="single" w:color="000000" w:sz="4" w:space="0"/>
              <w:bottom w:val="single" w:color="000000" w:sz="4" w:space="0"/>
              <w:right w:val="single" w:color="000000" w:sz="4" w:space="0"/>
            </w:tcBorders>
            <w:vAlign w:val="center"/>
          </w:tcPr>
          <w:p w14:paraId="105D77D4">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1</w:t>
            </w:r>
          </w:p>
        </w:tc>
        <w:tc>
          <w:tcPr>
            <w:tcW w:w="6441" w:type="dxa"/>
            <w:tcBorders>
              <w:top w:val="single" w:color="000000" w:sz="4" w:space="0"/>
              <w:left w:val="single" w:color="000000" w:sz="4" w:space="0"/>
              <w:bottom w:val="single" w:color="000000" w:sz="4" w:space="0"/>
              <w:right w:val="single" w:color="000000" w:sz="4" w:space="0"/>
            </w:tcBorders>
            <w:vAlign w:val="center"/>
          </w:tcPr>
          <w:p w14:paraId="4523A9AA">
            <w:pPr>
              <w:keepNext w:val="0"/>
              <w:keepLines w:val="0"/>
              <w:pageBreakBefore w:val="0"/>
              <w:widowControl/>
              <w:wordWrap/>
              <w:topLinePunct w:val="0"/>
              <w:autoSpaceDE/>
              <w:autoSpaceDN/>
              <w:bidi w:val="0"/>
              <w:adjustRightInd/>
              <w:spacing w:line="520" w:lineRule="exact"/>
              <w:rPr>
                <w:rFonts w:ascii="宋体" w:hAnsi="宋体" w:cs="宋体"/>
                <w:kern w:val="0"/>
                <w:sz w:val="24"/>
                <w:szCs w:val="24"/>
                <w:highlight w:val="none"/>
              </w:rPr>
            </w:pPr>
            <w:r>
              <w:rPr>
                <w:rFonts w:hint="eastAsia" w:ascii="宋体" w:hAnsi="宋体" w:cs="宋体"/>
                <w:kern w:val="0"/>
                <w:sz w:val="24"/>
                <w:szCs w:val="24"/>
                <w:highlight w:val="none"/>
              </w:rPr>
              <w:t>具有专科及以上学历，有较强的事业心和责任感，熟悉业务，管理经验丰富，具有学生公寓物业管理3年以上管理经验。须常驻学校，不得兼任其它物业项目。</w:t>
            </w:r>
          </w:p>
        </w:tc>
      </w:tr>
      <w:tr w14:paraId="6E979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atLeast"/>
          <w:jc w:val="center"/>
        </w:trPr>
        <w:tc>
          <w:tcPr>
            <w:tcW w:w="1745" w:type="dxa"/>
            <w:tcBorders>
              <w:top w:val="single" w:color="000000" w:sz="4" w:space="0"/>
              <w:left w:val="single" w:color="000000" w:sz="4" w:space="0"/>
              <w:bottom w:val="single" w:color="000000" w:sz="4" w:space="0"/>
              <w:right w:val="single" w:color="000000" w:sz="4" w:space="0"/>
            </w:tcBorders>
            <w:vAlign w:val="center"/>
          </w:tcPr>
          <w:p w14:paraId="78EDB14D">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消防专员</w:t>
            </w:r>
          </w:p>
        </w:tc>
        <w:tc>
          <w:tcPr>
            <w:tcW w:w="874" w:type="dxa"/>
            <w:tcBorders>
              <w:top w:val="single" w:color="000000" w:sz="4" w:space="0"/>
              <w:left w:val="single" w:color="000000" w:sz="4" w:space="0"/>
              <w:bottom w:val="single" w:color="000000" w:sz="4" w:space="0"/>
              <w:right w:val="single" w:color="000000" w:sz="4" w:space="0"/>
            </w:tcBorders>
            <w:vAlign w:val="center"/>
          </w:tcPr>
          <w:p w14:paraId="278B012D">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w:t>
            </w:r>
            <w:r>
              <w:rPr>
                <w:rFonts w:ascii="宋体" w:hAnsi="宋体" w:cs="宋体"/>
                <w:kern w:val="0"/>
                <w:sz w:val="24"/>
                <w:szCs w:val="24"/>
                <w:highlight w:val="none"/>
              </w:rPr>
              <w:t>1</w:t>
            </w:r>
          </w:p>
        </w:tc>
        <w:tc>
          <w:tcPr>
            <w:tcW w:w="6441" w:type="dxa"/>
            <w:tcBorders>
              <w:top w:val="single" w:color="000000" w:sz="4" w:space="0"/>
              <w:left w:val="single" w:color="000000" w:sz="4" w:space="0"/>
              <w:bottom w:val="single" w:color="000000" w:sz="4" w:space="0"/>
              <w:right w:val="single" w:color="000000" w:sz="4" w:space="0"/>
            </w:tcBorders>
            <w:vAlign w:val="center"/>
          </w:tcPr>
          <w:p w14:paraId="6B004775">
            <w:pPr>
              <w:keepNext w:val="0"/>
              <w:keepLines w:val="0"/>
              <w:pageBreakBefore w:val="0"/>
              <w:widowControl/>
              <w:wordWrap/>
              <w:topLinePunct w:val="0"/>
              <w:autoSpaceDE/>
              <w:autoSpaceDN/>
              <w:bidi w:val="0"/>
              <w:adjustRightInd/>
              <w:spacing w:line="520" w:lineRule="exact"/>
              <w:rPr>
                <w:rFonts w:ascii="宋体" w:hAnsi="宋体" w:cs="宋体"/>
                <w:kern w:val="0"/>
                <w:sz w:val="24"/>
                <w:szCs w:val="24"/>
                <w:highlight w:val="none"/>
              </w:rPr>
            </w:pPr>
            <w:r>
              <w:rPr>
                <w:rFonts w:hint="eastAsia" w:ascii="宋体" w:hAnsi="宋体" w:cs="宋体"/>
                <w:kern w:val="0"/>
                <w:sz w:val="24"/>
                <w:szCs w:val="24"/>
                <w:highlight w:val="none"/>
              </w:rPr>
              <w:t>持有消防职业资格证书，了解学生公寓发生火灾的危险性，具备基本的火灾预防知识和消防安全检查知识及相关能力，有</w:t>
            </w:r>
            <w:r>
              <w:rPr>
                <w:rFonts w:ascii="宋体" w:hAnsi="宋体" w:cs="宋体"/>
                <w:kern w:val="0"/>
                <w:sz w:val="24"/>
                <w:szCs w:val="24"/>
                <w:highlight w:val="none"/>
              </w:rPr>
              <w:t>2</w:t>
            </w:r>
            <w:r>
              <w:rPr>
                <w:rFonts w:hint="eastAsia" w:ascii="宋体" w:hAnsi="宋体" w:cs="宋体"/>
                <w:kern w:val="0"/>
                <w:sz w:val="24"/>
                <w:szCs w:val="24"/>
                <w:highlight w:val="none"/>
              </w:rPr>
              <w:t>年以上学生公寓物业管理经验。</w:t>
            </w:r>
          </w:p>
        </w:tc>
      </w:tr>
      <w:tr w14:paraId="3A463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atLeast"/>
          <w:jc w:val="center"/>
        </w:trPr>
        <w:tc>
          <w:tcPr>
            <w:tcW w:w="1745" w:type="dxa"/>
            <w:tcBorders>
              <w:top w:val="single" w:color="000000" w:sz="4" w:space="0"/>
              <w:left w:val="single" w:color="000000" w:sz="4" w:space="0"/>
              <w:bottom w:val="single" w:color="000000" w:sz="4" w:space="0"/>
              <w:right w:val="single" w:color="000000" w:sz="4" w:space="0"/>
            </w:tcBorders>
            <w:vAlign w:val="center"/>
          </w:tcPr>
          <w:p w14:paraId="292DE318">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楼管员</w:t>
            </w:r>
          </w:p>
        </w:tc>
        <w:tc>
          <w:tcPr>
            <w:tcW w:w="874" w:type="dxa"/>
            <w:tcBorders>
              <w:top w:val="single" w:color="000000" w:sz="4" w:space="0"/>
              <w:left w:val="single" w:color="000000" w:sz="4" w:space="0"/>
              <w:bottom w:val="single" w:color="000000" w:sz="4" w:space="0"/>
              <w:right w:val="single" w:color="000000" w:sz="4" w:space="0"/>
            </w:tcBorders>
            <w:vAlign w:val="center"/>
          </w:tcPr>
          <w:p w14:paraId="5F2E4573">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≥10</w:t>
            </w:r>
          </w:p>
        </w:tc>
        <w:tc>
          <w:tcPr>
            <w:tcW w:w="6441" w:type="dxa"/>
            <w:tcBorders>
              <w:top w:val="single" w:color="000000" w:sz="4" w:space="0"/>
              <w:left w:val="single" w:color="000000" w:sz="4" w:space="0"/>
              <w:bottom w:val="single" w:color="000000" w:sz="4" w:space="0"/>
              <w:right w:val="single" w:color="000000" w:sz="4" w:space="0"/>
            </w:tcBorders>
            <w:vAlign w:val="center"/>
          </w:tcPr>
          <w:p w14:paraId="6CE4456C">
            <w:pPr>
              <w:keepNext w:val="0"/>
              <w:keepLines w:val="0"/>
              <w:pageBreakBefore w:val="0"/>
              <w:widowControl/>
              <w:wordWrap/>
              <w:topLinePunct w:val="0"/>
              <w:autoSpaceDE/>
              <w:autoSpaceDN/>
              <w:bidi w:val="0"/>
              <w:adjustRightInd/>
              <w:spacing w:line="520" w:lineRule="exact"/>
              <w:rPr>
                <w:rFonts w:ascii="宋体" w:hAnsi="宋体" w:cs="宋体"/>
                <w:kern w:val="0"/>
                <w:sz w:val="24"/>
                <w:szCs w:val="24"/>
                <w:highlight w:val="none"/>
              </w:rPr>
            </w:pPr>
            <w:r>
              <w:rPr>
                <w:rFonts w:hint="eastAsia" w:ascii="宋体" w:hAnsi="宋体" w:cs="宋体"/>
                <w:kern w:val="0"/>
                <w:sz w:val="24"/>
                <w:szCs w:val="24"/>
                <w:highlight w:val="none"/>
              </w:rPr>
              <w:t>熟悉业务，工作认真负责，责任心强，有较强的组织协调能力和沟通能力。学生公寓楼实行</w:t>
            </w:r>
            <w:r>
              <w:rPr>
                <w:rFonts w:ascii="宋体" w:hAnsi="宋体" w:cs="宋体"/>
                <w:kern w:val="0"/>
                <w:sz w:val="24"/>
                <w:szCs w:val="24"/>
                <w:highlight w:val="none"/>
              </w:rPr>
              <w:t>24</w:t>
            </w:r>
            <w:r>
              <w:rPr>
                <w:rFonts w:hint="eastAsia" w:ascii="宋体" w:hAnsi="宋体" w:cs="宋体"/>
                <w:kern w:val="0"/>
                <w:sz w:val="24"/>
                <w:szCs w:val="24"/>
                <w:highlight w:val="none"/>
              </w:rPr>
              <w:t>小时值班，学生集中出入高峰时段不少于2人在岗值班。</w:t>
            </w:r>
          </w:p>
        </w:tc>
      </w:tr>
      <w:tr w14:paraId="6881CE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atLeast"/>
          <w:jc w:val="center"/>
        </w:trPr>
        <w:tc>
          <w:tcPr>
            <w:tcW w:w="1745" w:type="dxa"/>
            <w:tcBorders>
              <w:top w:val="single" w:color="000000" w:sz="4" w:space="0"/>
              <w:left w:val="single" w:color="000000" w:sz="4" w:space="0"/>
              <w:bottom w:val="single" w:color="000000" w:sz="4" w:space="0"/>
              <w:right w:val="single" w:color="000000" w:sz="4" w:space="0"/>
            </w:tcBorders>
            <w:vAlign w:val="center"/>
          </w:tcPr>
          <w:p w14:paraId="12F3B537">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保洁员</w:t>
            </w:r>
          </w:p>
        </w:tc>
        <w:tc>
          <w:tcPr>
            <w:tcW w:w="874" w:type="dxa"/>
            <w:tcBorders>
              <w:top w:val="single" w:color="000000" w:sz="4" w:space="0"/>
              <w:left w:val="single" w:color="000000" w:sz="4" w:space="0"/>
              <w:bottom w:val="single" w:color="000000" w:sz="4" w:space="0"/>
              <w:right w:val="single" w:color="000000" w:sz="4" w:space="0"/>
            </w:tcBorders>
            <w:vAlign w:val="center"/>
          </w:tcPr>
          <w:p w14:paraId="2503E123">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≥7</w:t>
            </w:r>
          </w:p>
        </w:tc>
        <w:tc>
          <w:tcPr>
            <w:tcW w:w="6441" w:type="dxa"/>
            <w:tcBorders>
              <w:top w:val="single" w:color="000000" w:sz="4" w:space="0"/>
              <w:left w:val="single" w:color="000000" w:sz="4" w:space="0"/>
              <w:bottom w:val="single" w:color="000000" w:sz="4" w:space="0"/>
              <w:right w:val="single" w:color="000000" w:sz="4" w:space="0"/>
            </w:tcBorders>
            <w:vAlign w:val="center"/>
          </w:tcPr>
          <w:p w14:paraId="60FB67C1">
            <w:pPr>
              <w:keepNext w:val="0"/>
              <w:keepLines w:val="0"/>
              <w:pageBreakBefore w:val="0"/>
              <w:widowControl/>
              <w:wordWrap/>
              <w:topLinePunct w:val="0"/>
              <w:autoSpaceDE/>
              <w:autoSpaceDN/>
              <w:bidi w:val="0"/>
              <w:adjustRightInd/>
              <w:spacing w:line="520" w:lineRule="exact"/>
              <w:rPr>
                <w:rFonts w:ascii="宋体" w:hAnsi="宋体" w:cs="宋体"/>
                <w:kern w:val="0"/>
                <w:sz w:val="24"/>
                <w:szCs w:val="24"/>
                <w:highlight w:val="none"/>
              </w:rPr>
            </w:pPr>
            <w:r>
              <w:rPr>
                <w:rFonts w:hint="eastAsia" w:ascii="宋体" w:hAnsi="宋体" w:cs="宋体"/>
                <w:kern w:val="0"/>
                <w:sz w:val="24"/>
                <w:szCs w:val="24"/>
                <w:highlight w:val="none"/>
              </w:rPr>
              <w:t>工作认真负责，具有一定的工作经验。</w:t>
            </w:r>
          </w:p>
        </w:tc>
      </w:tr>
      <w:tr w14:paraId="2CC174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atLeast"/>
          <w:jc w:val="center"/>
        </w:trPr>
        <w:tc>
          <w:tcPr>
            <w:tcW w:w="1745" w:type="dxa"/>
            <w:tcBorders>
              <w:top w:val="single" w:color="000000" w:sz="4" w:space="0"/>
              <w:left w:val="single" w:color="000000" w:sz="4" w:space="0"/>
              <w:bottom w:val="single" w:color="000000" w:sz="4" w:space="0"/>
              <w:right w:val="single" w:color="000000" w:sz="4" w:space="0"/>
            </w:tcBorders>
            <w:vAlign w:val="center"/>
          </w:tcPr>
          <w:p w14:paraId="7F697A0C">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工程维修人员</w:t>
            </w:r>
          </w:p>
        </w:tc>
        <w:tc>
          <w:tcPr>
            <w:tcW w:w="874" w:type="dxa"/>
            <w:tcBorders>
              <w:top w:val="single" w:color="000000" w:sz="4" w:space="0"/>
              <w:left w:val="single" w:color="000000" w:sz="4" w:space="0"/>
              <w:bottom w:val="single" w:color="000000" w:sz="4" w:space="0"/>
              <w:right w:val="single" w:color="000000" w:sz="4" w:space="0"/>
            </w:tcBorders>
            <w:vAlign w:val="center"/>
          </w:tcPr>
          <w:p w14:paraId="7B73BF27">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≥2</w:t>
            </w:r>
          </w:p>
        </w:tc>
        <w:tc>
          <w:tcPr>
            <w:tcW w:w="6441" w:type="dxa"/>
            <w:tcBorders>
              <w:top w:val="single" w:color="000000" w:sz="4" w:space="0"/>
              <w:left w:val="single" w:color="000000" w:sz="4" w:space="0"/>
              <w:bottom w:val="single" w:color="000000" w:sz="4" w:space="0"/>
              <w:right w:val="single" w:color="000000" w:sz="4" w:space="0"/>
            </w:tcBorders>
            <w:vAlign w:val="center"/>
          </w:tcPr>
          <w:p w14:paraId="52BED5AA">
            <w:pPr>
              <w:keepNext w:val="0"/>
              <w:keepLines w:val="0"/>
              <w:pageBreakBefore w:val="0"/>
              <w:widowControl/>
              <w:wordWrap/>
              <w:topLinePunct w:val="0"/>
              <w:autoSpaceDE/>
              <w:autoSpaceDN/>
              <w:bidi w:val="0"/>
              <w:adjustRightInd/>
              <w:spacing w:line="520" w:lineRule="exact"/>
              <w:rPr>
                <w:rFonts w:ascii="宋体" w:hAnsi="宋体" w:cs="宋体"/>
                <w:kern w:val="0"/>
                <w:sz w:val="24"/>
                <w:szCs w:val="24"/>
                <w:highlight w:val="none"/>
              </w:rPr>
            </w:pPr>
            <w:r>
              <w:rPr>
                <w:rFonts w:hint="eastAsia" w:ascii="宋体" w:hAnsi="宋体" w:cs="宋体"/>
                <w:kern w:val="0"/>
                <w:sz w:val="24"/>
                <w:szCs w:val="24"/>
                <w:highlight w:val="none"/>
              </w:rPr>
              <w:t>具有相关工作经验，符合国家相关从业要求。</w:t>
            </w:r>
          </w:p>
        </w:tc>
      </w:tr>
      <w:tr w14:paraId="286E0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atLeast"/>
          <w:jc w:val="center"/>
        </w:trPr>
        <w:tc>
          <w:tcPr>
            <w:tcW w:w="1745" w:type="dxa"/>
            <w:tcBorders>
              <w:top w:val="single" w:color="000000" w:sz="4" w:space="0"/>
              <w:left w:val="single" w:color="000000" w:sz="4" w:space="0"/>
              <w:bottom w:val="single" w:color="000000" w:sz="4" w:space="0"/>
              <w:right w:val="single" w:color="000000" w:sz="4" w:space="0"/>
            </w:tcBorders>
            <w:vAlign w:val="center"/>
          </w:tcPr>
          <w:p w14:paraId="02BFCFF2">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合计</w:t>
            </w:r>
          </w:p>
        </w:tc>
        <w:tc>
          <w:tcPr>
            <w:tcW w:w="874" w:type="dxa"/>
            <w:tcBorders>
              <w:top w:val="single" w:color="000000" w:sz="4" w:space="0"/>
              <w:left w:val="single" w:color="000000" w:sz="4" w:space="0"/>
              <w:bottom w:val="single" w:color="000000" w:sz="4" w:space="0"/>
              <w:right w:val="single" w:color="000000" w:sz="4" w:space="0"/>
            </w:tcBorders>
            <w:vAlign w:val="center"/>
          </w:tcPr>
          <w:p w14:paraId="16AA6772">
            <w:pPr>
              <w:keepNext w:val="0"/>
              <w:keepLines w:val="0"/>
              <w:pageBreakBefore w:val="0"/>
              <w:widowControl/>
              <w:wordWrap/>
              <w:topLinePunct w:val="0"/>
              <w:autoSpaceDE/>
              <w:autoSpaceDN/>
              <w:bidi w:val="0"/>
              <w:adjustRightInd/>
              <w:spacing w:line="520" w:lineRule="exact"/>
              <w:ind w:firstLine="200"/>
              <w:jc w:val="center"/>
              <w:rPr>
                <w:rFonts w:ascii="宋体" w:hAnsi="宋体" w:cs="宋体"/>
                <w:kern w:val="0"/>
                <w:sz w:val="24"/>
                <w:szCs w:val="24"/>
                <w:highlight w:val="none"/>
              </w:rPr>
            </w:pPr>
            <w:r>
              <w:rPr>
                <w:rFonts w:hint="eastAsia" w:ascii="宋体" w:hAnsi="宋体" w:cs="宋体"/>
                <w:kern w:val="0"/>
                <w:sz w:val="24"/>
                <w:szCs w:val="24"/>
                <w:highlight w:val="none"/>
              </w:rPr>
              <w:t>≥21</w:t>
            </w:r>
          </w:p>
        </w:tc>
        <w:tc>
          <w:tcPr>
            <w:tcW w:w="6441" w:type="dxa"/>
            <w:tcBorders>
              <w:top w:val="single" w:color="000000" w:sz="4" w:space="0"/>
              <w:left w:val="single" w:color="000000" w:sz="4" w:space="0"/>
              <w:bottom w:val="single" w:color="000000" w:sz="4" w:space="0"/>
              <w:right w:val="single" w:color="000000" w:sz="4" w:space="0"/>
            </w:tcBorders>
            <w:vAlign w:val="center"/>
          </w:tcPr>
          <w:p w14:paraId="06F3A81E">
            <w:pPr>
              <w:keepNext w:val="0"/>
              <w:keepLines w:val="0"/>
              <w:pageBreakBefore w:val="0"/>
              <w:widowControl/>
              <w:wordWrap/>
              <w:topLinePunct w:val="0"/>
              <w:autoSpaceDE/>
              <w:autoSpaceDN/>
              <w:bidi w:val="0"/>
              <w:adjustRightInd/>
              <w:spacing w:line="520" w:lineRule="exact"/>
              <w:ind w:firstLine="200"/>
              <w:rPr>
                <w:rFonts w:ascii="宋体" w:hAnsi="宋体" w:cs="宋体"/>
                <w:kern w:val="0"/>
                <w:sz w:val="24"/>
                <w:szCs w:val="24"/>
                <w:highlight w:val="none"/>
              </w:rPr>
            </w:pPr>
          </w:p>
        </w:tc>
      </w:tr>
    </w:tbl>
    <w:p w14:paraId="0672B457">
      <w:pPr>
        <w:keepNext w:val="0"/>
        <w:keepLines w:val="0"/>
        <w:pageBreakBefore w:val="0"/>
        <w:widowControl/>
        <w:wordWrap/>
        <w:topLinePunct w:val="0"/>
        <w:autoSpaceDE/>
        <w:autoSpaceDN/>
        <w:bidi w:val="0"/>
        <w:adjustRightInd/>
        <w:spacing w:line="52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投标人在投标时要填报本项目经理履历表及业绩、专业人员持证上岗等，本项目实际执行人员应与所填报人员完全相符，不得随意调整，调整时须经采购人同意。采购人对个别岗位及服务人员的违规、违纪、违法行为有权提出调整岗位。</w:t>
      </w:r>
    </w:p>
    <w:p w14:paraId="5ABA614D">
      <w:pPr>
        <w:keepNext w:val="0"/>
        <w:keepLines w:val="0"/>
        <w:pageBreakBefore w:val="0"/>
        <w:widowControl/>
        <w:wordWrap/>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六、费用预算</w:t>
      </w:r>
    </w:p>
    <w:tbl>
      <w:tblPr>
        <w:tblStyle w:val="33"/>
        <w:tblW w:w="8992" w:type="dxa"/>
        <w:tblInd w:w="93" w:type="dxa"/>
        <w:tblLayout w:type="fixed"/>
        <w:tblCellMar>
          <w:top w:w="0" w:type="dxa"/>
          <w:left w:w="108" w:type="dxa"/>
          <w:bottom w:w="0" w:type="dxa"/>
          <w:right w:w="108" w:type="dxa"/>
        </w:tblCellMar>
      </w:tblPr>
      <w:tblGrid>
        <w:gridCol w:w="1021"/>
        <w:gridCol w:w="3171"/>
        <w:gridCol w:w="4800"/>
      </w:tblGrid>
      <w:tr w14:paraId="2DDF22CF">
        <w:tblPrEx>
          <w:tblCellMar>
            <w:top w:w="0" w:type="dxa"/>
            <w:left w:w="108" w:type="dxa"/>
            <w:bottom w:w="0" w:type="dxa"/>
            <w:right w:w="108" w:type="dxa"/>
          </w:tblCellMar>
        </w:tblPrEx>
        <w:trPr>
          <w:trHeight w:val="758"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456E2">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r>
              <w:rPr>
                <w:rFonts w:hint="eastAsia" w:asciiTheme="minorEastAsia" w:hAnsiTheme="minorEastAsia" w:eastAsiaTheme="minorEastAsia" w:cstheme="minorEastAsia"/>
                <w:kern w:val="0"/>
                <w:sz w:val="24"/>
                <w:szCs w:val="24"/>
                <w:highlight w:val="none"/>
                <w:lang w:bidi="ar"/>
              </w:rPr>
              <w:t>序号</w:t>
            </w:r>
          </w:p>
        </w:tc>
        <w:tc>
          <w:tcPr>
            <w:tcW w:w="3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8D4D7">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lang w:bidi="ar"/>
              </w:rPr>
              <w:t>项目名称</w:t>
            </w:r>
          </w:p>
        </w:tc>
        <w:tc>
          <w:tcPr>
            <w:tcW w:w="4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B5631">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金额（元）</w:t>
            </w:r>
          </w:p>
        </w:tc>
      </w:tr>
      <w:tr w14:paraId="4E98A833">
        <w:tblPrEx>
          <w:tblCellMar>
            <w:top w:w="0" w:type="dxa"/>
            <w:left w:w="108" w:type="dxa"/>
            <w:bottom w:w="0" w:type="dxa"/>
            <w:right w:w="108" w:type="dxa"/>
          </w:tblCellMar>
        </w:tblPrEx>
        <w:trPr>
          <w:trHeight w:val="633"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DCE10">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r>
              <w:rPr>
                <w:rFonts w:hint="eastAsia" w:asciiTheme="minorEastAsia" w:hAnsiTheme="minorEastAsia" w:eastAsiaTheme="minorEastAsia" w:cstheme="minorEastAsia"/>
                <w:kern w:val="0"/>
                <w:sz w:val="24"/>
                <w:szCs w:val="24"/>
                <w:highlight w:val="none"/>
                <w:lang w:bidi="ar"/>
              </w:rPr>
              <w:t>1</w:t>
            </w:r>
          </w:p>
        </w:tc>
        <w:tc>
          <w:tcPr>
            <w:tcW w:w="3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C5ED0">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lang w:bidi="ar"/>
              </w:rPr>
              <w:t>人工费</w:t>
            </w:r>
          </w:p>
        </w:tc>
        <w:tc>
          <w:tcPr>
            <w:tcW w:w="4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1E8F2">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p>
        </w:tc>
      </w:tr>
      <w:tr w14:paraId="04903BEA">
        <w:tblPrEx>
          <w:tblCellMar>
            <w:top w:w="0" w:type="dxa"/>
            <w:left w:w="108" w:type="dxa"/>
            <w:bottom w:w="0" w:type="dxa"/>
            <w:right w:w="108" w:type="dxa"/>
          </w:tblCellMar>
        </w:tblPrEx>
        <w:trPr>
          <w:trHeight w:val="711"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1B232">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r>
              <w:rPr>
                <w:rFonts w:hint="eastAsia" w:asciiTheme="minorEastAsia" w:hAnsiTheme="minorEastAsia" w:eastAsiaTheme="minorEastAsia" w:cstheme="minorEastAsia"/>
                <w:kern w:val="0"/>
                <w:sz w:val="24"/>
                <w:szCs w:val="24"/>
                <w:highlight w:val="none"/>
                <w:lang w:bidi="ar"/>
              </w:rPr>
              <w:t>2</w:t>
            </w:r>
          </w:p>
        </w:tc>
        <w:tc>
          <w:tcPr>
            <w:tcW w:w="3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5AFD4">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lang w:bidi="ar"/>
              </w:rPr>
              <w:t>维修配件及保洁物料费</w:t>
            </w:r>
          </w:p>
        </w:tc>
        <w:tc>
          <w:tcPr>
            <w:tcW w:w="4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D9BB5">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p>
        </w:tc>
      </w:tr>
      <w:tr w14:paraId="22DAF88D">
        <w:tblPrEx>
          <w:tblCellMar>
            <w:top w:w="0" w:type="dxa"/>
            <w:left w:w="108" w:type="dxa"/>
            <w:bottom w:w="0" w:type="dxa"/>
            <w:right w:w="108" w:type="dxa"/>
          </w:tblCellMar>
        </w:tblPrEx>
        <w:trPr>
          <w:trHeight w:val="633"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3E795">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r>
              <w:rPr>
                <w:rFonts w:hint="eastAsia" w:asciiTheme="minorEastAsia" w:hAnsiTheme="minorEastAsia" w:eastAsiaTheme="minorEastAsia" w:cstheme="minorEastAsia"/>
                <w:kern w:val="0"/>
                <w:sz w:val="24"/>
                <w:szCs w:val="24"/>
                <w:highlight w:val="none"/>
                <w:lang w:bidi="ar"/>
              </w:rPr>
              <w:t>3</w:t>
            </w:r>
          </w:p>
        </w:tc>
        <w:tc>
          <w:tcPr>
            <w:tcW w:w="3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8D60B">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lang w:bidi="ar"/>
              </w:rPr>
              <w:t>学生卫生工具</w:t>
            </w:r>
          </w:p>
        </w:tc>
        <w:tc>
          <w:tcPr>
            <w:tcW w:w="4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13387">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p>
        </w:tc>
      </w:tr>
      <w:tr w14:paraId="5E4F598A">
        <w:tblPrEx>
          <w:tblCellMar>
            <w:top w:w="0" w:type="dxa"/>
            <w:left w:w="108" w:type="dxa"/>
            <w:bottom w:w="0" w:type="dxa"/>
            <w:right w:w="108" w:type="dxa"/>
          </w:tblCellMar>
        </w:tblPrEx>
        <w:trPr>
          <w:trHeight w:val="633"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4A62E">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r>
              <w:rPr>
                <w:rFonts w:hint="eastAsia" w:asciiTheme="minorEastAsia" w:hAnsiTheme="minorEastAsia" w:eastAsiaTheme="minorEastAsia" w:cstheme="minorEastAsia"/>
                <w:kern w:val="0"/>
                <w:sz w:val="24"/>
                <w:szCs w:val="24"/>
                <w:highlight w:val="none"/>
                <w:lang w:bidi="ar"/>
              </w:rPr>
              <w:t>4</w:t>
            </w:r>
          </w:p>
        </w:tc>
        <w:tc>
          <w:tcPr>
            <w:tcW w:w="3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91F5F">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lang w:bidi="ar"/>
              </w:rPr>
              <w:t>电梯检修费</w:t>
            </w:r>
          </w:p>
        </w:tc>
        <w:tc>
          <w:tcPr>
            <w:tcW w:w="4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EA8FE">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p>
        </w:tc>
      </w:tr>
      <w:tr w14:paraId="791A94FA">
        <w:tblPrEx>
          <w:tblCellMar>
            <w:top w:w="0" w:type="dxa"/>
            <w:left w:w="108" w:type="dxa"/>
            <w:bottom w:w="0" w:type="dxa"/>
            <w:right w:w="108" w:type="dxa"/>
          </w:tblCellMar>
        </w:tblPrEx>
        <w:trPr>
          <w:trHeight w:val="633"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2BDBD">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r>
              <w:rPr>
                <w:rFonts w:hint="eastAsia" w:asciiTheme="minorEastAsia" w:hAnsiTheme="minorEastAsia" w:eastAsiaTheme="minorEastAsia" w:cstheme="minorEastAsia"/>
                <w:kern w:val="0"/>
                <w:sz w:val="24"/>
                <w:szCs w:val="24"/>
                <w:highlight w:val="none"/>
                <w:lang w:bidi="ar"/>
              </w:rPr>
              <w:t>5</w:t>
            </w:r>
          </w:p>
        </w:tc>
        <w:tc>
          <w:tcPr>
            <w:tcW w:w="3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9B543">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lang w:bidi="ar"/>
              </w:rPr>
              <w:t>管理费</w:t>
            </w:r>
          </w:p>
        </w:tc>
        <w:tc>
          <w:tcPr>
            <w:tcW w:w="4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1CA45">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p>
        </w:tc>
      </w:tr>
      <w:tr w14:paraId="511C70ED">
        <w:tblPrEx>
          <w:tblCellMar>
            <w:top w:w="0" w:type="dxa"/>
            <w:left w:w="108" w:type="dxa"/>
            <w:bottom w:w="0" w:type="dxa"/>
            <w:right w:w="108" w:type="dxa"/>
          </w:tblCellMar>
        </w:tblPrEx>
        <w:trPr>
          <w:trHeight w:val="633" w:hRule="atLeast"/>
        </w:trPr>
        <w:tc>
          <w:tcPr>
            <w:tcW w:w="10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FEE7B">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r>
              <w:rPr>
                <w:rFonts w:hint="eastAsia" w:asciiTheme="minorEastAsia" w:hAnsiTheme="minorEastAsia" w:eastAsiaTheme="minorEastAsia" w:cstheme="minorEastAsia"/>
                <w:kern w:val="0"/>
                <w:sz w:val="24"/>
                <w:szCs w:val="24"/>
                <w:highlight w:val="none"/>
                <w:lang w:bidi="ar"/>
              </w:rPr>
              <w:t>6</w:t>
            </w:r>
          </w:p>
        </w:tc>
        <w:tc>
          <w:tcPr>
            <w:tcW w:w="31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DD706">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lang w:bidi="ar"/>
              </w:rPr>
              <w:t>税金</w:t>
            </w:r>
          </w:p>
        </w:tc>
        <w:tc>
          <w:tcPr>
            <w:tcW w:w="4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A9FE7">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0"/>
                <w:sz w:val="24"/>
                <w:szCs w:val="24"/>
                <w:highlight w:val="none"/>
                <w:lang w:bidi="ar"/>
              </w:rPr>
            </w:pPr>
          </w:p>
        </w:tc>
      </w:tr>
    </w:tbl>
    <w:p w14:paraId="18A6B59E">
      <w:pPr>
        <w:keepNext w:val="0"/>
        <w:keepLines w:val="0"/>
        <w:pageBreakBefore w:val="0"/>
        <w:widowControl/>
        <w:wordWrap/>
        <w:topLinePunct w:val="0"/>
        <w:autoSpaceDE/>
        <w:autoSpaceDN/>
        <w:bidi w:val="0"/>
        <w:adjustRightInd/>
        <w:spacing w:line="520" w:lineRule="exact"/>
        <w:ind w:firstLine="482" w:firstLineChars="200"/>
        <w:rPr>
          <w:rFonts w:ascii="宋体" w:hAnsi="宋体" w:cs="宋体"/>
          <w:b/>
          <w:kern w:val="0"/>
          <w:sz w:val="24"/>
          <w:szCs w:val="24"/>
          <w:highlight w:val="none"/>
        </w:rPr>
      </w:pPr>
      <w:r>
        <w:rPr>
          <w:rFonts w:hint="eastAsia" w:ascii="宋体" w:hAnsi="宋体" w:cs="宋体"/>
          <w:b/>
          <w:kern w:val="0"/>
          <w:sz w:val="24"/>
          <w:szCs w:val="24"/>
          <w:highlight w:val="none"/>
        </w:rPr>
        <w:t>七、服务方案</w:t>
      </w:r>
    </w:p>
    <w:p w14:paraId="3E1BA217">
      <w:pPr>
        <w:keepNext w:val="0"/>
        <w:keepLines w:val="0"/>
        <w:pageBreakBefore w:val="0"/>
        <w:widowControl/>
        <w:wordWrap/>
        <w:topLinePunct w:val="0"/>
        <w:autoSpaceDE/>
        <w:autoSpaceDN/>
        <w:bidi w:val="0"/>
        <w:adjustRightInd/>
        <w:spacing w:line="520" w:lineRule="exact"/>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针对本项目制定完善的服务方案，应体现投标人的经验和能力，工作计划、措施等阐述详细具体、针对性强并且切实可行。方案包括但不限于以下内容：</w:t>
      </w:r>
    </w:p>
    <w:p w14:paraId="68EE4530">
      <w:pPr>
        <w:keepNext w:val="0"/>
        <w:keepLines w:val="0"/>
        <w:pageBreakBefore w:val="0"/>
        <w:widowControl/>
        <w:wordWrap/>
        <w:topLinePunct w:val="0"/>
        <w:autoSpaceDE/>
        <w:autoSpaceDN/>
        <w:bidi w:val="0"/>
        <w:adjustRightInd/>
        <w:spacing w:line="520" w:lineRule="exact"/>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1.管理服务理念和目标。</w:t>
      </w:r>
    </w:p>
    <w:p w14:paraId="589A3231">
      <w:pPr>
        <w:keepNext w:val="0"/>
        <w:keepLines w:val="0"/>
        <w:pageBreakBefore w:val="0"/>
        <w:widowControl/>
        <w:wordWrap/>
        <w:topLinePunct w:val="0"/>
        <w:autoSpaceDE/>
        <w:autoSpaceDN/>
        <w:bidi w:val="0"/>
        <w:adjustRightInd/>
        <w:spacing w:line="520" w:lineRule="exact"/>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2.管理制度和工作计划。阐述内部管理的职责分工、岗位职责、日常管理制度。</w:t>
      </w:r>
    </w:p>
    <w:p w14:paraId="252D81C4">
      <w:pPr>
        <w:keepNext w:val="0"/>
        <w:keepLines w:val="0"/>
        <w:pageBreakBefore w:val="0"/>
        <w:widowControl/>
        <w:wordWrap/>
        <w:topLinePunct w:val="0"/>
        <w:autoSpaceDE/>
        <w:autoSpaceDN/>
        <w:bidi w:val="0"/>
        <w:adjustRightInd/>
        <w:spacing w:line="520" w:lineRule="exact"/>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3.提供岗位设置、人员配备、考核奖惩方案。</w:t>
      </w:r>
    </w:p>
    <w:p w14:paraId="3CCCF9D4">
      <w:pPr>
        <w:keepNext w:val="0"/>
        <w:keepLines w:val="0"/>
        <w:pageBreakBefore w:val="0"/>
        <w:widowControl/>
        <w:wordWrap/>
        <w:topLinePunct w:val="0"/>
        <w:autoSpaceDE/>
        <w:autoSpaceDN/>
        <w:bidi w:val="0"/>
        <w:adjustRightInd/>
        <w:spacing w:line="520" w:lineRule="exact"/>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4.提供详细可行的服务方案，包括但不限于公寓管理服务方案、保洁服务方案、维修服务方案、公寓重大活动服务方案、公寓应急突发事件处置预案、培训方案、物业档案管理方案、接管验收保证措施。</w:t>
      </w:r>
    </w:p>
    <w:p w14:paraId="461105E8">
      <w:pPr>
        <w:keepNext w:val="0"/>
        <w:keepLines w:val="0"/>
        <w:pageBreakBefore w:val="0"/>
        <w:widowControl/>
        <w:wordWrap/>
        <w:topLinePunct w:val="0"/>
        <w:autoSpaceDE/>
        <w:autoSpaceDN/>
        <w:bidi w:val="0"/>
        <w:adjustRightInd/>
        <w:spacing w:line="520" w:lineRule="exact"/>
        <w:ind w:firstLine="480" w:firstLineChars="200"/>
        <w:jc w:val="left"/>
        <w:rPr>
          <w:rFonts w:ascii="宋体" w:hAnsi="宋体" w:cs="宋体"/>
          <w:b/>
          <w:kern w:val="0"/>
          <w:sz w:val="24"/>
          <w:szCs w:val="24"/>
          <w:highlight w:val="none"/>
        </w:rPr>
      </w:pPr>
      <w:r>
        <w:rPr>
          <w:rFonts w:hint="eastAsia" w:ascii="宋体" w:hAnsi="宋体" w:cs="宋体"/>
          <w:kern w:val="0"/>
          <w:sz w:val="24"/>
          <w:szCs w:val="24"/>
          <w:highlight w:val="none"/>
        </w:rPr>
        <w:t>5.服务承诺及优惠措施（投标人自报）。</w:t>
      </w:r>
      <w:r>
        <w:rPr>
          <w:rFonts w:ascii="宋体" w:hAnsi="宋体" w:cs="宋体"/>
          <w:b/>
          <w:kern w:val="0"/>
          <w:sz w:val="24"/>
          <w:szCs w:val="24"/>
          <w:highlight w:val="none"/>
        </w:rPr>
        <w:br w:type="page"/>
      </w:r>
      <w:r>
        <w:rPr>
          <w:rFonts w:hint="eastAsia" w:ascii="宋体" w:hAnsi="宋体" w:cs="宋体"/>
          <w:b/>
          <w:kern w:val="0"/>
          <w:sz w:val="24"/>
          <w:szCs w:val="24"/>
          <w:highlight w:val="none"/>
        </w:rPr>
        <w:t>附件1</w:t>
      </w:r>
    </w:p>
    <w:p w14:paraId="68B32397">
      <w:pPr>
        <w:keepNext w:val="0"/>
        <w:keepLines w:val="0"/>
        <w:pageBreakBefore w:val="0"/>
        <w:widowControl/>
        <w:wordWrap/>
        <w:topLinePunct w:val="0"/>
        <w:autoSpaceDE/>
        <w:autoSpaceDN/>
        <w:bidi w:val="0"/>
        <w:adjustRightInd/>
        <w:spacing w:line="520" w:lineRule="exact"/>
        <w:ind w:firstLine="562" w:firstLineChars="200"/>
        <w:jc w:val="center"/>
        <w:rPr>
          <w:rFonts w:ascii="宋体" w:hAnsi="宋体" w:cs="宋体"/>
          <w:b/>
          <w:bCs/>
          <w:kern w:val="0"/>
          <w:sz w:val="28"/>
          <w:szCs w:val="28"/>
          <w:highlight w:val="none"/>
        </w:rPr>
      </w:pPr>
      <w:r>
        <w:rPr>
          <w:rFonts w:hint="eastAsia" w:ascii="宋体" w:hAnsi="宋体" w:cs="宋体"/>
          <w:b/>
          <w:bCs/>
          <w:sz w:val="28"/>
          <w:szCs w:val="28"/>
          <w:highlight w:val="none"/>
        </w:rPr>
        <w:t>临沂大学学生公寓物业服务考核办法</w:t>
      </w:r>
    </w:p>
    <w:p w14:paraId="4FAA7893">
      <w:pPr>
        <w:keepNext w:val="0"/>
        <w:keepLines w:val="0"/>
        <w:pageBreakBefore w:val="0"/>
        <w:wordWrap/>
        <w:topLinePunct w:val="0"/>
        <w:autoSpaceDE/>
        <w:autoSpaceDN/>
        <w:bidi w:val="0"/>
        <w:adjustRightInd/>
        <w:spacing w:line="520" w:lineRule="exact"/>
        <w:rPr>
          <w:rFonts w:ascii="华文中宋" w:hAnsi="华文中宋" w:eastAsia="华文中宋"/>
          <w:b/>
          <w:bCs/>
          <w:kern w:val="44"/>
          <w:sz w:val="36"/>
          <w:szCs w:val="44"/>
          <w:highlight w:val="none"/>
        </w:rPr>
      </w:pPr>
    </w:p>
    <w:p w14:paraId="3A9AD943">
      <w:pPr>
        <w:keepNext w:val="0"/>
        <w:keepLines w:val="0"/>
        <w:pageBreakBefore w:val="0"/>
        <w:wordWrap/>
        <w:topLinePunct w:val="0"/>
        <w:autoSpaceDE/>
        <w:autoSpaceDN/>
        <w:bidi w:val="0"/>
        <w:adjustRightInd/>
        <w:snapToGrid w:val="0"/>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为确保学生公寓物业服务的有效监督，提升学生公寓物业的服务质量和管理水平，切实保障学生权益，严格执行公寓物业管理服务合同，特制定本办法。</w:t>
      </w:r>
    </w:p>
    <w:p w14:paraId="4CB28D70">
      <w:pPr>
        <w:keepNext w:val="0"/>
        <w:keepLines w:val="0"/>
        <w:pageBreakBefore w:val="0"/>
        <w:wordWrap/>
        <w:topLinePunct w:val="0"/>
        <w:autoSpaceDE/>
        <w:autoSpaceDN/>
        <w:bidi w:val="0"/>
        <w:adjustRightInd/>
        <w:snapToGrid w:val="0"/>
        <w:spacing w:line="520" w:lineRule="exact"/>
        <w:ind w:firstLine="482" w:firstLineChars="200"/>
        <w:jc w:val="left"/>
        <w:rPr>
          <w:rFonts w:ascii="宋体" w:hAnsi="宋体"/>
          <w:b/>
          <w:sz w:val="24"/>
          <w:szCs w:val="24"/>
          <w:highlight w:val="none"/>
        </w:rPr>
      </w:pPr>
      <w:r>
        <w:rPr>
          <w:rFonts w:hint="eastAsia" w:ascii="宋体" w:hAnsi="宋体"/>
          <w:b/>
          <w:sz w:val="24"/>
          <w:szCs w:val="24"/>
          <w:highlight w:val="none"/>
        </w:rPr>
        <w:t>（一）办法适用范围</w:t>
      </w:r>
    </w:p>
    <w:p w14:paraId="61A653E7">
      <w:pPr>
        <w:keepNext w:val="0"/>
        <w:keepLines w:val="0"/>
        <w:pageBreakBefore w:val="0"/>
        <w:wordWrap/>
        <w:topLinePunct w:val="0"/>
        <w:autoSpaceDE/>
        <w:autoSpaceDN/>
        <w:bidi w:val="0"/>
        <w:adjustRightInd/>
        <w:snapToGrid w:val="0"/>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本考核办法适用于由临沂大学学生工作处代表学校监管的普通本、专科和研究生学生公寓。</w:t>
      </w:r>
    </w:p>
    <w:p w14:paraId="6625D36E">
      <w:pPr>
        <w:keepNext w:val="0"/>
        <w:keepLines w:val="0"/>
        <w:pageBreakBefore w:val="0"/>
        <w:wordWrap/>
        <w:topLinePunct w:val="0"/>
        <w:autoSpaceDE/>
        <w:autoSpaceDN/>
        <w:bidi w:val="0"/>
        <w:adjustRightInd/>
        <w:snapToGrid w:val="0"/>
        <w:spacing w:line="520" w:lineRule="exact"/>
        <w:ind w:firstLine="482" w:firstLineChars="200"/>
        <w:jc w:val="left"/>
        <w:rPr>
          <w:rFonts w:ascii="宋体" w:hAnsi="宋体"/>
          <w:b/>
          <w:sz w:val="24"/>
          <w:szCs w:val="24"/>
          <w:highlight w:val="none"/>
        </w:rPr>
      </w:pPr>
      <w:r>
        <w:rPr>
          <w:rFonts w:hint="eastAsia" w:ascii="宋体" w:hAnsi="宋体"/>
          <w:b/>
          <w:sz w:val="24"/>
          <w:szCs w:val="24"/>
          <w:highlight w:val="none"/>
        </w:rPr>
        <w:t>（二）考核原则与依据</w:t>
      </w:r>
    </w:p>
    <w:p w14:paraId="1AE7B73E">
      <w:pPr>
        <w:keepNext w:val="0"/>
        <w:keepLines w:val="0"/>
        <w:pageBreakBefore w:val="0"/>
        <w:wordWrap/>
        <w:topLinePunct w:val="0"/>
        <w:autoSpaceDE/>
        <w:autoSpaceDN/>
        <w:bidi w:val="0"/>
        <w:adjustRightInd/>
        <w:snapToGrid w:val="0"/>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学生公寓物业服务考核原则是：坚持以学生为中心，以满足学生服务需求为基本出发点，以学生满意度为基本评价标准。考核依据是学生公寓物业管理服务合同。</w:t>
      </w:r>
    </w:p>
    <w:p w14:paraId="72DB84A6">
      <w:pPr>
        <w:keepNext w:val="0"/>
        <w:keepLines w:val="0"/>
        <w:pageBreakBefore w:val="0"/>
        <w:wordWrap/>
        <w:topLinePunct w:val="0"/>
        <w:autoSpaceDE/>
        <w:autoSpaceDN/>
        <w:bidi w:val="0"/>
        <w:adjustRightInd/>
        <w:snapToGrid w:val="0"/>
        <w:spacing w:line="520" w:lineRule="exact"/>
        <w:ind w:firstLine="482" w:firstLineChars="200"/>
        <w:jc w:val="left"/>
        <w:rPr>
          <w:rFonts w:ascii="宋体" w:hAnsi="宋体"/>
          <w:b/>
          <w:sz w:val="24"/>
          <w:szCs w:val="24"/>
          <w:highlight w:val="none"/>
        </w:rPr>
      </w:pPr>
      <w:r>
        <w:rPr>
          <w:rFonts w:hint="eastAsia" w:ascii="宋体" w:hAnsi="宋体"/>
          <w:b/>
          <w:sz w:val="24"/>
          <w:szCs w:val="24"/>
          <w:highlight w:val="none"/>
        </w:rPr>
        <w:t>（三）考核办法与结果使用</w:t>
      </w:r>
    </w:p>
    <w:p w14:paraId="4FDC4188">
      <w:pPr>
        <w:keepNext w:val="0"/>
        <w:keepLines w:val="0"/>
        <w:pageBreakBefore w:val="0"/>
        <w:wordWrap/>
        <w:topLinePunct w:val="0"/>
        <w:autoSpaceDE/>
        <w:autoSpaceDN/>
        <w:bidi w:val="0"/>
        <w:adjustRightInd/>
        <w:snapToGrid w:val="0"/>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学生公寓物业服务考核分为常规考核和绩效考核，其中，常规考核满分100分，由学院评价、学生代表评价、常规检查及专项检查、网上报修专项评价等四部分组成。绩效考核由学工处按照物业管理服务合同约定，对不合格物业服务项目填写工作通知单和物业服务工作督办单，并进行考核。</w:t>
      </w:r>
    </w:p>
    <w:p w14:paraId="062052F6">
      <w:pPr>
        <w:keepNext w:val="0"/>
        <w:keepLines w:val="0"/>
        <w:pageBreakBefore w:val="0"/>
        <w:wordWrap/>
        <w:topLinePunct w:val="0"/>
        <w:autoSpaceDE/>
        <w:autoSpaceDN/>
        <w:bidi w:val="0"/>
        <w:adjustRightInd/>
        <w:snapToGrid w:val="0"/>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公寓物业服务费分为常规服务费（占80%）和绩效服务费（占20%）。常规服务费与常规考核成绩挂钩，当常规考核成绩高于80分（含80分）时，全额拨付常规服务费；当常规考核成绩低于80分时，每低一个百分点，按比例扣除常规服务费。绩效服务费与绩效考核成绩挂钩，按照日常检查及工作通知单、工作督办单，扣除约定金额的绩效服务费。</w:t>
      </w:r>
    </w:p>
    <w:p w14:paraId="7E6C32EF">
      <w:pPr>
        <w:keepNext w:val="0"/>
        <w:keepLines w:val="0"/>
        <w:pageBreakBefore w:val="0"/>
        <w:wordWrap/>
        <w:topLinePunct w:val="0"/>
        <w:autoSpaceDE/>
        <w:autoSpaceDN/>
        <w:bidi w:val="0"/>
        <w:adjustRightInd/>
        <w:snapToGrid w:val="0"/>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按照每月常规考核和绩效考核结果，计算学校应支付物业服务费，并按照合同约定定期拨付物业服务费，因物业服务不合格扣除的物业服务费不再拨付。</w:t>
      </w:r>
    </w:p>
    <w:p w14:paraId="42C87B0E">
      <w:pPr>
        <w:keepNext w:val="0"/>
        <w:keepLines w:val="0"/>
        <w:pageBreakBefore w:val="0"/>
        <w:wordWrap/>
        <w:topLinePunct w:val="0"/>
        <w:autoSpaceDE/>
        <w:autoSpaceDN/>
        <w:bidi w:val="0"/>
        <w:adjustRightInd/>
        <w:snapToGrid w:val="0"/>
        <w:spacing w:line="520" w:lineRule="exact"/>
        <w:ind w:firstLine="482" w:firstLineChars="200"/>
        <w:jc w:val="left"/>
        <w:rPr>
          <w:rFonts w:ascii="宋体" w:hAnsi="宋体"/>
          <w:b/>
          <w:sz w:val="24"/>
          <w:szCs w:val="24"/>
          <w:highlight w:val="none"/>
        </w:rPr>
      </w:pPr>
      <w:r>
        <w:rPr>
          <w:rFonts w:hint="eastAsia" w:ascii="宋体" w:hAnsi="宋体"/>
          <w:b/>
          <w:sz w:val="24"/>
          <w:szCs w:val="24"/>
          <w:highlight w:val="none"/>
        </w:rPr>
        <w:t>（四）公寓物业服务常规考核</w:t>
      </w:r>
    </w:p>
    <w:p w14:paraId="1709AC4B">
      <w:pPr>
        <w:keepNext w:val="0"/>
        <w:keepLines w:val="0"/>
        <w:pageBreakBefore w:val="0"/>
        <w:wordWrap/>
        <w:topLinePunct w:val="0"/>
        <w:autoSpaceDE/>
        <w:autoSpaceDN/>
        <w:bidi w:val="0"/>
        <w:adjustRightInd/>
        <w:snapToGrid w:val="0"/>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1.学院评价（占25%）。按照学院每月的综合评价得分，统计得出平均分作为评价分，满分为100分。学院每指出一项不合格项目，扣评价总分5分。</w:t>
      </w:r>
    </w:p>
    <w:p w14:paraId="3A32BDFC">
      <w:pPr>
        <w:keepNext w:val="0"/>
        <w:keepLines w:val="0"/>
        <w:pageBreakBefore w:val="0"/>
        <w:wordWrap/>
        <w:topLinePunct w:val="0"/>
        <w:autoSpaceDE/>
        <w:autoSpaceDN/>
        <w:bidi w:val="0"/>
        <w:adjustRightInd/>
        <w:snapToGrid w:val="0"/>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2.学生代表评价（占25%）。每月随机选取一定数量学生代表对物业公司服务进行评价，保证随机抽样样本的</w:t>
      </w:r>
      <w:r>
        <w:rPr>
          <w:rFonts w:hint="eastAsia" w:ascii="宋体" w:hAnsi="宋体"/>
          <w:sz w:val="24"/>
          <w:szCs w:val="24"/>
          <w:highlight w:val="none"/>
          <w:lang w:eastAsia="zh-CN"/>
        </w:rPr>
        <w:t>公正性</w:t>
      </w:r>
      <w:r>
        <w:rPr>
          <w:rFonts w:hint="eastAsia" w:ascii="宋体" w:hAnsi="宋体"/>
          <w:sz w:val="24"/>
          <w:szCs w:val="24"/>
          <w:highlight w:val="none"/>
        </w:rPr>
        <w:t>，有广泛的代表性和人数，统计得出平均分作为评价分，满分为100分。因学生对物业公司服务不满意，学生向有关部门投诉并经过核实确为物业公司责任的，每条投诉扣评价总分5分。</w:t>
      </w:r>
    </w:p>
    <w:p w14:paraId="644762FE">
      <w:pPr>
        <w:keepNext w:val="0"/>
        <w:keepLines w:val="0"/>
        <w:pageBreakBefore w:val="0"/>
        <w:wordWrap/>
        <w:topLinePunct w:val="0"/>
        <w:autoSpaceDE/>
        <w:autoSpaceDN/>
        <w:bidi w:val="0"/>
        <w:adjustRightInd/>
        <w:snapToGrid w:val="0"/>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3.常规检查及专项检查（占25%）。满分100分，实行扣分制。按照学工处每周组织的物业服务常规检查，每项不合格项目扣检查分5分，常规检查复查仍未及时整改或整改不合格项目，每项扣检查分10分。学校专项检查组检查学生公寓时，口头或电话通知督办的不合格项目，每条扣检查分5分，下发纸质督办单或通知单的，每条扣检查分10分。</w:t>
      </w:r>
    </w:p>
    <w:p w14:paraId="5219190A">
      <w:pPr>
        <w:keepNext w:val="0"/>
        <w:keepLines w:val="0"/>
        <w:pageBreakBefore w:val="0"/>
        <w:wordWrap/>
        <w:topLinePunct w:val="0"/>
        <w:autoSpaceDE/>
        <w:autoSpaceDN/>
        <w:bidi w:val="0"/>
        <w:adjustRightInd/>
        <w:snapToGrid w:val="0"/>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4.网上报修专项评价（占25%）。满分100分，按照学校公寓网上报修系统统计结果，以当月内维修满意度的百分比计分。当月维修项目平均维修用时小于24小时的，不扣分；维修平均用时大于24小时小于36小时的，扣网上报修专项评价分5分；维修平均用时大于36小时小于48小时的，扣网上报修专项评价分10分；维修平均用时大于48小时的，扣网上报修专项评价分20分。学生对维修项目评价为不满意，经调查落实确为物业公司责任的，每项扣网上报修专项评价分10分。</w:t>
      </w:r>
    </w:p>
    <w:p w14:paraId="4D880F93">
      <w:pPr>
        <w:keepNext w:val="0"/>
        <w:keepLines w:val="0"/>
        <w:pageBreakBefore w:val="0"/>
        <w:wordWrap/>
        <w:topLinePunct w:val="0"/>
        <w:autoSpaceDE/>
        <w:autoSpaceDN/>
        <w:bidi w:val="0"/>
        <w:adjustRightInd/>
        <w:snapToGrid w:val="0"/>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5.根据上述各项考核结果及其所占比例，计算得出常规考核成绩。</w:t>
      </w:r>
    </w:p>
    <w:p w14:paraId="323C0F27">
      <w:pPr>
        <w:keepNext w:val="0"/>
        <w:keepLines w:val="0"/>
        <w:pageBreakBefore w:val="0"/>
        <w:wordWrap/>
        <w:topLinePunct w:val="0"/>
        <w:autoSpaceDE/>
        <w:autoSpaceDN/>
        <w:bidi w:val="0"/>
        <w:adjustRightInd/>
        <w:snapToGrid w:val="0"/>
        <w:spacing w:line="520" w:lineRule="exact"/>
        <w:ind w:firstLine="482" w:firstLineChars="200"/>
        <w:rPr>
          <w:rFonts w:ascii="宋体" w:hAnsi="宋体"/>
          <w:b/>
          <w:sz w:val="24"/>
          <w:szCs w:val="24"/>
          <w:highlight w:val="none"/>
        </w:rPr>
      </w:pPr>
      <w:r>
        <w:rPr>
          <w:rFonts w:hint="eastAsia" w:ascii="宋体" w:hAnsi="宋体"/>
          <w:b/>
          <w:sz w:val="24"/>
          <w:szCs w:val="24"/>
          <w:highlight w:val="none"/>
        </w:rPr>
        <w:t>（五）公寓物业服务绩效考核</w:t>
      </w:r>
    </w:p>
    <w:p w14:paraId="2CDF2725">
      <w:pPr>
        <w:keepNext w:val="0"/>
        <w:keepLines w:val="0"/>
        <w:pageBreakBefore w:val="0"/>
        <w:wordWrap/>
        <w:topLinePunct w:val="0"/>
        <w:autoSpaceDE/>
        <w:autoSpaceDN/>
        <w:bidi w:val="0"/>
        <w:adjustRightInd/>
        <w:snapToGrid w:val="0"/>
        <w:spacing w:line="520" w:lineRule="exact"/>
        <w:ind w:firstLine="480" w:firstLineChars="200"/>
        <w:rPr>
          <w:rFonts w:ascii="宋体" w:hAnsi="宋体"/>
          <w:sz w:val="24"/>
          <w:szCs w:val="24"/>
          <w:highlight w:val="none"/>
        </w:rPr>
      </w:pPr>
      <w:r>
        <w:rPr>
          <w:rFonts w:hint="eastAsia" w:ascii="宋体" w:hAnsi="宋体"/>
          <w:sz w:val="24"/>
          <w:szCs w:val="24"/>
          <w:highlight w:val="none"/>
        </w:rPr>
        <w:t>学工处监管物业公司履行合同情况，从服务态度、服务内容、服务质量等方面对值班管理、消防管理、卫生保洁、维修维护、资产管理、人员配备等项目进行巡查，对存在的问题发放工作通知单、工作督办单要求整改，对存在的严重问题直接发放扣除绩效管理费通知单。</w:t>
      </w:r>
    </w:p>
    <w:p w14:paraId="3ACB3DE2">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1.在下列条款中，每有一项达不到要求的，视情节严重程度，从该月绩效服务费中扣除200-300元。</w:t>
      </w:r>
    </w:p>
    <w:p w14:paraId="5C3E6446">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（1）内部管理制度健全，工作记录完整，岗位职责和工作制度上墙；</w:t>
      </w:r>
    </w:p>
    <w:p w14:paraId="2845E8F3">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（2）严格落实24小时值班制度，严格学生进出管理，严禁外来人员擅自进入学生公寓,按规定履行各种登记手续。严格执行学生公寓作息时间，按时开、关楼门；</w:t>
      </w:r>
    </w:p>
    <w:p w14:paraId="7F3A9D9B">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（3）学生公寓内公共标志、消防安全标志、安全标志醒目完整</w:t>
      </w:r>
      <w:r>
        <w:rPr>
          <w:rFonts w:hint="eastAsia" w:ascii="宋体" w:hAnsi="宋体"/>
          <w:sz w:val="24"/>
          <w:szCs w:val="24"/>
          <w:highlight w:val="none"/>
          <w:lang w:eastAsia="zh-CN"/>
        </w:rPr>
        <w:t>，</w:t>
      </w:r>
      <w:r>
        <w:rPr>
          <w:rFonts w:hint="eastAsia" w:ascii="宋体" w:hAnsi="宋体"/>
          <w:sz w:val="24"/>
          <w:szCs w:val="24"/>
          <w:highlight w:val="none"/>
        </w:rPr>
        <w:t>消防设施设备齐全，保持紧急疏散通道畅通，应急灯、逃生疏散标识维护正常，人为损坏的及时修复，自然损耗的及时报告；</w:t>
      </w:r>
    </w:p>
    <w:p w14:paraId="1FD0D6A9">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（4）落实逐级消防安全责任制和岗位消防安全责任制，严格落实巡视、检查制度；</w:t>
      </w:r>
    </w:p>
    <w:p w14:paraId="2D37838A">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（5）学生公寓楼内外环境整洁，公共区域洁净，定期使用消毒液对全部宿舍内、外进行药物消毒，并建立消毒记录档案；</w:t>
      </w:r>
    </w:p>
    <w:p w14:paraId="5A86A4E0">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（6）每学年</w:t>
      </w:r>
      <w:r>
        <w:rPr>
          <w:rFonts w:hint="eastAsia" w:ascii="宋体" w:hAnsi="宋体" w:cs="宋体"/>
          <w:kern w:val="0"/>
          <w:sz w:val="24"/>
          <w:szCs w:val="24"/>
          <w:highlight w:val="none"/>
        </w:rPr>
        <w:t>免费为每个宿舍配备塑料笤帚1把、扒斗1个、拖把1把，学年内有自然损坏的，实行免费以旧换新制度，并按时发放</w:t>
      </w:r>
      <w:r>
        <w:rPr>
          <w:rFonts w:hint="eastAsia" w:ascii="宋体" w:hAnsi="宋体"/>
          <w:sz w:val="24"/>
          <w:szCs w:val="24"/>
          <w:highlight w:val="none"/>
        </w:rPr>
        <w:t>；</w:t>
      </w:r>
    </w:p>
    <w:p w14:paraId="018FFEC5">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（7）确保公共卫生间全部开放，洁净卫生无异味，下水道畅通，地漏盖完整；</w:t>
      </w:r>
    </w:p>
    <w:p w14:paraId="0A33E3FC">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（8）按照公寓网上报修系统，及时处理学生报修，维修材料符合规范要求，返修率不高于5%；</w:t>
      </w:r>
      <w:r>
        <w:rPr>
          <w:rFonts w:hint="eastAsia" w:ascii="宋体" w:hAnsi="宋体" w:cs="宋体"/>
          <w:kern w:val="0"/>
          <w:sz w:val="24"/>
          <w:szCs w:val="24"/>
          <w:highlight w:val="none"/>
        </w:rPr>
        <w:t>零星维修当日解决，其它维修约时解决；</w:t>
      </w:r>
      <w:r>
        <w:rPr>
          <w:rFonts w:hint="eastAsia" w:ascii="宋体" w:hAnsi="宋体"/>
          <w:sz w:val="24"/>
          <w:szCs w:val="24"/>
          <w:highlight w:val="none"/>
        </w:rPr>
        <w:t>对学生人为损坏维修或赔偿的项目，应当及时给予维修，并在网上报修系统录入收费信息；</w:t>
      </w:r>
    </w:p>
    <w:p w14:paraId="2711D890">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（9）做好公寓通道系统和视频监控系统管理工作，确保设备正常运行，发生故障第一时间报修；</w:t>
      </w:r>
    </w:p>
    <w:p w14:paraId="6039B794">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（10）严格执行学校资产管理制度，建立更新资产台账，确保资产完好性。做好资产清点、交接、登记工作；</w:t>
      </w:r>
    </w:p>
    <w:p w14:paraId="3B73904C">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（11）员工聘用、调配手续完备，及时备案；</w:t>
      </w:r>
    </w:p>
    <w:p w14:paraId="17530758">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（12）工作人员工作时间统一着装、佩带工作牌，不串岗、不脱岗，有完整的值班和交接班记录；不吸烟、不饮酒；不在学生公寓内违章用电；</w:t>
      </w:r>
    </w:p>
    <w:p w14:paraId="7C771EE0">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（13）物业公司不得私自占用房间和学校公共设备、设施；</w:t>
      </w:r>
    </w:p>
    <w:p w14:paraId="55E09297">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（14）按照学校要求办理学生入住和退宿手续，学生入住时与其核对宿舍内资产，退宿时规范办理资产交接手续；严格办理学生住宿与调宿手续；</w:t>
      </w:r>
    </w:p>
    <w:p w14:paraId="47F77F93">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（15）按时完成学校布置的其工作性质范围内的其他临时性工作；</w:t>
      </w:r>
    </w:p>
    <w:p w14:paraId="57EC0513">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（16）其他违反物业服务合同的一般问题。</w:t>
      </w:r>
    </w:p>
    <w:p w14:paraId="4EE4AD51">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2.在下列条款中，每有一项达不到要求的，视情节严重程度，从该月绩效服务费中扣除500-800元。</w:t>
      </w:r>
    </w:p>
    <w:p w14:paraId="500D21E3">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（17）有打架斗殴等突发事件时，未能及时向学校报告，未能有效处理和控制的。</w:t>
      </w:r>
    </w:p>
    <w:p w14:paraId="112AAB63">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（18）违规收费，或私自在学生公寓区内从事经营活动；</w:t>
      </w:r>
    </w:p>
    <w:p w14:paraId="019E0716">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（19）学校专项工作组检查以口头或电话通知方式督办的；</w:t>
      </w:r>
    </w:p>
    <w:p w14:paraId="41709408">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（20）存在同一问题整改后仍不到位现象；</w:t>
      </w:r>
    </w:p>
    <w:p w14:paraId="2EEFDFFE">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3.在下列条款中，每有一项达不到要求的，视情节严重程度，从该月绩效服务费中扣除1000-2000元。</w:t>
      </w:r>
    </w:p>
    <w:p w14:paraId="2478E8E1">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（21）出现火灾等安全隐患时工作人员处置不当，不能熟练掌握消防器材的使用方法；</w:t>
      </w:r>
    </w:p>
    <w:p w14:paraId="62BBA677">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（22）发生明确认定的外盗案件；（除扣除绩效服务费外，明确认定的外盗案件需全额赔偿，其他偷盗案件根据责任大小，双方当事人协商解决。）</w:t>
      </w:r>
    </w:p>
    <w:p w14:paraId="0D3D7A3B">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 xml:space="preserve">（23）因非本楼入住人员进入学生公寓处置不当，造成学生被殴打致伤；或发生工作人员打骂学生等恶劣情节； </w:t>
      </w:r>
    </w:p>
    <w:p w14:paraId="32FCB743">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（24）学校专项工作组检查下发纸质督办单或通知单的；</w:t>
      </w:r>
    </w:p>
    <w:p w14:paraId="412662ED">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（25）同一问题整改两次不到位；</w:t>
      </w:r>
    </w:p>
    <w:p w14:paraId="0BAFC77F">
      <w:pPr>
        <w:keepNext w:val="0"/>
        <w:keepLines w:val="0"/>
        <w:pageBreakBefore w:val="0"/>
        <w:tabs>
          <w:tab w:val="left" w:pos="1140"/>
        </w:tabs>
        <w:wordWrap/>
        <w:topLinePunct w:val="0"/>
        <w:autoSpaceDE/>
        <w:autoSpaceDN/>
        <w:bidi w:val="0"/>
        <w:adjustRightInd/>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4.有下列情况之一的，学校将扣发物业公司该月全部绩效服务费，物业公司还应承担相关责任，并赔偿损失。</w:t>
      </w:r>
    </w:p>
    <w:p w14:paraId="6316AD17">
      <w:pPr>
        <w:keepNext w:val="0"/>
        <w:keepLines w:val="0"/>
        <w:pageBreakBefore w:val="0"/>
        <w:tabs>
          <w:tab w:val="left" w:pos="1140"/>
        </w:tabs>
        <w:wordWrap/>
        <w:topLinePunct w:val="0"/>
        <w:autoSpaceDE/>
        <w:autoSpaceDN/>
        <w:bidi w:val="0"/>
        <w:adjustRightInd/>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（26）物业公司严重影响学校形象和声誉的行为；</w:t>
      </w:r>
    </w:p>
    <w:p w14:paraId="22B3B530">
      <w:pPr>
        <w:keepNext w:val="0"/>
        <w:keepLines w:val="0"/>
        <w:pageBreakBefore w:val="0"/>
        <w:tabs>
          <w:tab w:val="left" w:pos="1140"/>
        </w:tabs>
        <w:wordWrap/>
        <w:topLinePunct w:val="0"/>
        <w:autoSpaceDE/>
        <w:autoSpaceDN/>
        <w:bidi w:val="0"/>
        <w:adjustRightInd/>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（27）因工作处置不当造成人身伤害或火灾事故的。</w:t>
      </w:r>
    </w:p>
    <w:p w14:paraId="083B1B4D">
      <w:pPr>
        <w:keepNext w:val="0"/>
        <w:keepLines w:val="0"/>
        <w:pageBreakBefore w:val="0"/>
        <w:tabs>
          <w:tab w:val="left" w:pos="1140"/>
        </w:tabs>
        <w:wordWrap/>
        <w:topLinePunct w:val="0"/>
        <w:autoSpaceDE/>
        <w:autoSpaceDN/>
        <w:bidi w:val="0"/>
        <w:adjustRightInd/>
        <w:spacing w:line="520" w:lineRule="exact"/>
        <w:ind w:firstLine="480" w:firstLineChars="200"/>
        <w:rPr>
          <w:rFonts w:ascii="宋体" w:hAnsi="宋体"/>
          <w:sz w:val="24"/>
          <w:szCs w:val="24"/>
          <w:highlight w:val="none"/>
        </w:rPr>
      </w:pPr>
      <w:r>
        <w:rPr>
          <w:rFonts w:hint="eastAsia" w:ascii="宋体" w:hAnsi="宋体"/>
          <w:sz w:val="24"/>
          <w:szCs w:val="24"/>
          <w:highlight w:val="none"/>
        </w:rPr>
        <w:t>5.物业公司没有</w:t>
      </w:r>
      <w:r>
        <w:rPr>
          <w:rFonts w:hint="eastAsia" w:ascii="宋体" w:hAnsi="宋体" w:cs="宋体"/>
          <w:kern w:val="0"/>
          <w:sz w:val="24"/>
          <w:szCs w:val="24"/>
          <w:highlight w:val="none"/>
        </w:rPr>
        <w:t>按照人员定额配备要求配齐管理服务人员</w:t>
      </w:r>
      <w:r>
        <w:rPr>
          <w:rFonts w:hint="eastAsia" w:ascii="宋体" w:hAnsi="宋体"/>
          <w:sz w:val="24"/>
          <w:szCs w:val="24"/>
          <w:highlight w:val="none"/>
        </w:rPr>
        <w:t>，影响服务质量的，按该岗位人员月工资的2倍从该月绩效服务费中扣除。</w:t>
      </w:r>
    </w:p>
    <w:p w14:paraId="4A56C7FC">
      <w:pPr>
        <w:keepNext w:val="0"/>
        <w:keepLines w:val="0"/>
        <w:pageBreakBefore w:val="0"/>
        <w:tabs>
          <w:tab w:val="left" w:pos="1140"/>
        </w:tabs>
        <w:wordWrap/>
        <w:topLinePunct w:val="0"/>
        <w:autoSpaceDE/>
        <w:autoSpaceDN/>
        <w:bidi w:val="0"/>
        <w:adjustRightInd/>
        <w:spacing w:line="520" w:lineRule="exact"/>
        <w:ind w:firstLine="480" w:firstLineChars="200"/>
        <w:jc w:val="left"/>
        <w:rPr>
          <w:rFonts w:ascii="宋体" w:hAnsi="宋体"/>
          <w:sz w:val="24"/>
          <w:szCs w:val="24"/>
          <w:highlight w:val="none"/>
        </w:rPr>
      </w:pPr>
      <w:r>
        <w:rPr>
          <w:rFonts w:hint="eastAsia" w:ascii="宋体" w:hAnsi="宋体"/>
          <w:sz w:val="24"/>
          <w:szCs w:val="24"/>
          <w:highlight w:val="none"/>
        </w:rPr>
        <w:t>本办法解释权归临沂大学学生工作处。</w:t>
      </w:r>
    </w:p>
    <w:p w14:paraId="4FCFA719">
      <w:pPr>
        <w:keepNext w:val="0"/>
        <w:keepLines w:val="0"/>
        <w:pageBreakBefore w:val="0"/>
        <w:widowControl/>
        <w:wordWrap/>
        <w:topLinePunct w:val="0"/>
        <w:autoSpaceDE/>
        <w:autoSpaceDN/>
        <w:bidi w:val="0"/>
        <w:adjustRightInd/>
        <w:spacing w:line="520" w:lineRule="exact"/>
        <w:rPr>
          <w:rFonts w:ascii="宋体" w:hAnsi="宋体" w:cs="宋体"/>
          <w:b/>
          <w:kern w:val="0"/>
          <w:sz w:val="24"/>
          <w:szCs w:val="24"/>
          <w:highlight w:val="none"/>
        </w:rPr>
      </w:pPr>
    </w:p>
    <w:p w14:paraId="4D5C1D84">
      <w:pPr>
        <w:keepNext w:val="0"/>
        <w:keepLines w:val="0"/>
        <w:pageBreakBefore w:val="0"/>
        <w:widowControl/>
        <w:wordWrap/>
        <w:topLinePunct w:val="0"/>
        <w:autoSpaceDE/>
        <w:autoSpaceDN/>
        <w:bidi w:val="0"/>
        <w:adjustRightInd/>
        <w:spacing w:line="520" w:lineRule="exact"/>
        <w:rPr>
          <w:rFonts w:ascii="宋体" w:hAnsi="宋体" w:cs="宋体"/>
          <w:b/>
          <w:kern w:val="0"/>
          <w:sz w:val="24"/>
          <w:szCs w:val="24"/>
          <w:highlight w:val="none"/>
        </w:rPr>
      </w:pPr>
    </w:p>
    <w:p w14:paraId="7C2FC013">
      <w:pPr>
        <w:keepNext w:val="0"/>
        <w:keepLines w:val="0"/>
        <w:pageBreakBefore w:val="0"/>
        <w:widowControl/>
        <w:wordWrap/>
        <w:topLinePunct w:val="0"/>
        <w:autoSpaceDE/>
        <w:autoSpaceDN/>
        <w:bidi w:val="0"/>
        <w:adjustRightInd/>
        <w:spacing w:line="520" w:lineRule="exact"/>
        <w:rPr>
          <w:rFonts w:ascii="宋体" w:hAnsi="宋体" w:cs="宋体"/>
          <w:b/>
          <w:kern w:val="0"/>
          <w:sz w:val="24"/>
          <w:szCs w:val="24"/>
          <w:highlight w:val="none"/>
        </w:rPr>
      </w:pPr>
    </w:p>
    <w:p w14:paraId="70522E69">
      <w:pPr>
        <w:keepNext w:val="0"/>
        <w:keepLines w:val="0"/>
        <w:pageBreakBefore w:val="0"/>
        <w:widowControl/>
        <w:wordWrap/>
        <w:topLinePunct w:val="0"/>
        <w:autoSpaceDE/>
        <w:autoSpaceDN/>
        <w:bidi w:val="0"/>
        <w:adjustRightInd/>
        <w:spacing w:line="520" w:lineRule="exact"/>
        <w:rPr>
          <w:rFonts w:ascii="宋体" w:hAnsi="宋体" w:cs="宋体"/>
          <w:b/>
          <w:kern w:val="0"/>
          <w:sz w:val="24"/>
          <w:szCs w:val="24"/>
          <w:highlight w:val="none"/>
        </w:rPr>
      </w:pPr>
    </w:p>
    <w:p w14:paraId="4B164D2A">
      <w:pPr>
        <w:keepNext w:val="0"/>
        <w:keepLines w:val="0"/>
        <w:pageBreakBefore w:val="0"/>
        <w:widowControl/>
        <w:wordWrap/>
        <w:topLinePunct w:val="0"/>
        <w:autoSpaceDE/>
        <w:autoSpaceDN/>
        <w:bidi w:val="0"/>
        <w:adjustRightInd/>
        <w:spacing w:line="520" w:lineRule="exact"/>
        <w:rPr>
          <w:highlight w:val="none"/>
        </w:rPr>
      </w:pPr>
    </w:p>
    <w:p w14:paraId="58A823F7">
      <w:pPr>
        <w:keepNext w:val="0"/>
        <w:keepLines w:val="0"/>
        <w:pageBreakBefore w:val="0"/>
        <w:kinsoku/>
        <w:wordWrap/>
        <w:overflowPunct/>
        <w:topLinePunct w:val="0"/>
        <w:autoSpaceDE/>
        <w:autoSpaceDN/>
        <w:bidi w:val="0"/>
        <w:adjustRightInd/>
        <w:spacing w:line="5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64DD72B9">
      <w:pPr>
        <w:rPr>
          <w:rFonts w:hint="eastAsia" w:ascii="宋体" w:hAnsi="宋体" w:cs="Times New Roman"/>
          <w:b/>
          <w:bCs/>
          <w:color w:val="auto"/>
          <w:sz w:val="24"/>
          <w:szCs w:val="32"/>
          <w:highlight w:val="none"/>
          <w:lang w:val="en-US" w:eastAsia="zh-CN"/>
        </w:rPr>
      </w:pPr>
      <w:r>
        <w:rPr>
          <w:rFonts w:hint="eastAsia" w:ascii="宋体" w:hAnsi="宋体" w:cs="Times New Roman"/>
          <w:b/>
          <w:bCs/>
          <w:color w:val="auto"/>
          <w:sz w:val="24"/>
          <w:szCs w:val="32"/>
          <w:highlight w:val="none"/>
          <w:lang w:val="en-US" w:eastAsia="zh-CN"/>
        </w:rPr>
        <w:t>附件2</w:t>
      </w:r>
    </w:p>
    <w:p w14:paraId="52BFBA3C">
      <w:pPr>
        <w:keepNext w:val="0"/>
        <w:keepLines w:val="0"/>
        <w:pageBreakBefore w:val="0"/>
        <w:widowControl/>
        <w:wordWrap/>
        <w:topLinePunct w:val="0"/>
        <w:autoSpaceDE/>
        <w:autoSpaceDN/>
        <w:bidi w:val="0"/>
        <w:adjustRightInd/>
        <w:spacing w:line="520" w:lineRule="exact"/>
        <w:ind w:firstLine="562" w:firstLineChars="200"/>
        <w:jc w:val="center"/>
        <w:rPr>
          <w:rFonts w:hint="default" w:ascii="宋体" w:hAnsi="宋体" w:cs="宋体"/>
          <w:b/>
          <w:bCs/>
          <w:sz w:val="28"/>
          <w:szCs w:val="28"/>
          <w:highlight w:val="none"/>
          <w:lang w:val="en-US" w:eastAsia="zh-CN"/>
        </w:rPr>
      </w:pPr>
      <w:r>
        <w:rPr>
          <w:rFonts w:hint="default" w:ascii="宋体" w:hAnsi="宋体" w:cs="宋体"/>
          <w:b/>
          <w:bCs/>
          <w:sz w:val="28"/>
          <w:szCs w:val="28"/>
          <w:highlight w:val="none"/>
          <w:lang w:val="en-US" w:eastAsia="zh-CN"/>
        </w:rPr>
        <w:t>D8、D9公寓楼内电路消防安全专项服务条款</w:t>
      </w:r>
    </w:p>
    <w:p w14:paraId="02BA9396">
      <w:pPr>
        <w:rPr>
          <w:rFonts w:hint="eastAsia" w:ascii="宋体" w:hAnsi="宋体" w:eastAsia="宋体" w:cs="Times New Roman"/>
          <w:color w:val="auto"/>
          <w:highlight w:val="none"/>
          <w:lang w:val="en-US" w:eastAsia="zh-CN"/>
        </w:rPr>
      </w:pPr>
    </w:p>
    <w:p w14:paraId="0D660BF2">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bookmarkStart w:id="306" w:name="_Hlk161309501"/>
      <w:r>
        <w:rPr>
          <w:rFonts w:hint="eastAsia" w:ascii="宋体" w:hAnsi="宋体"/>
          <w:sz w:val="24"/>
          <w:szCs w:val="24"/>
          <w:highlight w:val="none"/>
        </w:rPr>
        <w:t>1.乙方对学生公寓内的强（弱）电配电间、电路电线、消防设施设备等定期开展全面的、系统的检查、检修、报修、整改等工作。</w:t>
      </w:r>
    </w:p>
    <w:p w14:paraId="1EE4F199">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2.强电（室）、弱电（室）维保按照国家相关标准执行，包括以下3-22项但不局限于以下内容。</w:t>
      </w:r>
    </w:p>
    <w:p w14:paraId="50153447">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3.配电箱检查检修的基本内容。</w:t>
      </w:r>
    </w:p>
    <w:p w14:paraId="58835C63">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（1）配电箱内设备与各构件间连接是否牢固，接头温度是否在允许范围内。</w:t>
      </w:r>
    </w:p>
    <w:p w14:paraId="427C1E94">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（2）配电箱门打开是否灵活、无卡阻现象。</w:t>
      </w:r>
    </w:p>
    <w:p w14:paraId="2EADDAB9">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（3）配电箱固定及接地是否可靠，漆层是否完好、清洁整齐。</w:t>
      </w:r>
    </w:p>
    <w:p w14:paraId="5EACC592">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（4）绝缘工具是否完好、可靠。</w:t>
      </w:r>
    </w:p>
    <w:p w14:paraId="25244E21">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（5）配电箱内外是否清洁、无异味、无异常声音。</w:t>
      </w:r>
    </w:p>
    <w:p w14:paraId="7CD60487">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（6）配电箱体是否完整，是否有电线被（老鼠）破坏。</w:t>
      </w:r>
    </w:p>
    <w:p w14:paraId="3978A641">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（7）配电箱门锁是否完好，是否使用通开锁具，是否一把钥匙能够同时打开全部配电柜。</w:t>
      </w:r>
    </w:p>
    <w:p w14:paraId="648EE527">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检查出的（1）-（7）问题，乙方应及时予以处置，确因客观原因不能或暂时不能整改的要向甲方书面陈述情况。</w:t>
      </w:r>
    </w:p>
    <w:p w14:paraId="58F9E554">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（8）第三方服务线路设备是否接入地线系统，如发现问题，协调相关商家进行整改。</w:t>
      </w:r>
    </w:p>
    <w:p w14:paraId="05DFB165">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4.桥架规范使用的基本内容。</w:t>
      </w:r>
    </w:p>
    <w:p w14:paraId="71A5160D">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（1）楼道的强电、弱电线路必须走桥架。</w:t>
      </w:r>
    </w:p>
    <w:p w14:paraId="654BF0EC">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（2）线路需在桥架内，不能出现盖板扣不上等情况。</w:t>
      </w:r>
    </w:p>
    <w:p w14:paraId="2D6685D9">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（3）桥架内线路过多出现盖板扣不上情况需协调相关商家与部门进行整改、撤掉废弃线路。</w:t>
      </w:r>
    </w:p>
    <w:p w14:paraId="51298FD3">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5.电力监控系统查看的基本内容。</w:t>
      </w:r>
    </w:p>
    <w:p w14:paraId="427F821F">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（1）查看智能仪表、智能控电模块等设备连接是否牢固。</w:t>
      </w:r>
    </w:p>
    <w:p w14:paraId="30AFAB64">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（2）查看通信传输、数据收集等指示标识是否有异常。</w:t>
      </w:r>
    </w:p>
    <w:p w14:paraId="5E4EE3C8">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（3）如发现以上有异常，联系并协助相关方做好修正工作。</w:t>
      </w:r>
    </w:p>
    <w:p w14:paraId="1385624D">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6.配电室室内其他检查检修的基本内容。</w:t>
      </w:r>
    </w:p>
    <w:p w14:paraId="7F18D400">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（1）配电室照明、消防感应灭火装置及通风机是否正常。</w:t>
      </w:r>
    </w:p>
    <w:p w14:paraId="7689EE65">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（2）配电室是否漏水，电缆沟是否积水，门窗是否损坏。</w:t>
      </w:r>
    </w:p>
    <w:p w14:paraId="248B9633">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（3）防鼠挡板是否完整，房内孔洞是否堵死。</w:t>
      </w:r>
    </w:p>
    <w:p w14:paraId="1A0DDF99">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（4）配电室门外通道是否畅顺，有否被堵现象。</w:t>
      </w:r>
    </w:p>
    <w:p w14:paraId="2147A57C">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（5）配电室内是否存放或丢弃的纸箱、纸屑、衣物、垃圾等可燃物。</w:t>
      </w:r>
    </w:p>
    <w:p w14:paraId="54A442AA">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bookmarkStart w:id="307" w:name="_Hlk161306375"/>
      <w:r>
        <w:rPr>
          <w:rFonts w:hint="eastAsia" w:ascii="宋体" w:hAnsi="宋体"/>
          <w:sz w:val="24"/>
          <w:szCs w:val="24"/>
          <w:highlight w:val="none"/>
        </w:rPr>
        <w:t>检查出的（1）-（5）问题，乙方应及时予以处置，确因客观原因不能或暂时不能整改的要向甲方书面陈述情况。</w:t>
      </w:r>
      <w:bookmarkEnd w:id="307"/>
    </w:p>
    <w:p w14:paraId="3C9E4B93">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7.弱电柜（室）监督、检查的基本内容。</w:t>
      </w:r>
    </w:p>
    <w:p w14:paraId="1FC61BBF">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（1）监督、检查网络、通信、控制等各服务企业弱电线路是否有明确标识；布线是否科学规范；是否重复布线；是否有废弃线路未及时清除；弱电线路是否存在消防安全隐患等。</w:t>
      </w:r>
    </w:p>
    <w:p w14:paraId="0E2343F5">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监督、检查网络、通信、控制等各服务企业配电间是否有不间断电源；不间断电源是否有明晰标识；是否有废弃电池未及时清除；不间断电源各模块是否有超期服役、检查检修不及时情况；不间断电源是否存在消防安全隐患。</w:t>
      </w:r>
    </w:p>
    <w:p w14:paraId="79F2D21C">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（3）公寓内弱电桥架线路是否裸露或盖板扣不上，是否符合有关规范。</w:t>
      </w:r>
    </w:p>
    <w:p w14:paraId="737380A4">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（4）公寓内弱电室（箱）是否上锁；是否有异常声音或异味；安全指示灯是否有异常等。</w:t>
      </w:r>
    </w:p>
    <w:p w14:paraId="311B192D">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检查出的（1）-（4）问题，乙方应及时予以处置或协调相关商家与部门进行整改，确因客观原因不能或暂时不能整改的要向甲方书面陈述情况。</w:t>
      </w:r>
    </w:p>
    <w:p w14:paraId="77A1A817">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8.楼内公共区域及楼顶其他设备设施的安全管理。</w:t>
      </w:r>
    </w:p>
    <w:p w14:paraId="0FBA64E8">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（1）检查楼内其他电力设备是否有异响、异味等情况。</w:t>
      </w:r>
    </w:p>
    <w:p w14:paraId="7CBDD725">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（2）所有线路必需走桥架，不能走桥架的需进行套管，不能出现电线裸露情况。</w:t>
      </w:r>
    </w:p>
    <w:p w14:paraId="19F38F7E">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（3）吹风机每日安全巡查，是否有多个吹风机同时使用，插孔位置是否有烧糊或损坏情况，合理控制吹风机使用时间。</w:t>
      </w:r>
    </w:p>
    <w:p w14:paraId="2FD4A1BA">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（4）楼顶用电设备每月进行1次安全巡查并做好记录。</w:t>
      </w:r>
    </w:p>
    <w:p w14:paraId="0B4D24F4">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9.外来施工项目用电监督管理。</w:t>
      </w:r>
    </w:p>
    <w:p w14:paraId="298F69F3">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（1）外来施工人员需有甲方相关部门的审批手续。</w:t>
      </w:r>
    </w:p>
    <w:p w14:paraId="7DE069CA">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（2）监督好外来施工人员施工项目，所需用电必须由乙方进行指导，确保用电安全。</w:t>
      </w:r>
    </w:p>
    <w:p w14:paraId="25475469">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（3）施工用电不得使用学生房间用电，需到配电柜安全规范用电。</w:t>
      </w:r>
    </w:p>
    <w:p w14:paraId="3C7DF485">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10.定期巡查、巡检的基本要求。</w:t>
      </w:r>
    </w:p>
    <w:p w14:paraId="471A6AE2">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乙方每月巡查巡检学生公寓内强（弱）电电路设备不少于1次，并做好详细记录。在巡查巡检中发现的设施设备故障隐患，应根据现场情况进行及时处理，书面记录并及时通报甲方，同时提出维修整改方案（建议）；待甲方确认后，组织实施。</w:t>
      </w:r>
    </w:p>
    <w:p w14:paraId="5B832E66">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11.</w:t>
      </w:r>
      <w:bookmarkStart w:id="308" w:name="_Hlk161067079"/>
      <w:r>
        <w:rPr>
          <w:rFonts w:hint="eastAsia" w:ascii="宋体" w:hAnsi="宋体"/>
          <w:sz w:val="24"/>
          <w:szCs w:val="24"/>
          <w:highlight w:val="none"/>
        </w:rPr>
        <w:t>电路系统全面大检查、大检修</w:t>
      </w:r>
      <w:bookmarkEnd w:id="308"/>
      <w:r>
        <w:rPr>
          <w:rFonts w:hint="eastAsia" w:ascii="宋体" w:hAnsi="宋体"/>
          <w:sz w:val="24"/>
          <w:szCs w:val="24"/>
          <w:highlight w:val="none"/>
        </w:rPr>
        <w:t>、大整改。</w:t>
      </w:r>
    </w:p>
    <w:p w14:paraId="5297F823">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每年寒、暑假期间对公寓楼内的强（弱）电设备及附属设施各开展1次全面系统的大检查和大检修，对于检查检修内容做好详细记录，对发现的问题、隐患等及时排除和整改，需要甲方及其第三方配合完成整改的以书面形式第一时间告知。开学前2周将假期关于电路系统全面大检查大检修大整改形成详实的工作报告提交甲方。</w:t>
      </w:r>
    </w:p>
    <w:p w14:paraId="2B1744F0">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12.第三方服务企业用电的监管。</w:t>
      </w:r>
    </w:p>
    <w:p w14:paraId="36BC6615">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（1）乙方监督、指导空调、洗衣机、直饮水、热水洗浴、自动售货机、热食机、通信网络公司等第三方服务企业对公寓内自身电力设备、电线电缆等的检查检修和安全规范运行。</w:t>
      </w:r>
    </w:p>
    <w:p w14:paraId="74A504A0">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（2）乙方每月对第三方服务企业进行一次考核，并要求提交安全自查报告，留取相关资料。</w:t>
      </w:r>
    </w:p>
    <w:p w14:paraId="79AF5586">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（3）第三方服务企业运行过程中出现的安全隐患要求及时整改。</w:t>
      </w:r>
    </w:p>
    <w:p w14:paraId="5670E8FE">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13.乙方监督、指导学生在宿舍内安全规范使用用电设备，对于学生报修的电力电路问题及时予以维修、上报、协调相关部门进行处理。</w:t>
      </w:r>
    </w:p>
    <w:p w14:paraId="44A74718">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14.乙方监督学生是否有使用大功率电器，是否有电动车或电瓶进楼充电，是否有学生私扯电线等情况，发现问题及时制止、做好记录、上报甲方。</w:t>
      </w:r>
    </w:p>
    <w:p w14:paraId="605F2FFE">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15.乙方其他的消防安全检查、上报。</w:t>
      </w:r>
    </w:p>
    <w:p w14:paraId="63E9A9F3">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16.乙方严格落实24小时安全值班制度，对于学生公寓内的失火现象和</w:t>
      </w:r>
      <w:r>
        <w:rPr>
          <w:rFonts w:hint="eastAsia" w:ascii="宋体" w:hAnsi="宋体"/>
          <w:sz w:val="24"/>
          <w:szCs w:val="24"/>
          <w:highlight w:val="none"/>
          <w:lang w:eastAsia="zh-CN"/>
        </w:rPr>
        <w:t>各类</w:t>
      </w:r>
      <w:r>
        <w:rPr>
          <w:rFonts w:hint="eastAsia" w:ascii="宋体" w:hAnsi="宋体"/>
          <w:sz w:val="24"/>
          <w:szCs w:val="24"/>
          <w:highlight w:val="none"/>
        </w:rPr>
        <w:t>安全隐患（事故）要做到第一时间发现、第一时间上报、第一时间应急处置。</w:t>
      </w:r>
    </w:p>
    <w:p w14:paraId="1629B974">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17.乙方要确保在甲方服务区域的学生公寓内公共区域不发生电路（含线路、元器件、设备等）失火现象，确保学生公寓内公共区域用电消防安全。因检查、检修、维护、报修不到位等引发的火灾等安全事故，由乙方承担全部责任。</w:t>
      </w:r>
    </w:p>
    <w:p w14:paraId="59BC5960">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18.学生公寓内公共区域发生电路（含线路、元器件、设备等）失火现象，乙方除承担科学施救、管控、修复相关责任外，甲方将视情况给予相应的经济处罚，罚款从下次付款中扣除，不足部分乙方应予补足。如此次电路失火造成重大损失（如人员伤亡、财产损失等）或重大负面影响的，乙方除积极挽回损失、承担相应责任外，在发生电路失火情况时甲方有权选择解除协议终止合同、并保留追究乙方相关法律责任的权利。</w:t>
      </w:r>
    </w:p>
    <w:p w14:paraId="29BDA798">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19.甲方更换或新增的强（弱）电设施设备乙方要及时纳入到日常的检查维修工作范围。</w:t>
      </w:r>
    </w:p>
    <w:p w14:paraId="6BD34563">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20.甲方及有关部门检查出的学生公寓内电路消防安全隐患，乙方应及时整改或协助甲方整改。乙未及时整改或协助甲方不力的甲方将视情况给与乙方相应的经济处罚，罚款从下次付款中扣除；确因客观情况不能或暂时不能整改的情况除外。</w:t>
      </w:r>
    </w:p>
    <w:p w14:paraId="2319D8A2">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21.乙方维修整改的元器件耗材等费用按“维修维护”条款执行。</w:t>
      </w:r>
    </w:p>
    <w:p w14:paraId="31988775">
      <w:pPr>
        <w:keepNext w:val="0"/>
        <w:keepLines w:val="0"/>
        <w:pageBreakBefore w:val="0"/>
        <w:tabs>
          <w:tab w:val="left" w:pos="1140"/>
        </w:tabs>
        <w:wordWrap/>
        <w:topLinePunct w:val="0"/>
        <w:autoSpaceDE/>
        <w:autoSpaceDN/>
        <w:bidi w:val="0"/>
        <w:adjustRightInd/>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22.乙方每学期向甲方上报学生公寓安全管理工作报告，对于用电消防安全、失火现象、安全事故等要进行系统分析、针对性整改、持续性改进。</w:t>
      </w:r>
      <w:bookmarkEnd w:id="306"/>
    </w:p>
    <w:p w14:paraId="0A8C3EAA">
      <w:pPr>
        <w:pStyle w:val="14"/>
        <w:rPr>
          <w:rFonts w:hint="eastAsia"/>
          <w:highlight w:val="none"/>
          <w:lang w:val="en-US" w:eastAsia="zh-CN"/>
        </w:rPr>
      </w:pPr>
    </w:p>
    <w:p w14:paraId="085CF8DE">
      <w:pPr>
        <w:pStyle w:val="14"/>
        <w:rPr>
          <w:rFonts w:hint="eastAsia" w:ascii="宋体" w:hAnsi="宋体" w:eastAsia="宋体" w:cs="Times New Roman"/>
          <w:color w:val="auto"/>
          <w:highlight w:val="none"/>
          <w:lang w:val="en-US" w:eastAsia="zh-CN"/>
        </w:rPr>
      </w:pPr>
    </w:p>
    <w:p w14:paraId="137D8335">
      <w:pPr>
        <w:rPr>
          <w:rFonts w:hint="eastAsia" w:ascii="宋体" w:hAnsi="宋体" w:eastAsia="宋体" w:cs="Times New Roman"/>
          <w:color w:val="auto"/>
          <w:highlight w:val="none"/>
          <w:lang w:val="en-US" w:eastAsia="zh-CN"/>
        </w:rPr>
      </w:pPr>
    </w:p>
    <w:p w14:paraId="79F4C525">
      <w:pPr>
        <w:pStyle w:val="14"/>
        <w:rPr>
          <w:rFonts w:hint="eastAsia" w:ascii="宋体" w:hAnsi="宋体" w:eastAsia="宋体" w:cs="Times New Roman"/>
          <w:color w:val="auto"/>
          <w:highlight w:val="none"/>
          <w:lang w:val="en-US" w:eastAsia="zh-CN"/>
        </w:rPr>
      </w:pPr>
    </w:p>
    <w:p w14:paraId="113199BE">
      <w:pPr>
        <w:rPr>
          <w:rFonts w:hint="eastAsia" w:ascii="宋体" w:hAnsi="宋体" w:eastAsia="宋体" w:cs="Times New Roman"/>
          <w:color w:val="auto"/>
          <w:highlight w:val="none"/>
          <w:lang w:val="en-US" w:eastAsia="zh-CN"/>
        </w:rPr>
      </w:pPr>
    </w:p>
    <w:p w14:paraId="25593B3F">
      <w:pPr>
        <w:pStyle w:val="14"/>
        <w:rPr>
          <w:rFonts w:hint="eastAsia" w:ascii="宋体" w:hAnsi="宋体" w:eastAsia="宋体" w:cs="Times New Roman"/>
          <w:color w:val="auto"/>
          <w:highlight w:val="none"/>
          <w:lang w:val="en-US" w:eastAsia="zh-CN"/>
        </w:rPr>
      </w:pPr>
    </w:p>
    <w:p w14:paraId="625660D6">
      <w:pPr>
        <w:rPr>
          <w:rFonts w:hint="eastAsia" w:ascii="宋体" w:hAnsi="宋体" w:eastAsia="宋体" w:cs="Times New Roman"/>
          <w:color w:val="auto"/>
          <w:highlight w:val="none"/>
          <w:lang w:val="en-US" w:eastAsia="zh-CN"/>
        </w:rPr>
      </w:pPr>
    </w:p>
    <w:p w14:paraId="0701AE94">
      <w:pPr>
        <w:pStyle w:val="14"/>
        <w:rPr>
          <w:rFonts w:hint="eastAsia" w:ascii="宋体" w:hAnsi="宋体" w:eastAsia="宋体" w:cs="Times New Roman"/>
          <w:color w:val="auto"/>
          <w:highlight w:val="none"/>
          <w:lang w:val="en-US" w:eastAsia="zh-CN"/>
        </w:rPr>
      </w:pPr>
    </w:p>
    <w:p w14:paraId="1E2E9832">
      <w:pPr>
        <w:rPr>
          <w:rFonts w:hint="eastAsia" w:ascii="宋体" w:hAnsi="宋体" w:eastAsia="宋体" w:cs="Times New Roman"/>
          <w:color w:val="auto"/>
          <w:highlight w:val="none"/>
          <w:lang w:val="en-US" w:eastAsia="zh-CN"/>
        </w:rPr>
      </w:pPr>
    </w:p>
    <w:p w14:paraId="0AFAF4C7">
      <w:pPr>
        <w:pStyle w:val="14"/>
        <w:rPr>
          <w:rFonts w:hint="eastAsia" w:ascii="宋体" w:hAnsi="宋体" w:eastAsia="宋体" w:cs="Times New Roman"/>
          <w:color w:val="auto"/>
          <w:highlight w:val="none"/>
          <w:lang w:val="en-US" w:eastAsia="zh-CN"/>
        </w:rPr>
      </w:pPr>
    </w:p>
    <w:p w14:paraId="04A6C3E8">
      <w:pPr>
        <w:rPr>
          <w:rFonts w:hint="eastAsia" w:ascii="宋体" w:hAnsi="宋体" w:eastAsia="宋体" w:cs="Times New Roman"/>
          <w:color w:val="auto"/>
          <w:highlight w:val="none"/>
          <w:lang w:val="en-US" w:eastAsia="zh-CN"/>
        </w:rPr>
      </w:pPr>
    </w:p>
    <w:p w14:paraId="19CD9C08">
      <w:pPr>
        <w:pStyle w:val="14"/>
        <w:rPr>
          <w:rFonts w:hint="eastAsia" w:ascii="宋体" w:hAnsi="宋体" w:eastAsia="宋体" w:cs="Times New Roman"/>
          <w:color w:val="auto"/>
          <w:highlight w:val="none"/>
          <w:lang w:val="en-US" w:eastAsia="zh-CN"/>
        </w:rPr>
      </w:pPr>
    </w:p>
    <w:p w14:paraId="01F39A8E">
      <w:pPr>
        <w:rPr>
          <w:rFonts w:hint="eastAsia" w:ascii="宋体" w:hAnsi="宋体" w:eastAsia="宋体" w:cs="Times New Roman"/>
          <w:color w:val="auto"/>
          <w:highlight w:val="none"/>
          <w:lang w:val="en-US" w:eastAsia="zh-CN"/>
        </w:rPr>
      </w:pPr>
    </w:p>
    <w:p w14:paraId="059DE4F6">
      <w:pPr>
        <w:pStyle w:val="14"/>
        <w:rPr>
          <w:rFonts w:hint="eastAsia" w:ascii="宋体" w:hAnsi="宋体" w:eastAsia="宋体" w:cs="Times New Roman"/>
          <w:color w:val="auto"/>
          <w:highlight w:val="none"/>
          <w:lang w:val="en-US" w:eastAsia="zh-CN"/>
        </w:rPr>
      </w:pPr>
    </w:p>
    <w:p w14:paraId="1993F476">
      <w:pPr>
        <w:rPr>
          <w:rFonts w:hint="eastAsia" w:ascii="宋体" w:hAnsi="宋体" w:eastAsia="宋体" w:cs="Times New Roman"/>
          <w:color w:val="auto"/>
          <w:highlight w:val="none"/>
          <w:lang w:val="en-US" w:eastAsia="zh-CN"/>
        </w:rPr>
      </w:pPr>
    </w:p>
    <w:p w14:paraId="4F59599D">
      <w:pPr>
        <w:pStyle w:val="14"/>
        <w:rPr>
          <w:rFonts w:hint="eastAsia" w:ascii="宋体" w:hAnsi="宋体" w:eastAsia="宋体" w:cs="Times New Roman"/>
          <w:color w:val="auto"/>
          <w:highlight w:val="none"/>
          <w:lang w:val="en-US" w:eastAsia="zh-CN"/>
        </w:rPr>
      </w:pPr>
    </w:p>
    <w:p w14:paraId="4B4D34BA">
      <w:pPr>
        <w:pStyle w:val="2"/>
        <w:tabs>
          <w:tab w:val="left" w:pos="0"/>
        </w:tabs>
        <w:spacing w:before="0" w:after="0" w:line="600" w:lineRule="exact"/>
        <w:ind w:left="0" w:leftChars="0" w:firstLine="0" w:firstLineChars="0"/>
        <w:jc w:val="center"/>
        <w:rPr>
          <w:rFonts w:hint="eastAsia" w:ascii="宋体" w:hAnsi="宋体" w:eastAsia="宋体" w:cs="Times New Roman"/>
          <w:color w:val="auto"/>
          <w:highlight w:val="none"/>
        </w:rPr>
      </w:pPr>
      <w:bookmarkStart w:id="309" w:name="_Toc10968"/>
      <w:r>
        <w:rPr>
          <w:rFonts w:hint="eastAsia" w:ascii="宋体" w:hAnsi="宋体" w:eastAsia="宋体" w:cs="Times New Roman"/>
          <w:color w:val="auto"/>
          <w:highlight w:val="none"/>
          <w:lang w:val="en-US" w:eastAsia="zh-CN"/>
        </w:rPr>
        <w:t>第5章  评标方法和标准</w:t>
      </w:r>
      <w:bookmarkEnd w:id="298"/>
      <w:bookmarkEnd w:id="299"/>
      <w:bookmarkEnd w:id="300"/>
      <w:bookmarkEnd w:id="301"/>
      <w:bookmarkEnd w:id="302"/>
      <w:bookmarkEnd w:id="303"/>
      <w:bookmarkEnd w:id="304"/>
      <w:bookmarkEnd w:id="305"/>
      <w:bookmarkEnd w:id="309"/>
    </w:p>
    <w:p w14:paraId="79C17E0E">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本项目将按照招标文件第一章投标人须知中“五 开标及评标”、“六 确定中标”及本章的规定评标。</w:t>
      </w:r>
    </w:p>
    <w:p w14:paraId="05B2EED0">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一、评标方法</w:t>
      </w:r>
    </w:p>
    <w:p w14:paraId="12378E36">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ascii="宋体" w:hAnsi="宋体"/>
          <w:color w:val="auto"/>
          <w:sz w:val="24"/>
          <w:highlight w:val="none"/>
        </w:rPr>
      </w:pPr>
      <w:r>
        <w:rPr>
          <w:rFonts w:hint="eastAsia" w:ascii="宋体" w:hAnsi="宋体"/>
          <w:color w:val="auto"/>
          <w:sz w:val="24"/>
          <w:highlight w:val="none"/>
        </w:rPr>
        <w:t>本项目采用综合评分法，将依据投标人投标文件对其资信、业绩、服务、技术方案、价格等各项因素进行评价，综合评选出最佳报价方案。每一投标人的最终得分为所有评委评分的算术平均值。评标结果按评审得分由高到低顺序排列。得分相同的，按投标报价由低到高顺序排列。得分且投标报价相同的，按技术指标优劣由高到低顺序排列。</w:t>
      </w:r>
      <w:bookmarkStart w:id="310" w:name="percentDesc"/>
      <w:bookmarkEnd w:id="310"/>
    </w:p>
    <w:p w14:paraId="4319682E">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二、评标标准</w:t>
      </w:r>
    </w:p>
    <w:p w14:paraId="7114AB75">
      <w:pPr>
        <w:pStyle w:val="3"/>
        <w:pageBreakBefore w:val="0"/>
        <w:kinsoku/>
        <w:bidi w:val="0"/>
        <w:spacing w:before="0" w:beforeAutospacing="0" w:afterAutospacing="0" w:line="520" w:lineRule="exact"/>
        <w:textAlignment w:val="auto"/>
        <w:rPr>
          <w:rFonts w:ascii="宋体" w:hAnsi="宋体"/>
          <w:color w:val="auto"/>
          <w:highlight w:val="none"/>
        </w:rPr>
      </w:pPr>
      <w:bookmarkStart w:id="311" w:name="_Toc45562497"/>
      <w:bookmarkStart w:id="312" w:name="_Toc55214284"/>
      <w:bookmarkStart w:id="313" w:name="_Toc46136844"/>
      <w:bookmarkStart w:id="314" w:name="_Toc4563"/>
      <w:bookmarkStart w:id="315" w:name="_Toc55214031"/>
      <w:r>
        <w:rPr>
          <w:rFonts w:hint="eastAsia" w:ascii="宋体" w:hAnsi="宋体"/>
          <w:color w:val="auto"/>
          <w:highlight w:val="none"/>
        </w:rPr>
        <w:t>（一）初步评审</w:t>
      </w:r>
      <w:bookmarkEnd w:id="311"/>
      <w:bookmarkEnd w:id="312"/>
      <w:bookmarkEnd w:id="313"/>
      <w:bookmarkEnd w:id="314"/>
      <w:bookmarkEnd w:id="315"/>
    </w:p>
    <w:tbl>
      <w:tblPr>
        <w:tblStyle w:val="33"/>
        <w:tblW w:w="9059"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3"/>
        <w:gridCol w:w="850"/>
        <w:gridCol w:w="5246"/>
        <w:gridCol w:w="2070"/>
      </w:tblGrid>
      <w:tr w14:paraId="70FD0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2" w:hRule="exact"/>
        </w:trPr>
        <w:tc>
          <w:tcPr>
            <w:tcW w:w="893" w:type="dxa"/>
            <w:noWrap w:val="0"/>
            <w:vAlign w:val="center"/>
          </w:tcPr>
          <w:p w14:paraId="14A93361">
            <w:pPr>
              <w:keepNext w:val="0"/>
              <w:keepLines w:val="0"/>
              <w:pageBreakBefore w:val="0"/>
              <w:kinsoku/>
              <w:overflowPunct/>
              <w:topLinePunct w:val="0"/>
              <w:autoSpaceDE/>
              <w:autoSpaceDN/>
              <w:bidi w:val="0"/>
              <w:adjustRightInd/>
              <w:snapToGrid/>
              <w:spacing w:beforeAutospacing="0" w:afterAutospacing="0" w:line="460" w:lineRule="exact"/>
              <w:ind w:left="42" w:right="-20"/>
              <w:jc w:val="center"/>
              <w:textAlignment w:val="auto"/>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评审</w:t>
            </w:r>
          </w:p>
          <w:p w14:paraId="2787F229">
            <w:pPr>
              <w:keepNext w:val="0"/>
              <w:keepLines w:val="0"/>
              <w:pageBreakBefore w:val="0"/>
              <w:kinsoku/>
              <w:wordWrap w:val="0"/>
              <w:overflowPunct/>
              <w:topLinePunct w:val="0"/>
              <w:autoSpaceDE/>
              <w:autoSpaceDN/>
              <w:bidi w:val="0"/>
              <w:adjustRightInd/>
              <w:snapToGrid/>
              <w:spacing w:beforeAutospacing="0" w:afterAutospacing="0" w:line="460" w:lineRule="exact"/>
              <w:ind w:left="42" w:right="-20"/>
              <w:jc w:val="center"/>
              <w:textAlignment w:val="auto"/>
              <w:rPr>
                <w:rFonts w:ascii="宋体" w:hAnsi="宋体" w:cs="宋体"/>
                <w:color w:val="auto"/>
                <w:kern w:val="0"/>
                <w:sz w:val="24"/>
                <w:highlight w:val="none"/>
                <w:lang w:eastAsia="en-US"/>
              </w:rPr>
            </w:pPr>
            <w:r>
              <w:rPr>
                <w:rFonts w:hint="eastAsia" w:ascii="宋体" w:hAnsi="宋体" w:cs="宋体"/>
                <w:color w:val="auto"/>
                <w:kern w:val="0"/>
                <w:position w:val="-3"/>
                <w:sz w:val="24"/>
                <w:highlight w:val="none"/>
                <w:lang w:eastAsia="en-US"/>
              </w:rPr>
              <w:t>方式</w:t>
            </w:r>
          </w:p>
        </w:tc>
        <w:tc>
          <w:tcPr>
            <w:tcW w:w="850" w:type="dxa"/>
            <w:noWrap w:val="0"/>
            <w:vAlign w:val="center"/>
          </w:tcPr>
          <w:p w14:paraId="29FD35DA">
            <w:pPr>
              <w:keepNext w:val="0"/>
              <w:keepLines w:val="0"/>
              <w:pageBreakBefore w:val="0"/>
              <w:kinsoku/>
              <w:wordWrap w:val="0"/>
              <w:overflowPunct/>
              <w:topLinePunct w:val="0"/>
              <w:autoSpaceDE/>
              <w:autoSpaceDN/>
              <w:bidi w:val="0"/>
              <w:adjustRightInd/>
              <w:snapToGrid/>
              <w:spacing w:beforeAutospacing="0" w:afterAutospacing="0" w:line="460" w:lineRule="exact"/>
              <w:ind w:left="42" w:right="-20"/>
              <w:jc w:val="center"/>
              <w:textAlignment w:val="auto"/>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序</w:t>
            </w:r>
            <w:r>
              <w:rPr>
                <w:rFonts w:hint="eastAsia" w:ascii="宋体" w:hAnsi="宋体" w:cs="宋体"/>
                <w:color w:val="auto"/>
                <w:kern w:val="0"/>
                <w:position w:val="-2"/>
                <w:sz w:val="24"/>
                <w:highlight w:val="none"/>
              </w:rPr>
              <w:t>号</w:t>
            </w:r>
          </w:p>
        </w:tc>
        <w:tc>
          <w:tcPr>
            <w:tcW w:w="5246" w:type="dxa"/>
            <w:noWrap w:val="0"/>
            <w:vAlign w:val="center"/>
          </w:tcPr>
          <w:p w14:paraId="45139DAD">
            <w:pPr>
              <w:keepNext w:val="0"/>
              <w:keepLines w:val="0"/>
              <w:pageBreakBefore w:val="0"/>
              <w:kinsoku/>
              <w:wordWrap w:val="0"/>
              <w:overflowPunct/>
              <w:topLinePunct w:val="0"/>
              <w:autoSpaceDE/>
              <w:autoSpaceDN/>
              <w:bidi w:val="0"/>
              <w:adjustRightInd/>
              <w:snapToGrid/>
              <w:spacing w:beforeAutospacing="0" w:afterAutospacing="0" w:line="460" w:lineRule="exact"/>
              <w:ind w:left="1" w:right="61" w:hanging="1"/>
              <w:jc w:val="center"/>
              <w:textAlignment w:val="auto"/>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评审因素</w:t>
            </w:r>
          </w:p>
        </w:tc>
        <w:tc>
          <w:tcPr>
            <w:tcW w:w="2070" w:type="dxa"/>
            <w:noWrap w:val="0"/>
            <w:vAlign w:val="center"/>
          </w:tcPr>
          <w:p w14:paraId="354DF858">
            <w:pPr>
              <w:keepNext w:val="0"/>
              <w:keepLines w:val="0"/>
              <w:pageBreakBefore w:val="0"/>
              <w:kinsoku/>
              <w:wordWrap w:val="0"/>
              <w:overflowPunct/>
              <w:topLinePunct w:val="0"/>
              <w:autoSpaceDE/>
              <w:autoSpaceDN/>
              <w:bidi w:val="0"/>
              <w:adjustRightInd/>
              <w:snapToGrid/>
              <w:spacing w:beforeAutospacing="0" w:afterAutospacing="0" w:line="460" w:lineRule="exact"/>
              <w:ind w:left="42" w:right="303"/>
              <w:jc w:val="center"/>
              <w:textAlignment w:val="auto"/>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rPr>
              <w:t>评审标准</w:t>
            </w:r>
          </w:p>
        </w:tc>
      </w:tr>
      <w:tr w14:paraId="5290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5" w:hRule="exact"/>
        </w:trPr>
        <w:tc>
          <w:tcPr>
            <w:tcW w:w="893" w:type="dxa"/>
            <w:vMerge w:val="restart"/>
            <w:noWrap w:val="0"/>
            <w:vAlign w:val="center"/>
          </w:tcPr>
          <w:p w14:paraId="5F759072">
            <w:pPr>
              <w:keepNext w:val="0"/>
              <w:keepLines w:val="0"/>
              <w:pageBreakBefore w:val="0"/>
              <w:kinsoku/>
              <w:overflowPunct/>
              <w:topLinePunct w:val="0"/>
              <w:autoSpaceDE/>
              <w:autoSpaceDN/>
              <w:bidi w:val="0"/>
              <w:adjustRightInd/>
              <w:snapToGrid/>
              <w:spacing w:beforeAutospacing="0" w:afterAutospacing="0" w:line="460" w:lineRule="exact"/>
              <w:ind w:left="198" w:right="132"/>
              <w:jc w:val="center"/>
              <w:textAlignment w:val="auto"/>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资格评审</w:t>
            </w:r>
          </w:p>
        </w:tc>
        <w:tc>
          <w:tcPr>
            <w:tcW w:w="850" w:type="dxa"/>
            <w:noWrap w:val="0"/>
            <w:vAlign w:val="center"/>
          </w:tcPr>
          <w:p w14:paraId="1C469E36">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1</w:t>
            </w:r>
          </w:p>
        </w:tc>
        <w:tc>
          <w:tcPr>
            <w:tcW w:w="5246" w:type="dxa"/>
            <w:noWrap w:val="0"/>
            <w:vAlign w:val="center"/>
          </w:tcPr>
          <w:p w14:paraId="11456EE3">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以招标文件规定的方式获取招标文件</w:t>
            </w:r>
          </w:p>
        </w:tc>
        <w:tc>
          <w:tcPr>
            <w:tcW w:w="2070" w:type="dxa"/>
            <w:noWrap w:val="0"/>
            <w:vAlign w:val="center"/>
          </w:tcPr>
          <w:p w14:paraId="690B3E44">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r>
              <w:rPr>
                <w:rFonts w:ascii="宋体" w:hAnsi="宋体"/>
                <w:color w:val="auto"/>
                <w:kern w:val="0"/>
                <w:sz w:val="24"/>
                <w:highlight w:val="none"/>
              </w:rPr>
              <w:t>是否在规定时间内获取</w:t>
            </w:r>
          </w:p>
        </w:tc>
      </w:tr>
      <w:tr w14:paraId="4C050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exact"/>
        </w:trPr>
        <w:tc>
          <w:tcPr>
            <w:tcW w:w="893" w:type="dxa"/>
            <w:vMerge w:val="continue"/>
            <w:noWrap w:val="0"/>
            <w:vAlign w:val="center"/>
          </w:tcPr>
          <w:p w14:paraId="4139904E">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21520628">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2</w:t>
            </w:r>
          </w:p>
        </w:tc>
        <w:tc>
          <w:tcPr>
            <w:tcW w:w="5246" w:type="dxa"/>
            <w:noWrap w:val="0"/>
            <w:vAlign w:val="center"/>
          </w:tcPr>
          <w:p w14:paraId="58906131">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在中华人民共和国境内注册</w:t>
            </w:r>
          </w:p>
        </w:tc>
        <w:tc>
          <w:tcPr>
            <w:tcW w:w="2070" w:type="dxa"/>
            <w:noWrap w:val="0"/>
            <w:vAlign w:val="center"/>
          </w:tcPr>
          <w:p w14:paraId="00378DF8">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r>
              <w:rPr>
                <w:rFonts w:ascii="宋体" w:hAnsi="宋体" w:cs="宋体"/>
                <w:color w:val="auto"/>
                <w:kern w:val="0"/>
                <w:sz w:val="24"/>
                <w:highlight w:val="none"/>
              </w:rPr>
              <w:t>是否符合</w:t>
            </w:r>
          </w:p>
        </w:tc>
      </w:tr>
      <w:tr w14:paraId="7C3D5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6" w:hRule="exact"/>
        </w:trPr>
        <w:tc>
          <w:tcPr>
            <w:tcW w:w="893" w:type="dxa"/>
            <w:vMerge w:val="continue"/>
            <w:noWrap w:val="0"/>
            <w:vAlign w:val="center"/>
          </w:tcPr>
          <w:p w14:paraId="04D73F30">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17FE0C57">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3</w:t>
            </w:r>
          </w:p>
        </w:tc>
        <w:tc>
          <w:tcPr>
            <w:tcW w:w="5246" w:type="dxa"/>
            <w:noWrap w:val="0"/>
            <w:vAlign w:val="center"/>
          </w:tcPr>
          <w:p w14:paraId="68577071">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营业执照</w:t>
            </w:r>
          </w:p>
        </w:tc>
        <w:tc>
          <w:tcPr>
            <w:tcW w:w="2070" w:type="dxa"/>
            <w:noWrap w:val="0"/>
            <w:vAlign w:val="center"/>
          </w:tcPr>
          <w:p w14:paraId="365FD352">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lang w:eastAsia="en-US"/>
              </w:rPr>
            </w:pPr>
            <w:r>
              <w:rPr>
                <w:rFonts w:ascii="宋体" w:hAnsi="宋体"/>
                <w:color w:val="auto"/>
                <w:kern w:val="0"/>
                <w:sz w:val="24"/>
                <w:highlight w:val="none"/>
              </w:rPr>
              <w:t>是否符合</w:t>
            </w:r>
          </w:p>
        </w:tc>
      </w:tr>
      <w:tr w14:paraId="3F485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5" w:hRule="exact"/>
        </w:trPr>
        <w:tc>
          <w:tcPr>
            <w:tcW w:w="893" w:type="dxa"/>
            <w:vMerge w:val="continue"/>
            <w:noWrap w:val="0"/>
            <w:vAlign w:val="center"/>
          </w:tcPr>
          <w:p w14:paraId="6CE7A368">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lang w:eastAsia="en-US"/>
              </w:rPr>
            </w:pPr>
          </w:p>
        </w:tc>
        <w:tc>
          <w:tcPr>
            <w:tcW w:w="850" w:type="dxa"/>
            <w:noWrap w:val="0"/>
            <w:vAlign w:val="center"/>
          </w:tcPr>
          <w:p w14:paraId="5CD855D0">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4</w:t>
            </w:r>
          </w:p>
        </w:tc>
        <w:tc>
          <w:tcPr>
            <w:tcW w:w="5246" w:type="dxa"/>
            <w:noWrap w:val="0"/>
            <w:vAlign w:val="center"/>
          </w:tcPr>
          <w:p w14:paraId="123D0A8E">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法定代表人/负责人身份证明书或法定代表人/负责人授权委托书</w:t>
            </w:r>
          </w:p>
        </w:tc>
        <w:tc>
          <w:tcPr>
            <w:tcW w:w="2070" w:type="dxa"/>
            <w:noWrap w:val="0"/>
            <w:vAlign w:val="center"/>
          </w:tcPr>
          <w:p w14:paraId="0E77F38E">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r>
              <w:rPr>
                <w:rFonts w:ascii="宋体" w:hAnsi="宋体"/>
                <w:color w:val="auto"/>
                <w:kern w:val="0"/>
                <w:sz w:val="24"/>
                <w:highlight w:val="none"/>
              </w:rPr>
              <w:t>格式及内容是否完整</w:t>
            </w:r>
          </w:p>
        </w:tc>
      </w:tr>
      <w:tr w14:paraId="61D30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exact"/>
        </w:trPr>
        <w:tc>
          <w:tcPr>
            <w:tcW w:w="893" w:type="dxa"/>
            <w:vMerge w:val="continue"/>
            <w:noWrap w:val="0"/>
            <w:vAlign w:val="center"/>
          </w:tcPr>
          <w:p w14:paraId="78911CF9">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192B91E2">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5</w:t>
            </w:r>
          </w:p>
        </w:tc>
        <w:tc>
          <w:tcPr>
            <w:tcW w:w="5246" w:type="dxa"/>
            <w:noWrap w:val="0"/>
            <w:vAlign w:val="center"/>
          </w:tcPr>
          <w:p w14:paraId="4A1FE632">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无重大违法记录的书面声明</w:t>
            </w:r>
          </w:p>
        </w:tc>
        <w:tc>
          <w:tcPr>
            <w:tcW w:w="2070" w:type="dxa"/>
            <w:noWrap w:val="0"/>
            <w:vAlign w:val="center"/>
          </w:tcPr>
          <w:p w14:paraId="3C8D9C20">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olor w:val="auto"/>
                <w:kern w:val="0"/>
                <w:sz w:val="24"/>
                <w:highlight w:val="none"/>
              </w:rPr>
            </w:pPr>
            <w:r>
              <w:rPr>
                <w:rFonts w:ascii="宋体" w:hAnsi="宋体"/>
                <w:color w:val="auto"/>
                <w:kern w:val="0"/>
                <w:sz w:val="24"/>
                <w:highlight w:val="none"/>
              </w:rPr>
              <w:t>是否按要求提供</w:t>
            </w:r>
          </w:p>
        </w:tc>
      </w:tr>
      <w:tr w14:paraId="64307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exact"/>
        </w:trPr>
        <w:tc>
          <w:tcPr>
            <w:tcW w:w="893" w:type="dxa"/>
            <w:vMerge w:val="continue"/>
            <w:noWrap w:val="0"/>
            <w:vAlign w:val="center"/>
          </w:tcPr>
          <w:p w14:paraId="0CAD7FE6">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lang w:eastAsia="en-US"/>
              </w:rPr>
            </w:pPr>
          </w:p>
        </w:tc>
        <w:tc>
          <w:tcPr>
            <w:tcW w:w="850" w:type="dxa"/>
            <w:noWrap w:val="0"/>
            <w:vAlign w:val="center"/>
          </w:tcPr>
          <w:p w14:paraId="145685CB">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lang w:val="en-US" w:eastAsia="zh-CN"/>
              </w:rPr>
              <w:t>6</w:t>
            </w:r>
          </w:p>
        </w:tc>
        <w:tc>
          <w:tcPr>
            <w:tcW w:w="5246" w:type="dxa"/>
            <w:noWrap w:val="0"/>
            <w:vAlign w:val="center"/>
          </w:tcPr>
          <w:p w14:paraId="34769546">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lang w:eastAsia="zh-CN"/>
              </w:rPr>
              <w:t>投标人须知资料表</w:t>
            </w:r>
            <w:r>
              <w:rPr>
                <w:rFonts w:hint="eastAsia" w:ascii="宋体" w:hAnsi="宋体" w:cs="宋体"/>
                <w:color w:val="auto"/>
                <w:kern w:val="0"/>
                <w:position w:val="-2"/>
                <w:sz w:val="24"/>
                <w:highlight w:val="none"/>
              </w:rPr>
              <w:t>中要求的</w:t>
            </w:r>
            <w:r>
              <w:rPr>
                <w:rFonts w:hint="eastAsia" w:ascii="宋体" w:hAnsi="宋体" w:cs="宋体"/>
                <w:color w:val="auto"/>
                <w:kern w:val="0"/>
                <w:position w:val="-2"/>
                <w:sz w:val="24"/>
                <w:highlight w:val="none"/>
                <w:lang w:eastAsia="zh-CN"/>
              </w:rPr>
              <w:t>投标人</w:t>
            </w:r>
            <w:r>
              <w:rPr>
                <w:rFonts w:hint="eastAsia" w:ascii="宋体" w:hAnsi="宋体" w:cs="宋体"/>
                <w:color w:val="auto"/>
                <w:kern w:val="0"/>
                <w:position w:val="-2"/>
                <w:sz w:val="24"/>
                <w:highlight w:val="none"/>
              </w:rPr>
              <w:t>其他资格要求</w:t>
            </w:r>
          </w:p>
        </w:tc>
        <w:tc>
          <w:tcPr>
            <w:tcW w:w="2070" w:type="dxa"/>
            <w:noWrap w:val="0"/>
            <w:vAlign w:val="center"/>
          </w:tcPr>
          <w:p w14:paraId="64BE9395">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olor w:val="auto"/>
                <w:kern w:val="0"/>
                <w:sz w:val="24"/>
                <w:highlight w:val="none"/>
              </w:rPr>
            </w:pPr>
            <w:r>
              <w:rPr>
                <w:rFonts w:ascii="宋体" w:hAnsi="宋体"/>
                <w:color w:val="auto"/>
                <w:kern w:val="0"/>
                <w:sz w:val="24"/>
                <w:highlight w:val="none"/>
              </w:rPr>
              <w:t>是否按要求提供</w:t>
            </w:r>
          </w:p>
        </w:tc>
      </w:tr>
      <w:tr w14:paraId="77070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exact"/>
        </w:trPr>
        <w:tc>
          <w:tcPr>
            <w:tcW w:w="893" w:type="dxa"/>
            <w:vMerge w:val="continue"/>
            <w:noWrap w:val="0"/>
            <w:vAlign w:val="center"/>
          </w:tcPr>
          <w:p w14:paraId="08C49D6F">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6D2EE93F">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lang w:val="en-US" w:eastAsia="zh-CN"/>
              </w:rPr>
              <w:t>7</w:t>
            </w:r>
          </w:p>
        </w:tc>
        <w:tc>
          <w:tcPr>
            <w:tcW w:w="5246" w:type="dxa"/>
            <w:noWrap w:val="0"/>
            <w:vAlign w:val="center"/>
          </w:tcPr>
          <w:p w14:paraId="1405C168">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其他内容</w:t>
            </w:r>
          </w:p>
        </w:tc>
        <w:tc>
          <w:tcPr>
            <w:tcW w:w="2070" w:type="dxa"/>
            <w:noWrap w:val="0"/>
            <w:vAlign w:val="center"/>
          </w:tcPr>
          <w:p w14:paraId="17B0B936">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olor w:val="auto"/>
                <w:kern w:val="0"/>
                <w:sz w:val="24"/>
                <w:highlight w:val="none"/>
              </w:rPr>
            </w:pPr>
            <w:r>
              <w:rPr>
                <w:rFonts w:ascii="宋体" w:hAnsi="宋体"/>
                <w:color w:val="auto"/>
                <w:kern w:val="0"/>
                <w:sz w:val="24"/>
                <w:highlight w:val="none"/>
              </w:rPr>
              <w:t>是否按要求提供</w:t>
            </w:r>
          </w:p>
        </w:tc>
      </w:tr>
      <w:tr w14:paraId="782FE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exact"/>
        </w:trPr>
        <w:tc>
          <w:tcPr>
            <w:tcW w:w="893" w:type="dxa"/>
            <w:vMerge w:val="restart"/>
            <w:noWrap w:val="0"/>
            <w:vAlign w:val="center"/>
          </w:tcPr>
          <w:p w14:paraId="7E9298CA">
            <w:pPr>
              <w:keepNext w:val="0"/>
              <w:keepLines w:val="0"/>
              <w:pageBreakBefore w:val="0"/>
              <w:kinsoku/>
              <w:wordWrap w:val="0"/>
              <w:overflowPunct/>
              <w:topLinePunct w:val="0"/>
              <w:autoSpaceDE/>
              <w:autoSpaceDN/>
              <w:bidi w:val="0"/>
              <w:adjustRightInd/>
              <w:snapToGrid/>
              <w:spacing w:beforeAutospacing="0" w:afterAutospacing="0" w:line="460" w:lineRule="exact"/>
              <w:ind w:left="175" w:right="155"/>
              <w:jc w:val="center"/>
              <w:textAlignment w:val="auto"/>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符合性评审</w:t>
            </w:r>
          </w:p>
        </w:tc>
        <w:tc>
          <w:tcPr>
            <w:tcW w:w="850" w:type="dxa"/>
            <w:noWrap w:val="0"/>
            <w:vAlign w:val="center"/>
          </w:tcPr>
          <w:p w14:paraId="6D460C6B">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1</w:t>
            </w:r>
          </w:p>
        </w:tc>
        <w:tc>
          <w:tcPr>
            <w:tcW w:w="5246" w:type="dxa"/>
            <w:noWrap w:val="0"/>
            <w:vAlign w:val="center"/>
          </w:tcPr>
          <w:p w14:paraId="0233E120">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未按照招标文件规定要求签署、盖章的</w:t>
            </w:r>
          </w:p>
        </w:tc>
        <w:tc>
          <w:tcPr>
            <w:tcW w:w="2070" w:type="dxa"/>
            <w:noWrap w:val="0"/>
            <w:vAlign w:val="center"/>
          </w:tcPr>
          <w:p w14:paraId="0CC0E5E0">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olor w:val="auto"/>
                <w:kern w:val="0"/>
                <w:sz w:val="24"/>
                <w:highlight w:val="none"/>
              </w:rPr>
            </w:pPr>
            <w:r>
              <w:rPr>
                <w:rFonts w:ascii="宋体" w:hAnsi="宋体"/>
                <w:color w:val="auto"/>
                <w:kern w:val="0"/>
                <w:sz w:val="24"/>
                <w:highlight w:val="none"/>
              </w:rPr>
              <w:t>是否按要求提供</w:t>
            </w:r>
          </w:p>
        </w:tc>
      </w:tr>
      <w:tr w14:paraId="01EB9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6" w:hRule="exact"/>
        </w:trPr>
        <w:tc>
          <w:tcPr>
            <w:tcW w:w="893" w:type="dxa"/>
            <w:vMerge w:val="continue"/>
            <w:noWrap w:val="0"/>
            <w:vAlign w:val="center"/>
          </w:tcPr>
          <w:p w14:paraId="2E326351">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1C6760E5">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2</w:t>
            </w:r>
          </w:p>
        </w:tc>
        <w:tc>
          <w:tcPr>
            <w:tcW w:w="5246" w:type="dxa"/>
            <w:noWrap w:val="0"/>
            <w:vAlign w:val="center"/>
          </w:tcPr>
          <w:p w14:paraId="6F1532AD">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报价一览表</w:t>
            </w:r>
          </w:p>
        </w:tc>
        <w:tc>
          <w:tcPr>
            <w:tcW w:w="2070" w:type="dxa"/>
            <w:noWrap w:val="0"/>
            <w:vAlign w:val="center"/>
          </w:tcPr>
          <w:p w14:paraId="63E7D5C3">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color w:val="auto"/>
                <w:highlight w:val="none"/>
              </w:rPr>
            </w:pPr>
            <w:r>
              <w:rPr>
                <w:rFonts w:ascii="宋体" w:hAnsi="宋体"/>
                <w:color w:val="auto"/>
                <w:kern w:val="0"/>
                <w:sz w:val="24"/>
                <w:highlight w:val="none"/>
              </w:rPr>
              <w:t>是否按要求提供</w:t>
            </w:r>
          </w:p>
        </w:tc>
      </w:tr>
      <w:tr w14:paraId="46EA9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exact"/>
        </w:trPr>
        <w:tc>
          <w:tcPr>
            <w:tcW w:w="893" w:type="dxa"/>
            <w:vMerge w:val="continue"/>
            <w:noWrap w:val="0"/>
            <w:vAlign w:val="center"/>
          </w:tcPr>
          <w:p w14:paraId="49ABAD14">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lang w:eastAsia="en-US"/>
              </w:rPr>
            </w:pPr>
          </w:p>
        </w:tc>
        <w:tc>
          <w:tcPr>
            <w:tcW w:w="850" w:type="dxa"/>
            <w:noWrap w:val="0"/>
            <w:vAlign w:val="center"/>
          </w:tcPr>
          <w:p w14:paraId="48366C99">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3</w:t>
            </w:r>
          </w:p>
        </w:tc>
        <w:tc>
          <w:tcPr>
            <w:tcW w:w="5246" w:type="dxa"/>
            <w:noWrap w:val="0"/>
            <w:vAlign w:val="center"/>
          </w:tcPr>
          <w:p w14:paraId="1F4E00DD">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分项报价表</w:t>
            </w:r>
          </w:p>
        </w:tc>
        <w:tc>
          <w:tcPr>
            <w:tcW w:w="2070" w:type="dxa"/>
            <w:noWrap w:val="0"/>
            <w:vAlign w:val="center"/>
          </w:tcPr>
          <w:p w14:paraId="605D225F">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color w:val="auto"/>
                <w:highlight w:val="none"/>
              </w:rPr>
            </w:pPr>
            <w:r>
              <w:rPr>
                <w:rFonts w:ascii="宋体" w:hAnsi="宋体"/>
                <w:color w:val="auto"/>
                <w:kern w:val="0"/>
                <w:sz w:val="24"/>
                <w:highlight w:val="none"/>
              </w:rPr>
              <w:t>是否按要求提供</w:t>
            </w:r>
          </w:p>
        </w:tc>
      </w:tr>
      <w:tr w14:paraId="70E3F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exact"/>
        </w:trPr>
        <w:tc>
          <w:tcPr>
            <w:tcW w:w="893" w:type="dxa"/>
            <w:vMerge w:val="continue"/>
            <w:noWrap w:val="0"/>
            <w:vAlign w:val="center"/>
          </w:tcPr>
          <w:p w14:paraId="35F74F5D">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lang w:eastAsia="en-US"/>
              </w:rPr>
            </w:pPr>
          </w:p>
        </w:tc>
        <w:tc>
          <w:tcPr>
            <w:tcW w:w="850" w:type="dxa"/>
            <w:noWrap w:val="0"/>
            <w:vAlign w:val="center"/>
          </w:tcPr>
          <w:p w14:paraId="11F724BB">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4</w:t>
            </w:r>
          </w:p>
        </w:tc>
        <w:tc>
          <w:tcPr>
            <w:tcW w:w="5246" w:type="dxa"/>
            <w:noWrap w:val="0"/>
            <w:vAlign w:val="center"/>
          </w:tcPr>
          <w:p w14:paraId="15263576">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技术明细表（含偏离）</w:t>
            </w:r>
          </w:p>
        </w:tc>
        <w:tc>
          <w:tcPr>
            <w:tcW w:w="2070" w:type="dxa"/>
            <w:noWrap w:val="0"/>
            <w:vAlign w:val="center"/>
          </w:tcPr>
          <w:p w14:paraId="14E81C90">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color w:val="auto"/>
                <w:highlight w:val="none"/>
              </w:rPr>
            </w:pPr>
            <w:r>
              <w:rPr>
                <w:rFonts w:ascii="宋体" w:hAnsi="宋体"/>
                <w:color w:val="auto"/>
                <w:kern w:val="0"/>
                <w:sz w:val="24"/>
                <w:highlight w:val="none"/>
              </w:rPr>
              <w:t>是否按要求提供</w:t>
            </w:r>
          </w:p>
        </w:tc>
      </w:tr>
      <w:tr w14:paraId="05D58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exact"/>
        </w:trPr>
        <w:tc>
          <w:tcPr>
            <w:tcW w:w="893" w:type="dxa"/>
            <w:vMerge w:val="continue"/>
            <w:noWrap w:val="0"/>
            <w:vAlign w:val="center"/>
          </w:tcPr>
          <w:p w14:paraId="15AFFBFA">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03903D4C">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5</w:t>
            </w:r>
          </w:p>
        </w:tc>
        <w:tc>
          <w:tcPr>
            <w:tcW w:w="5246" w:type="dxa"/>
            <w:noWrap w:val="0"/>
            <w:vAlign w:val="center"/>
          </w:tcPr>
          <w:p w14:paraId="405A239E">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w:t>
            </w:r>
            <w:r>
              <w:rPr>
                <w:rFonts w:hint="eastAsia" w:ascii="宋体" w:hAnsi="宋体" w:cs="宋体"/>
                <w:color w:val="auto"/>
                <w:kern w:val="0"/>
                <w:position w:val="-2"/>
                <w:sz w:val="24"/>
                <w:highlight w:val="none"/>
                <w:lang w:val="en-US" w:eastAsia="zh-CN"/>
              </w:rPr>
              <w:t>服务需求</w:t>
            </w:r>
            <w:r>
              <w:rPr>
                <w:rFonts w:hint="eastAsia" w:ascii="宋体" w:hAnsi="宋体" w:cs="宋体"/>
                <w:color w:val="auto"/>
                <w:kern w:val="0"/>
                <w:position w:val="-2"/>
                <w:sz w:val="24"/>
                <w:highlight w:val="none"/>
              </w:rPr>
              <w:t>”中实质性要求条款情况</w:t>
            </w:r>
          </w:p>
        </w:tc>
        <w:tc>
          <w:tcPr>
            <w:tcW w:w="2070" w:type="dxa"/>
            <w:noWrap w:val="0"/>
            <w:vAlign w:val="center"/>
          </w:tcPr>
          <w:p w14:paraId="321015CF">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r>
              <w:rPr>
                <w:rFonts w:ascii="宋体" w:hAnsi="宋体"/>
                <w:color w:val="auto"/>
                <w:kern w:val="0"/>
                <w:sz w:val="24"/>
                <w:highlight w:val="none"/>
              </w:rPr>
              <w:t>是否按要求提供</w:t>
            </w:r>
          </w:p>
        </w:tc>
      </w:tr>
      <w:tr w14:paraId="159E6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exact"/>
        </w:trPr>
        <w:tc>
          <w:tcPr>
            <w:tcW w:w="893" w:type="dxa"/>
            <w:vMerge w:val="continue"/>
            <w:noWrap w:val="0"/>
            <w:vAlign w:val="center"/>
          </w:tcPr>
          <w:p w14:paraId="6F19F7EA">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6F89CC2E">
            <w:pPr>
              <w:keepNext w:val="0"/>
              <w:keepLines w:val="0"/>
              <w:pageBreakBefore w:val="0"/>
              <w:kinsoku/>
              <w:wordWrap w:val="0"/>
              <w:overflowPunct/>
              <w:topLinePunct w:val="0"/>
              <w:autoSpaceDE/>
              <w:autoSpaceDN/>
              <w:bidi w:val="0"/>
              <w:adjustRightInd/>
              <w:snapToGrid/>
              <w:spacing w:beforeAutospacing="0" w:afterAutospacing="0" w:line="460" w:lineRule="exact"/>
              <w:ind w:left="172" w:right="152"/>
              <w:jc w:val="center"/>
              <w:textAlignment w:val="auto"/>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6</w:t>
            </w:r>
          </w:p>
        </w:tc>
        <w:tc>
          <w:tcPr>
            <w:tcW w:w="5246" w:type="dxa"/>
            <w:noWrap w:val="0"/>
            <w:vAlign w:val="center"/>
          </w:tcPr>
          <w:p w14:paraId="517A2D59">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报价超过项目预算或最高限价的</w:t>
            </w:r>
          </w:p>
        </w:tc>
        <w:tc>
          <w:tcPr>
            <w:tcW w:w="2070" w:type="dxa"/>
            <w:noWrap w:val="0"/>
            <w:vAlign w:val="center"/>
          </w:tcPr>
          <w:p w14:paraId="37BAF683">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r>
              <w:rPr>
                <w:rFonts w:ascii="宋体" w:hAnsi="宋体" w:cs="宋体"/>
                <w:color w:val="auto"/>
                <w:kern w:val="0"/>
                <w:sz w:val="24"/>
                <w:highlight w:val="none"/>
              </w:rPr>
              <w:t>是否超出</w:t>
            </w:r>
          </w:p>
        </w:tc>
      </w:tr>
      <w:tr w14:paraId="4A48F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exact"/>
        </w:trPr>
        <w:tc>
          <w:tcPr>
            <w:tcW w:w="893" w:type="dxa"/>
            <w:vMerge w:val="continue"/>
            <w:noWrap w:val="0"/>
            <w:vAlign w:val="center"/>
          </w:tcPr>
          <w:p w14:paraId="404744E3">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192B208A">
            <w:pPr>
              <w:keepNext w:val="0"/>
              <w:keepLines w:val="0"/>
              <w:pageBreakBefore w:val="0"/>
              <w:kinsoku/>
              <w:wordWrap w:val="0"/>
              <w:overflowPunct/>
              <w:topLinePunct w:val="0"/>
              <w:autoSpaceDE/>
              <w:autoSpaceDN/>
              <w:bidi w:val="0"/>
              <w:adjustRightInd/>
              <w:snapToGrid/>
              <w:spacing w:beforeAutospacing="0" w:afterAutospacing="0" w:line="460" w:lineRule="exact"/>
              <w:ind w:left="172" w:leftChars="0" w:right="152" w:rightChars="0"/>
              <w:jc w:val="center"/>
              <w:textAlignment w:val="auto"/>
              <w:rPr>
                <w:rFonts w:ascii="宋体" w:hAnsi="宋体" w:eastAsia="宋体" w:cs="宋体"/>
                <w:color w:val="auto"/>
                <w:kern w:val="0"/>
                <w:sz w:val="24"/>
                <w:szCs w:val="24"/>
                <w:highlight w:val="none"/>
                <w:lang w:val="en-US" w:eastAsia="en-US" w:bidi="ar-SA"/>
              </w:rPr>
            </w:pPr>
            <w:r>
              <w:rPr>
                <w:rFonts w:hint="eastAsia" w:ascii="宋体" w:hAnsi="宋体" w:cs="宋体"/>
                <w:color w:val="auto"/>
                <w:kern w:val="0"/>
                <w:position w:val="-2"/>
                <w:sz w:val="24"/>
                <w:highlight w:val="none"/>
                <w:lang w:eastAsia="en-US"/>
              </w:rPr>
              <w:t>7</w:t>
            </w:r>
          </w:p>
        </w:tc>
        <w:tc>
          <w:tcPr>
            <w:tcW w:w="5246" w:type="dxa"/>
            <w:noWrap w:val="0"/>
            <w:vAlign w:val="center"/>
          </w:tcPr>
          <w:p w14:paraId="49C9E072">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投标文件有效期不足的</w:t>
            </w:r>
          </w:p>
        </w:tc>
        <w:tc>
          <w:tcPr>
            <w:tcW w:w="2070" w:type="dxa"/>
            <w:noWrap w:val="0"/>
            <w:vAlign w:val="center"/>
          </w:tcPr>
          <w:p w14:paraId="49DF5370">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r>
              <w:rPr>
                <w:rFonts w:ascii="宋体" w:hAnsi="宋体" w:cs="宋体"/>
                <w:color w:val="auto"/>
                <w:kern w:val="0"/>
                <w:sz w:val="24"/>
                <w:highlight w:val="none"/>
              </w:rPr>
              <w:t>是否满足</w:t>
            </w:r>
          </w:p>
        </w:tc>
      </w:tr>
      <w:tr w14:paraId="4F812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1" w:hRule="exact"/>
        </w:trPr>
        <w:tc>
          <w:tcPr>
            <w:tcW w:w="893" w:type="dxa"/>
            <w:vMerge w:val="continue"/>
            <w:noWrap w:val="0"/>
            <w:vAlign w:val="center"/>
          </w:tcPr>
          <w:p w14:paraId="2C38B1FD">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74CCE049">
            <w:pPr>
              <w:keepNext w:val="0"/>
              <w:keepLines w:val="0"/>
              <w:pageBreakBefore w:val="0"/>
              <w:kinsoku/>
              <w:wordWrap w:val="0"/>
              <w:overflowPunct/>
              <w:topLinePunct w:val="0"/>
              <w:autoSpaceDE/>
              <w:autoSpaceDN/>
              <w:bidi w:val="0"/>
              <w:adjustRightInd/>
              <w:snapToGrid/>
              <w:spacing w:beforeAutospacing="0" w:afterAutospacing="0" w:line="460" w:lineRule="exact"/>
              <w:ind w:left="172" w:leftChars="0" w:right="152" w:rightChars="0"/>
              <w:jc w:val="center"/>
              <w:textAlignment w:val="auto"/>
              <w:rPr>
                <w:rFonts w:ascii="宋体" w:hAnsi="宋体" w:eastAsia="宋体" w:cs="宋体"/>
                <w:color w:val="auto"/>
                <w:kern w:val="0"/>
                <w:sz w:val="24"/>
                <w:szCs w:val="24"/>
                <w:highlight w:val="none"/>
                <w:lang w:val="en-US" w:eastAsia="en-US" w:bidi="ar-SA"/>
              </w:rPr>
            </w:pPr>
            <w:r>
              <w:rPr>
                <w:rFonts w:hint="eastAsia" w:ascii="宋体" w:hAnsi="宋体" w:eastAsia="宋体" w:cs="宋体"/>
                <w:color w:val="auto"/>
                <w:kern w:val="0"/>
                <w:sz w:val="24"/>
                <w:szCs w:val="24"/>
                <w:highlight w:val="none"/>
                <w:lang w:val="en-US" w:eastAsia="en-US" w:bidi="ar-SA"/>
              </w:rPr>
              <w:t>8</w:t>
            </w:r>
          </w:p>
        </w:tc>
        <w:tc>
          <w:tcPr>
            <w:tcW w:w="5246" w:type="dxa"/>
            <w:noWrap w:val="0"/>
            <w:vAlign w:val="center"/>
          </w:tcPr>
          <w:p w14:paraId="36494D87">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联合体投标文件未附联合体投标文件协议书的（本项目不接受）</w:t>
            </w:r>
          </w:p>
        </w:tc>
        <w:tc>
          <w:tcPr>
            <w:tcW w:w="2070" w:type="dxa"/>
            <w:noWrap w:val="0"/>
            <w:vAlign w:val="center"/>
          </w:tcPr>
          <w:p w14:paraId="496BBD50">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r>
              <w:rPr>
                <w:rFonts w:hint="eastAsia" w:ascii="宋体" w:hAnsi="宋体" w:cs="宋体"/>
                <w:color w:val="auto"/>
                <w:kern w:val="0"/>
                <w:sz w:val="24"/>
                <w:highlight w:val="none"/>
              </w:rPr>
              <w:t>/</w:t>
            </w:r>
          </w:p>
        </w:tc>
      </w:tr>
      <w:tr w14:paraId="3A094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exact"/>
        </w:trPr>
        <w:tc>
          <w:tcPr>
            <w:tcW w:w="893" w:type="dxa"/>
            <w:vMerge w:val="continue"/>
            <w:noWrap w:val="0"/>
            <w:vAlign w:val="center"/>
          </w:tcPr>
          <w:p w14:paraId="42120968">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036B07E8">
            <w:pPr>
              <w:keepNext w:val="0"/>
              <w:keepLines w:val="0"/>
              <w:pageBreakBefore w:val="0"/>
              <w:kinsoku/>
              <w:wordWrap w:val="0"/>
              <w:overflowPunct/>
              <w:topLinePunct w:val="0"/>
              <w:autoSpaceDE/>
              <w:autoSpaceDN/>
              <w:bidi w:val="0"/>
              <w:adjustRightInd/>
              <w:snapToGrid/>
              <w:spacing w:beforeAutospacing="0" w:afterAutospacing="0" w:line="460" w:lineRule="exact"/>
              <w:ind w:left="172" w:leftChars="0" w:right="152" w:rightChars="0"/>
              <w:jc w:val="center"/>
              <w:textAlignment w:val="auto"/>
              <w:rPr>
                <w:rFonts w:ascii="宋体" w:hAnsi="宋体" w:eastAsia="宋体" w:cs="宋体"/>
                <w:color w:val="auto"/>
                <w:kern w:val="0"/>
                <w:sz w:val="24"/>
                <w:szCs w:val="24"/>
                <w:highlight w:val="none"/>
                <w:lang w:val="en-US" w:eastAsia="en-US" w:bidi="ar-SA"/>
              </w:rPr>
            </w:pPr>
            <w:r>
              <w:rPr>
                <w:rFonts w:hint="eastAsia" w:ascii="宋体" w:hAnsi="宋体" w:eastAsia="宋体" w:cs="宋体"/>
                <w:color w:val="auto"/>
                <w:kern w:val="0"/>
                <w:sz w:val="24"/>
                <w:szCs w:val="24"/>
                <w:highlight w:val="none"/>
                <w:lang w:val="en-US" w:eastAsia="en-US" w:bidi="ar-SA"/>
              </w:rPr>
              <w:t>9</w:t>
            </w:r>
          </w:p>
        </w:tc>
        <w:tc>
          <w:tcPr>
            <w:tcW w:w="5246" w:type="dxa"/>
            <w:noWrap w:val="0"/>
            <w:vAlign w:val="center"/>
          </w:tcPr>
          <w:p w14:paraId="3A83F4BF">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不符合招标文件中有关分包规定的</w:t>
            </w:r>
          </w:p>
        </w:tc>
        <w:tc>
          <w:tcPr>
            <w:tcW w:w="2070" w:type="dxa"/>
            <w:noWrap w:val="0"/>
            <w:vAlign w:val="center"/>
          </w:tcPr>
          <w:p w14:paraId="3ACAEAFE">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olor w:val="auto"/>
                <w:kern w:val="0"/>
                <w:sz w:val="24"/>
                <w:highlight w:val="none"/>
              </w:rPr>
            </w:pPr>
            <w:r>
              <w:rPr>
                <w:rFonts w:ascii="宋体" w:hAnsi="宋体"/>
                <w:color w:val="auto"/>
                <w:kern w:val="0"/>
                <w:sz w:val="24"/>
                <w:highlight w:val="none"/>
              </w:rPr>
              <w:t>是否存在</w:t>
            </w:r>
          </w:p>
        </w:tc>
      </w:tr>
      <w:tr w14:paraId="51A3B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exact"/>
        </w:trPr>
        <w:tc>
          <w:tcPr>
            <w:tcW w:w="893" w:type="dxa"/>
            <w:vMerge w:val="continue"/>
            <w:noWrap w:val="0"/>
            <w:vAlign w:val="center"/>
          </w:tcPr>
          <w:p w14:paraId="6798E78B">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5E2A33B9">
            <w:pPr>
              <w:keepNext w:val="0"/>
              <w:keepLines w:val="0"/>
              <w:pageBreakBefore w:val="0"/>
              <w:kinsoku/>
              <w:wordWrap w:val="0"/>
              <w:overflowPunct/>
              <w:topLinePunct w:val="0"/>
              <w:autoSpaceDE/>
              <w:autoSpaceDN/>
              <w:bidi w:val="0"/>
              <w:adjustRightInd/>
              <w:snapToGrid/>
              <w:spacing w:beforeAutospacing="0" w:afterAutospacing="0" w:line="460" w:lineRule="exact"/>
              <w:ind w:left="172" w:leftChars="0" w:right="152" w:rightChars="0"/>
              <w:jc w:val="center"/>
              <w:textAlignment w:val="auto"/>
              <w:rPr>
                <w:rFonts w:ascii="宋体" w:hAnsi="宋体" w:eastAsia="宋体" w:cs="宋体"/>
                <w:color w:val="auto"/>
                <w:kern w:val="0"/>
                <w:sz w:val="24"/>
                <w:szCs w:val="24"/>
                <w:highlight w:val="none"/>
                <w:lang w:val="en-US" w:eastAsia="en-US" w:bidi="ar-SA"/>
              </w:rPr>
            </w:pPr>
            <w:r>
              <w:rPr>
                <w:rFonts w:hint="eastAsia" w:ascii="宋体" w:hAnsi="宋体" w:eastAsia="宋体" w:cs="宋体"/>
                <w:color w:val="auto"/>
                <w:kern w:val="0"/>
                <w:sz w:val="24"/>
                <w:szCs w:val="24"/>
                <w:highlight w:val="none"/>
                <w:lang w:val="en-US" w:eastAsia="en-US" w:bidi="ar-SA"/>
              </w:rPr>
              <w:t>10</w:t>
            </w:r>
          </w:p>
        </w:tc>
        <w:tc>
          <w:tcPr>
            <w:tcW w:w="5246" w:type="dxa"/>
            <w:noWrap w:val="0"/>
            <w:vAlign w:val="center"/>
          </w:tcPr>
          <w:p w14:paraId="66CB5DEB">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属于串通投标文件，或者依法被视为串通投标文件</w:t>
            </w:r>
          </w:p>
        </w:tc>
        <w:tc>
          <w:tcPr>
            <w:tcW w:w="2070" w:type="dxa"/>
            <w:noWrap w:val="0"/>
            <w:vAlign w:val="center"/>
          </w:tcPr>
          <w:p w14:paraId="62DD21F1">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rFonts w:ascii="宋体" w:hAnsi="宋体"/>
                <w:color w:val="auto"/>
                <w:kern w:val="0"/>
                <w:sz w:val="24"/>
                <w:highlight w:val="none"/>
              </w:rPr>
            </w:pPr>
            <w:r>
              <w:rPr>
                <w:rFonts w:ascii="宋体" w:hAnsi="宋体"/>
                <w:color w:val="auto"/>
                <w:kern w:val="0"/>
                <w:sz w:val="24"/>
                <w:highlight w:val="none"/>
              </w:rPr>
              <w:t>是否存在</w:t>
            </w:r>
          </w:p>
        </w:tc>
      </w:tr>
      <w:tr w14:paraId="0BFEF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4" w:hRule="exact"/>
        </w:trPr>
        <w:tc>
          <w:tcPr>
            <w:tcW w:w="893" w:type="dxa"/>
            <w:vMerge w:val="continue"/>
            <w:noWrap w:val="0"/>
            <w:vAlign w:val="center"/>
          </w:tcPr>
          <w:p w14:paraId="22D2CF52">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1CC9FDA1">
            <w:pPr>
              <w:keepNext w:val="0"/>
              <w:keepLines w:val="0"/>
              <w:pageBreakBefore w:val="0"/>
              <w:kinsoku/>
              <w:wordWrap w:val="0"/>
              <w:overflowPunct/>
              <w:topLinePunct w:val="0"/>
              <w:autoSpaceDE/>
              <w:autoSpaceDN/>
              <w:bidi w:val="0"/>
              <w:adjustRightInd/>
              <w:snapToGrid/>
              <w:spacing w:beforeAutospacing="0" w:afterAutospacing="0" w:line="460" w:lineRule="exact"/>
              <w:ind w:left="172" w:leftChars="0" w:right="152" w:rightChars="0"/>
              <w:jc w:val="center"/>
              <w:textAlignment w:val="auto"/>
              <w:rPr>
                <w:rFonts w:ascii="宋体" w:hAnsi="宋体" w:eastAsia="宋体" w:cs="宋体"/>
                <w:color w:val="auto"/>
                <w:kern w:val="0"/>
                <w:sz w:val="24"/>
                <w:szCs w:val="24"/>
                <w:highlight w:val="none"/>
                <w:lang w:val="en-US" w:eastAsia="en-US" w:bidi="ar-SA"/>
              </w:rPr>
            </w:pPr>
            <w:r>
              <w:rPr>
                <w:rFonts w:hint="eastAsia" w:ascii="宋体" w:hAnsi="宋体" w:eastAsia="宋体" w:cs="宋体"/>
                <w:color w:val="auto"/>
                <w:kern w:val="0"/>
                <w:sz w:val="24"/>
                <w:szCs w:val="24"/>
                <w:highlight w:val="none"/>
                <w:lang w:val="en-US" w:eastAsia="en-US" w:bidi="ar-SA"/>
              </w:rPr>
              <w:t>11</w:t>
            </w:r>
          </w:p>
        </w:tc>
        <w:tc>
          <w:tcPr>
            <w:tcW w:w="5246" w:type="dxa"/>
            <w:noWrap w:val="0"/>
            <w:vAlign w:val="center"/>
          </w:tcPr>
          <w:p w14:paraId="62066E6B">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投标文件含有采购人不能接受的附加条件的</w:t>
            </w:r>
          </w:p>
        </w:tc>
        <w:tc>
          <w:tcPr>
            <w:tcW w:w="2070" w:type="dxa"/>
            <w:noWrap w:val="0"/>
            <w:vAlign w:val="center"/>
          </w:tcPr>
          <w:p w14:paraId="55F94A1A">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color w:val="auto"/>
                <w:highlight w:val="none"/>
              </w:rPr>
            </w:pPr>
            <w:r>
              <w:rPr>
                <w:rFonts w:ascii="宋体" w:hAnsi="宋体"/>
                <w:color w:val="auto"/>
                <w:kern w:val="0"/>
                <w:sz w:val="24"/>
                <w:highlight w:val="none"/>
              </w:rPr>
              <w:t>是否存在</w:t>
            </w:r>
          </w:p>
        </w:tc>
      </w:tr>
      <w:tr w14:paraId="34B0E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exact"/>
        </w:trPr>
        <w:tc>
          <w:tcPr>
            <w:tcW w:w="893" w:type="dxa"/>
            <w:vMerge w:val="continue"/>
            <w:noWrap w:val="0"/>
            <w:vAlign w:val="center"/>
          </w:tcPr>
          <w:p w14:paraId="318433F1">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333E3AF7">
            <w:pPr>
              <w:keepNext w:val="0"/>
              <w:keepLines w:val="0"/>
              <w:pageBreakBefore w:val="0"/>
              <w:kinsoku/>
              <w:wordWrap w:val="0"/>
              <w:overflowPunct/>
              <w:topLinePunct w:val="0"/>
              <w:autoSpaceDE/>
              <w:autoSpaceDN/>
              <w:bidi w:val="0"/>
              <w:adjustRightInd/>
              <w:snapToGrid/>
              <w:spacing w:beforeAutospacing="0" w:afterAutospacing="0" w:line="460" w:lineRule="exact"/>
              <w:ind w:left="172" w:leftChars="0" w:right="152" w:rightChars="0"/>
              <w:jc w:val="center"/>
              <w:textAlignment w:val="auto"/>
              <w:rPr>
                <w:rFonts w:ascii="宋体" w:hAnsi="宋体" w:eastAsia="宋体" w:cs="宋体"/>
                <w:color w:val="auto"/>
                <w:kern w:val="0"/>
                <w:sz w:val="24"/>
                <w:szCs w:val="24"/>
                <w:highlight w:val="none"/>
                <w:lang w:val="en-US" w:eastAsia="en-US" w:bidi="ar-SA"/>
              </w:rPr>
            </w:pPr>
            <w:r>
              <w:rPr>
                <w:rFonts w:hint="eastAsia" w:ascii="宋体" w:hAnsi="宋体" w:eastAsia="宋体" w:cs="宋体"/>
                <w:color w:val="auto"/>
                <w:kern w:val="0"/>
                <w:sz w:val="24"/>
                <w:szCs w:val="24"/>
                <w:highlight w:val="none"/>
                <w:lang w:val="en-US" w:eastAsia="en-US" w:bidi="ar-SA"/>
              </w:rPr>
              <w:t>12</w:t>
            </w:r>
          </w:p>
        </w:tc>
        <w:tc>
          <w:tcPr>
            <w:tcW w:w="5246" w:type="dxa"/>
            <w:noWrap w:val="0"/>
            <w:vAlign w:val="center"/>
          </w:tcPr>
          <w:p w14:paraId="0E799F3D">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属于招标文件规定的其他无效响应情形</w:t>
            </w:r>
          </w:p>
        </w:tc>
        <w:tc>
          <w:tcPr>
            <w:tcW w:w="2070" w:type="dxa"/>
            <w:noWrap w:val="0"/>
            <w:vAlign w:val="center"/>
          </w:tcPr>
          <w:p w14:paraId="3FA8E5CF">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color w:val="auto"/>
                <w:highlight w:val="none"/>
              </w:rPr>
            </w:pPr>
            <w:r>
              <w:rPr>
                <w:rFonts w:ascii="宋体" w:hAnsi="宋体"/>
                <w:color w:val="auto"/>
                <w:kern w:val="0"/>
                <w:sz w:val="24"/>
                <w:highlight w:val="none"/>
              </w:rPr>
              <w:t>是否存在</w:t>
            </w:r>
          </w:p>
        </w:tc>
      </w:tr>
      <w:tr w14:paraId="530E4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exact"/>
        </w:trPr>
        <w:tc>
          <w:tcPr>
            <w:tcW w:w="893" w:type="dxa"/>
            <w:vMerge w:val="continue"/>
            <w:noWrap w:val="0"/>
            <w:vAlign w:val="center"/>
          </w:tcPr>
          <w:p w14:paraId="7EE03F75">
            <w:pPr>
              <w:keepNext w:val="0"/>
              <w:keepLines w:val="0"/>
              <w:pageBreakBefore w:val="0"/>
              <w:widowControl/>
              <w:kinsoku/>
              <w:wordWrap w:val="0"/>
              <w:overflowPunct/>
              <w:topLinePunct w:val="0"/>
              <w:autoSpaceDE/>
              <w:autoSpaceDN/>
              <w:bidi w:val="0"/>
              <w:adjustRightInd/>
              <w:snapToGrid/>
              <w:spacing w:beforeAutospacing="0" w:afterAutospacing="0" w:line="460" w:lineRule="exact"/>
              <w:jc w:val="center"/>
              <w:textAlignment w:val="auto"/>
              <w:rPr>
                <w:rFonts w:ascii="宋体" w:hAnsi="宋体" w:cs="宋体"/>
                <w:color w:val="auto"/>
                <w:kern w:val="0"/>
                <w:sz w:val="24"/>
                <w:highlight w:val="none"/>
              </w:rPr>
            </w:pPr>
          </w:p>
        </w:tc>
        <w:tc>
          <w:tcPr>
            <w:tcW w:w="850" w:type="dxa"/>
            <w:noWrap w:val="0"/>
            <w:vAlign w:val="center"/>
          </w:tcPr>
          <w:p w14:paraId="7F69A14F">
            <w:pPr>
              <w:keepNext w:val="0"/>
              <w:keepLines w:val="0"/>
              <w:pageBreakBefore w:val="0"/>
              <w:kinsoku/>
              <w:wordWrap w:val="0"/>
              <w:overflowPunct/>
              <w:topLinePunct w:val="0"/>
              <w:autoSpaceDE/>
              <w:autoSpaceDN/>
              <w:bidi w:val="0"/>
              <w:adjustRightInd/>
              <w:snapToGrid/>
              <w:spacing w:beforeAutospacing="0" w:afterAutospacing="0" w:line="460" w:lineRule="exact"/>
              <w:ind w:left="172" w:leftChars="0" w:right="152" w:rightChars="0"/>
              <w:jc w:val="center"/>
              <w:textAlignment w:val="auto"/>
              <w:rPr>
                <w:rFonts w:ascii="宋体" w:hAnsi="宋体" w:eastAsia="宋体" w:cs="宋体"/>
                <w:color w:val="auto"/>
                <w:kern w:val="0"/>
                <w:sz w:val="24"/>
                <w:szCs w:val="24"/>
                <w:highlight w:val="none"/>
                <w:lang w:val="en-US" w:eastAsia="en-US" w:bidi="ar-SA"/>
              </w:rPr>
            </w:pPr>
            <w:r>
              <w:rPr>
                <w:rFonts w:hint="eastAsia" w:ascii="宋体" w:hAnsi="宋体" w:eastAsia="宋体" w:cs="宋体"/>
                <w:color w:val="auto"/>
                <w:kern w:val="0"/>
                <w:sz w:val="24"/>
                <w:szCs w:val="24"/>
                <w:highlight w:val="none"/>
                <w:lang w:val="en-US" w:eastAsia="en-US" w:bidi="ar-SA"/>
              </w:rPr>
              <w:t>13</w:t>
            </w:r>
          </w:p>
        </w:tc>
        <w:tc>
          <w:tcPr>
            <w:tcW w:w="5246" w:type="dxa"/>
            <w:noWrap w:val="0"/>
            <w:vAlign w:val="center"/>
          </w:tcPr>
          <w:p w14:paraId="7EE47A4E">
            <w:pPr>
              <w:keepNext w:val="0"/>
              <w:keepLines w:val="0"/>
              <w:pageBreakBefore w:val="0"/>
              <w:kinsoku/>
              <w:wordWrap w:val="0"/>
              <w:overflowPunct/>
              <w:topLinePunct w:val="0"/>
              <w:autoSpaceDE/>
              <w:autoSpaceDN/>
              <w:bidi w:val="0"/>
              <w:adjustRightInd/>
              <w:snapToGrid/>
              <w:spacing w:beforeAutospacing="0" w:afterAutospacing="0" w:line="460" w:lineRule="exact"/>
              <w:ind w:right="-20"/>
              <w:jc w:val="center"/>
              <w:textAlignment w:val="auto"/>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不符合法规和招标文件中规定的其他实质性要求的</w:t>
            </w:r>
          </w:p>
        </w:tc>
        <w:tc>
          <w:tcPr>
            <w:tcW w:w="2070" w:type="dxa"/>
            <w:noWrap w:val="0"/>
            <w:vAlign w:val="center"/>
          </w:tcPr>
          <w:p w14:paraId="1AAE760E">
            <w:pPr>
              <w:keepNext w:val="0"/>
              <w:keepLines w:val="0"/>
              <w:pageBreakBefore w:val="0"/>
              <w:kinsoku/>
              <w:wordWrap w:val="0"/>
              <w:overflowPunct/>
              <w:topLinePunct w:val="0"/>
              <w:autoSpaceDE/>
              <w:autoSpaceDN/>
              <w:bidi w:val="0"/>
              <w:adjustRightInd/>
              <w:snapToGrid/>
              <w:spacing w:beforeAutospacing="0" w:afterAutospacing="0" w:line="460" w:lineRule="exact"/>
              <w:jc w:val="center"/>
              <w:textAlignment w:val="auto"/>
              <w:rPr>
                <w:color w:val="auto"/>
                <w:highlight w:val="none"/>
              </w:rPr>
            </w:pPr>
            <w:r>
              <w:rPr>
                <w:rFonts w:ascii="宋体" w:hAnsi="宋体"/>
                <w:color w:val="auto"/>
                <w:kern w:val="0"/>
                <w:sz w:val="24"/>
                <w:highlight w:val="none"/>
              </w:rPr>
              <w:t>是否存在</w:t>
            </w:r>
          </w:p>
        </w:tc>
      </w:tr>
    </w:tbl>
    <w:p w14:paraId="74737AE0">
      <w:pPr>
        <w:pageBreakBefore w:val="0"/>
        <w:widowControl/>
        <w:kinsoku/>
        <w:bidi w:val="0"/>
        <w:spacing w:beforeAutospacing="0" w:afterAutospacing="0" w:line="520" w:lineRule="exact"/>
        <w:jc w:val="left"/>
        <w:textAlignment w:val="auto"/>
        <w:rPr>
          <w:rFonts w:ascii="宋体" w:hAnsi="宋体"/>
          <w:color w:val="auto"/>
          <w:kern w:val="0"/>
          <w:sz w:val="24"/>
          <w:szCs w:val="22"/>
          <w:highlight w:val="none"/>
        </w:rPr>
        <w:sectPr>
          <w:pgSz w:w="11920" w:h="16840"/>
          <w:pgMar w:top="1560" w:right="1580" w:bottom="280" w:left="1580" w:header="720" w:footer="720" w:gutter="0"/>
          <w:cols w:space="720" w:num="1"/>
        </w:sectPr>
      </w:pPr>
    </w:p>
    <w:p w14:paraId="49A8BA6A">
      <w:pPr>
        <w:pStyle w:val="3"/>
        <w:pageBreakBefore w:val="0"/>
        <w:numPr>
          <w:ilvl w:val="0"/>
          <w:numId w:val="2"/>
        </w:numPr>
        <w:kinsoku/>
        <w:bidi w:val="0"/>
        <w:spacing w:before="0" w:beforeAutospacing="0" w:afterAutospacing="0" w:line="520" w:lineRule="exact"/>
        <w:textAlignment w:val="auto"/>
        <w:rPr>
          <w:rFonts w:hint="eastAsia" w:ascii="宋体" w:hAnsi="宋体"/>
          <w:color w:val="auto"/>
          <w:highlight w:val="none"/>
        </w:rPr>
      </w:pPr>
      <w:bookmarkStart w:id="316" w:name="_Toc26751"/>
      <w:r>
        <w:rPr>
          <w:rFonts w:hint="eastAsia" w:ascii="宋体" w:hAnsi="宋体"/>
          <w:color w:val="auto"/>
          <w:highlight w:val="none"/>
        </w:rPr>
        <w:t>评分细则</w:t>
      </w:r>
      <w:bookmarkEnd w:id="316"/>
    </w:p>
    <w:tbl>
      <w:tblPr>
        <w:tblStyle w:val="34"/>
        <w:tblW w:w="57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219"/>
        <w:gridCol w:w="1253"/>
        <w:gridCol w:w="784"/>
        <w:gridCol w:w="6512"/>
      </w:tblGrid>
      <w:tr w14:paraId="6AA97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624" w:type="pct"/>
            <w:shd w:val="clear" w:color="auto" w:fill="auto"/>
            <w:vAlign w:val="center"/>
          </w:tcPr>
          <w:p w14:paraId="4DDCCBE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类别</w:t>
            </w:r>
          </w:p>
        </w:tc>
        <w:tc>
          <w:tcPr>
            <w:tcW w:w="641" w:type="pct"/>
            <w:shd w:val="clear" w:color="auto" w:fill="auto"/>
            <w:vAlign w:val="center"/>
          </w:tcPr>
          <w:p w14:paraId="373B449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评审项目</w:t>
            </w:r>
          </w:p>
        </w:tc>
        <w:tc>
          <w:tcPr>
            <w:tcW w:w="401" w:type="pct"/>
            <w:shd w:val="clear" w:color="auto" w:fill="auto"/>
            <w:vAlign w:val="center"/>
          </w:tcPr>
          <w:p w14:paraId="28B5216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标准分</w:t>
            </w:r>
          </w:p>
        </w:tc>
        <w:tc>
          <w:tcPr>
            <w:tcW w:w="3332" w:type="pct"/>
            <w:shd w:val="clear" w:color="auto" w:fill="auto"/>
            <w:vAlign w:val="center"/>
          </w:tcPr>
          <w:p w14:paraId="2FF2D71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评分标准说明</w:t>
            </w:r>
          </w:p>
        </w:tc>
      </w:tr>
      <w:tr w14:paraId="2D575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624" w:type="pct"/>
            <w:shd w:val="clear" w:color="auto" w:fill="auto"/>
            <w:vAlign w:val="center"/>
          </w:tcPr>
          <w:p w14:paraId="334BC1D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报价部分</w:t>
            </w:r>
          </w:p>
          <w:p w14:paraId="4A1D4EA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20</w:t>
            </w:r>
            <w:r>
              <w:rPr>
                <w:rFonts w:hint="eastAsia" w:asciiTheme="minorEastAsia" w:hAnsiTheme="minorEastAsia" w:eastAsiaTheme="minorEastAsia" w:cstheme="minorEastAsia"/>
                <w:color w:val="auto"/>
                <w:sz w:val="24"/>
                <w:szCs w:val="24"/>
                <w:highlight w:val="none"/>
              </w:rPr>
              <w:t>分）</w:t>
            </w:r>
          </w:p>
        </w:tc>
        <w:tc>
          <w:tcPr>
            <w:tcW w:w="641" w:type="pct"/>
            <w:shd w:val="clear" w:color="auto" w:fill="auto"/>
            <w:vAlign w:val="center"/>
          </w:tcPr>
          <w:p w14:paraId="4D5BECC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报价</w:t>
            </w:r>
          </w:p>
        </w:tc>
        <w:tc>
          <w:tcPr>
            <w:tcW w:w="401" w:type="pct"/>
            <w:shd w:val="clear" w:color="auto" w:fill="auto"/>
            <w:vAlign w:val="center"/>
          </w:tcPr>
          <w:p w14:paraId="15AE1B3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20</w:t>
            </w:r>
          </w:p>
        </w:tc>
        <w:tc>
          <w:tcPr>
            <w:tcW w:w="3332" w:type="pct"/>
            <w:shd w:val="clear" w:color="auto" w:fill="auto"/>
            <w:vAlign w:val="center"/>
          </w:tcPr>
          <w:p w14:paraId="080A1815">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175"/>
              <w:jc w:val="both"/>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价格分采用低价优先法计算，即满足招标文件要求且总价报价最低的投标人的响应评审总价为评标基准价，其价格分为满分。其他投标人的价格分统一按照下列公式计算：报价得分=(评标基准价/投标报价)*20%*100</w:t>
            </w:r>
          </w:p>
          <w:p w14:paraId="285071DF">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175"/>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说明：投标人报价时员工工资不得低于临沂市最低工资标准，否则将视为无效响应。</w:t>
            </w:r>
            <w:bookmarkStart w:id="413" w:name="_GoBack"/>
            <w:bookmarkEnd w:id="413"/>
          </w:p>
        </w:tc>
      </w:tr>
      <w:tr w14:paraId="43CB1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4" w:type="pct"/>
            <w:shd w:val="clear" w:color="auto" w:fill="auto"/>
            <w:vAlign w:val="center"/>
          </w:tcPr>
          <w:p w14:paraId="58C6B32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商务部分</w:t>
            </w:r>
          </w:p>
          <w:p w14:paraId="4F40482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rPr>
              <w:t>分）</w:t>
            </w:r>
          </w:p>
        </w:tc>
        <w:tc>
          <w:tcPr>
            <w:tcW w:w="641" w:type="pct"/>
            <w:shd w:val="clear" w:color="auto" w:fill="auto"/>
            <w:vAlign w:val="center"/>
          </w:tcPr>
          <w:p w14:paraId="51FFDAA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同类业绩</w:t>
            </w:r>
          </w:p>
        </w:tc>
        <w:tc>
          <w:tcPr>
            <w:tcW w:w="401" w:type="pct"/>
            <w:shd w:val="clear" w:color="auto" w:fill="auto"/>
            <w:vAlign w:val="center"/>
          </w:tcPr>
          <w:p w14:paraId="756CAA4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5</w:t>
            </w:r>
          </w:p>
        </w:tc>
        <w:tc>
          <w:tcPr>
            <w:tcW w:w="3332" w:type="pct"/>
            <w:shd w:val="clear" w:color="auto" w:fill="auto"/>
            <w:vAlign w:val="center"/>
          </w:tcPr>
          <w:p w14:paraId="6A2D86A0">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175"/>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自</w:t>
            </w:r>
            <w:r>
              <w:rPr>
                <w:rFonts w:hint="eastAsia" w:asciiTheme="minorEastAsia" w:hAnsiTheme="minorEastAsia" w:eastAsiaTheme="minorEastAsia" w:cstheme="minorEastAsia"/>
                <w:color w:val="auto"/>
                <w:sz w:val="24"/>
                <w:szCs w:val="24"/>
                <w:highlight w:val="none"/>
                <w:lang w:val="en-US" w:eastAsia="zh-CN"/>
              </w:rPr>
              <w:t>2022</w:t>
            </w:r>
            <w:r>
              <w:rPr>
                <w:rFonts w:hint="eastAsia" w:asciiTheme="minorEastAsia" w:hAnsiTheme="minorEastAsia" w:eastAsiaTheme="minorEastAsia" w:cstheme="minorEastAsia"/>
                <w:color w:val="auto"/>
                <w:sz w:val="24"/>
                <w:szCs w:val="24"/>
                <w:highlight w:val="none"/>
              </w:rPr>
              <w:t>年1月1日以来(以合同签订时间为准)承揽的类似项目业绩合同，每提供1个业绩得</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分，最高得</w:t>
            </w: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rPr>
              <w:t>分</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注：类似项目业绩以</w:t>
            </w:r>
            <w:r>
              <w:rPr>
                <w:rFonts w:hint="eastAsia" w:asciiTheme="minorEastAsia" w:hAnsiTheme="minorEastAsia" w:eastAsiaTheme="minorEastAsia" w:cstheme="minorEastAsia"/>
                <w:color w:val="auto"/>
                <w:sz w:val="24"/>
                <w:szCs w:val="24"/>
                <w:highlight w:val="none"/>
                <w:lang w:eastAsia="zh-CN"/>
              </w:rPr>
              <w:t>评标委员会</w:t>
            </w:r>
            <w:r>
              <w:rPr>
                <w:rFonts w:hint="eastAsia" w:asciiTheme="minorEastAsia" w:hAnsiTheme="minorEastAsia" w:eastAsiaTheme="minorEastAsia" w:cstheme="minorEastAsia"/>
                <w:color w:val="auto"/>
                <w:sz w:val="24"/>
                <w:szCs w:val="24"/>
                <w:highlight w:val="none"/>
              </w:rPr>
              <w:t>认定为准。</w:t>
            </w:r>
            <w:r>
              <w:rPr>
                <w:rFonts w:hint="eastAsia" w:asciiTheme="minorEastAsia" w:hAnsiTheme="minorEastAsia" w:eastAsiaTheme="minorEastAsia" w:cstheme="minorEastAsia"/>
                <w:color w:val="auto"/>
                <w:sz w:val="24"/>
                <w:szCs w:val="24"/>
                <w:highlight w:val="none"/>
                <w:lang w:eastAsia="zh-CN"/>
              </w:rPr>
              <w:t>投标文件</w:t>
            </w:r>
            <w:r>
              <w:rPr>
                <w:rFonts w:hint="eastAsia" w:asciiTheme="minorEastAsia" w:hAnsiTheme="minorEastAsia" w:eastAsiaTheme="minorEastAsia" w:cstheme="minorEastAsia"/>
                <w:color w:val="auto"/>
                <w:sz w:val="24"/>
                <w:szCs w:val="24"/>
                <w:highlight w:val="none"/>
              </w:rPr>
              <w:t>中同时提供合同和中标（成交）通知书复印件，并提供合同和中标（成交）通知书原件供现场查验。未按上述要求提供的业绩不予认可。</w:t>
            </w:r>
          </w:p>
        </w:tc>
      </w:tr>
      <w:tr w14:paraId="47B5D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624" w:type="pct"/>
            <w:vMerge w:val="restart"/>
            <w:shd w:val="clear" w:color="auto" w:fill="auto"/>
            <w:vAlign w:val="center"/>
          </w:tcPr>
          <w:p w14:paraId="3DA290F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技术部分（65分）</w:t>
            </w:r>
          </w:p>
        </w:tc>
        <w:tc>
          <w:tcPr>
            <w:tcW w:w="641" w:type="pct"/>
            <w:shd w:val="clear" w:color="auto" w:fill="auto"/>
            <w:vAlign w:val="center"/>
          </w:tcPr>
          <w:p w14:paraId="491888C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项目综合</w:t>
            </w:r>
            <w:r>
              <w:rPr>
                <w:rFonts w:hint="eastAsia" w:asciiTheme="minorEastAsia" w:hAnsiTheme="minorEastAsia" w:eastAsiaTheme="minorEastAsia" w:cstheme="minorEastAsia"/>
                <w:color w:val="auto"/>
                <w:sz w:val="24"/>
                <w:szCs w:val="24"/>
                <w:highlight w:val="none"/>
                <w:lang w:val="en-US" w:eastAsia="zh-CN"/>
              </w:rPr>
              <w:t>服务</w:t>
            </w:r>
            <w:r>
              <w:rPr>
                <w:rFonts w:hint="eastAsia" w:asciiTheme="minorEastAsia" w:hAnsiTheme="minorEastAsia" w:eastAsiaTheme="minorEastAsia" w:cstheme="minorEastAsia"/>
                <w:color w:val="auto"/>
                <w:sz w:val="24"/>
                <w:szCs w:val="24"/>
                <w:highlight w:val="none"/>
              </w:rPr>
              <w:t>方案</w:t>
            </w:r>
          </w:p>
        </w:tc>
        <w:tc>
          <w:tcPr>
            <w:tcW w:w="401" w:type="pct"/>
            <w:shd w:val="clear" w:color="auto" w:fill="auto"/>
            <w:vAlign w:val="center"/>
          </w:tcPr>
          <w:p w14:paraId="789C4E7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25</w:t>
            </w:r>
          </w:p>
        </w:tc>
        <w:tc>
          <w:tcPr>
            <w:tcW w:w="3332" w:type="pct"/>
            <w:shd w:val="clear" w:color="auto" w:fill="auto"/>
            <w:vAlign w:val="center"/>
          </w:tcPr>
          <w:p w14:paraId="54382886">
            <w:pPr>
              <w:pStyle w:val="32"/>
              <w:keepNext w:val="0"/>
              <w:keepLines w:val="0"/>
              <w:pageBreakBefore w:val="0"/>
              <w:widowControl w:val="0"/>
              <w:kinsoku/>
              <w:wordWrap/>
              <w:overflowPunct/>
              <w:topLinePunct w:val="0"/>
              <w:autoSpaceDE/>
              <w:autoSpaceDN/>
              <w:bidi w:val="0"/>
              <w:adjustRightInd/>
              <w:snapToGrid/>
              <w:spacing w:after="0" w:line="480" w:lineRule="exact"/>
              <w:ind w:left="0" w:leftChars="0" w:firstLine="416" w:firstLineChars="175"/>
              <w:textAlignment w:val="auto"/>
              <w:rPr>
                <w:rFonts w:hint="eastAsia" w:asciiTheme="minorEastAsia" w:hAnsiTheme="minorEastAsia" w:eastAsiaTheme="minorEastAsia" w:cstheme="minorEastAsia"/>
                <w:color w:val="auto"/>
                <w:spacing w:val="0"/>
                <w:sz w:val="24"/>
                <w:szCs w:val="24"/>
                <w:highlight w:val="none"/>
              </w:rPr>
            </w:pPr>
            <w:r>
              <w:rPr>
                <w:rFonts w:hint="eastAsia" w:ascii="宋体" w:hAnsi="宋体" w:eastAsia="宋体" w:cs="宋体"/>
                <w:color w:val="auto"/>
                <w:spacing w:val="-1"/>
                <w:sz w:val="24"/>
                <w:szCs w:val="24"/>
                <w:highlight w:val="none"/>
                <w:lang w:eastAsia="zh-CN"/>
              </w:rPr>
              <w:t>根据</w:t>
            </w:r>
            <w:r>
              <w:rPr>
                <w:rFonts w:hint="eastAsia" w:ascii="宋体" w:hAnsi="宋体" w:cs="宋体"/>
                <w:color w:val="auto"/>
                <w:spacing w:val="-1"/>
                <w:sz w:val="24"/>
                <w:szCs w:val="24"/>
                <w:highlight w:val="none"/>
                <w:lang w:eastAsia="zh-CN"/>
              </w:rPr>
              <w:t>投标人</w:t>
            </w:r>
            <w:r>
              <w:rPr>
                <w:rFonts w:hint="eastAsia" w:ascii="宋体" w:hAnsi="宋体" w:eastAsia="宋体" w:cs="宋体"/>
                <w:color w:val="auto"/>
                <w:spacing w:val="-1"/>
                <w:sz w:val="24"/>
                <w:szCs w:val="24"/>
                <w:highlight w:val="none"/>
                <w:lang w:eastAsia="zh-CN"/>
              </w:rPr>
              <w:t>对</w:t>
            </w:r>
            <w:r>
              <w:rPr>
                <w:rFonts w:hint="eastAsia" w:ascii="宋体" w:hAnsi="宋体" w:cs="宋体"/>
                <w:color w:val="auto"/>
                <w:spacing w:val="-1"/>
                <w:sz w:val="24"/>
                <w:szCs w:val="24"/>
                <w:highlight w:val="none"/>
                <w:lang w:eastAsia="zh-CN"/>
              </w:rPr>
              <w:t>招标文件</w:t>
            </w:r>
            <w:r>
              <w:rPr>
                <w:rFonts w:hint="eastAsia" w:ascii="宋体" w:hAnsi="宋体" w:eastAsia="宋体" w:cs="宋体"/>
                <w:color w:val="auto"/>
                <w:spacing w:val="-1"/>
                <w:sz w:val="24"/>
                <w:szCs w:val="24"/>
                <w:highlight w:val="none"/>
                <w:lang w:eastAsia="zh-CN"/>
              </w:rPr>
              <w:t>第</w:t>
            </w:r>
            <w:r>
              <w:rPr>
                <w:rFonts w:hint="eastAsia" w:ascii="宋体" w:hAnsi="宋体" w:eastAsia="宋体" w:cs="宋体"/>
                <w:color w:val="auto"/>
                <w:spacing w:val="-1"/>
                <w:sz w:val="24"/>
                <w:szCs w:val="24"/>
                <w:highlight w:val="none"/>
                <w:lang w:val="en-US" w:eastAsia="zh-CN"/>
              </w:rPr>
              <w:t>4章“</w:t>
            </w:r>
            <w:r>
              <w:rPr>
                <w:rFonts w:hint="eastAsia" w:ascii="宋体" w:hAnsi="宋体" w:eastAsia="宋体" w:cs="宋体"/>
                <w:color w:val="auto"/>
                <w:spacing w:val="-6"/>
                <w:sz w:val="24"/>
                <w:szCs w:val="24"/>
                <w:highlight w:val="none"/>
                <w:lang w:eastAsia="zh-CN"/>
              </w:rPr>
              <w:t>服务需求</w:t>
            </w:r>
            <w:r>
              <w:rPr>
                <w:rFonts w:hint="eastAsia" w:ascii="宋体" w:hAnsi="宋体" w:eastAsia="宋体" w:cs="宋体"/>
                <w:color w:val="auto"/>
                <w:spacing w:val="-1"/>
                <w:sz w:val="24"/>
                <w:szCs w:val="24"/>
                <w:highlight w:val="none"/>
                <w:lang w:val="en-US" w:eastAsia="zh-CN"/>
              </w:rPr>
              <w:t>”中各项条款的描述及承诺情况进行评价，经</w:t>
            </w:r>
            <w:r>
              <w:rPr>
                <w:rFonts w:hint="eastAsia" w:ascii="宋体" w:hAnsi="宋体" w:cs="宋体"/>
                <w:color w:val="auto"/>
                <w:spacing w:val="-1"/>
                <w:sz w:val="24"/>
                <w:szCs w:val="24"/>
                <w:highlight w:val="none"/>
                <w:lang w:val="en-US" w:eastAsia="zh-CN"/>
              </w:rPr>
              <w:t>评标委员会</w:t>
            </w:r>
            <w:r>
              <w:rPr>
                <w:rFonts w:hint="eastAsia" w:ascii="宋体" w:hAnsi="宋体" w:eastAsia="宋体" w:cs="宋体"/>
                <w:color w:val="auto"/>
                <w:spacing w:val="-1"/>
                <w:sz w:val="24"/>
                <w:szCs w:val="24"/>
                <w:highlight w:val="none"/>
                <w:lang w:val="en-US" w:eastAsia="zh-CN"/>
              </w:rPr>
              <w:t>评定，</w:t>
            </w:r>
            <w:r>
              <w:rPr>
                <w:rFonts w:hint="eastAsia" w:asciiTheme="minorEastAsia" w:hAnsiTheme="minorEastAsia" w:eastAsiaTheme="minorEastAsia" w:cstheme="minorEastAsia"/>
                <w:color w:val="auto"/>
                <w:spacing w:val="0"/>
                <w:sz w:val="24"/>
                <w:szCs w:val="24"/>
                <w:highlight w:val="none"/>
                <w:lang w:val="en-US" w:eastAsia="zh-CN"/>
              </w:rPr>
              <w:t>项目实施方案非常详实、针对性和可行性强、表达完整，方案合理、能够充分满足采购人的实际需求得满分25分，每有一项不合理或相对弱势扣1分，扣完为止。</w:t>
            </w:r>
            <w:r>
              <w:rPr>
                <w:rFonts w:ascii="宋体" w:hAnsi="宋体" w:eastAsia="宋体" w:cs="宋体"/>
                <w:color w:val="auto"/>
                <w:sz w:val="24"/>
                <w:szCs w:val="24"/>
                <w:highlight w:val="none"/>
              </w:rPr>
              <w:t>无此</w:t>
            </w:r>
            <w:r>
              <w:rPr>
                <w:rFonts w:hint="eastAsia" w:ascii="宋体" w:hAnsi="宋体" w:cs="宋体"/>
                <w:color w:val="auto"/>
                <w:sz w:val="24"/>
                <w:szCs w:val="24"/>
                <w:highlight w:val="none"/>
                <w:lang w:eastAsia="zh-CN"/>
              </w:rPr>
              <w:t>项</w:t>
            </w:r>
            <w:r>
              <w:rPr>
                <w:rFonts w:ascii="宋体" w:hAnsi="宋体" w:eastAsia="宋体" w:cs="宋体"/>
                <w:color w:val="auto"/>
                <w:sz w:val="24"/>
                <w:szCs w:val="24"/>
                <w:highlight w:val="none"/>
              </w:rPr>
              <w:t>描述的不得分。</w:t>
            </w:r>
          </w:p>
        </w:tc>
      </w:tr>
      <w:tr w14:paraId="4E465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4" w:type="pct"/>
            <w:vMerge w:val="continue"/>
            <w:shd w:val="clear" w:color="auto" w:fill="auto"/>
            <w:vAlign w:val="center"/>
          </w:tcPr>
          <w:p w14:paraId="3D5191F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lang w:val="en-US" w:eastAsia="zh-CN"/>
              </w:rPr>
            </w:pPr>
          </w:p>
        </w:tc>
        <w:tc>
          <w:tcPr>
            <w:tcW w:w="641" w:type="pct"/>
            <w:shd w:val="clear" w:color="auto" w:fill="auto"/>
            <w:vAlign w:val="center"/>
          </w:tcPr>
          <w:p w14:paraId="24FD1BB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ascii="宋体" w:hAnsi="宋体" w:eastAsia="宋体" w:cs="宋体"/>
                <w:color w:val="auto"/>
                <w:sz w:val="24"/>
                <w:szCs w:val="24"/>
                <w:highlight w:val="none"/>
              </w:rPr>
              <w:t>质量安全保障与质量考评</w:t>
            </w:r>
          </w:p>
        </w:tc>
        <w:tc>
          <w:tcPr>
            <w:tcW w:w="401" w:type="pct"/>
            <w:shd w:val="clear" w:color="auto" w:fill="auto"/>
            <w:vAlign w:val="center"/>
          </w:tcPr>
          <w:p w14:paraId="0EB5702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10</w:t>
            </w:r>
          </w:p>
        </w:tc>
        <w:tc>
          <w:tcPr>
            <w:tcW w:w="3332" w:type="pct"/>
            <w:shd w:val="clear" w:color="auto" w:fill="auto"/>
            <w:vAlign w:val="center"/>
          </w:tcPr>
          <w:p w14:paraId="6B333414">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175"/>
              <w:textAlignment w:val="auto"/>
              <w:rPr>
                <w:rFonts w:hint="eastAsia" w:ascii="宋体" w:hAnsi="宋体" w:eastAsia="宋体" w:cs="宋体"/>
                <w:color w:val="auto"/>
                <w:spacing w:val="-1"/>
                <w:sz w:val="24"/>
                <w:szCs w:val="24"/>
                <w:highlight w:val="none"/>
                <w:lang w:eastAsia="zh-CN"/>
              </w:rPr>
            </w:pPr>
            <w:r>
              <w:rPr>
                <w:rFonts w:ascii="宋体" w:hAnsi="宋体" w:eastAsia="宋体" w:cs="宋体"/>
                <w:color w:val="auto"/>
                <w:sz w:val="24"/>
                <w:szCs w:val="24"/>
                <w:highlight w:val="none"/>
              </w:rPr>
              <w:t>根据</w:t>
            </w:r>
            <w:r>
              <w:rPr>
                <w:rFonts w:hint="eastAsia" w:ascii="宋体" w:hAnsi="宋体" w:cs="宋体"/>
                <w:color w:val="auto"/>
                <w:sz w:val="24"/>
                <w:szCs w:val="24"/>
                <w:highlight w:val="none"/>
                <w:lang w:eastAsia="zh-CN"/>
              </w:rPr>
              <w:t>投标人</w:t>
            </w:r>
            <w:r>
              <w:rPr>
                <w:rFonts w:ascii="宋体" w:hAnsi="宋体" w:eastAsia="宋体" w:cs="宋体"/>
                <w:color w:val="auto"/>
                <w:sz w:val="24"/>
                <w:szCs w:val="24"/>
                <w:highlight w:val="none"/>
              </w:rPr>
              <w:t>所报</w:t>
            </w:r>
            <w:r>
              <w:rPr>
                <w:rFonts w:hint="eastAsia" w:ascii="宋体" w:hAnsi="宋体" w:eastAsia="宋体" w:cs="宋体"/>
                <w:color w:val="auto"/>
                <w:sz w:val="24"/>
                <w:szCs w:val="24"/>
                <w:highlight w:val="none"/>
                <w:lang w:val="en-US" w:eastAsia="zh-CN"/>
              </w:rPr>
              <w:t>管理制度、人员培训方案、</w:t>
            </w:r>
            <w:r>
              <w:rPr>
                <w:rFonts w:ascii="宋体" w:hAnsi="宋体" w:eastAsia="宋体" w:cs="宋体"/>
                <w:color w:val="auto"/>
                <w:sz w:val="24"/>
                <w:szCs w:val="24"/>
                <w:highlight w:val="none"/>
              </w:rPr>
              <w:t>质量安全保障与质量考评措施</w:t>
            </w:r>
            <w:r>
              <w:rPr>
                <w:rFonts w:hint="eastAsia" w:ascii="宋体" w:hAnsi="宋体" w:eastAsia="宋体" w:cs="宋体"/>
                <w:color w:val="auto"/>
                <w:sz w:val="24"/>
                <w:szCs w:val="24"/>
                <w:highlight w:val="none"/>
                <w:lang w:val="en-US" w:eastAsia="zh-CN"/>
              </w:rPr>
              <w:t>等</w:t>
            </w:r>
            <w:r>
              <w:rPr>
                <w:rFonts w:ascii="宋体" w:hAnsi="宋体" w:eastAsia="宋体" w:cs="宋体"/>
                <w:color w:val="auto"/>
                <w:sz w:val="24"/>
                <w:szCs w:val="24"/>
                <w:highlight w:val="none"/>
              </w:rPr>
              <w:t>进行评审，根据质量安全保障措施及安全管理措施、质量管理考评细则及措施，考核奖罚制度健全、奖惩措施到位，及时合理等，</w:t>
            </w:r>
            <w:r>
              <w:rPr>
                <w:rFonts w:hint="eastAsia" w:ascii="宋体" w:hAnsi="宋体" w:cs="宋体"/>
                <w:color w:val="auto"/>
                <w:sz w:val="24"/>
                <w:szCs w:val="24"/>
                <w:highlight w:val="none"/>
                <w:lang w:eastAsia="zh-CN"/>
              </w:rPr>
              <w:t>投标文件</w:t>
            </w:r>
            <w:r>
              <w:rPr>
                <w:rFonts w:ascii="宋体" w:hAnsi="宋体" w:eastAsia="宋体" w:cs="宋体"/>
                <w:color w:val="auto"/>
                <w:sz w:val="24"/>
                <w:szCs w:val="24"/>
                <w:highlight w:val="none"/>
              </w:rPr>
              <w:t>中有以上内容，并且表述完善清晰、内容丰富的得</w:t>
            </w:r>
            <w:r>
              <w:rPr>
                <w:rFonts w:hint="eastAsia" w:ascii="宋体" w:hAnsi="宋体" w:eastAsia="宋体" w:cs="宋体"/>
                <w:color w:val="auto"/>
                <w:sz w:val="24"/>
                <w:szCs w:val="24"/>
                <w:highlight w:val="none"/>
                <w:lang w:val="en-US" w:eastAsia="zh-CN"/>
              </w:rPr>
              <w:t>10</w:t>
            </w:r>
            <w:r>
              <w:rPr>
                <w:rFonts w:ascii="宋体" w:hAnsi="宋体" w:eastAsia="宋体" w:cs="宋体"/>
                <w:color w:val="auto"/>
                <w:sz w:val="24"/>
                <w:szCs w:val="24"/>
                <w:highlight w:val="none"/>
              </w:rPr>
              <w:t>分；每出现一处存在瑕疵或不完善扣1分，扣完为止。无此项描述的不得分。无此</w:t>
            </w:r>
            <w:r>
              <w:rPr>
                <w:rFonts w:hint="eastAsia" w:ascii="宋体" w:hAnsi="宋体" w:cs="宋体"/>
                <w:color w:val="auto"/>
                <w:sz w:val="24"/>
                <w:szCs w:val="24"/>
                <w:highlight w:val="none"/>
                <w:lang w:eastAsia="zh-CN"/>
              </w:rPr>
              <w:t>项</w:t>
            </w:r>
            <w:r>
              <w:rPr>
                <w:rFonts w:ascii="宋体" w:hAnsi="宋体" w:eastAsia="宋体" w:cs="宋体"/>
                <w:color w:val="auto"/>
                <w:sz w:val="24"/>
                <w:szCs w:val="24"/>
                <w:highlight w:val="none"/>
              </w:rPr>
              <w:t>描述的不得分。</w:t>
            </w:r>
          </w:p>
        </w:tc>
      </w:tr>
      <w:tr w14:paraId="32543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4" w:type="pct"/>
            <w:vMerge w:val="continue"/>
            <w:shd w:val="clear" w:color="auto" w:fill="auto"/>
            <w:vAlign w:val="center"/>
          </w:tcPr>
          <w:p w14:paraId="2783610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p>
        </w:tc>
        <w:tc>
          <w:tcPr>
            <w:tcW w:w="641" w:type="pct"/>
            <w:shd w:val="clear" w:color="auto" w:fill="auto"/>
            <w:vAlign w:val="center"/>
          </w:tcPr>
          <w:p w14:paraId="373A529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宋体" w:hAnsi="宋体" w:cs="宋体"/>
                <w:color w:val="auto"/>
                <w:sz w:val="24"/>
                <w:highlight w:val="none"/>
              </w:rPr>
              <w:t>项目人员配备情况</w:t>
            </w:r>
          </w:p>
        </w:tc>
        <w:tc>
          <w:tcPr>
            <w:tcW w:w="401" w:type="pct"/>
            <w:shd w:val="clear" w:color="auto" w:fill="auto"/>
            <w:vAlign w:val="center"/>
          </w:tcPr>
          <w:p w14:paraId="258C545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15</w:t>
            </w:r>
          </w:p>
        </w:tc>
        <w:tc>
          <w:tcPr>
            <w:tcW w:w="3332" w:type="pct"/>
            <w:shd w:val="clear" w:color="auto" w:fill="auto"/>
            <w:vAlign w:val="center"/>
          </w:tcPr>
          <w:p w14:paraId="7E631941">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175"/>
              <w:textAlignment w:val="auto"/>
              <w:rPr>
                <w:rFonts w:hint="eastAsia" w:asciiTheme="minorEastAsia" w:hAnsiTheme="minorEastAsia" w:eastAsiaTheme="minorEastAsia" w:cstheme="minorEastAsia"/>
                <w:color w:val="auto"/>
                <w:spacing w:val="0"/>
                <w:kern w:val="2"/>
                <w:sz w:val="24"/>
                <w:szCs w:val="24"/>
                <w:highlight w:val="none"/>
                <w:lang w:val="en-US" w:eastAsia="zh-CN" w:bidi="ar-SA"/>
              </w:rPr>
            </w:pPr>
            <w:r>
              <w:rPr>
                <w:rFonts w:hint="eastAsia" w:asciiTheme="minorEastAsia" w:hAnsiTheme="minorEastAsia" w:eastAsiaTheme="minorEastAsia" w:cstheme="minorEastAsia"/>
                <w:color w:val="auto"/>
                <w:spacing w:val="0"/>
                <w:kern w:val="2"/>
                <w:sz w:val="24"/>
                <w:szCs w:val="24"/>
                <w:highlight w:val="none"/>
                <w:lang w:val="en-US" w:eastAsia="zh-CN" w:bidi="ar-SA"/>
              </w:rPr>
              <w:t>根据投标人</w:t>
            </w:r>
            <w:r>
              <w:rPr>
                <w:rFonts w:hint="eastAsia" w:ascii="宋体" w:hAnsi="宋体" w:eastAsia="宋体" w:cs="宋体"/>
                <w:color w:val="auto"/>
                <w:sz w:val="24"/>
                <w:szCs w:val="24"/>
                <w:highlight w:val="none"/>
                <w:lang w:val="en-US"/>
              </w:rPr>
              <w:t>所配备本项目的团队人员</w:t>
            </w:r>
            <w:r>
              <w:rPr>
                <w:rFonts w:hint="eastAsia" w:ascii="宋体" w:hAnsi="宋体" w:eastAsia="宋体" w:cs="宋体"/>
                <w:color w:val="auto"/>
                <w:sz w:val="24"/>
                <w:szCs w:val="24"/>
                <w:highlight w:val="none"/>
                <w:lang w:val="en-US" w:eastAsia="zh-CN"/>
              </w:rPr>
              <w:t>，从岗位配置、年龄结构、经验资历</w:t>
            </w:r>
            <w:r>
              <w:rPr>
                <w:rFonts w:hint="eastAsia" w:asciiTheme="minorEastAsia" w:hAnsiTheme="minorEastAsia" w:eastAsiaTheme="minorEastAsia" w:cstheme="minorEastAsia"/>
                <w:color w:val="auto"/>
                <w:spacing w:val="0"/>
                <w:kern w:val="2"/>
                <w:sz w:val="24"/>
                <w:szCs w:val="24"/>
                <w:highlight w:val="none"/>
                <w:lang w:val="en-US" w:eastAsia="zh-CN" w:bidi="ar-SA"/>
              </w:rPr>
              <w:t>、持证上岗等方面合理性综合考虑其服务能力，满分15分，每有一项不合理或相对弱势扣1分，扣完为止，未提供不得分。</w:t>
            </w:r>
            <w:r>
              <w:rPr>
                <w:rFonts w:ascii="宋体" w:hAnsi="宋体" w:eastAsia="宋体" w:cs="宋体"/>
                <w:color w:val="auto"/>
                <w:sz w:val="24"/>
                <w:szCs w:val="24"/>
                <w:highlight w:val="none"/>
              </w:rPr>
              <w:t>无此</w:t>
            </w:r>
            <w:r>
              <w:rPr>
                <w:rFonts w:hint="eastAsia" w:ascii="宋体" w:hAnsi="宋体" w:cs="宋体"/>
                <w:color w:val="auto"/>
                <w:sz w:val="24"/>
                <w:szCs w:val="24"/>
                <w:highlight w:val="none"/>
                <w:lang w:eastAsia="zh-CN"/>
              </w:rPr>
              <w:t>项</w:t>
            </w:r>
            <w:r>
              <w:rPr>
                <w:rFonts w:ascii="宋体" w:hAnsi="宋体" w:eastAsia="宋体" w:cs="宋体"/>
                <w:color w:val="auto"/>
                <w:sz w:val="24"/>
                <w:szCs w:val="24"/>
                <w:highlight w:val="none"/>
              </w:rPr>
              <w:t>描述的不得分。</w:t>
            </w:r>
          </w:p>
        </w:tc>
      </w:tr>
      <w:tr w14:paraId="4151D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4" w:type="pct"/>
            <w:vMerge w:val="continue"/>
            <w:shd w:val="clear" w:color="auto" w:fill="auto"/>
            <w:vAlign w:val="center"/>
          </w:tcPr>
          <w:p w14:paraId="0F07BDB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p>
        </w:tc>
        <w:tc>
          <w:tcPr>
            <w:tcW w:w="641" w:type="pct"/>
            <w:shd w:val="clear" w:color="auto" w:fill="auto"/>
            <w:vAlign w:val="center"/>
          </w:tcPr>
          <w:p w14:paraId="1469066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r>
              <w:rPr>
                <w:rFonts w:ascii="宋体" w:hAnsi="宋体" w:eastAsia="宋体" w:cs="宋体"/>
                <w:color w:val="auto"/>
                <w:sz w:val="24"/>
                <w:szCs w:val="24"/>
                <w:highlight w:val="none"/>
              </w:rPr>
              <w:t>突发事件处置预案</w:t>
            </w:r>
          </w:p>
        </w:tc>
        <w:tc>
          <w:tcPr>
            <w:tcW w:w="401" w:type="pct"/>
            <w:shd w:val="clear" w:color="auto" w:fill="auto"/>
            <w:vAlign w:val="center"/>
          </w:tcPr>
          <w:p w14:paraId="675B3C6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10</w:t>
            </w:r>
          </w:p>
        </w:tc>
        <w:tc>
          <w:tcPr>
            <w:tcW w:w="3332" w:type="pct"/>
            <w:shd w:val="clear" w:color="auto" w:fill="auto"/>
            <w:vAlign w:val="center"/>
          </w:tcPr>
          <w:p w14:paraId="504DF4FD">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175"/>
              <w:textAlignment w:val="auto"/>
              <w:rPr>
                <w:rFonts w:hint="eastAsia" w:asciiTheme="minorEastAsia" w:hAnsiTheme="minorEastAsia" w:eastAsiaTheme="minorEastAsia" w:cstheme="minorEastAsia"/>
                <w:color w:val="auto"/>
                <w:spacing w:val="0"/>
                <w:kern w:val="2"/>
                <w:sz w:val="24"/>
                <w:szCs w:val="24"/>
                <w:highlight w:val="none"/>
                <w:lang w:val="en-US" w:eastAsia="zh-CN" w:bidi="ar-SA"/>
              </w:rPr>
            </w:pPr>
            <w:r>
              <w:rPr>
                <w:rFonts w:ascii="宋体" w:hAnsi="宋体" w:eastAsia="宋体" w:cs="宋体"/>
                <w:color w:val="auto"/>
                <w:sz w:val="24"/>
                <w:szCs w:val="24"/>
                <w:highlight w:val="none"/>
              </w:rPr>
              <w:t>根据</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所报</w:t>
            </w:r>
            <w:r>
              <w:rPr>
                <w:rFonts w:ascii="宋体" w:hAnsi="宋体" w:eastAsia="宋体" w:cs="宋体"/>
                <w:color w:val="auto"/>
                <w:sz w:val="24"/>
                <w:szCs w:val="24"/>
                <w:highlight w:val="none"/>
              </w:rPr>
              <w:t>突发事件处置预案种类、预测与防范措施、事故应急预案针对性</w:t>
            </w:r>
            <w:r>
              <w:rPr>
                <w:rFonts w:hint="eastAsia" w:ascii="宋体" w:hAnsi="宋体" w:eastAsia="宋体" w:cs="宋体"/>
                <w:color w:val="auto"/>
                <w:sz w:val="24"/>
                <w:szCs w:val="24"/>
                <w:highlight w:val="none"/>
                <w:lang w:val="en-US" w:eastAsia="zh-CN"/>
              </w:rPr>
              <w:t>等</w:t>
            </w:r>
            <w:r>
              <w:rPr>
                <w:rFonts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投标文件</w:t>
            </w:r>
            <w:r>
              <w:rPr>
                <w:rFonts w:ascii="宋体" w:hAnsi="宋体" w:eastAsia="宋体" w:cs="宋体"/>
                <w:color w:val="auto"/>
                <w:sz w:val="24"/>
                <w:szCs w:val="24"/>
                <w:highlight w:val="none"/>
              </w:rPr>
              <w:t>中有以上内容，并且</w:t>
            </w:r>
            <w:r>
              <w:rPr>
                <w:rFonts w:hint="eastAsia" w:ascii="宋体" w:hAnsi="宋体" w:eastAsia="宋体" w:cs="宋体"/>
                <w:bCs/>
                <w:color w:val="auto"/>
                <w:sz w:val="24"/>
                <w:szCs w:val="24"/>
                <w:highlight w:val="none"/>
              </w:rPr>
              <w:t>预案完备健全，对本</w:t>
            </w:r>
            <w:r>
              <w:rPr>
                <w:rFonts w:hint="eastAsia" w:ascii="宋体" w:hAnsi="宋体" w:eastAsia="宋体" w:cs="宋体"/>
                <w:bCs/>
                <w:color w:val="auto"/>
                <w:sz w:val="24"/>
                <w:szCs w:val="24"/>
                <w:highlight w:val="none"/>
                <w:lang w:val="en-US" w:eastAsia="zh-CN"/>
              </w:rPr>
              <w:t>项目的</w:t>
            </w:r>
            <w:r>
              <w:rPr>
                <w:rFonts w:hint="eastAsia" w:ascii="宋体" w:hAnsi="宋体" w:eastAsia="宋体" w:cs="宋体"/>
                <w:bCs/>
                <w:color w:val="auto"/>
                <w:sz w:val="24"/>
                <w:szCs w:val="24"/>
                <w:highlight w:val="none"/>
              </w:rPr>
              <w:t>服务针对性强</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实际可操作性</w:t>
            </w:r>
            <w:r>
              <w:rPr>
                <w:rFonts w:hint="eastAsia" w:ascii="宋体" w:hAnsi="宋体" w:eastAsia="宋体" w:cs="宋体"/>
                <w:bCs/>
                <w:color w:val="auto"/>
                <w:sz w:val="24"/>
                <w:szCs w:val="24"/>
                <w:highlight w:val="none"/>
                <w:lang w:val="en-US" w:eastAsia="zh-CN"/>
              </w:rPr>
              <w:t>强的</w:t>
            </w:r>
            <w:r>
              <w:rPr>
                <w:rFonts w:hint="eastAsia" w:ascii="宋体" w:hAnsi="宋体" w:eastAsia="宋体" w:cs="宋体"/>
                <w:color w:val="auto"/>
                <w:sz w:val="24"/>
                <w:szCs w:val="24"/>
                <w:highlight w:val="none"/>
                <w:lang w:val="en-US"/>
              </w:rPr>
              <w:t>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val="en-US"/>
              </w:rPr>
              <w:t>分,在此基础上</w:t>
            </w:r>
            <w:r>
              <w:rPr>
                <w:rFonts w:ascii="宋体" w:hAnsi="宋体" w:eastAsia="宋体" w:cs="宋体"/>
                <w:color w:val="auto"/>
                <w:sz w:val="24"/>
                <w:szCs w:val="24"/>
                <w:highlight w:val="none"/>
              </w:rPr>
              <w:t>每出现一处存在瑕疵或不完善扣1分，扣完为止。无此项描述的不得分。无此</w:t>
            </w:r>
            <w:r>
              <w:rPr>
                <w:rFonts w:hint="eastAsia" w:ascii="宋体" w:hAnsi="宋体" w:cs="宋体"/>
                <w:color w:val="auto"/>
                <w:sz w:val="24"/>
                <w:szCs w:val="24"/>
                <w:highlight w:val="none"/>
                <w:lang w:eastAsia="zh-CN"/>
              </w:rPr>
              <w:t>项</w:t>
            </w:r>
            <w:r>
              <w:rPr>
                <w:rFonts w:ascii="宋体" w:hAnsi="宋体" w:eastAsia="宋体" w:cs="宋体"/>
                <w:color w:val="auto"/>
                <w:sz w:val="24"/>
                <w:szCs w:val="24"/>
                <w:highlight w:val="none"/>
              </w:rPr>
              <w:t>描述的不得分。</w:t>
            </w:r>
          </w:p>
        </w:tc>
      </w:tr>
      <w:tr w14:paraId="778E5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624" w:type="pct"/>
            <w:vMerge w:val="continue"/>
            <w:shd w:val="clear" w:color="auto" w:fill="auto"/>
            <w:vAlign w:val="center"/>
          </w:tcPr>
          <w:p w14:paraId="311C801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sz w:val="24"/>
                <w:szCs w:val="24"/>
                <w:highlight w:val="none"/>
              </w:rPr>
            </w:pPr>
          </w:p>
        </w:tc>
        <w:tc>
          <w:tcPr>
            <w:tcW w:w="641" w:type="pct"/>
            <w:shd w:val="clear" w:color="auto" w:fill="auto"/>
            <w:vAlign w:val="center"/>
          </w:tcPr>
          <w:p w14:paraId="625176A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r>
              <w:rPr>
                <w:rFonts w:hint="eastAsia" w:ascii="宋体" w:hAnsi="宋体" w:eastAsia="宋体" w:cs="宋体"/>
                <w:bCs/>
                <w:color w:val="auto"/>
                <w:sz w:val="24"/>
                <w:szCs w:val="24"/>
                <w:highlight w:val="none"/>
              </w:rPr>
              <w:t>档案资料管理</w:t>
            </w:r>
          </w:p>
        </w:tc>
        <w:tc>
          <w:tcPr>
            <w:tcW w:w="401" w:type="pct"/>
            <w:shd w:val="clear" w:color="auto" w:fill="auto"/>
            <w:vAlign w:val="center"/>
          </w:tcPr>
          <w:p w14:paraId="3B324B6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5</w:t>
            </w:r>
          </w:p>
        </w:tc>
        <w:tc>
          <w:tcPr>
            <w:tcW w:w="3332" w:type="pct"/>
            <w:shd w:val="clear" w:color="auto" w:fill="auto"/>
            <w:vAlign w:val="center"/>
          </w:tcPr>
          <w:p w14:paraId="722FEB44">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175"/>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有完备的档案资料管理制度，建立、收集、保存等流程健全、规范，有完善档案移交步骤的得5分</w:t>
            </w:r>
            <w:r>
              <w:rPr>
                <w:rFonts w:hint="eastAsia" w:ascii="宋体" w:hAnsi="宋体" w:eastAsia="宋体" w:cs="宋体"/>
                <w:color w:val="auto"/>
                <w:sz w:val="24"/>
                <w:szCs w:val="24"/>
                <w:highlight w:val="none"/>
                <w:lang w:eastAsia="zh-CN"/>
              </w:rPr>
              <w:t>；</w:t>
            </w:r>
          </w:p>
          <w:p w14:paraId="264C8CB8">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175"/>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有基本的档案资料管理制度，建立、收集、保存等流程健全、规范，有基本的档案移交步骤的得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p>
          <w:p w14:paraId="62EC7534">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175"/>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3、档案资料管理制度不完善，没有档案移交步骤的得1分；</w:t>
            </w:r>
          </w:p>
          <w:p w14:paraId="1F36F614">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175"/>
              <w:textAlignment w:val="auto"/>
              <w:rPr>
                <w:rFonts w:hint="eastAsia" w:asciiTheme="minorEastAsia" w:hAnsiTheme="minorEastAsia" w:eastAsiaTheme="minorEastAsia" w:cstheme="minorEastAsia"/>
                <w:color w:val="auto"/>
                <w:spacing w:val="0"/>
                <w:kern w:val="2"/>
                <w:sz w:val="24"/>
                <w:szCs w:val="24"/>
                <w:highlight w:val="none"/>
                <w:lang w:val="en-US" w:eastAsia="zh-CN" w:bidi="ar-SA"/>
              </w:rPr>
            </w:pPr>
            <w:r>
              <w:rPr>
                <w:rFonts w:ascii="宋体" w:hAnsi="宋体" w:eastAsia="宋体" w:cs="宋体"/>
                <w:color w:val="auto"/>
                <w:sz w:val="24"/>
                <w:szCs w:val="24"/>
                <w:highlight w:val="none"/>
              </w:rPr>
              <w:t>无此</w:t>
            </w:r>
            <w:r>
              <w:rPr>
                <w:rFonts w:hint="eastAsia" w:ascii="宋体" w:hAnsi="宋体" w:cs="宋体"/>
                <w:color w:val="auto"/>
                <w:sz w:val="24"/>
                <w:szCs w:val="24"/>
                <w:highlight w:val="none"/>
                <w:lang w:eastAsia="zh-CN"/>
              </w:rPr>
              <w:t>项</w:t>
            </w:r>
            <w:r>
              <w:rPr>
                <w:rFonts w:ascii="宋体" w:hAnsi="宋体" w:eastAsia="宋体" w:cs="宋体"/>
                <w:color w:val="auto"/>
                <w:sz w:val="24"/>
                <w:szCs w:val="24"/>
                <w:highlight w:val="none"/>
              </w:rPr>
              <w:t>描述的不得分</w:t>
            </w:r>
            <w:r>
              <w:rPr>
                <w:rFonts w:hint="eastAsia" w:ascii="宋体" w:hAnsi="宋体" w:eastAsia="宋体" w:cs="宋体"/>
                <w:color w:val="auto"/>
                <w:sz w:val="24"/>
                <w:szCs w:val="24"/>
                <w:highlight w:val="none"/>
                <w:lang w:val="en-US" w:eastAsia="zh-CN"/>
              </w:rPr>
              <w:t>。</w:t>
            </w:r>
          </w:p>
        </w:tc>
      </w:tr>
      <w:tr w14:paraId="4A4EC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jc w:val="center"/>
        </w:trPr>
        <w:tc>
          <w:tcPr>
            <w:tcW w:w="624" w:type="pct"/>
            <w:shd w:val="clear" w:color="auto" w:fill="auto"/>
            <w:vAlign w:val="center"/>
          </w:tcPr>
          <w:p w14:paraId="77624C8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服务部分（10分）</w:t>
            </w:r>
          </w:p>
        </w:tc>
        <w:tc>
          <w:tcPr>
            <w:tcW w:w="641" w:type="pct"/>
            <w:shd w:val="clear" w:color="auto" w:fill="auto"/>
            <w:vAlign w:val="center"/>
          </w:tcPr>
          <w:p w14:paraId="57571D2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服务承诺</w:t>
            </w:r>
          </w:p>
        </w:tc>
        <w:tc>
          <w:tcPr>
            <w:tcW w:w="401" w:type="pct"/>
            <w:shd w:val="clear" w:color="auto" w:fill="auto"/>
            <w:vAlign w:val="center"/>
          </w:tcPr>
          <w:p w14:paraId="7B0465A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10</w:t>
            </w:r>
          </w:p>
        </w:tc>
        <w:tc>
          <w:tcPr>
            <w:tcW w:w="3332" w:type="pct"/>
            <w:shd w:val="clear" w:color="auto" w:fill="auto"/>
            <w:vAlign w:val="center"/>
          </w:tcPr>
          <w:p w14:paraId="675D68DC">
            <w:pPr>
              <w:pStyle w:val="76"/>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20" w:firstLineChars="175"/>
              <w:jc w:val="both"/>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宋体" w:hAnsi="宋体" w:eastAsia="宋体" w:cs="宋体"/>
                <w:color w:val="auto"/>
                <w:sz w:val="24"/>
                <w:szCs w:val="24"/>
                <w:highlight w:val="none"/>
                <w:lang w:eastAsia="zh-CN"/>
              </w:rPr>
              <w:t>根据投标人所提供的服务承诺的指标是否足够明确，双方权责是否足够清晰，</w:t>
            </w:r>
            <w:r>
              <w:rPr>
                <w:rFonts w:hint="eastAsia" w:ascii="宋体" w:hAnsi="宋体" w:eastAsia="宋体" w:cs="宋体"/>
                <w:color w:val="auto"/>
                <w:sz w:val="24"/>
                <w:szCs w:val="24"/>
                <w:highlight w:val="none"/>
                <w:lang w:val="en-US" w:eastAsia="zh-CN"/>
              </w:rPr>
              <w:t>是否</w:t>
            </w:r>
            <w:r>
              <w:rPr>
                <w:rFonts w:hint="eastAsia" w:ascii="宋体" w:hAnsi="宋体" w:eastAsia="宋体" w:cs="宋体"/>
                <w:color w:val="auto"/>
                <w:sz w:val="24"/>
                <w:szCs w:val="24"/>
                <w:highlight w:val="none"/>
                <w:lang w:eastAsia="zh-CN"/>
              </w:rPr>
              <w:t>服从工作安排和管理及接受监督机制是否健全等情况，</w:t>
            </w:r>
            <w:r>
              <w:rPr>
                <w:rFonts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val="en-US" w:eastAsia="zh-CN"/>
              </w:rPr>
              <w:t>全面，承诺到位</w:t>
            </w:r>
            <w:r>
              <w:rPr>
                <w:rFonts w:ascii="宋体" w:hAnsi="宋体" w:eastAsia="宋体" w:cs="宋体"/>
                <w:color w:val="auto"/>
                <w:sz w:val="24"/>
                <w:szCs w:val="24"/>
                <w:highlight w:val="none"/>
              </w:rPr>
              <w:t>的得</w:t>
            </w:r>
            <w:r>
              <w:rPr>
                <w:rFonts w:hint="eastAsia" w:ascii="宋体" w:hAnsi="宋体" w:eastAsia="宋体" w:cs="宋体"/>
                <w:color w:val="auto"/>
                <w:sz w:val="24"/>
                <w:szCs w:val="24"/>
                <w:highlight w:val="none"/>
                <w:lang w:val="en-US" w:eastAsia="zh-CN"/>
              </w:rPr>
              <w:t>10</w:t>
            </w:r>
            <w:r>
              <w:rPr>
                <w:rFonts w:ascii="宋体" w:hAnsi="宋体" w:eastAsia="宋体" w:cs="宋体"/>
                <w:color w:val="auto"/>
                <w:sz w:val="24"/>
                <w:szCs w:val="24"/>
                <w:highlight w:val="none"/>
              </w:rPr>
              <w:t>分；每出现一处存在瑕疵或不完善扣1分，扣完为止。无此</w:t>
            </w:r>
            <w:r>
              <w:rPr>
                <w:rFonts w:hint="eastAsia" w:ascii="宋体" w:hAnsi="宋体" w:eastAsia="宋体" w:cs="宋体"/>
                <w:color w:val="auto"/>
                <w:sz w:val="24"/>
                <w:szCs w:val="24"/>
                <w:highlight w:val="none"/>
                <w:lang w:eastAsia="zh-CN"/>
              </w:rPr>
              <w:t>项</w:t>
            </w:r>
            <w:r>
              <w:rPr>
                <w:rFonts w:ascii="宋体" w:hAnsi="宋体" w:eastAsia="宋体" w:cs="宋体"/>
                <w:color w:val="auto"/>
                <w:sz w:val="24"/>
                <w:szCs w:val="24"/>
                <w:highlight w:val="none"/>
              </w:rPr>
              <w:t>描述的不得分。</w:t>
            </w:r>
          </w:p>
        </w:tc>
      </w:tr>
    </w:tbl>
    <w:p w14:paraId="1DCE3864">
      <w:pPr>
        <w:pageBreakBefore w:val="0"/>
        <w:kinsoku/>
        <w:overflowPunct w:val="0"/>
        <w:bidi w:val="0"/>
        <w:spacing w:beforeAutospacing="0" w:afterAutospacing="0" w:line="520" w:lineRule="exact"/>
        <w:ind w:firstLine="480"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政府采购政策落实措施说明：</w:t>
      </w:r>
    </w:p>
    <w:p w14:paraId="1518799B">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t>（1）政策</w:t>
      </w:r>
      <w:r>
        <w:rPr>
          <w:rFonts w:hint="eastAsia" w:ascii="宋体" w:hAnsi="宋体"/>
          <w:color w:val="auto"/>
          <w:sz w:val="24"/>
          <w:highlight w:val="none"/>
          <w:lang w:val="en-US" w:eastAsia="zh-CN"/>
        </w:rPr>
        <w:t>依据</w:t>
      </w:r>
      <w:r>
        <w:rPr>
          <w:rFonts w:hint="eastAsia" w:ascii="宋体" w:hAnsi="宋体"/>
          <w:color w:val="auto"/>
          <w:sz w:val="24"/>
          <w:highlight w:val="none"/>
        </w:rPr>
        <w:t>：</w:t>
      </w:r>
    </w:p>
    <w:p w14:paraId="10D40616">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lang w:eastAsia="zh-CN"/>
        </w:rPr>
        <w:t>《政府采购促进中小企业发展管理办法》</w:t>
      </w:r>
      <w:r>
        <w:rPr>
          <w:rFonts w:hint="eastAsia" w:ascii="宋体" w:hAnsi="宋体"/>
          <w:color w:val="auto"/>
          <w:sz w:val="24"/>
          <w:highlight w:val="none"/>
        </w:rPr>
        <w:t>（财库[2020]46号）；</w:t>
      </w:r>
    </w:p>
    <w:p w14:paraId="40BDC829">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t>《财政部 司法部关于政府采购支持监狱企业发展有关问题的通知》（财库〔2014〕68号）；</w:t>
      </w:r>
    </w:p>
    <w:p w14:paraId="5E858F28">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t>《三部门联合发布关于促进残疾人就业政府采购政策的通知》（财库〔2017〕141号）；</w:t>
      </w:r>
    </w:p>
    <w:p w14:paraId="0F7D4A4B">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t>财政部国家发展改革委关于印发《节能产品政府采购实施意见》的通知（财库〔2004〕185号）；</w:t>
      </w:r>
    </w:p>
    <w:p w14:paraId="061AD955">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t>《财政部 发展改革委 生态环境部 市场监管总局关于调整优化节能产品、环境标志产品政府采购执行机制的通知》财库〔2019〕9号；</w:t>
      </w:r>
    </w:p>
    <w:p w14:paraId="4BDCBCD4">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t>《关于印发环境标志产品政府采购品目清单的通知》财库〔2019〕18号；</w:t>
      </w:r>
    </w:p>
    <w:p w14:paraId="0E1F1B00">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t>《关于印发节能产品政府采购品目清单的通知》财库〔2019〕19号；</w:t>
      </w:r>
    </w:p>
    <w:p w14:paraId="6635B51D">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t>《山东省节能环保产品政府采购评审办法》（鲁财库〔2007〕32号）。</w:t>
      </w:r>
    </w:p>
    <w:p w14:paraId="59C4B7F3">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t>（2）政策要求</w:t>
      </w:r>
    </w:p>
    <w:p w14:paraId="4DDC501B">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t>对满足价格扣除条件且在投标（响应）文件中提交了《中小企业声明函》、《残疾人福利性单位声明函》或省级以上监 狱管理局、戒毒管理局（含新疆生产建设兵团）出具的属于监狱企业的证明文件的供应商，其投标报价扣除10%后参与评审。对于同时属于小微企业、监狱企业或残疾人福利性单位的，不重复进行报价扣除。</w:t>
      </w:r>
      <w:r>
        <w:rPr>
          <w:rFonts w:hint="eastAsia" w:ascii="宋体" w:hAnsi="宋体"/>
          <w:color w:val="auto"/>
          <w:sz w:val="24"/>
          <w:highlight w:val="none"/>
          <w:lang w:eastAsia="zh-CN"/>
        </w:rPr>
        <w:t>《政府采购促进中小企业发展管理办法》</w:t>
      </w:r>
      <w:r>
        <w:rPr>
          <w:rFonts w:hint="eastAsia" w:ascii="宋体" w:hAnsi="宋体"/>
          <w:color w:val="auto"/>
          <w:sz w:val="24"/>
          <w:highlight w:val="none"/>
        </w:rPr>
        <w:t>所指中小企业（含中型、小型、微型企业，下同）应当同时符合以下条件：</w:t>
      </w:r>
    </w:p>
    <w:p w14:paraId="3FA162D4">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fldChar w:fldCharType="begin"/>
      </w:r>
      <w:r>
        <w:rPr>
          <w:rFonts w:hint="eastAsia" w:ascii="宋体" w:hAnsi="宋体"/>
          <w:color w:val="auto"/>
          <w:sz w:val="24"/>
          <w:highlight w:val="none"/>
        </w:rPr>
        <w:instrText xml:space="preserve"> = 1 \* GB3 </w:instrText>
      </w:r>
      <w:r>
        <w:rPr>
          <w:rFonts w:hint="eastAsia" w:ascii="宋体" w:hAnsi="宋体"/>
          <w:color w:val="auto"/>
          <w:sz w:val="24"/>
          <w:highlight w:val="none"/>
        </w:rPr>
        <w:fldChar w:fldCharType="separate"/>
      </w:r>
      <w:r>
        <w:rPr>
          <w:rFonts w:hint="eastAsia" w:ascii="宋体" w:hAnsi="宋体"/>
          <w:color w:val="auto"/>
          <w:sz w:val="24"/>
          <w:highlight w:val="none"/>
        </w:rPr>
        <w:t>①</w:t>
      </w:r>
      <w:r>
        <w:rPr>
          <w:rFonts w:hint="eastAsia" w:ascii="宋体" w:hAnsi="宋体"/>
          <w:color w:val="auto"/>
          <w:sz w:val="24"/>
          <w:highlight w:val="none"/>
        </w:rPr>
        <w:fldChar w:fldCharType="end"/>
      </w:r>
      <w:r>
        <w:rPr>
          <w:rFonts w:hint="eastAsia" w:ascii="宋体" w:hAnsi="宋体"/>
          <w:color w:val="auto"/>
          <w:sz w:val="24"/>
          <w:highlight w:val="none"/>
        </w:rPr>
        <w:t xml:space="preserve">符合中小企业划分标准； </w:t>
      </w:r>
    </w:p>
    <w:p w14:paraId="5D4E2265">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fldChar w:fldCharType="begin"/>
      </w:r>
      <w:r>
        <w:rPr>
          <w:rFonts w:hint="eastAsia" w:ascii="宋体" w:hAnsi="宋体"/>
          <w:color w:val="auto"/>
          <w:sz w:val="24"/>
          <w:highlight w:val="none"/>
        </w:rPr>
        <w:instrText xml:space="preserve"> = 2 \* GB3 </w:instrText>
      </w:r>
      <w:r>
        <w:rPr>
          <w:rFonts w:hint="eastAsia" w:ascii="宋体" w:hAnsi="宋体"/>
          <w:color w:val="auto"/>
          <w:sz w:val="24"/>
          <w:highlight w:val="none"/>
        </w:rPr>
        <w:fldChar w:fldCharType="separate"/>
      </w:r>
      <w:r>
        <w:rPr>
          <w:rFonts w:hint="eastAsia" w:ascii="宋体" w:hAnsi="宋体"/>
          <w:color w:val="auto"/>
          <w:sz w:val="24"/>
          <w:highlight w:val="none"/>
        </w:rPr>
        <w:t>②</w:t>
      </w:r>
      <w:r>
        <w:rPr>
          <w:rFonts w:hint="eastAsia" w:ascii="宋体" w:hAnsi="宋体"/>
          <w:color w:val="auto"/>
          <w:sz w:val="24"/>
          <w:highlight w:val="none"/>
        </w:rPr>
        <w:fldChar w:fldCharType="end"/>
      </w:r>
      <w:r>
        <w:rPr>
          <w:rFonts w:hint="eastAsia" w:ascii="宋体" w:hAnsi="宋体"/>
          <w:color w:val="auto"/>
          <w:sz w:val="24"/>
          <w:highlight w:val="none"/>
        </w:rPr>
        <w:t>提供本企业制造的货物、承担的工程或者服务，或者提供其他中小企业制造的货物。本项所称货物不包括使用大型企业注册商标的货物。</w:t>
      </w:r>
    </w:p>
    <w:p w14:paraId="33B0FBF9">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color w:val="auto"/>
          <w:sz w:val="24"/>
          <w:highlight w:val="none"/>
        </w:rPr>
      </w:pPr>
      <w:r>
        <w:rPr>
          <w:rFonts w:hint="eastAsia" w:ascii="宋体" w:hAnsi="宋体"/>
          <w:color w:val="auto"/>
          <w:sz w:val="24"/>
          <w:highlight w:val="none"/>
        </w:rPr>
        <w:t>在本次货物采购项目中，供应商提供的货物既有中小企业制造货物，也有大型企业制造货物的，不享受本办法规定的中小企业扶持政策。</w:t>
      </w:r>
    </w:p>
    <w:p w14:paraId="5DED06DF">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540" w:firstLineChars="225"/>
        <w:textAlignment w:val="auto"/>
        <w:rPr>
          <w:rFonts w:hint="eastAsia" w:ascii="宋体" w:hAnsi="宋体" w:eastAsia="宋体" w:cs="宋体"/>
          <w:color w:val="auto"/>
          <w:sz w:val="24"/>
          <w:highlight w:val="none"/>
          <w:lang w:eastAsia="zh-CN"/>
        </w:rPr>
      </w:pPr>
      <w:r>
        <w:rPr>
          <w:rFonts w:hint="eastAsia" w:ascii="宋体" w:hAnsi="宋体"/>
          <w:color w:val="auto"/>
          <w:sz w:val="24"/>
          <w:highlight w:val="none"/>
        </w:rPr>
        <w:t>中小企业划分标准以《工业和信息化部、国家统计局、国家发展和改革委员会、财政部关于印发中小企业划型标准规定的通知》（工信部联企业</w:t>
      </w:r>
      <w:r>
        <w:rPr>
          <w:rFonts w:hint="eastAsia" w:ascii="宋体" w:hAnsi="宋体"/>
          <w:color w:val="auto"/>
          <w:sz w:val="24"/>
          <w:highlight w:val="none"/>
          <w:lang w:eastAsia="zh-CN"/>
        </w:rPr>
        <w:t>〔2011〕</w:t>
      </w:r>
      <w:r>
        <w:rPr>
          <w:rFonts w:hint="eastAsia" w:ascii="宋体" w:hAnsi="宋体"/>
          <w:color w:val="auto"/>
          <w:sz w:val="24"/>
          <w:highlight w:val="none"/>
        </w:rPr>
        <w:t>300号）规定的划分标准为准。</w:t>
      </w:r>
    </w:p>
    <w:p w14:paraId="06D48645">
      <w:pPr>
        <w:spacing w:line="500" w:lineRule="exact"/>
        <w:ind w:right="-23" w:firstLine="648" w:firstLineChars="270"/>
        <w:rPr>
          <w:rFonts w:hint="eastAsia" w:ascii="宋体" w:hAnsi="宋体" w:cs="宋体"/>
          <w:color w:val="auto"/>
          <w:sz w:val="24"/>
          <w:highlight w:val="none"/>
        </w:rPr>
      </w:pPr>
    </w:p>
    <w:p w14:paraId="41704B69">
      <w:pPr>
        <w:spacing w:line="600" w:lineRule="exact"/>
        <w:ind w:right="-20" w:firstLine="567" w:firstLineChars="270"/>
        <w:rPr>
          <w:rFonts w:hint="eastAsia" w:ascii="宋体" w:hAnsi="宋体"/>
          <w:color w:val="auto"/>
          <w:highlight w:val="none"/>
        </w:rPr>
      </w:pPr>
      <w:r>
        <w:rPr>
          <w:rFonts w:ascii="宋体" w:hAnsi="宋体"/>
          <w:color w:val="auto"/>
          <w:highlight w:val="none"/>
        </w:rPr>
        <w:br w:type="page"/>
      </w:r>
      <w:bookmarkStart w:id="317" w:name="_Toc216582812"/>
      <w:bookmarkStart w:id="318" w:name="_Toc515647802"/>
      <w:bookmarkStart w:id="319" w:name="_Toc702"/>
      <w:bookmarkStart w:id="320" w:name="_Toc728"/>
    </w:p>
    <w:p w14:paraId="055193D1">
      <w:pPr>
        <w:pStyle w:val="2"/>
        <w:spacing w:line="600" w:lineRule="exact"/>
        <w:rPr>
          <w:rFonts w:hint="eastAsia" w:hAnsi="宋体"/>
          <w:color w:val="auto"/>
          <w:highlight w:val="none"/>
        </w:rPr>
      </w:pPr>
      <w:bookmarkStart w:id="321" w:name="_Toc21457"/>
      <w:r>
        <w:rPr>
          <w:rFonts w:hint="eastAsia" w:hAnsi="宋体"/>
          <w:color w:val="auto"/>
          <w:highlight w:val="none"/>
        </w:rPr>
        <w:t>第6章 投标文件格式</w:t>
      </w:r>
      <w:bookmarkEnd w:id="317"/>
      <w:bookmarkEnd w:id="318"/>
      <w:bookmarkEnd w:id="319"/>
      <w:bookmarkEnd w:id="320"/>
      <w:bookmarkEnd w:id="321"/>
      <w:bookmarkStart w:id="322" w:name="_Ref467988698"/>
      <w:bookmarkStart w:id="323" w:name="_Toc216582813"/>
      <w:bookmarkStart w:id="324" w:name="_Toc480942349"/>
      <w:bookmarkStart w:id="325" w:name="_Toc520356217"/>
    </w:p>
    <w:p w14:paraId="64FCCD11">
      <w:pPr>
        <w:pStyle w:val="3"/>
        <w:spacing w:line="600" w:lineRule="exact"/>
        <w:rPr>
          <w:rFonts w:ascii="宋体" w:hAnsi="宋体"/>
          <w:color w:val="auto"/>
          <w:highlight w:val="none"/>
        </w:rPr>
      </w:pPr>
      <w:bookmarkStart w:id="326" w:name="_Toc19791"/>
      <w:bookmarkStart w:id="327" w:name="_Toc46136850"/>
      <w:r>
        <w:rPr>
          <w:rFonts w:hint="eastAsia" w:ascii="宋体" w:hAnsi="宋体"/>
          <w:color w:val="auto"/>
          <w:highlight w:val="none"/>
        </w:rPr>
        <w:t>一、封面格式</w:t>
      </w:r>
      <w:bookmarkEnd w:id="326"/>
      <w:bookmarkEnd w:id="327"/>
    </w:p>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3E693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8" w:type="dxa"/>
            <w:tcBorders>
              <w:top w:val="single" w:color="auto" w:sz="4" w:space="0"/>
              <w:left w:val="single" w:color="auto" w:sz="4" w:space="0"/>
              <w:bottom w:val="single" w:color="auto" w:sz="4" w:space="0"/>
              <w:right w:val="single" w:color="auto" w:sz="4" w:space="0"/>
            </w:tcBorders>
            <w:noWrap w:val="0"/>
            <w:vAlign w:val="top"/>
          </w:tcPr>
          <w:p w14:paraId="22C63F42">
            <w:pPr>
              <w:spacing w:line="600" w:lineRule="exact"/>
              <w:jc w:val="center"/>
              <w:rPr>
                <w:rFonts w:ascii="宋体" w:hAnsi="宋体"/>
                <w:color w:val="auto"/>
                <w:highlight w:val="none"/>
              </w:rPr>
            </w:pPr>
          </w:p>
          <w:p w14:paraId="20121D44">
            <w:pPr>
              <w:spacing w:line="600" w:lineRule="exact"/>
              <w:jc w:val="center"/>
              <w:rPr>
                <w:rFonts w:ascii="宋体" w:hAnsi="宋体"/>
                <w:b/>
                <w:color w:val="auto"/>
                <w:sz w:val="30"/>
                <w:szCs w:val="30"/>
                <w:highlight w:val="none"/>
              </w:rPr>
            </w:pPr>
            <w:r>
              <w:rPr>
                <w:rFonts w:hint="eastAsia" w:ascii="宋体" w:hAnsi="宋体"/>
                <w:b/>
                <w:color w:val="auto"/>
                <w:sz w:val="30"/>
                <w:szCs w:val="30"/>
                <w:highlight w:val="none"/>
              </w:rPr>
              <w:t>投标文件</w:t>
            </w:r>
          </w:p>
          <w:p w14:paraId="0E7BA43A">
            <w:pPr>
              <w:spacing w:line="600" w:lineRule="exact"/>
              <w:jc w:val="center"/>
              <w:rPr>
                <w:rFonts w:ascii="宋体" w:hAnsi="宋体"/>
                <w:b/>
                <w:color w:val="auto"/>
                <w:sz w:val="30"/>
                <w:szCs w:val="30"/>
                <w:highlight w:val="none"/>
              </w:rPr>
            </w:pPr>
          </w:p>
          <w:p w14:paraId="1844BA05">
            <w:pPr>
              <w:spacing w:line="600" w:lineRule="exact"/>
              <w:jc w:val="center"/>
              <w:rPr>
                <w:rFonts w:hint="eastAsia" w:ascii="宋体" w:hAnsi="宋体" w:eastAsia="宋体"/>
                <w:color w:val="auto"/>
                <w:highlight w:val="none"/>
                <w:lang w:eastAsia="zh-CN"/>
              </w:rPr>
            </w:pPr>
            <w:r>
              <w:rPr>
                <w:rFonts w:hint="eastAsia" w:ascii="宋体" w:hAnsi="宋体"/>
                <w:color w:val="auto"/>
                <w:highlight w:val="none"/>
              </w:rPr>
              <w:t>项目编号：</w:t>
            </w:r>
            <w:r>
              <w:rPr>
                <w:rFonts w:hint="eastAsia" w:ascii="宋体" w:hAnsi="宋体"/>
                <w:color w:val="auto"/>
                <w:highlight w:val="none"/>
                <w:lang w:eastAsia="zh-CN"/>
              </w:rPr>
              <w:t>SDGP370000000202502003605</w:t>
            </w:r>
          </w:p>
          <w:p w14:paraId="35A0B14E">
            <w:pPr>
              <w:spacing w:line="600" w:lineRule="exact"/>
              <w:jc w:val="center"/>
              <w:rPr>
                <w:rFonts w:ascii="宋体" w:hAnsi="宋体"/>
                <w:color w:val="auto"/>
                <w:highlight w:val="none"/>
              </w:rPr>
            </w:pPr>
            <w:r>
              <w:rPr>
                <w:rFonts w:hint="eastAsia" w:ascii="宋体" w:hAnsi="宋体"/>
                <w:color w:val="auto"/>
                <w:highlight w:val="none"/>
              </w:rPr>
              <w:t>项目名称：</w:t>
            </w:r>
          </w:p>
          <w:p w14:paraId="66F04B64">
            <w:pPr>
              <w:spacing w:line="600" w:lineRule="exact"/>
              <w:jc w:val="center"/>
              <w:rPr>
                <w:rFonts w:ascii="宋体" w:hAnsi="宋体"/>
                <w:color w:val="auto"/>
                <w:highlight w:val="none"/>
              </w:rPr>
            </w:pPr>
            <w:r>
              <w:rPr>
                <w:rFonts w:hint="eastAsia" w:ascii="宋体" w:hAnsi="宋体"/>
                <w:color w:val="auto"/>
                <w:highlight w:val="none"/>
              </w:rPr>
              <w:t>投标人名称（公章）：</w:t>
            </w:r>
          </w:p>
          <w:p w14:paraId="5364B738">
            <w:pPr>
              <w:spacing w:line="600" w:lineRule="exact"/>
              <w:jc w:val="center"/>
              <w:rPr>
                <w:rFonts w:ascii="宋体" w:hAnsi="宋体"/>
                <w:color w:val="auto"/>
                <w:highlight w:val="none"/>
              </w:rPr>
            </w:pPr>
            <w:r>
              <w:rPr>
                <w:rFonts w:hint="eastAsia" w:ascii="宋体" w:hAnsi="宋体"/>
                <w:color w:val="auto"/>
                <w:highlight w:val="none"/>
              </w:rPr>
              <w:t>日</w:t>
            </w:r>
            <w:r>
              <w:rPr>
                <w:rFonts w:ascii="宋体" w:hAnsi="宋体"/>
                <w:color w:val="auto"/>
                <w:highlight w:val="none"/>
              </w:rPr>
              <w:t xml:space="preserve"> </w:t>
            </w:r>
            <w:r>
              <w:rPr>
                <w:rFonts w:hint="eastAsia" w:ascii="宋体" w:hAnsi="宋体"/>
                <w:color w:val="auto"/>
                <w:highlight w:val="none"/>
              </w:rPr>
              <w:t>期</w:t>
            </w:r>
          </w:p>
          <w:p w14:paraId="0B295E1D">
            <w:pPr>
              <w:spacing w:line="600" w:lineRule="exact"/>
              <w:rPr>
                <w:rFonts w:ascii="宋体" w:hAnsi="宋体"/>
                <w:color w:val="auto"/>
                <w:highlight w:val="none"/>
              </w:rPr>
            </w:pPr>
          </w:p>
        </w:tc>
      </w:tr>
    </w:tbl>
    <w:p w14:paraId="20F5BBFF">
      <w:pPr>
        <w:pStyle w:val="3"/>
        <w:spacing w:line="600" w:lineRule="exact"/>
        <w:rPr>
          <w:rFonts w:ascii="宋体" w:hAnsi="宋体" w:eastAsia="宋体" w:cs="宋体"/>
          <w:color w:val="auto"/>
          <w:highlight w:val="none"/>
        </w:rPr>
      </w:pPr>
      <w:bookmarkStart w:id="328" w:name="_Toc518923108"/>
      <w:bookmarkStart w:id="329" w:name="_Toc46136851"/>
      <w:r>
        <w:rPr>
          <w:rFonts w:hint="eastAsia" w:ascii="宋体" w:hAnsi="宋体"/>
          <w:color w:val="auto"/>
          <w:highlight w:val="none"/>
        </w:rPr>
        <w:br w:type="page"/>
      </w:r>
      <w:bookmarkStart w:id="330" w:name="_Toc21028"/>
      <w:r>
        <w:rPr>
          <w:rFonts w:hint="eastAsia" w:ascii="宋体" w:hAnsi="宋体"/>
          <w:color w:val="auto"/>
          <w:highlight w:val="none"/>
        </w:rPr>
        <w:t>二、</w:t>
      </w:r>
      <w:r>
        <w:rPr>
          <w:rFonts w:hint="eastAsia" w:ascii="宋体" w:hAnsi="宋体" w:eastAsia="宋体" w:cs="宋体"/>
          <w:color w:val="auto"/>
          <w:highlight w:val="none"/>
        </w:rPr>
        <w:t>评审因素索引表</w:t>
      </w:r>
      <w:bookmarkEnd w:id="330"/>
    </w:p>
    <w:p w14:paraId="3E05BF04">
      <w:pPr>
        <w:pStyle w:val="41"/>
        <w:spacing w:line="480" w:lineRule="exact"/>
        <w:ind w:left="0" w:firstLine="0"/>
        <w:jc w:val="left"/>
        <w:rPr>
          <w:rFonts w:hint="eastAsia"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lang w:val="en-US" w:eastAsia="zh-CN"/>
        </w:rPr>
        <w:t>投标人</w:t>
      </w:r>
      <w:r>
        <w:rPr>
          <w:rFonts w:hint="eastAsia" w:ascii="宋体" w:hAnsi="宋体" w:cs="宋体"/>
          <w:color w:val="auto"/>
          <w:sz w:val="24"/>
          <w:highlight w:val="none"/>
        </w:rPr>
        <w:t>：</w:t>
      </w:r>
    </w:p>
    <w:p w14:paraId="4ED51DEE">
      <w:pPr>
        <w:pStyle w:val="41"/>
        <w:spacing w:line="360" w:lineRule="auto"/>
        <w:ind w:left="0" w:lef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color w:val="auto"/>
          <w:sz w:val="24"/>
          <w:highlight w:val="none"/>
          <w:u w:val="single"/>
        </w:rPr>
        <w:t>（报价或价格项不必填写）</w:t>
      </w:r>
      <w:r>
        <w:rPr>
          <w:rFonts w:hint="eastAsia" w:ascii="宋体" w:hAnsi="宋体" w:cs="宋体"/>
          <w:color w:val="auto"/>
          <w:sz w:val="24"/>
          <w:highlight w:val="none"/>
        </w:rPr>
        <w:t>。</w:t>
      </w:r>
    </w:p>
    <w:tbl>
      <w:tblPr>
        <w:tblStyle w:val="33"/>
        <w:tblW w:w="56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964"/>
        <w:gridCol w:w="6233"/>
        <w:gridCol w:w="1145"/>
      </w:tblGrid>
      <w:tr w14:paraId="11EBB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664" w:type="pct"/>
            <w:tcBorders>
              <w:top w:val="single" w:color="auto" w:sz="4" w:space="0"/>
              <w:left w:val="single" w:color="auto" w:sz="4" w:space="0"/>
              <w:bottom w:val="single" w:color="auto" w:sz="4" w:space="0"/>
              <w:right w:val="single" w:color="auto" w:sz="4" w:space="0"/>
            </w:tcBorders>
            <w:noWrap/>
            <w:vAlign w:val="center"/>
          </w:tcPr>
          <w:p w14:paraId="231BD08B">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501" w:type="pct"/>
            <w:tcBorders>
              <w:top w:val="single" w:color="auto" w:sz="4" w:space="0"/>
              <w:left w:val="single" w:color="auto" w:sz="4" w:space="0"/>
              <w:bottom w:val="single" w:color="auto" w:sz="4" w:space="0"/>
              <w:right w:val="single" w:color="auto" w:sz="4" w:space="0"/>
            </w:tcBorders>
            <w:noWrap/>
            <w:vAlign w:val="center"/>
          </w:tcPr>
          <w:p w14:paraId="2A3C3382">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附表或</w:t>
            </w:r>
          </w:p>
          <w:p w14:paraId="116920F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材料序号</w:t>
            </w:r>
          </w:p>
        </w:tc>
        <w:tc>
          <w:tcPr>
            <w:tcW w:w="3239" w:type="pct"/>
            <w:tcBorders>
              <w:top w:val="single" w:color="auto" w:sz="4" w:space="0"/>
              <w:left w:val="single" w:color="auto" w:sz="4" w:space="0"/>
              <w:bottom w:val="single" w:color="auto" w:sz="4" w:space="0"/>
              <w:right w:val="single" w:color="auto" w:sz="4" w:space="0"/>
            </w:tcBorders>
            <w:noWrap/>
            <w:vAlign w:val="center"/>
          </w:tcPr>
          <w:p w14:paraId="5CDAEFB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材料明细</w:t>
            </w:r>
          </w:p>
        </w:tc>
        <w:tc>
          <w:tcPr>
            <w:tcW w:w="595" w:type="pct"/>
            <w:tcBorders>
              <w:top w:val="single" w:color="auto" w:sz="4" w:space="0"/>
              <w:left w:val="single" w:color="auto" w:sz="4" w:space="0"/>
              <w:bottom w:val="single" w:color="auto" w:sz="4" w:space="0"/>
              <w:right w:val="single" w:color="auto" w:sz="4" w:space="0"/>
            </w:tcBorders>
            <w:noWrap/>
            <w:vAlign w:val="center"/>
          </w:tcPr>
          <w:p w14:paraId="0E44060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14:paraId="0665E15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页码</w:t>
            </w:r>
          </w:p>
        </w:tc>
      </w:tr>
      <w:tr w14:paraId="5BC3D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4" w:type="pct"/>
            <w:vMerge w:val="restart"/>
            <w:tcBorders>
              <w:top w:val="single" w:color="auto" w:sz="4" w:space="0"/>
              <w:left w:val="single" w:color="auto" w:sz="4" w:space="0"/>
              <w:right w:val="single" w:color="auto" w:sz="4" w:space="0"/>
            </w:tcBorders>
            <w:noWrap/>
            <w:vAlign w:val="center"/>
          </w:tcPr>
          <w:p w14:paraId="3390267C">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w:t>
            </w:r>
          </w:p>
          <w:p w14:paraId="2369FEF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应</w:t>
            </w:r>
          </w:p>
          <w:p w14:paraId="5A565C9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商</w:t>
            </w:r>
          </w:p>
          <w:p w14:paraId="7391EA91">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w:t>
            </w:r>
          </w:p>
          <w:p w14:paraId="69B13CD0">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标</w:t>
            </w:r>
          </w:p>
          <w:p w14:paraId="180AFA8D">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190406B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格</w:t>
            </w:r>
          </w:p>
          <w:p w14:paraId="6D09E01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33FDAD53">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w:t>
            </w:r>
          </w:p>
          <w:p w14:paraId="68917E77">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证</w:t>
            </w:r>
          </w:p>
          <w:p w14:paraId="6EAB069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明</w:t>
            </w:r>
          </w:p>
          <w:p w14:paraId="2EF3C794">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w:t>
            </w:r>
          </w:p>
          <w:p w14:paraId="71C6E69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料</w:t>
            </w:r>
          </w:p>
        </w:tc>
        <w:tc>
          <w:tcPr>
            <w:tcW w:w="501" w:type="pct"/>
            <w:tcBorders>
              <w:top w:val="single" w:color="auto" w:sz="4" w:space="0"/>
              <w:left w:val="single" w:color="auto" w:sz="4" w:space="0"/>
              <w:bottom w:val="single" w:color="auto" w:sz="4" w:space="0"/>
              <w:right w:val="single" w:color="auto" w:sz="4" w:space="0"/>
            </w:tcBorders>
            <w:noWrap/>
            <w:vAlign w:val="center"/>
          </w:tcPr>
          <w:p w14:paraId="210B0A47">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c>
          <w:tcPr>
            <w:tcW w:w="3239" w:type="pct"/>
            <w:tcBorders>
              <w:top w:val="single" w:color="auto" w:sz="4" w:space="0"/>
              <w:left w:val="single" w:color="auto" w:sz="4" w:space="0"/>
              <w:bottom w:val="single" w:color="auto" w:sz="4" w:space="0"/>
              <w:right w:val="single" w:color="auto" w:sz="4" w:space="0"/>
            </w:tcBorders>
            <w:noWrap/>
            <w:vAlign w:val="center"/>
          </w:tcPr>
          <w:p w14:paraId="72DA5720">
            <w:pPr>
              <w:spacing w:line="300" w:lineRule="auto"/>
              <w:jc w:val="left"/>
              <w:rPr>
                <w:rFonts w:hint="default" w:ascii="宋体" w:hAnsi="宋体" w:eastAsia="宋体" w:cs="宋体"/>
                <w:b w:val="0"/>
                <w:bCs/>
                <w:color w:val="auto"/>
                <w:sz w:val="24"/>
                <w:szCs w:val="24"/>
                <w:highlight w:val="none"/>
                <w:lang w:val="en-US"/>
              </w:rPr>
            </w:pPr>
            <w:r>
              <w:rPr>
                <w:rFonts w:hint="eastAsia" w:ascii="宋体" w:hAnsi="宋体" w:cs="宋体"/>
                <w:b w:val="0"/>
                <w:bCs/>
                <w:color w:val="auto"/>
                <w:sz w:val="24"/>
                <w:szCs w:val="24"/>
                <w:highlight w:val="none"/>
                <w:lang w:val="en-US" w:eastAsia="zh-CN"/>
              </w:rPr>
              <w:t>投标书</w:t>
            </w:r>
          </w:p>
        </w:tc>
        <w:tc>
          <w:tcPr>
            <w:tcW w:w="595" w:type="pct"/>
            <w:tcBorders>
              <w:top w:val="single" w:color="auto" w:sz="4" w:space="0"/>
              <w:left w:val="single" w:color="auto" w:sz="4" w:space="0"/>
              <w:bottom w:val="single" w:color="auto" w:sz="4" w:space="0"/>
              <w:right w:val="single" w:color="auto" w:sz="4" w:space="0"/>
            </w:tcBorders>
            <w:noWrap/>
            <w:vAlign w:val="center"/>
          </w:tcPr>
          <w:p w14:paraId="57D2F28B">
            <w:pPr>
              <w:spacing w:line="300" w:lineRule="auto"/>
              <w:rPr>
                <w:rFonts w:hint="eastAsia" w:ascii="宋体" w:hAnsi="宋体" w:eastAsia="宋体" w:cs="宋体"/>
                <w:b w:val="0"/>
                <w:bCs/>
                <w:color w:val="auto"/>
                <w:kern w:val="2"/>
                <w:sz w:val="24"/>
                <w:szCs w:val="24"/>
                <w:highlight w:val="none"/>
                <w:lang w:val="en-US" w:eastAsia="zh-CN" w:bidi="ar-SA"/>
              </w:rPr>
            </w:pPr>
          </w:p>
        </w:tc>
      </w:tr>
      <w:tr w14:paraId="1363A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4" w:type="pct"/>
            <w:vMerge w:val="continue"/>
            <w:tcBorders>
              <w:left w:val="single" w:color="auto" w:sz="4" w:space="0"/>
              <w:right w:val="single" w:color="auto" w:sz="4" w:space="0"/>
            </w:tcBorders>
            <w:noWrap/>
            <w:vAlign w:val="center"/>
          </w:tcPr>
          <w:p w14:paraId="5D4BDD2F">
            <w:pPr>
              <w:spacing w:line="300" w:lineRule="auto"/>
              <w:jc w:val="center"/>
              <w:rPr>
                <w:rFonts w:hint="eastAsia" w:ascii="宋体" w:hAnsi="宋体" w:eastAsia="宋体" w:cs="宋体"/>
                <w:b w:val="0"/>
                <w:bCs/>
                <w:color w:val="auto"/>
                <w:sz w:val="24"/>
                <w:szCs w:val="24"/>
                <w:highlight w:val="none"/>
                <w:lang w:val="en-US" w:eastAsia="zh-CN"/>
              </w:rPr>
            </w:pPr>
          </w:p>
        </w:tc>
        <w:tc>
          <w:tcPr>
            <w:tcW w:w="501" w:type="pct"/>
            <w:tcBorders>
              <w:top w:val="single" w:color="auto" w:sz="4" w:space="0"/>
              <w:left w:val="single" w:color="auto" w:sz="4" w:space="0"/>
              <w:bottom w:val="single" w:color="auto" w:sz="4" w:space="0"/>
              <w:right w:val="single" w:color="auto" w:sz="4" w:space="0"/>
            </w:tcBorders>
            <w:noWrap/>
            <w:vAlign w:val="center"/>
          </w:tcPr>
          <w:p w14:paraId="4AE58412">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c>
          <w:tcPr>
            <w:tcW w:w="3239" w:type="pct"/>
            <w:tcBorders>
              <w:top w:val="single" w:color="auto" w:sz="4" w:space="0"/>
              <w:left w:val="single" w:color="auto" w:sz="4" w:space="0"/>
              <w:bottom w:val="single" w:color="auto" w:sz="4" w:space="0"/>
              <w:right w:val="single" w:color="auto" w:sz="4" w:space="0"/>
            </w:tcBorders>
            <w:noWrap/>
            <w:vAlign w:val="center"/>
          </w:tcPr>
          <w:p w14:paraId="63666278">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法定代表人授权委托书</w:t>
            </w:r>
          </w:p>
        </w:tc>
        <w:tc>
          <w:tcPr>
            <w:tcW w:w="595" w:type="pct"/>
            <w:tcBorders>
              <w:top w:val="single" w:color="auto" w:sz="4" w:space="0"/>
              <w:left w:val="single" w:color="auto" w:sz="4" w:space="0"/>
              <w:bottom w:val="single" w:color="auto" w:sz="4" w:space="0"/>
              <w:right w:val="single" w:color="auto" w:sz="4" w:space="0"/>
            </w:tcBorders>
            <w:noWrap/>
            <w:vAlign w:val="center"/>
          </w:tcPr>
          <w:p w14:paraId="65A2C574">
            <w:pPr>
              <w:spacing w:line="300" w:lineRule="auto"/>
              <w:rPr>
                <w:rFonts w:hint="eastAsia" w:ascii="宋体" w:hAnsi="宋体" w:eastAsia="宋体" w:cs="宋体"/>
                <w:b w:val="0"/>
                <w:bCs/>
                <w:color w:val="auto"/>
                <w:kern w:val="2"/>
                <w:sz w:val="24"/>
                <w:szCs w:val="24"/>
                <w:highlight w:val="none"/>
                <w:lang w:val="en-US" w:eastAsia="zh-CN" w:bidi="ar-SA"/>
              </w:rPr>
            </w:pPr>
          </w:p>
        </w:tc>
      </w:tr>
      <w:tr w14:paraId="2E6D4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4" w:type="pct"/>
            <w:vMerge w:val="continue"/>
            <w:tcBorders>
              <w:left w:val="single" w:color="auto" w:sz="4" w:space="0"/>
              <w:right w:val="single" w:color="auto" w:sz="4" w:space="0"/>
            </w:tcBorders>
            <w:noWrap/>
            <w:vAlign w:val="center"/>
          </w:tcPr>
          <w:p w14:paraId="348F0A34">
            <w:pPr>
              <w:spacing w:line="300" w:lineRule="auto"/>
              <w:jc w:val="center"/>
              <w:rPr>
                <w:rFonts w:hint="eastAsia" w:ascii="宋体" w:hAnsi="宋体" w:eastAsia="宋体" w:cs="宋体"/>
                <w:b w:val="0"/>
                <w:bCs/>
                <w:color w:val="auto"/>
                <w:sz w:val="24"/>
                <w:szCs w:val="24"/>
                <w:highlight w:val="none"/>
                <w:lang w:val="en-US" w:eastAsia="zh-CN"/>
              </w:rPr>
            </w:pPr>
          </w:p>
        </w:tc>
        <w:tc>
          <w:tcPr>
            <w:tcW w:w="501" w:type="pct"/>
            <w:tcBorders>
              <w:top w:val="single" w:color="auto" w:sz="4" w:space="0"/>
              <w:left w:val="single" w:color="auto" w:sz="4" w:space="0"/>
              <w:bottom w:val="single" w:color="auto" w:sz="4" w:space="0"/>
              <w:right w:val="single" w:color="auto" w:sz="4" w:space="0"/>
            </w:tcBorders>
            <w:noWrap/>
            <w:vAlign w:val="center"/>
          </w:tcPr>
          <w:p w14:paraId="443893B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p>
        </w:tc>
        <w:tc>
          <w:tcPr>
            <w:tcW w:w="3239" w:type="pct"/>
            <w:tcBorders>
              <w:top w:val="single" w:color="auto" w:sz="4" w:space="0"/>
              <w:left w:val="single" w:color="auto" w:sz="4" w:space="0"/>
              <w:bottom w:val="single" w:color="auto" w:sz="4" w:space="0"/>
              <w:right w:val="single" w:color="auto" w:sz="4" w:space="0"/>
            </w:tcBorders>
            <w:noWrap/>
            <w:vAlign w:val="center"/>
          </w:tcPr>
          <w:p w14:paraId="76FFDF78">
            <w:pPr>
              <w:pStyle w:val="3"/>
              <w:keepNext w:val="0"/>
              <w:jc w:val="left"/>
              <w:rPr>
                <w:rFonts w:hint="eastAsia" w:ascii="宋体" w:hAnsi="宋体" w:eastAsia="宋体" w:cs="宋体"/>
                <w:b w:val="0"/>
                <w:bCs/>
                <w:color w:val="auto"/>
                <w:kern w:val="2"/>
                <w:sz w:val="24"/>
                <w:szCs w:val="24"/>
                <w:highlight w:val="none"/>
                <w:lang w:val="en-US" w:eastAsia="zh-CN" w:bidi="ar-SA"/>
              </w:rPr>
            </w:pPr>
            <w:bookmarkStart w:id="331" w:name="_Toc3417"/>
            <w:bookmarkStart w:id="332" w:name="_Toc17574"/>
            <w:r>
              <w:rPr>
                <w:rFonts w:hint="eastAsia" w:ascii="宋体" w:hAnsi="宋体" w:eastAsia="宋体" w:cs="宋体"/>
                <w:b w:val="0"/>
                <w:bCs/>
                <w:color w:val="auto"/>
                <w:kern w:val="2"/>
                <w:sz w:val="24"/>
                <w:szCs w:val="24"/>
                <w:highlight w:val="none"/>
                <w:lang w:val="en-US" w:eastAsia="zh-CN" w:bidi="ar-SA"/>
              </w:rPr>
              <w:t>法定代表人身份证明书</w:t>
            </w:r>
            <w:bookmarkEnd w:id="331"/>
            <w:bookmarkEnd w:id="332"/>
          </w:p>
        </w:tc>
        <w:tc>
          <w:tcPr>
            <w:tcW w:w="595" w:type="pct"/>
            <w:tcBorders>
              <w:top w:val="single" w:color="auto" w:sz="4" w:space="0"/>
              <w:left w:val="single" w:color="auto" w:sz="4" w:space="0"/>
              <w:bottom w:val="single" w:color="auto" w:sz="4" w:space="0"/>
              <w:right w:val="single" w:color="auto" w:sz="4" w:space="0"/>
            </w:tcBorders>
            <w:noWrap/>
            <w:vAlign w:val="center"/>
          </w:tcPr>
          <w:p w14:paraId="2755B046">
            <w:pPr>
              <w:spacing w:line="300" w:lineRule="auto"/>
              <w:rPr>
                <w:rFonts w:hint="eastAsia" w:ascii="宋体" w:hAnsi="宋体" w:eastAsia="宋体" w:cs="宋体"/>
                <w:b w:val="0"/>
                <w:bCs/>
                <w:color w:val="auto"/>
                <w:kern w:val="2"/>
                <w:sz w:val="24"/>
                <w:szCs w:val="24"/>
                <w:highlight w:val="none"/>
                <w:lang w:val="en-US" w:eastAsia="zh-CN" w:bidi="ar-SA"/>
              </w:rPr>
            </w:pPr>
          </w:p>
        </w:tc>
      </w:tr>
      <w:tr w14:paraId="310B5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4" w:type="pct"/>
            <w:vMerge w:val="continue"/>
            <w:tcBorders>
              <w:left w:val="single" w:color="auto" w:sz="4" w:space="0"/>
              <w:right w:val="single" w:color="auto" w:sz="4" w:space="0"/>
            </w:tcBorders>
            <w:noWrap/>
            <w:vAlign w:val="center"/>
          </w:tcPr>
          <w:p w14:paraId="0B53A20C">
            <w:pPr>
              <w:spacing w:line="300" w:lineRule="auto"/>
              <w:jc w:val="center"/>
              <w:rPr>
                <w:rFonts w:hint="eastAsia" w:ascii="宋体" w:hAnsi="宋体" w:eastAsia="宋体" w:cs="宋体"/>
                <w:b w:val="0"/>
                <w:bCs/>
                <w:color w:val="auto"/>
                <w:sz w:val="24"/>
                <w:szCs w:val="24"/>
                <w:highlight w:val="none"/>
                <w:lang w:val="en-US" w:eastAsia="zh-CN"/>
              </w:rPr>
            </w:pPr>
          </w:p>
        </w:tc>
        <w:tc>
          <w:tcPr>
            <w:tcW w:w="501" w:type="pct"/>
            <w:tcBorders>
              <w:top w:val="single" w:color="auto" w:sz="4" w:space="0"/>
              <w:left w:val="single" w:color="auto" w:sz="4" w:space="0"/>
              <w:bottom w:val="single" w:color="auto" w:sz="4" w:space="0"/>
              <w:right w:val="single" w:color="auto" w:sz="4" w:space="0"/>
            </w:tcBorders>
            <w:noWrap/>
            <w:vAlign w:val="center"/>
          </w:tcPr>
          <w:p w14:paraId="0A003B77">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w:t>
            </w:r>
          </w:p>
        </w:tc>
        <w:tc>
          <w:tcPr>
            <w:tcW w:w="3239" w:type="pct"/>
            <w:tcBorders>
              <w:top w:val="single" w:color="auto" w:sz="4" w:space="0"/>
              <w:left w:val="single" w:color="auto" w:sz="4" w:space="0"/>
              <w:bottom w:val="single" w:color="auto" w:sz="4" w:space="0"/>
              <w:right w:val="single" w:color="auto" w:sz="4" w:space="0"/>
            </w:tcBorders>
            <w:noWrap/>
            <w:vAlign w:val="center"/>
          </w:tcPr>
          <w:p w14:paraId="3CDC3D77">
            <w:pPr>
              <w:spacing w:line="300" w:lineRule="auto"/>
              <w:jc w:val="left"/>
              <w:rPr>
                <w:rFonts w:hint="default"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报价一览表</w:t>
            </w:r>
          </w:p>
        </w:tc>
        <w:tc>
          <w:tcPr>
            <w:tcW w:w="595" w:type="pct"/>
            <w:tcBorders>
              <w:top w:val="single" w:color="auto" w:sz="4" w:space="0"/>
              <w:left w:val="single" w:color="auto" w:sz="4" w:space="0"/>
              <w:bottom w:val="single" w:color="auto" w:sz="4" w:space="0"/>
              <w:right w:val="single" w:color="auto" w:sz="4" w:space="0"/>
            </w:tcBorders>
            <w:noWrap/>
            <w:vAlign w:val="center"/>
          </w:tcPr>
          <w:p w14:paraId="098AA0C4">
            <w:pPr>
              <w:spacing w:line="300" w:lineRule="auto"/>
              <w:rPr>
                <w:rFonts w:hint="eastAsia" w:ascii="宋体" w:hAnsi="宋体" w:eastAsia="宋体" w:cs="宋体"/>
                <w:b w:val="0"/>
                <w:bCs/>
                <w:color w:val="auto"/>
                <w:kern w:val="2"/>
                <w:sz w:val="24"/>
                <w:szCs w:val="24"/>
                <w:highlight w:val="none"/>
                <w:lang w:val="en-US" w:eastAsia="zh-CN" w:bidi="ar-SA"/>
              </w:rPr>
            </w:pPr>
          </w:p>
        </w:tc>
      </w:tr>
      <w:tr w14:paraId="40E5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4" w:type="pct"/>
            <w:vMerge w:val="continue"/>
            <w:tcBorders>
              <w:left w:val="single" w:color="auto" w:sz="4" w:space="0"/>
              <w:right w:val="single" w:color="auto" w:sz="4" w:space="0"/>
            </w:tcBorders>
            <w:noWrap/>
            <w:vAlign w:val="center"/>
          </w:tcPr>
          <w:p w14:paraId="62A95887">
            <w:pPr>
              <w:spacing w:line="300" w:lineRule="auto"/>
              <w:jc w:val="center"/>
              <w:rPr>
                <w:rFonts w:hint="eastAsia" w:ascii="宋体" w:hAnsi="宋体" w:eastAsia="宋体" w:cs="宋体"/>
                <w:b w:val="0"/>
                <w:bCs/>
                <w:color w:val="auto"/>
                <w:sz w:val="24"/>
                <w:szCs w:val="24"/>
                <w:highlight w:val="none"/>
                <w:lang w:val="en-US" w:eastAsia="zh-CN"/>
              </w:rPr>
            </w:pPr>
          </w:p>
        </w:tc>
        <w:tc>
          <w:tcPr>
            <w:tcW w:w="501" w:type="pct"/>
            <w:tcBorders>
              <w:top w:val="single" w:color="auto" w:sz="4" w:space="0"/>
              <w:left w:val="single" w:color="auto" w:sz="4" w:space="0"/>
              <w:bottom w:val="single" w:color="auto" w:sz="4" w:space="0"/>
              <w:right w:val="single" w:color="auto" w:sz="4" w:space="0"/>
            </w:tcBorders>
            <w:noWrap/>
            <w:vAlign w:val="center"/>
          </w:tcPr>
          <w:p w14:paraId="043BED65">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rPr>
              <w:t>5</w:t>
            </w:r>
          </w:p>
        </w:tc>
        <w:tc>
          <w:tcPr>
            <w:tcW w:w="3239" w:type="pct"/>
            <w:tcBorders>
              <w:top w:val="single" w:color="auto" w:sz="4" w:space="0"/>
              <w:left w:val="single" w:color="auto" w:sz="4" w:space="0"/>
              <w:bottom w:val="single" w:color="auto" w:sz="4" w:space="0"/>
              <w:right w:val="single" w:color="auto" w:sz="4" w:space="0"/>
            </w:tcBorders>
            <w:noWrap/>
            <w:vAlign w:val="center"/>
          </w:tcPr>
          <w:p w14:paraId="6C36B147">
            <w:pPr>
              <w:spacing w:line="300" w:lineRule="auto"/>
              <w:jc w:val="left"/>
              <w:rPr>
                <w:rFonts w:hint="default" w:ascii="宋体" w:hAnsi="宋体" w:eastAsia="宋体" w:cs="宋体"/>
                <w:b w:val="0"/>
                <w:bCs/>
                <w:color w:val="auto"/>
                <w:kern w:val="2"/>
                <w:sz w:val="24"/>
                <w:szCs w:val="24"/>
                <w:highlight w:val="none"/>
                <w:lang w:val="en-US" w:eastAsia="zh-CN" w:bidi="ar-SA"/>
              </w:rPr>
            </w:pPr>
            <w:r>
              <w:rPr>
                <w:rFonts w:hint="eastAsia" w:hAnsi="宋体" w:cs="宋体"/>
                <w:b w:val="0"/>
                <w:bCs/>
                <w:color w:val="auto"/>
                <w:sz w:val="24"/>
                <w:szCs w:val="24"/>
                <w:highlight w:val="none"/>
                <w:u w:val="none"/>
              </w:rPr>
              <w:t>营业执照等证明文件</w:t>
            </w:r>
          </w:p>
        </w:tc>
        <w:tc>
          <w:tcPr>
            <w:tcW w:w="595" w:type="pct"/>
            <w:tcBorders>
              <w:top w:val="single" w:color="auto" w:sz="4" w:space="0"/>
              <w:left w:val="single" w:color="auto" w:sz="4" w:space="0"/>
              <w:bottom w:val="single" w:color="auto" w:sz="4" w:space="0"/>
              <w:right w:val="single" w:color="auto" w:sz="4" w:space="0"/>
            </w:tcBorders>
            <w:noWrap/>
            <w:vAlign w:val="center"/>
          </w:tcPr>
          <w:p w14:paraId="29C19297">
            <w:pPr>
              <w:spacing w:line="300" w:lineRule="auto"/>
              <w:rPr>
                <w:rFonts w:hint="eastAsia" w:ascii="宋体" w:hAnsi="宋体" w:eastAsia="宋体" w:cs="宋体"/>
                <w:b w:val="0"/>
                <w:bCs/>
                <w:color w:val="auto"/>
                <w:kern w:val="2"/>
                <w:sz w:val="24"/>
                <w:szCs w:val="24"/>
                <w:highlight w:val="none"/>
                <w:lang w:val="en-US" w:eastAsia="zh-CN" w:bidi="ar-SA"/>
              </w:rPr>
            </w:pPr>
          </w:p>
        </w:tc>
      </w:tr>
      <w:tr w14:paraId="4B9EF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4" w:type="pct"/>
            <w:vMerge w:val="continue"/>
            <w:tcBorders>
              <w:left w:val="single" w:color="auto" w:sz="4" w:space="0"/>
              <w:right w:val="single" w:color="auto" w:sz="4" w:space="0"/>
            </w:tcBorders>
            <w:noWrap/>
            <w:vAlign w:val="center"/>
          </w:tcPr>
          <w:p w14:paraId="5EF7F38D">
            <w:pPr>
              <w:spacing w:line="300" w:lineRule="auto"/>
              <w:jc w:val="center"/>
              <w:rPr>
                <w:rFonts w:hint="eastAsia" w:ascii="宋体" w:hAnsi="宋体" w:eastAsia="宋体" w:cs="宋体"/>
                <w:b w:val="0"/>
                <w:bCs/>
                <w:color w:val="auto"/>
                <w:sz w:val="24"/>
                <w:szCs w:val="24"/>
                <w:highlight w:val="none"/>
                <w:lang w:val="en-US" w:eastAsia="zh-CN"/>
              </w:rPr>
            </w:pPr>
          </w:p>
        </w:tc>
        <w:tc>
          <w:tcPr>
            <w:tcW w:w="501" w:type="pct"/>
            <w:tcBorders>
              <w:top w:val="single" w:color="auto" w:sz="4" w:space="0"/>
              <w:left w:val="single" w:color="auto" w:sz="4" w:space="0"/>
              <w:bottom w:val="single" w:color="auto" w:sz="4" w:space="0"/>
              <w:right w:val="single" w:color="auto" w:sz="4" w:space="0"/>
            </w:tcBorders>
            <w:noWrap/>
            <w:vAlign w:val="center"/>
          </w:tcPr>
          <w:p w14:paraId="2D527B56">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sz w:val="24"/>
                <w:szCs w:val="24"/>
                <w:highlight w:val="none"/>
                <w:lang w:val="en-US" w:eastAsia="zh-CN"/>
              </w:rPr>
              <w:t>6</w:t>
            </w:r>
          </w:p>
        </w:tc>
        <w:tc>
          <w:tcPr>
            <w:tcW w:w="3239" w:type="pct"/>
            <w:tcBorders>
              <w:top w:val="single" w:color="auto" w:sz="4" w:space="0"/>
              <w:left w:val="single" w:color="auto" w:sz="4" w:space="0"/>
              <w:bottom w:val="single" w:color="auto" w:sz="4" w:space="0"/>
              <w:right w:val="single" w:color="auto" w:sz="4" w:space="0"/>
            </w:tcBorders>
            <w:noWrap/>
            <w:vAlign w:val="center"/>
          </w:tcPr>
          <w:p w14:paraId="5112B4B5">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hAnsi="宋体" w:cs="宋体"/>
                <w:b w:val="0"/>
                <w:bCs/>
                <w:color w:val="auto"/>
                <w:sz w:val="24"/>
                <w:szCs w:val="24"/>
                <w:highlight w:val="none"/>
                <w:u w:val="none"/>
              </w:rPr>
              <w:t>具有良好的商业信誉和健全的财务会计制度的证明文件</w:t>
            </w:r>
          </w:p>
        </w:tc>
        <w:tc>
          <w:tcPr>
            <w:tcW w:w="595" w:type="pct"/>
            <w:tcBorders>
              <w:top w:val="single" w:color="auto" w:sz="4" w:space="0"/>
              <w:left w:val="single" w:color="auto" w:sz="4" w:space="0"/>
              <w:bottom w:val="single" w:color="auto" w:sz="4" w:space="0"/>
              <w:right w:val="single" w:color="auto" w:sz="4" w:space="0"/>
            </w:tcBorders>
            <w:noWrap/>
            <w:vAlign w:val="center"/>
          </w:tcPr>
          <w:p w14:paraId="69737E16">
            <w:pPr>
              <w:spacing w:line="300" w:lineRule="auto"/>
              <w:rPr>
                <w:rFonts w:hint="eastAsia" w:ascii="宋体" w:hAnsi="宋体" w:eastAsia="宋体" w:cs="宋体"/>
                <w:b w:val="0"/>
                <w:bCs/>
                <w:color w:val="auto"/>
                <w:kern w:val="2"/>
                <w:sz w:val="24"/>
                <w:szCs w:val="24"/>
                <w:highlight w:val="none"/>
                <w:lang w:val="en-US" w:eastAsia="zh-CN" w:bidi="ar-SA"/>
              </w:rPr>
            </w:pPr>
          </w:p>
        </w:tc>
      </w:tr>
      <w:tr w14:paraId="4AF98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4" w:type="pct"/>
            <w:vMerge w:val="continue"/>
            <w:tcBorders>
              <w:left w:val="single" w:color="auto" w:sz="4" w:space="0"/>
              <w:right w:val="single" w:color="auto" w:sz="4" w:space="0"/>
            </w:tcBorders>
            <w:noWrap/>
            <w:vAlign w:val="center"/>
          </w:tcPr>
          <w:p w14:paraId="302A3378">
            <w:pPr>
              <w:spacing w:line="300" w:lineRule="auto"/>
              <w:jc w:val="center"/>
              <w:rPr>
                <w:rFonts w:hint="eastAsia" w:ascii="宋体" w:hAnsi="宋体" w:eastAsia="宋体" w:cs="宋体"/>
                <w:b w:val="0"/>
                <w:bCs/>
                <w:color w:val="auto"/>
                <w:sz w:val="24"/>
                <w:szCs w:val="24"/>
                <w:highlight w:val="none"/>
                <w:lang w:val="en-US" w:eastAsia="zh-CN"/>
              </w:rPr>
            </w:pPr>
          </w:p>
        </w:tc>
        <w:tc>
          <w:tcPr>
            <w:tcW w:w="501" w:type="pct"/>
            <w:tcBorders>
              <w:top w:val="single" w:color="auto" w:sz="4" w:space="0"/>
              <w:left w:val="single" w:color="auto" w:sz="4" w:space="0"/>
              <w:bottom w:val="single" w:color="auto" w:sz="4" w:space="0"/>
              <w:right w:val="single" w:color="auto" w:sz="4" w:space="0"/>
            </w:tcBorders>
            <w:noWrap/>
            <w:vAlign w:val="center"/>
          </w:tcPr>
          <w:p w14:paraId="6169F89F">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sz w:val="24"/>
                <w:szCs w:val="24"/>
                <w:highlight w:val="none"/>
                <w:lang w:val="en-US" w:eastAsia="zh-CN"/>
              </w:rPr>
              <w:t>7</w:t>
            </w:r>
          </w:p>
        </w:tc>
        <w:tc>
          <w:tcPr>
            <w:tcW w:w="3239" w:type="pct"/>
            <w:tcBorders>
              <w:top w:val="single" w:color="auto" w:sz="4" w:space="0"/>
              <w:left w:val="single" w:color="auto" w:sz="4" w:space="0"/>
              <w:bottom w:val="single" w:color="auto" w:sz="4" w:space="0"/>
              <w:right w:val="single" w:color="auto" w:sz="4" w:space="0"/>
            </w:tcBorders>
            <w:noWrap/>
            <w:vAlign w:val="center"/>
          </w:tcPr>
          <w:p w14:paraId="1FE80CAA">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hAnsi="宋体" w:cs="宋体"/>
                <w:b w:val="0"/>
                <w:bCs/>
                <w:color w:val="auto"/>
                <w:sz w:val="24"/>
                <w:szCs w:val="24"/>
                <w:highlight w:val="none"/>
                <w:u w:val="none"/>
              </w:rPr>
              <w:t>依法缴纳税收和社会保障资金承诺函</w:t>
            </w:r>
          </w:p>
        </w:tc>
        <w:tc>
          <w:tcPr>
            <w:tcW w:w="595" w:type="pct"/>
            <w:tcBorders>
              <w:top w:val="single" w:color="auto" w:sz="4" w:space="0"/>
              <w:left w:val="single" w:color="auto" w:sz="4" w:space="0"/>
              <w:bottom w:val="single" w:color="auto" w:sz="4" w:space="0"/>
              <w:right w:val="single" w:color="auto" w:sz="4" w:space="0"/>
            </w:tcBorders>
            <w:noWrap/>
            <w:vAlign w:val="center"/>
          </w:tcPr>
          <w:p w14:paraId="1D56CA85">
            <w:pPr>
              <w:spacing w:line="300" w:lineRule="auto"/>
              <w:rPr>
                <w:rFonts w:hint="eastAsia" w:ascii="宋体" w:hAnsi="宋体" w:eastAsia="宋体" w:cs="宋体"/>
                <w:b w:val="0"/>
                <w:bCs/>
                <w:color w:val="auto"/>
                <w:kern w:val="2"/>
                <w:sz w:val="24"/>
                <w:szCs w:val="24"/>
                <w:highlight w:val="none"/>
                <w:lang w:val="en-US" w:eastAsia="zh-CN" w:bidi="ar-SA"/>
              </w:rPr>
            </w:pPr>
          </w:p>
        </w:tc>
      </w:tr>
      <w:tr w14:paraId="1CEEB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4" w:type="pct"/>
            <w:vMerge w:val="continue"/>
            <w:tcBorders>
              <w:left w:val="single" w:color="auto" w:sz="4" w:space="0"/>
              <w:right w:val="single" w:color="auto" w:sz="4" w:space="0"/>
            </w:tcBorders>
            <w:noWrap/>
            <w:vAlign w:val="center"/>
          </w:tcPr>
          <w:p w14:paraId="56D56A1E">
            <w:pPr>
              <w:spacing w:line="300" w:lineRule="auto"/>
              <w:jc w:val="center"/>
              <w:rPr>
                <w:rFonts w:hint="eastAsia" w:ascii="宋体" w:hAnsi="宋体" w:eastAsia="宋体" w:cs="宋体"/>
                <w:b w:val="0"/>
                <w:bCs/>
                <w:color w:val="auto"/>
                <w:sz w:val="24"/>
                <w:szCs w:val="24"/>
                <w:highlight w:val="none"/>
                <w:lang w:val="en-US" w:eastAsia="zh-CN"/>
              </w:rPr>
            </w:pPr>
          </w:p>
        </w:tc>
        <w:tc>
          <w:tcPr>
            <w:tcW w:w="501" w:type="pct"/>
            <w:tcBorders>
              <w:top w:val="single" w:color="auto" w:sz="4" w:space="0"/>
              <w:left w:val="single" w:color="auto" w:sz="4" w:space="0"/>
              <w:bottom w:val="single" w:color="auto" w:sz="4" w:space="0"/>
              <w:right w:val="single" w:color="auto" w:sz="4" w:space="0"/>
            </w:tcBorders>
            <w:noWrap/>
            <w:vAlign w:val="center"/>
          </w:tcPr>
          <w:p w14:paraId="37D43455">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sz w:val="24"/>
                <w:szCs w:val="24"/>
                <w:highlight w:val="none"/>
                <w:lang w:val="en-US" w:eastAsia="zh-CN"/>
              </w:rPr>
              <w:t>8</w:t>
            </w:r>
          </w:p>
        </w:tc>
        <w:tc>
          <w:tcPr>
            <w:tcW w:w="3239" w:type="pct"/>
            <w:tcBorders>
              <w:top w:val="single" w:color="auto" w:sz="4" w:space="0"/>
              <w:left w:val="single" w:color="auto" w:sz="4" w:space="0"/>
              <w:bottom w:val="single" w:color="auto" w:sz="4" w:space="0"/>
              <w:right w:val="single" w:color="auto" w:sz="4" w:space="0"/>
            </w:tcBorders>
            <w:noWrap/>
            <w:vAlign w:val="center"/>
          </w:tcPr>
          <w:p w14:paraId="0EBA96BF">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hAnsi="宋体" w:cs="宋体"/>
                <w:b w:val="0"/>
                <w:bCs/>
                <w:color w:val="auto"/>
                <w:sz w:val="24"/>
                <w:szCs w:val="24"/>
                <w:highlight w:val="none"/>
                <w:u w:val="none"/>
              </w:rPr>
              <w:t>参加政府采购活动前3年内在经营活动中没有重大违法记录的书面声明</w:t>
            </w:r>
          </w:p>
        </w:tc>
        <w:tc>
          <w:tcPr>
            <w:tcW w:w="595" w:type="pct"/>
            <w:tcBorders>
              <w:top w:val="single" w:color="auto" w:sz="4" w:space="0"/>
              <w:left w:val="single" w:color="auto" w:sz="4" w:space="0"/>
              <w:bottom w:val="single" w:color="auto" w:sz="4" w:space="0"/>
              <w:right w:val="single" w:color="auto" w:sz="4" w:space="0"/>
            </w:tcBorders>
            <w:noWrap/>
            <w:vAlign w:val="center"/>
          </w:tcPr>
          <w:p w14:paraId="49E3C1D2">
            <w:pPr>
              <w:spacing w:line="300" w:lineRule="auto"/>
              <w:rPr>
                <w:rFonts w:hint="eastAsia" w:ascii="宋体" w:hAnsi="宋体" w:eastAsia="宋体" w:cs="宋体"/>
                <w:b w:val="0"/>
                <w:bCs/>
                <w:color w:val="auto"/>
                <w:kern w:val="2"/>
                <w:sz w:val="24"/>
                <w:szCs w:val="24"/>
                <w:highlight w:val="none"/>
                <w:lang w:val="en-US" w:eastAsia="zh-CN" w:bidi="ar-SA"/>
              </w:rPr>
            </w:pPr>
          </w:p>
        </w:tc>
      </w:tr>
      <w:tr w14:paraId="14ED0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4" w:type="pct"/>
            <w:vMerge w:val="continue"/>
            <w:tcBorders>
              <w:left w:val="single" w:color="auto" w:sz="4" w:space="0"/>
              <w:right w:val="single" w:color="auto" w:sz="4" w:space="0"/>
            </w:tcBorders>
            <w:noWrap/>
            <w:vAlign w:val="center"/>
          </w:tcPr>
          <w:p w14:paraId="76AE757A">
            <w:pPr>
              <w:spacing w:line="300" w:lineRule="auto"/>
              <w:jc w:val="center"/>
              <w:rPr>
                <w:rFonts w:hint="eastAsia" w:ascii="宋体" w:hAnsi="宋体" w:eastAsia="宋体" w:cs="宋体"/>
                <w:b w:val="0"/>
                <w:bCs/>
                <w:color w:val="auto"/>
                <w:sz w:val="24"/>
                <w:szCs w:val="24"/>
                <w:highlight w:val="none"/>
                <w:lang w:val="en-US" w:eastAsia="zh-CN"/>
              </w:rPr>
            </w:pPr>
          </w:p>
        </w:tc>
        <w:tc>
          <w:tcPr>
            <w:tcW w:w="501" w:type="pct"/>
            <w:tcBorders>
              <w:top w:val="single" w:color="auto" w:sz="4" w:space="0"/>
              <w:left w:val="single" w:color="auto" w:sz="4" w:space="0"/>
              <w:bottom w:val="single" w:color="auto" w:sz="4" w:space="0"/>
              <w:right w:val="single" w:color="auto" w:sz="4" w:space="0"/>
            </w:tcBorders>
            <w:noWrap/>
            <w:vAlign w:val="center"/>
          </w:tcPr>
          <w:p w14:paraId="1A5C25A0">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sz w:val="24"/>
                <w:szCs w:val="24"/>
                <w:highlight w:val="none"/>
                <w:lang w:val="en-US" w:eastAsia="zh-CN"/>
              </w:rPr>
              <w:t>9</w:t>
            </w:r>
          </w:p>
        </w:tc>
        <w:tc>
          <w:tcPr>
            <w:tcW w:w="3239" w:type="pct"/>
            <w:tcBorders>
              <w:top w:val="single" w:color="auto" w:sz="4" w:space="0"/>
              <w:left w:val="single" w:color="auto" w:sz="4" w:space="0"/>
              <w:bottom w:val="single" w:color="auto" w:sz="4" w:space="0"/>
              <w:right w:val="single" w:color="auto" w:sz="4" w:space="0"/>
            </w:tcBorders>
            <w:noWrap/>
            <w:vAlign w:val="center"/>
          </w:tcPr>
          <w:p w14:paraId="76D653E8">
            <w:pPr>
              <w:spacing w:line="300" w:lineRule="auto"/>
              <w:jc w:val="left"/>
              <w:rPr>
                <w:rFonts w:hint="default" w:ascii="宋体" w:hAnsi="宋体" w:eastAsia="宋体" w:cs="宋体"/>
                <w:b w:val="0"/>
                <w:bCs/>
                <w:color w:val="auto"/>
                <w:kern w:val="2"/>
                <w:sz w:val="24"/>
                <w:szCs w:val="24"/>
                <w:highlight w:val="none"/>
                <w:lang w:val="en-US" w:eastAsia="zh-CN" w:bidi="ar-SA"/>
              </w:rPr>
            </w:pPr>
            <w:r>
              <w:rPr>
                <w:rFonts w:hint="eastAsia" w:hAnsi="宋体" w:cs="宋体"/>
                <w:b w:val="0"/>
                <w:bCs/>
                <w:color w:val="auto"/>
                <w:sz w:val="24"/>
                <w:szCs w:val="24"/>
                <w:highlight w:val="none"/>
                <w:u w:val="none"/>
                <w:lang w:eastAsia="zh-CN"/>
              </w:rPr>
              <w:t>投标人</w:t>
            </w:r>
            <w:r>
              <w:rPr>
                <w:rFonts w:hint="eastAsia" w:hAnsi="宋体" w:cs="宋体"/>
                <w:b w:val="0"/>
                <w:bCs/>
                <w:color w:val="auto"/>
                <w:sz w:val="24"/>
                <w:szCs w:val="24"/>
                <w:highlight w:val="none"/>
                <w:u w:val="none"/>
              </w:rPr>
              <w:t>反商业贿赂承诺书</w:t>
            </w:r>
          </w:p>
        </w:tc>
        <w:tc>
          <w:tcPr>
            <w:tcW w:w="595" w:type="pct"/>
            <w:tcBorders>
              <w:top w:val="single" w:color="auto" w:sz="4" w:space="0"/>
              <w:left w:val="single" w:color="auto" w:sz="4" w:space="0"/>
              <w:bottom w:val="single" w:color="auto" w:sz="4" w:space="0"/>
              <w:right w:val="single" w:color="auto" w:sz="4" w:space="0"/>
            </w:tcBorders>
            <w:noWrap/>
            <w:vAlign w:val="center"/>
          </w:tcPr>
          <w:p w14:paraId="4C068CF2">
            <w:pPr>
              <w:spacing w:line="300" w:lineRule="auto"/>
              <w:rPr>
                <w:rFonts w:hint="eastAsia" w:ascii="宋体" w:hAnsi="宋体" w:eastAsia="宋体" w:cs="宋体"/>
                <w:b w:val="0"/>
                <w:bCs/>
                <w:color w:val="auto"/>
                <w:kern w:val="2"/>
                <w:sz w:val="24"/>
                <w:szCs w:val="24"/>
                <w:highlight w:val="none"/>
                <w:lang w:val="en-US" w:eastAsia="zh-CN" w:bidi="ar-SA"/>
              </w:rPr>
            </w:pPr>
          </w:p>
        </w:tc>
      </w:tr>
      <w:tr w14:paraId="72462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564077CF">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以下为评分项目，请填写明确页码，以免遗漏评分材料。</w:t>
            </w:r>
          </w:p>
        </w:tc>
      </w:tr>
      <w:tr w14:paraId="17715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4" w:type="pct"/>
            <w:tcBorders>
              <w:left w:val="single" w:color="auto" w:sz="4" w:space="0"/>
              <w:bottom w:val="single" w:color="auto" w:sz="4" w:space="0"/>
              <w:right w:val="single" w:color="auto" w:sz="4" w:space="0"/>
            </w:tcBorders>
            <w:noWrap/>
            <w:vAlign w:val="center"/>
          </w:tcPr>
          <w:p w14:paraId="4D20500E">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rPr>
              <w:t>评分项目</w:t>
            </w:r>
          </w:p>
        </w:tc>
        <w:tc>
          <w:tcPr>
            <w:tcW w:w="501" w:type="pct"/>
            <w:tcBorders>
              <w:left w:val="single" w:color="auto" w:sz="4" w:space="0"/>
              <w:bottom w:val="single" w:color="auto" w:sz="4" w:space="0"/>
              <w:right w:val="single" w:color="auto" w:sz="4" w:space="0"/>
            </w:tcBorders>
            <w:noWrap/>
            <w:vAlign w:val="center"/>
          </w:tcPr>
          <w:p w14:paraId="6E24EAA7">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评审指标及分值</w:t>
            </w:r>
          </w:p>
        </w:tc>
        <w:tc>
          <w:tcPr>
            <w:tcW w:w="3239" w:type="pct"/>
            <w:tcBorders>
              <w:left w:val="single" w:color="auto" w:sz="4" w:space="0"/>
              <w:bottom w:val="single" w:color="auto" w:sz="4" w:space="0"/>
              <w:right w:val="single" w:color="auto" w:sz="4" w:space="0"/>
            </w:tcBorders>
            <w:noWrap/>
            <w:vAlign w:val="center"/>
          </w:tcPr>
          <w:p w14:paraId="7E66C7DF">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vertAlign w:val="baseline"/>
                <w:lang w:val="en-US" w:eastAsia="zh-CN"/>
              </w:rPr>
              <w:t>评审内容及标准</w:t>
            </w:r>
          </w:p>
        </w:tc>
        <w:tc>
          <w:tcPr>
            <w:tcW w:w="595" w:type="pct"/>
            <w:tcBorders>
              <w:left w:val="single" w:color="auto" w:sz="4" w:space="0"/>
              <w:bottom w:val="single" w:color="auto" w:sz="4" w:space="0"/>
              <w:right w:val="single" w:color="auto" w:sz="4" w:space="0"/>
            </w:tcBorders>
            <w:noWrap/>
            <w:vAlign w:val="center"/>
          </w:tcPr>
          <w:p w14:paraId="2D8BE806">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对应</w:t>
            </w:r>
          </w:p>
          <w:p w14:paraId="4E134185">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页码</w:t>
            </w:r>
          </w:p>
        </w:tc>
      </w:tr>
      <w:tr w14:paraId="01084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64" w:type="pct"/>
            <w:tcBorders>
              <w:top w:val="single" w:color="auto" w:sz="4" w:space="0"/>
              <w:left w:val="single" w:color="auto" w:sz="4" w:space="0"/>
              <w:right w:val="single" w:color="auto" w:sz="4" w:space="0"/>
            </w:tcBorders>
            <w:noWrap/>
            <w:vAlign w:val="center"/>
          </w:tcPr>
          <w:p w14:paraId="4E1EC95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rPr>
              <w:t>报价</w:t>
            </w:r>
          </w:p>
        </w:tc>
        <w:tc>
          <w:tcPr>
            <w:tcW w:w="501" w:type="pct"/>
            <w:tcBorders>
              <w:top w:val="single" w:color="auto" w:sz="4" w:space="0"/>
              <w:left w:val="single" w:color="auto" w:sz="4" w:space="0"/>
              <w:bottom w:val="single" w:color="auto" w:sz="4" w:space="0"/>
              <w:right w:val="single" w:color="auto" w:sz="4" w:space="0"/>
            </w:tcBorders>
            <w:noWrap/>
            <w:vAlign w:val="center"/>
          </w:tcPr>
          <w:p w14:paraId="457D5AE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20</w:t>
            </w:r>
          </w:p>
        </w:tc>
        <w:tc>
          <w:tcPr>
            <w:tcW w:w="3239" w:type="pct"/>
            <w:tcBorders>
              <w:top w:val="single" w:color="auto" w:sz="4" w:space="0"/>
              <w:left w:val="single" w:color="auto" w:sz="4" w:space="0"/>
              <w:bottom w:val="single" w:color="auto" w:sz="4" w:space="0"/>
              <w:right w:val="single" w:color="auto" w:sz="4" w:space="0"/>
            </w:tcBorders>
            <w:noWrap/>
            <w:vAlign w:val="center"/>
          </w:tcPr>
          <w:p w14:paraId="462EF47F">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价格分采用低价优先法计算，即满足</w:t>
            </w:r>
            <w:r>
              <w:rPr>
                <w:rFonts w:hint="eastAsia" w:asciiTheme="minorEastAsia" w:hAnsiTheme="minorEastAsia" w:eastAsiaTheme="minorEastAsia" w:cstheme="minorEastAsia"/>
                <w:color w:val="auto"/>
                <w:sz w:val="24"/>
                <w:szCs w:val="24"/>
                <w:highlight w:val="none"/>
                <w:lang w:eastAsia="zh-CN"/>
              </w:rPr>
              <w:t>招标文件</w:t>
            </w:r>
            <w:r>
              <w:rPr>
                <w:rFonts w:hint="eastAsia" w:asciiTheme="minorEastAsia" w:hAnsiTheme="minorEastAsia" w:eastAsiaTheme="minorEastAsia" w:cstheme="minorEastAsia"/>
                <w:color w:val="auto"/>
                <w:sz w:val="24"/>
                <w:szCs w:val="24"/>
                <w:highlight w:val="none"/>
              </w:rPr>
              <w:t>要求且总价报价最低的</w:t>
            </w:r>
            <w:r>
              <w:rPr>
                <w:rFonts w:hint="eastAsia" w:asciiTheme="minorEastAsia" w:hAnsiTheme="minorEastAsia" w:eastAsia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的响应评审总价为</w:t>
            </w:r>
            <w:r>
              <w:rPr>
                <w:rFonts w:hint="eastAsia" w:asciiTheme="minorEastAsia" w:hAnsiTheme="minorEastAsia" w:eastAsiaTheme="minorEastAsia" w:cstheme="minorEastAsia"/>
                <w:color w:val="auto"/>
                <w:sz w:val="24"/>
                <w:szCs w:val="24"/>
                <w:highlight w:val="none"/>
                <w:lang w:val="en-US" w:eastAsia="zh-CN"/>
              </w:rPr>
              <w:t>评标</w:t>
            </w:r>
            <w:r>
              <w:rPr>
                <w:rFonts w:hint="eastAsia" w:asciiTheme="minorEastAsia" w:hAnsiTheme="minorEastAsia" w:eastAsiaTheme="minorEastAsia" w:cstheme="minorEastAsia"/>
                <w:color w:val="auto"/>
                <w:sz w:val="24"/>
                <w:szCs w:val="24"/>
                <w:highlight w:val="none"/>
              </w:rPr>
              <w:t>基准价，其价格分为满分。其他</w:t>
            </w:r>
            <w:r>
              <w:rPr>
                <w:rFonts w:hint="eastAsia" w:asciiTheme="minorEastAsia" w:hAnsiTheme="minorEastAsia" w:eastAsia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的价格分统一按照下列公式计算：报价得分=(磋商基准价/最后报价)*</w:t>
            </w:r>
            <w:r>
              <w:rPr>
                <w:rFonts w:hint="eastAsia" w:asciiTheme="minorEastAsia" w:hAnsiTheme="minorEastAsia" w:eastAsiaTheme="minorEastAsia" w:cstheme="minorEastAsia"/>
                <w:color w:val="auto"/>
                <w:sz w:val="24"/>
                <w:szCs w:val="24"/>
                <w:highlight w:val="none"/>
                <w:lang w:val="en-US" w:eastAsia="zh-CN"/>
              </w:rPr>
              <w:t>20</w:t>
            </w:r>
            <w:r>
              <w:rPr>
                <w:rFonts w:hint="eastAsia" w:asciiTheme="minorEastAsia" w:hAnsiTheme="minorEastAsia" w:eastAsiaTheme="minorEastAsia" w:cstheme="minorEastAsia"/>
                <w:color w:val="auto"/>
                <w:sz w:val="24"/>
                <w:szCs w:val="24"/>
                <w:highlight w:val="none"/>
              </w:rPr>
              <w:t>%*100</w:t>
            </w:r>
          </w:p>
          <w:p w14:paraId="278F17AD">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rPr>
              <w:t>说明：</w:t>
            </w:r>
            <w:r>
              <w:rPr>
                <w:rFonts w:hint="eastAsia" w:asciiTheme="minorEastAsia" w:hAnsiTheme="minorEastAsia" w:eastAsia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sz w:val="24"/>
                <w:szCs w:val="24"/>
                <w:highlight w:val="none"/>
              </w:rPr>
              <w:t>报价时员工工资不得低于临沂市最低工资标准，否则将视为无效</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w:t>
            </w:r>
          </w:p>
        </w:tc>
        <w:tc>
          <w:tcPr>
            <w:tcW w:w="595" w:type="pct"/>
            <w:tcBorders>
              <w:top w:val="single" w:color="auto" w:sz="4" w:space="0"/>
              <w:left w:val="single" w:color="auto" w:sz="4" w:space="0"/>
              <w:bottom w:val="single" w:color="auto" w:sz="4" w:space="0"/>
              <w:right w:val="single" w:color="auto" w:sz="4" w:space="0"/>
            </w:tcBorders>
            <w:noWrap/>
            <w:vAlign w:val="center"/>
          </w:tcPr>
          <w:p w14:paraId="3A41BA85">
            <w:pPr>
              <w:spacing w:line="300" w:lineRule="auto"/>
              <w:rPr>
                <w:rFonts w:hint="eastAsia" w:ascii="宋体" w:hAnsi="宋体" w:eastAsia="宋体" w:cs="宋体"/>
                <w:b w:val="0"/>
                <w:bCs/>
                <w:color w:val="auto"/>
                <w:sz w:val="24"/>
                <w:szCs w:val="24"/>
                <w:highlight w:val="none"/>
                <w:vertAlign w:val="baseline"/>
                <w:lang w:val="en-US" w:eastAsia="zh-CN"/>
              </w:rPr>
            </w:pPr>
          </w:p>
        </w:tc>
      </w:tr>
      <w:tr w14:paraId="20907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664" w:type="pct"/>
            <w:tcBorders>
              <w:left w:val="single" w:color="auto" w:sz="4" w:space="0"/>
              <w:right w:val="single" w:color="auto" w:sz="4" w:space="0"/>
            </w:tcBorders>
            <w:noWrap/>
            <w:vAlign w:val="center"/>
          </w:tcPr>
          <w:p w14:paraId="322CCD6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rPr>
              <w:t>同类业绩</w:t>
            </w:r>
          </w:p>
        </w:tc>
        <w:tc>
          <w:tcPr>
            <w:tcW w:w="501" w:type="pct"/>
            <w:tcBorders>
              <w:top w:val="single" w:color="auto" w:sz="4" w:space="0"/>
              <w:left w:val="single" w:color="auto" w:sz="4" w:space="0"/>
              <w:bottom w:val="single" w:color="auto" w:sz="4" w:space="0"/>
              <w:right w:val="single" w:color="auto" w:sz="4" w:space="0"/>
            </w:tcBorders>
            <w:noWrap/>
            <w:vAlign w:val="center"/>
          </w:tcPr>
          <w:p w14:paraId="09D23A0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5</w:t>
            </w:r>
          </w:p>
        </w:tc>
        <w:tc>
          <w:tcPr>
            <w:tcW w:w="3239" w:type="pct"/>
            <w:tcBorders>
              <w:top w:val="single" w:color="auto" w:sz="4" w:space="0"/>
              <w:left w:val="single" w:color="auto" w:sz="4" w:space="0"/>
              <w:bottom w:val="single" w:color="auto" w:sz="4" w:space="0"/>
              <w:right w:val="single" w:color="auto" w:sz="4" w:space="0"/>
            </w:tcBorders>
            <w:noWrap/>
            <w:vAlign w:val="center"/>
          </w:tcPr>
          <w:p w14:paraId="43B265E2">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both"/>
              <w:textAlignment w:val="auto"/>
              <w:rPr>
                <w:rFonts w:hint="eastAsia" w:ascii="DFKai-SB" w:hAnsi="DFKai-SB" w:cs="Times New Roman" w:eastAsiaTheme="minorEastAsia"/>
                <w:color w:val="auto"/>
                <w:spacing w:val="-8"/>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自</w:t>
            </w:r>
            <w:r>
              <w:rPr>
                <w:rFonts w:hint="eastAsia" w:asciiTheme="minorEastAsia" w:hAnsiTheme="minorEastAsia" w:eastAsiaTheme="minorEastAsia" w:cstheme="minorEastAsia"/>
                <w:color w:val="auto"/>
                <w:sz w:val="24"/>
                <w:szCs w:val="24"/>
                <w:highlight w:val="none"/>
                <w:lang w:val="en-US" w:eastAsia="zh-CN"/>
              </w:rPr>
              <w:t>2022</w:t>
            </w:r>
            <w:r>
              <w:rPr>
                <w:rFonts w:hint="eastAsia" w:asciiTheme="minorEastAsia" w:hAnsiTheme="minorEastAsia" w:eastAsiaTheme="minorEastAsia" w:cstheme="minorEastAsia"/>
                <w:color w:val="auto"/>
                <w:sz w:val="24"/>
                <w:szCs w:val="24"/>
                <w:highlight w:val="none"/>
              </w:rPr>
              <w:t>年1月1日以来(以合同签订时间为准)承揽的类似项目业绩合同，每提供1个业绩得</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分，最高得</w:t>
            </w: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rPr>
              <w:t>分</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rPr>
              <w:t>注：类似项目业绩以</w:t>
            </w:r>
            <w:r>
              <w:rPr>
                <w:rFonts w:hint="eastAsia" w:asciiTheme="minorEastAsia" w:hAnsiTheme="minorEastAsia" w:eastAsiaTheme="minorEastAsia" w:cstheme="minorEastAsia"/>
                <w:color w:val="auto"/>
                <w:sz w:val="24"/>
                <w:szCs w:val="24"/>
                <w:highlight w:val="none"/>
                <w:lang w:eastAsia="zh-CN"/>
              </w:rPr>
              <w:t>评标委员会</w:t>
            </w:r>
            <w:r>
              <w:rPr>
                <w:rFonts w:hint="eastAsia" w:asciiTheme="minorEastAsia" w:hAnsiTheme="minorEastAsia" w:eastAsiaTheme="minorEastAsia" w:cstheme="minorEastAsia"/>
                <w:color w:val="auto"/>
                <w:sz w:val="24"/>
                <w:szCs w:val="24"/>
                <w:highlight w:val="none"/>
              </w:rPr>
              <w:t>认定为准。</w:t>
            </w:r>
            <w:r>
              <w:rPr>
                <w:rFonts w:hint="eastAsia" w:asciiTheme="minorEastAsia" w:hAnsiTheme="minorEastAsia" w:eastAsiaTheme="minorEastAsia" w:cstheme="minorEastAsia"/>
                <w:color w:val="auto"/>
                <w:sz w:val="24"/>
                <w:szCs w:val="24"/>
                <w:highlight w:val="none"/>
                <w:lang w:eastAsia="zh-CN"/>
              </w:rPr>
              <w:t>投标文件</w:t>
            </w:r>
            <w:r>
              <w:rPr>
                <w:rFonts w:hint="eastAsia" w:asciiTheme="minorEastAsia" w:hAnsiTheme="minorEastAsia" w:eastAsiaTheme="minorEastAsia" w:cstheme="minorEastAsia"/>
                <w:color w:val="auto"/>
                <w:sz w:val="24"/>
                <w:szCs w:val="24"/>
                <w:highlight w:val="none"/>
              </w:rPr>
              <w:t>中同时提供合同和中标（成交）通知书复印件，并提供合同和中标（成交）通知书原件供现场查验。未按上述要求提供的业绩不予认可。</w:t>
            </w:r>
          </w:p>
        </w:tc>
        <w:tc>
          <w:tcPr>
            <w:tcW w:w="595" w:type="pct"/>
            <w:tcBorders>
              <w:top w:val="single" w:color="auto" w:sz="4" w:space="0"/>
              <w:left w:val="single" w:color="auto" w:sz="4" w:space="0"/>
              <w:bottom w:val="single" w:color="auto" w:sz="4" w:space="0"/>
              <w:right w:val="single" w:color="auto" w:sz="4" w:space="0"/>
            </w:tcBorders>
            <w:noWrap/>
            <w:vAlign w:val="center"/>
          </w:tcPr>
          <w:p w14:paraId="0A62EC05">
            <w:pPr>
              <w:numPr>
                <w:ilvl w:val="0"/>
                <w:numId w:val="0"/>
              </w:numPr>
              <w:topLinePunct/>
              <w:spacing w:line="360" w:lineRule="auto"/>
              <w:ind w:left="0" w:leftChars="0" w:firstLine="0" w:firstLineChars="0"/>
              <w:jc w:val="both"/>
              <w:rPr>
                <w:rFonts w:hint="eastAsia" w:ascii="宋体" w:hAnsi="宋体" w:eastAsia="宋体" w:cs="宋体"/>
                <w:b w:val="0"/>
                <w:bCs/>
                <w:color w:val="auto"/>
                <w:sz w:val="24"/>
                <w:szCs w:val="24"/>
                <w:highlight w:val="none"/>
              </w:rPr>
            </w:pPr>
          </w:p>
        </w:tc>
      </w:tr>
      <w:tr w14:paraId="34C91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jc w:val="center"/>
        </w:trPr>
        <w:tc>
          <w:tcPr>
            <w:tcW w:w="664" w:type="pct"/>
            <w:tcBorders>
              <w:left w:val="single" w:color="auto" w:sz="4" w:space="0"/>
              <w:right w:val="single" w:color="auto" w:sz="4" w:space="0"/>
            </w:tcBorders>
            <w:noWrap/>
            <w:vAlign w:val="center"/>
          </w:tcPr>
          <w:p w14:paraId="10CE08D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rPr>
              <w:t>项目综合</w:t>
            </w:r>
            <w:r>
              <w:rPr>
                <w:rFonts w:hint="eastAsia" w:asciiTheme="minorEastAsia" w:hAnsiTheme="minorEastAsia" w:eastAsiaTheme="minorEastAsia" w:cstheme="minorEastAsia"/>
                <w:color w:val="auto"/>
                <w:sz w:val="24"/>
                <w:szCs w:val="24"/>
                <w:highlight w:val="none"/>
                <w:lang w:val="en-US" w:eastAsia="zh-CN"/>
              </w:rPr>
              <w:t>服务</w:t>
            </w:r>
            <w:r>
              <w:rPr>
                <w:rFonts w:hint="eastAsia" w:asciiTheme="minorEastAsia" w:hAnsiTheme="minorEastAsia" w:eastAsiaTheme="minorEastAsia" w:cstheme="minorEastAsia"/>
                <w:color w:val="auto"/>
                <w:sz w:val="24"/>
                <w:szCs w:val="24"/>
                <w:highlight w:val="none"/>
              </w:rPr>
              <w:t>方案</w:t>
            </w:r>
          </w:p>
        </w:tc>
        <w:tc>
          <w:tcPr>
            <w:tcW w:w="501" w:type="pct"/>
            <w:tcBorders>
              <w:top w:val="single" w:color="auto" w:sz="4" w:space="0"/>
              <w:left w:val="single" w:color="auto" w:sz="4" w:space="0"/>
              <w:bottom w:val="single" w:color="auto" w:sz="4" w:space="0"/>
              <w:right w:val="single" w:color="auto" w:sz="4" w:space="0"/>
            </w:tcBorders>
            <w:noWrap/>
            <w:vAlign w:val="center"/>
          </w:tcPr>
          <w:p w14:paraId="4B3A204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25</w:t>
            </w:r>
          </w:p>
        </w:tc>
        <w:tc>
          <w:tcPr>
            <w:tcW w:w="3239" w:type="pct"/>
            <w:tcBorders>
              <w:top w:val="single" w:color="auto" w:sz="4" w:space="0"/>
              <w:left w:val="single" w:color="auto" w:sz="4" w:space="0"/>
              <w:bottom w:val="single" w:color="auto" w:sz="4" w:space="0"/>
              <w:right w:val="single" w:color="auto" w:sz="4" w:space="0"/>
            </w:tcBorders>
            <w:noWrap/>
            <w:vAlign w:val="center"/>
          </w:tcPr>
          <w:p w14:paraId="0A6C38D7">
            <w:pPr>
              <w:pStyle w:val="32"/>
              <w:keepNext w:val="0"/>
              <w:keepLines w:val="0"/>
              <w:pageBreakBefore w:val="0"/>
              <w:widowControl w:val="0"/>
              <w:kinsoku/>
              <w:wordWrap/>
              <w:overflowPunct/>
              <w:topLinePunct w:val="0"/>
              <w:autoSpaceDE/>
              <w:autoSpaceDN/>
              <w:bidi w:val="0"/>
              <w:adjustRightInd/>
              <w:snapToGrid/>
              <w:spacing w:after="0" w:line="480" w:lineRule="exact"/>
              <w:ind w:left="0" w:leftChars="0" w:firstLine="476" w:firstLineChars="200"/>
              <w:textAlignment w:val="auto"/>
              <w:rPr>
                <w:rFonts w:hint="eastAsia" w:asciiTheme="minorEastAsia" w:hAnsiTheme="minorEastAsia" w:eastAsiaTheme="minorEastAsia" w:cstheme="minorEastAsia"/>
                <w:color w:val="auto"/>
                <w:spacing w:val="0"/>
                <w:kern w:val="2"/>
                <w:sz w:val="24"/>
                <w:szCs w:val="24"/>
                <w:highlight w:val="none"/>
                <w:lang w:val="en-US" w:eastAsia="zh-CN" w:bidi="ar-SA"/>
              </w:rPr>
            </w:pPr>
            <w:r>
              <w:rPr>
                <w:rFonts w:hint="eastAsia" w:ascii="宋体" w:hAnsi="宋体" w:eastAsia="宋体" w:cs="宋体"/>
                <w:color w:val="auto"/>
                <w:spacing w:val="-1"/>
                <w:sz w:val="24"/>
                <w:szCs w:val="24"/>
                <w:highlight w:val="none"/>
                <w:lang w:eastAsia="zh-CN"/>
              </w:rPr>
              <w:t>根据</w:t>
            </w:r>
            <w:r>
              <w:rPr>
                <w:rFonts w:hint="eastAsia" w:ascii="宋体" w:hAnsi="宋体" w:cs="宋体"/>
                <w:color w:val="auto"/>
                <w:spacing w:val="-1"/>
                <w:sz w:val="24"/>
                <w:szCs w:val="24"/>
                <w:highlight w:val="none"/>
                <w:lang w:eastAsia="zh-CN"/>
              </w:rPr>
              <w:t>投标人</w:t>
            </w:r>
            <w:r>
              <w:rPr>
                <w:rFonts w:hint="eastAsia" w:ascii="宋体" w:hAnsi="宋体" w:eastAsia="宋体" w:cs="宋体"/>
                <w:color w:val="auto"/>
                <w:spacing w:val="-1"/>
                <w:sz w:val="24"/>
                <w:szCs w:val="24"/>
                <w:highlight w:val="none"/>
                <w:lang w:eastAsia="zh-CN"/>
              </w:rPr>
              <w:t>对</w:t>
            </w:r>
            <w:r>
              <w:rPr>
                <w:rFonts w:hint="eastAsia" w:ascii="宋体" w:hAnsi="宋体" w:cs="宋体"/>
                <w:color w:val="auto"/>
                <w:spacing w:val="-1"/>
                <w:sz w:val="24"/>
                <w:szCs w:val="24"/>
                <w:highlight w:val="none"/>
                <w:lang w:eastAsia="zh-CN"/>
              </w:rPr>
              <w:t>招标文件</w:t>
            </w:r>
            <w:r>
              <w:rPr>
                <w:rFonts w:hint="eastAsia" w:ascii="宋体" w:hAnsi="宋体" w:eastAsia="宋体" w:cs="宋体"/>
                <w:color w:val="auto"/>
                <w:spacing w:val="-1"/>
                <w:sz w:val="24"/>
                <w:szCs w:val="24"/>
                <w:highlight w:val="none"/>
                <w:lang w:eastAsia="zh-CN"/>
              </w:rPr>
              <w:t>第</w:t>
            </w:r>
            <w:r>
              <w:rPr>
                <w:rFonts w:hint="eastAsia" w:ascii="宋体" w:hAnsi="宋体" w:eastAsia="宋体" w:cs="宋体"/>
                <w:color w:val="auto"/>
                <w:spacing w:val="-1"/>
                <w:sz w:val="24"/>
                <w:szCs w:val="24"/>
                <w:highlight w:val="none"/>
                <w:lang w:val="en-US" w:eastAsia="zh-CN"/>
              </w:rPr>
              <w:t>4章“</w:t>
            </w:r>
            <w:r>
              <w:rPr>
                <w:rFonts w:hint="eastAsia" w:ascii="宋体" w:hAnsi="宋体" w:eastAsia="宋体" w:cs="宋体"/>
                <w:color w:val="auto"/>
                <w:spacing w:val="-6"/>
                <w:sz w:val="24"/>
                <w:szCs w:val="24"/>
                <w:highlight w:val="none"/>
                <w:lang w:eastAsia="zh-CN"/>
              </w:rPr>
              <w:t>服务需求</w:t>
            </w:r>
            <w:r>
              <w:rPr>
                <w:rFonts w:hint="eastAsia" w:ascii="宋体" w:hAnsi="宋体" w:eastAsia="宋体" w:cs="宋体"/>
                <w:color w:val="auto"/>
                <w:spacing w:val="-1"/>
                <w:sz w:val="24"/>
                <w:szCs w:val="24"/>
                <w:highlight w:val="none"/>
                <w:lang w:val="en-US" w:eastAsia="zh-CN"/>
              </w:rPr>
              <w:t>”中各项条款的描述及承诺情况进行评价，经</w:t>
            </w:r>
            <w:r>
              <w:rPr>
                <w:rFonts w:hint="eastAsia" w:ascii="宋体" w:hAnsi="宋体" w:cs="宋体"/>
                <w:color w:val="auto"/>
                <w:spacing w:val="-1"/>
                <w:sz w:val="24"/>
                <w:szCs w:val="24"/>
                <w:highlight w:val="none"/>
                <w:lang w:val="en-US" w:eastAsia="zh-CN"/>
              </w:rPr>
              <w:t>评标委员会</w:t>
            </w:r>
            <w:r>
              <w:rPr>
                <w:rFonts w:hint="eastAsia" w:ascii="宋体" w:hAnsi="宋体" w:eastAsia="宋体" w:cs="宋体"/>
                <w:color w:val="auto"/>
                <w:spacing w:val="-1"/>
                <w:sz w:val="24"/>
                <w:szCs w:val="24"/>
                <w:highlight w:val="none"/>
                <w:lang w:val="en-US" w:eastAsia="zh-CN"/>
              </w:rPr>
              <w:t>评定，</w:t>
            </w:r>
            <w:r>
              <w:rPr>
                <w:rFonts w:hint="eastAsia" w:asciiTheme="minorEastAsia" w:hAnsiTheme="minorEastAsia" w:eastAsiaTheme="minorEastAsia" w:cstheme="minorEastAsia"/>
                <w:color w:val="auto"/>
                <w:spacing w:val="0"/>
                <w:sz w:val="24"/>
                <w:szCs w:val="24"/>
                <w:highlight w:val="none"/>
                <w:lang w:val="en-US" w:eastAsia="zh-CN"/>
              </w:rPr>
              <w:t>项目实施方案非常详实、针对性和可行性强、表达完整，方案合理、能够充分满足采购人的实际需求得满分25分，每有一项不合理或相对弱势扣1分，扣完为止。</w:t>
            </w:r>
            <w:r>
              <w:rPr>
                <w:rFonts w:ascii="宋体" w:hAnsi="宋体" w:eastAsia="宋体" w:cs="宋体"/>
                <w:color w:val="auto"/>
                <w:sz w:val="24"/>
                <w:szCs w:val="24"/>
                <w:highlight w:val="none"/>
              </w:rPr>
              <w:t>无此</w:t>
            </w:r>
            <w:r>
              <w:rPr>
                <w:rFonts w:hint="eastAsia" w:ascii="宋体" w:hAnsi="宋体" w:cs="宋体"/>
                <w:color w:val="auto"/>
                <w:sz w:val="24"/>
                <w:szCs w:val="24"/>
                <w:highlight w:val="none"/>
                <w:lang w:eastAsia="zh-CN"/>
              </w:rPr>
              <w:t>项</w:t>
            </w:r>
            <w:r>
              <w:rPr>
                <w:rFonts w:ascii="宋体" w:hAnsi="宋体" w:eastAsia="宋体" w:cs="宋体"/>
                <w:color w:val="auto"/>
                <w:sz w:val="24"/>
                <w:szCs w:val="24"/>
                <w:highlight w:val="none"/>
              </w:rPr>
              <w:t>描述的不得分。</w:t>
            </w:r>
          </w:p>
        </w:tc>
        <w:tc>
          <w:tcPr>
            <w:tcW w:w="595" w:type="pct"/>
            <w:tcBorders>
              <w:top w:val="single" w:color="auto" w:sz="4" w:space="0"/>
              <w:left w:val="single" w:color="auto" w:sz="4" w:space="0"/>
              <w:bottom w:val="single" w:color="auto" w:sz="4" w:space="0"/>
              <w:right w:val="single" w:color="auto" w:sz="4" w:space="0"/>
            </w:tcBorders>
            <w:noWrap/>
            <w:vAlign w:val="center"/>
          </w:tcPr>
          <w:p w14:paraId="2FDB48E2">
            <w:pPr>
              <w:numPr>
                <w:ilvl w:val="0"/>
                <w:numId w:val="0"/>
              </w:numPr>
              <w:spacing w:line="300" w:lineRule="auto"/>
              <w:rPr>
                <w:rFonts w:hint="eastAsia" w:ascii="宋体" w:hAnsi="宋体" w:eastAsia="宋体" w:cs="宋体"/>
                <w:b w:val="0"/>
                <w:bCs/>
                <w:color w:val="auto"/>
                <w:sz w:val="24"/>
                <w:szCs w:val="24"/>
                <w:highlight w:val="none"/>
                <w:lang w:val="en-US" w:eastAsia="zh-CN"/>
              </w:rPr>
            </w:pPr>
          </w:p>
        </w:tc>
      </w:tr>
      <w:tr w14:paraId="25079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7" w:hRule="atLeast"/>
          <w:jc w:val="center"/>
        </w:trPr>
        <w:tc>
          <w:tcPr>
            <w:tcW w:w="664" w:type="pct"/>
            <w:tcBorders>
              <w:left w:val="single" w:color="auto" w:sz="4" w:space="0"/>
              <w:right w:val="single" w:color="auto" w:sz="4" w:space="0"/>
            </w:tcBorders>
            <w:noWrap/>
            <w:vAlign w:val="center"/>
          </w:tcPr>
          <w:p w14:paraId="781FFCF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ascii="宋体" w:hAnsi="宋体" w:eastAsia="宋体" w:cs="宋体"/>
                <w:color w:val="auto"/>
                <w:sz w:val="24"/>
                <w:szCs w:val="24"/>
                <w:highlight w:val="none"/>
              </w:rPr>
              <w:t>质量安全保障与质量考评</w:t>
            </w:r>
          </w:p>
        </w:tc>
        <w:tc>
          <w:tcPr>
            <w:tcW w:w="501" w:type="pct"/>
            <w:tcBorders>
              <w:top w:val="single" w:color="auto" w:sz="4" w:space="0"/>
              <w:left w:val="single" w:color="auto" w:sz="4" w:space="0"/>
              <w:bottom w:val="single" w:color="auto" w:sz="4" w:space="0"/>
              <w:right w:val="single" w:color="auto" w:sz="4" w:space="0"/>
            </w:tcBorders>
            <w:noWrap/>
            <w:vAlign w:val="center"/>
          </w:tcPr>
          <w:p w14:paraId="1E431A1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10</w:t>
            </w:r>
          </w:p>
        </w:tc>
        <w:tc>
          <w:tcPr>
            <w:tcW w:w="3239" w:type="pct"/>
            <w:tcBorders>
              <w:top w:val="single" w:color="auto" w:sz="4" w:space="0"/>
              <w:left w:val="single" w:color="auto" w:sz="4" w:space="0"/>
              <w:bottom w:val="single" w:color="auto" w:sz="4" w:space="0"/>
              <w:right w:val="single" w:color="auto" w:sz="4" w:space="0"/>
            </w:tcBorders>
            <w:noWrap/>
            <w:vAlign w:val="center"/>
          </w:tcPr>
          <w:p w14:paraId="7C3E350F">
            <w:pPr>
              <w:keepNext w:val="0"/>
              <w:keepLines w:val="0"/>
              <w:pageBreakBefore w:val="0"/>
              <w:widowControl w:val="0"/>
              <w:kinsoku/>
              <w:wordWrap/>
              <w:overflowPunct/>
              <w:topLinePunct w:val="0"/>
              <w:autoSpaceDE/>
              <w:autoSpaceDN/>
              <w:bidi w:val="0"/>
              <w:adjustRightInd/>
              <w:snapToGrid/>
              <w:spacing w:line="480" w:lineRule="exact"/>
              <w:ind w:left="61" w:leftChars="0" w:firstLine="480" w:firstLineChars="200"/>
              <w:textAlignment w:val="auto"/>
              <w:rPr>
                <w:rFonts w:hint="eastAsia" w:asciiTheme="minorEastAsia" w:hAnsiTheme="minorEastAsia" w:eastAsiaTheme="minorEastAsia" w:cstheme="minorEastAsia"/>
                <w:color w:val="auto"/>
                <w:spacing w:val="0"/>
                <w:kern w:val="2"/>
                <w:sz w:val="24"/>
                <w:szCs w:val="24"/>
                <w:highlight w:val="none"/>
                <w:lang w:val="en-US" w:eastAsia="zh-CN" w:bidi="ar-SA"/>
              </w:rPr>
            </w:pPr>
            <w:r>
              <w:rPr>
                <w:rFonts w:ascii="宋体" w:hAnsi="宋体" w:eastAsia="宋体" w:cs="宋体"/>
                <w:color w:val="auto"/>
                <w:sz w:val="24"/>
                <w:szCs w:val="24"/>
                <w:highlight w:val="none"/>
              </w:rPr>
              <w:t>根据</w:t>
            </w:r>
            <w:r>
              <w:rPr>
                <w:rFonts w:hint="eastAsia" w:ascii="宋体" w:hAnsi="宋体" w:cs="宋体"/>
                <w:color w:val="auto"/>
                <w:sz w:val="24"/>
                <w:szCs w:val="24"/>
                <w:highlight w:val="none"/>
                <w:lang w:eastAsia="zh-CN"/>
              </w:rPr>
              <w:t>投标人</w:t>
            </w:r>
            <w:r>
              <w:rPr>
                <w:rFonts w:ascii="宋体" w:hAnsi="宋体" w:eastAsia="宋体" w:cs="宋体"/>
                <w:color w:val="auto"/>
                <w:sz w:val="24"/>
                <w:szCs w:val="24"/>
                <w:highlight w:val="none"/>
              </w:rPr>
              <w:t>所报</w:t>
            </w:r>
            <w:r>
              <w:rPr>
                <w:rFonts w:hint="eastAsia" w:ascii="宋体" w:hAnsi="宋体" w:eastAsia="宋体" w:cs="宋体"/>
                <w:color w:val="auto"/>
                <w:sz w:val="24"/>
                <w:szCs w:val="24"/>
                <w:highlight w:val="none"/>
                <w:lang w:val="en-US" w:eastAsia="zh-CN"/>
              </w:rPr>
              <w:t>管理制度、人员培训方案、</w:t>
            </w:r>
            <w:r>
              <w:rPr>
                <w:rFonts w:ascii="宋体" w:hAnsi="宋体" w:eastAsia="宋体" w:cs="宋体"/>
                <w:color w:val="auto"/>
                <w:sz w:val="24"/>
                <w:szCs w:val="24"/>
                <w:highlight w:val="none"/>
              </w:rPr>
              <w:t>质量安全保障与质量考评措施</w:t>
            </w:r>
            <w:r>
              <w:rPr>
                <w:rFonts w:hint="eastAsia" w:ascii="宋体" w:hAnsi="宋体" w:eastAsia="宋体" w:cs="宋体"/>
                <w:color w:val="auto"/>
                <w:sz w:val="24"/>
                <w:szCs w:val="24"/>
                <w:highlight w:val="none"/>
                <w:lang w:val="en-US" w:eastAsia="zh-CN"/>
              </w:rPr>
              <w:t>等</w:t>
            </w:r>
            <w:r>
              <w:rPr>
                <w:rFonts w:ascii="宋体" w:hAnsi="宋体" w:eastAsia="宋体" w:cs="宋体"/>
                <w:color w:val="auto"/>
                <w:sz w:val="24"/>
                <w:szCs w:val="24"/>
                <w:highlight w:val="none"/>
              </w:rPr>
              <w:t>进行评审，根据质量安全保障措施及安全管理措施、质量管理考评细则及措施，考核奖罚制度健全、奖惩措施到位，及时合理等，</w:t>
            </w:r>
            <w:r>
              <w:rPr>
                <w:rFonts w:hint="eastAsia" w:ascii="宋体" w:hAnsi="宋体" w:cs="宋体"/>
                <w:color w:val="auto"/>
                <w:sz w:val="24"/>
                <w:szCs w:val="24"/>
                <w:highlight w:val="none"/>
                <w:lang w:eastAsia="zh-CN"/>
              </w:rPr>
              <w:t>投标文件</w:t>
            </w:r>
            <w:r>
              <w:rPr>
                <w:rFonts w:ascii="宋体" w:hAnsi="宋体" w:eastAsia="宋体" w:cs="宋体"/>
                <w:color w:val="auto"/>
                <w:sz w:val="24"/>
                <w:szCs w:val="24"/>
                <w:highlight w:val="none"/>
              </w:rPr>
              <w:t>中有以上内容，并且表述完善清晰、内容丰富的得</w:t>
            </w:r>
            <w:r>
              <w:rPr>
                <w:rFonts w:hint="eastAsia" w:ascii="宋体" w:hAnsi="宋体" w:eastAsia="宋体" w:cs="宋体"/>
                <w:color w:val="auto"/>
                <w:sz w:val="24"/>
                <w:szCs w:val="24"/>
                <w:highlight w:val="none"/>
                <w:lang w:val="en-US" w:eastAsia="zh-CN"/>
              </w:rPr>
              <w:t>10</w:t>
            </w:r>
            <w:r>
              <w:rPr>
                <w:rFonts w:ascii="宋体" w:hAnsi="宋体" w:eastAsia="宋体" w:cs="宋体"/>
                <w:color w:val="auto"/>
                <w:sz w:val="24"/>
                <w:szCs w:val="24"/>
                <w:highlight w:val="none"/>
              </w:rPr>
              <w:t>分；每出现一处存在瑕疵或不完善扣1分，扣完为止。无此项描述的不得分。无此</w:t>
            </w:r>
            <w:r>
              <w:rPr>
                <w:rFonts w:hint="eastAsia" w:ascii="宋体" w:hAnsi="宋体" w:cs="宋体"/>
                <w:color w:val="auto"/>
                <w:sz w:val="24"/>
                <w:szCs w:val="24"/>
                <w:highlight w:val="none"/>
                <w:lang w:eastAsia="zh-CN"/>
              </w:rPr>
              <w:t>项</w:t>
            </w:r>
            <w:r>
              <w:rPr>
                <w:rFonts w:ascii="宋体" w:hAnsi="宋体" w:eastAsia="宋体" w:cs="宋体"/>
                <w:color w:val="auto"/>
                <w:sz w:val="24"/>
                <w:szCs w:val="24"/>
                <w:highlight w:val="none"/>
              </w:rPr>
              <w:t>描述的不得分。</w:t>
            </w:r>
          </w:p>
        </w:tc>
        <w:tc>
          <w:tcPr>
            <w:tcW w:w="595" w:type="pct"/>
            <w:tcBorders>
              <w:top w:val="single" w:color="auto" w:sz="4" w:space="0"/>
              <w:left w:val="single" w:color="auto" w:sz="4" w:space="0"/>
              <w:bottom w:val="single" w:color="auto" w:sz="4" w:space="0"/>
              <w:right w:val="single" w:color="auto" w:sz="4" w:space="0"/>
            </w:tcBorders>
            <w:noWrap/>
            <w:vAlign w:val="center"/>
          </w:tcPr>
          <w:p w14:paraId="4985BCD7">
            <w:pPr>
              <w:spacing w:line="300" w:lineRule="auto"/>
              <w:rPr>
                <w:rFonts w:hint="eastAsia" w:ascii="宋体" w:hAnsi="宋体" w:eastAsia="宋体" w:cs="宋体"/>
                <w:b w:val="0"/>
                <w:bCs/>
                <w:color w:val="auto"/>
                <w:sz w:val="24"/>
                <w:szCs w:val="24"/>
                <w:highlight w:val="none"/>
                <w:lang w:val="en-US" w:eastAsia="zh-CN"/>
              </w:rPr>
            </w:pPr>
          </w:p>
        </w:tc>
      </w:tr>
      <w:tr w14:paraId="1D73F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664" w:type="pct"/>
            <w:tcBorders>
              <w:left w:val="single" w:color="auto" w:sz="4" w:space="0"/>
              <w:right w:val="single" w:color="auto" w:sz="4" w:space="0"/>
            </w:tcBorders>
            <w:noWrap/>
            <w:vAlign w:val="center"/>
          </w:tcPr>
          <w:p w14:paraId="3BBB971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宋体" w:hAnsi="宋体" w:cs="宋体"/>
                <w:color w:val="auto"/>
                <w:sz w:val="24"/>
                <w:highlight w:val="none"/>
              </w:rPr>
              <w:t>项目人员配备情况</w:t>
            </w:r>
          </w:p>
        </w:tc>
        <w:tc>
          <w:tcPr>
            <w:tcW w:w="501" w:type="pct"/>
            <w:tcBorders>
              <w:top w:val="single" w:color="auto" w:sz="4" w:space="0"/>
              <w:left w:val="single" w:color="auto" w:sz="4" w:space="0"/>
              <w:bottom w:val="single" w:color="auto" w:sz="4" w:space="0"/>
              <w:right w:val="single" w:color="auto" w:sz="4" w:space="0"/>
            </w:tcBorders>
            <w:noWrap/>
            <w:vAlign w:val="center"/>
          </w:tcPr>
          <w:p w14:paraId="7E0AE71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15</w:t>
            </w:r>
          </w:p>
        </w:tc>
        <w:tc>
          <w:tcPr>
            <w:tcW w:w="3239" w:type="pct"/>
            <w:tcBorders>
              <w:top w:val="single" w:color="auto" w:sz="4" w:space="0"/>
              <w:left w:val="single" w:color="auto" w:sz="4" w:space="0"/>
              <w:bottom w:val="single" w:color="auto" w:sz="4" w:space="0"/>
              <w:right w:val="single" w:color="auto" w:sz="4" w:space="0"/>
            </w:tcBorders>
            <w:noWrap/>
            <w:vAlign w:val="center"/>
          </w:tcPr>
          <w:p w14:paraId="059FF156">
            <w:pPr>
              <w:keepNext w:val="0"/>
              <w:keepLines w:val="0"/>
              <w:pageBreakBefore w:val="0"/>
              <w:widowControl w:val="0"/>
              <w:kinsoku/>
              <w:wordWrap/>
              <w:overflowPunct/>
              <w:topLinePunct w:val="0"/>
              <w:autoSpaceDE/>
              <w:autoSpaceDN/>
              <w:bidi w:val="0"/>
              <w:adjustRightInd/>
              <w:snapToGrid/>
              <w:spacing w:line="480" w:lineRule="exact"/>
              <w:ind w:left="61" w:leftChars="0" w:firstLine="480" w:firstLineChars="200"/>
              <w:textAlignment w:val="auto"/>
              <w:rPr>
                <w:rFonts w:hint="eastAsia" w:asciiTheme="minorEastAsia" w:hAnsiTheme="minorEastAsia" w:eastAsiaTheme="minorEastAsia" w:cstheme="minorEastAsia"/>
                <w:color w:val="auto"/>
                <w:spacing w:val="0"/>
                <w:kern w:val="2"/>
                <w:sz w:val="24"/>
                <w:szCs w:val="24"/>
                <w:highlight w:val="none"/>
                <w:lang w:val="en-US" w:eastAsia="zh-CN" w:bidi="ar-SA"/>
              </w:rPr>
            </w:pPr>
            <w:r>
              <w:rPr>
                <w:rFonts w:hint="eastAsia" w:asciiTheme="minorEastAsia" w:hAnsiTheme="minorEastAsia" w:eastAsiaTheme="minorEastAsia" w:cstheme="minorEastAsia"/>
                <w:color w:val="auto"/>
                <w:spacing w:val="0"/>
                <w:kern w:val="2"/>
                <w:sz w:val="24"/>
                <w:szCs w:val="24"/>
                <w:highlight w:val="none"/>
                <w:lang w:val="en-US" w:eastAsia="zh-CN" w:bidi="ar-SA"/>
              </w:rPr>
              <w:t>根据投标人</w:t>
            </w:r>
            <w:r>
              <w:rPr>
                <w:rFonts w:hint="eastAsia" w:ascii="宋体" w:hAnsi="宋体" w:eastAsia="宋体" w:cs="宋体"/>
                <w:color w:val="auto"/>
                <w:sz w:val="24"/>
                <w:szCs w:val="24"/>
                <w:highlight w:val="none"/>
                <w:lang w:val="en-US"/>
              </w:rPr>
              <w:t>所配备本项目的团队人员</w:t>
            </w:r>
            <w:r>
              <w:rPr>
                <w:rFonts w:hint="eastAsia" w:ascii="宋体" w:hAnsi="宋体" w:eastAsia="宋体" w:cs="宋体"/>
                <w:color w:val="auto"/>
                <w:sz w:val="24"/>
                <w:szCs w:val="24"/>
                <w:highlight w:val="none"/>
                <w:lang w:val="en-US" w:eastAsia="zh-CN"/>
              </w:rPr>
              <w:t>，从岗位配置、年龄结构、经验资历</w:t>
            </w:r>
            <w:r>
              <w:rPr>
                <w:rFonts w:hint="eastAsia" w:asciiTheme="minorEastAsia" w:hAnsiTheme="minorEastAsia" w:eastAsiaTheme="minorEastAsia" w:cstheme="minorEastAsia"/>
                <w:color w:val="auto"/>
                <w:spacing w:val="0"/>
                <w:kern w:val="2"/>
                <w:sz w:val="24"/>
                <w:szCs w:val="24"/>
                <w:highlight w:val="none"/>
                <w:lang w:val="en-US" w:eastAsia="zh-CN" w:bidi="ar-SA"/>
              </w:rPr>
              <w:t>、持证上岗等方面合理性综合考虑其服务能力，满分15分，每有一项不合理或相对弱势扣1分，扣完为止，未提供不得分。</w:t>
            </w:r>
            <w:r>
              <w:rPr>
                <w:rFonts w:ascii="宋体" w:hAnsi="宋体" w:eastAsia="宋体" w:cs="宋体"/>
                <w:color w:val="auto"/>
                <w:sz w:val="24"/>
                <w:szCs w:val="24"/>
                <w:highlight w:val="none"/>
              </w:rPr>
              <w:t>无此</w:t>
            </w:r>
            <w:r>
              <w:rPr>
                <w:rFonts w:hint="eastAsia" w:ascii="宋体" w:hAnsi="宋体" w:cs="宋体"/>
                <w:color w:val="auto"/>
                <w:sz w:val="24"/>
                <w:szCs w:val="24"/>
                <w:highlight w:val="none"/>
                <w:lang w:eastAsia="zh-CN"/>
              </w:rPr>
              <w:t>项</w:t>
            </w:r>
            <w:r>
              <w:rPr>
                <w:rFonts w:ascii="宋体" w:hAnsi="宋体" w:eastAsia="宋体" w:cs="宋体"/>
                <w:color w:val="auto"/>
                <w:sz w:val="24"/>
                <w:szCs w:val="24"/>
                <w:highlight w:val="none"/>
              </w:rPr>
              <w:t>描述的不得分。</w:t>
            </w:r>
          </w:p>
        </w:tc>
        <w:tc>
          <w:tcPr>
            <w:tcW w:w="595" w:type="pct"/>
            <w:tcBorders>
              <w:top w:val="single" w:color="auto" w:sz="4" w:space="0"/>
              <w:left w:val="single" w:color="auto" w:sz="4" w:space="0"/>
              <w:bottom w:val="single" w:color="auto" w:sz="4" w:space="0"/>
              <w:right w:val="single" w:color="auto" w:sz="4" w:space="0"/>
            </w:tcBorders>
            <w:noWrap/>
            <w:vAlign w:val="center"/>
          </w:tcPr>
          <w:p w14:paraId="57BB3238">
            <w:pPr>
              <w:spacing w:line="300" w:lineRule="auto"/>
              <w:rPr>
                <w:rFonts w:hint="eastAsia" w:ascii="宋体" w:hAnsi="宋体" w:eastAsia="宋体" w:cs="宋体"/>
                <w:b w:val="0"/>
                <w:bCs/>
                <w:color w:val="auto"/>
                <w:sz w:val="24"/>
                <w:szCs w:val="24"/>
                <w:highlight w:val="none"/>
                <w:lang w:val="en-US" w:eastAsia="zh-CN"/>
              </w:rPr>
            </w:pPr>
          </w:p>
        </w:tc>
      </w:tr>
      <w:tr w14:paraId="0F4D6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4" w:type="pct"/>
            <w:tcBorders>
              <w:left w:val="single" w:color="auto" w:sz="4" w:space="0"/>
              <w:right w:val="single" w:color="auto" w:sz="4" w:space="0"/>
            </w:tcBorders>
            <w:noWrap/>
            <w:vAlign w:val="center"/>
          </w:tcPr>
          <w:p w14:paraId="07A7358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ascii="宋体" w:hAnsi="宋体" w:eastAsia="宋体" w:cs="宋体"/>
                <w:color w:val="auto"/>
                <w:sz w:val="24"/>
                <w:szCs w:val="24"/>
                <w:highlight w:val="none"/>
              </w:rPr>
              <w:t>突发事件处置预案</w:t>
            </w:r>
          </w:p>
        </w:tc>
        <w:tc>
          <w:tcPr>
            <w:tcW w:w="501" w:type="pct"/>
            <w:tcBorders>
              <w:top w:val="single" w:color="auto" w:sz="4" w:space="0"/>
              <w:left w:val="single" w:color="auto" w:sz="4" w:space="0"/>
              <w:bottom w:val="single" w:color="auto" w:sz="4" w:space="0"/>
              <w:right w:val="single" w:color="auto" w:sz="4" w:space="0"/>
            </w:tcBorders>
            <w:noWrap/>
            <w:vAlign w:val="center"/>
          </w:tcPr>
          <w:p w14:paraId="1D1BBCC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10</w:t>
            </w:r>
          </w:p>
        </w:tc>
        <w:tc>
          <w:tcPr>
            <w:tcW w:w="3239" w:type="pct"/>
            <w:tcBorders>
              <w:top w:val="single" w:color="auto" w:sz="4" w:space="0"/>
              <w:left w:val="single" w:color="auto" w:sz="4" w:space="0"/>
              <w:bottom w:val="single" w:color="auto" w:sz="4" w:space="0"/>
              <w:right w:val="single" w:color="auto" w:sz="4" w:space="0"/>
            </w:tcBorders>
            <w:noWrap/>
            <w:vAlign w:val="center"/>
          </w:tcPr>
          <w:p w14:paraId="35AA9E52">
            <w:pPr>
              <w:keepNext w:val="0"/>
              <w:keepLines w:val="0"/>
              <w:pageBreakBefore w:val="0"/>
              <w:widowControl w:val="0"/>
              <w:kinsoku/>
              <w:wordWrap/>
              <w:overflowPunct/>
              <w:topLinePunct w:val="0"/>
              <w:autoSpaceDE/>
              <w:autoSpaceDN/>
              <w:bidi w:val="0"/>
              <w:adjustRightInd/>
              <w:snapToGrid/>
              <w:spacing w:line="480" w:lineRule="exact"/>
              <w:ind w:left="61" w:leftChars="0" w:firstLine="480" w:firstLineChars="200"/>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ascii="宋体" w:hAnsi="宋体" w:eastAsia="宋体" w:cs="宋体"/>
                <w:color w:val="auto"/>
                <w:sz w:val="24"/>
                <w:szCs w:val="24"/>
                <w:highlight w:val="none"/>
              </w:rPr>
              <w:t>根据</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所报</w:t>
            </w:r>
            <w:r>
              <w:rPr>
                <w:rFonts w:ascii="宋体" w:hAnsi="宋体" w:eastAsia="宋体" w:cs="宋体"/>
                <w:color w:val="auto"/>
                <w:sz w:val="24"/>
                <w:szCs w:val="24"/>
                <w:highlight w:val="none"/>
              </w:rPr>
              <w:t>突发事件处置预案种类、预测与防范措施、事故应急预案针对性</w:t>
            </w:r>
            <w:r>
              <w:rPr>
                <w:rFonts w:hint="eastAsia" w:ascii="宋体" w:hAnsi="宋体" w:eastAsia="宋体" w:cs="宋体"/>
                <w:color w:val="auto"/>
                <w:sz w:val="24"/>
                <w:szCs w:val="24"/>
                <w:highlight w:val="none"/>
                <w:lang w:val="en-US" w:eastAsia="zh-CN"/>
              </w:rPr>
              <w:t>等</w:t>
            </w:r>
            <w:r>
              <w:rPr>
                <w:rFonts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投标文件</w:t>
            </w:r>
            <w:r>
              <w:rPr>
                <w:rFonts w:ascii="宋体" w:hAnsi="宋体" w:eastAsia="宋体" w:cs="宋体"/>
                <w:color w:val="auto"/>
                <w:sz w:val="24"/>
                <w:szCs w:val="24"/>
                <w:highlight w:val="none"/>
              </w:rPr>
              <w:t>中有以上内容，并且</w:t>
            </w:r>
            <w:r>
              <w:rPr>
                <w:rFonts w:hint="eastAsia" w:ascii="宋体" w:hAnsi="宋体" w:eastAsia="宋体" w:cs="宋体"/>
                <w:bCs/>
                <w:color w:val="auto"/>
                <w:sz w:val="24"/>
                <w:szCs w:val="24"/>
                <w:highlight w:val="none"/>
              </w:rPr>
              <w:t>预案完备健全，对本</w:t>
            </w:r>
            <w:r>
              <w:rPr>
                <w:rFonts w:hint="eastAsia" w:ascii="宋体" w:hAnsi="宋体" w:eastAsia="宋体" w:cs="宋体"/>
                <w:bCs/>
                <w:color w:val="auto"/>
                <w:sz w:val="24"/>
                <w:szCs w:val="24"/>
                <w:highlight w:val="none"/>
                <w:lang w:val="en-US" w:eastAsia="zh-CN"/>
              </w:rPr>
              <w:t>项目的</w:t>
            </w:r>
            <w:r>
              <w:rPr>
                <w:rFonts w:hint="eastAsia" w:ascii="宋体" w:hAnsi="宋体" w:eastAsia="宋体" w:cs="宋体"/>
                <w:bCs/>
                <w:color w:val="auto"/>
                <w:sz w:val="24"/>
                <w:szCs w:val="24"/>
                <w:highlight w:val="none"/>
              </w:rPr>
              <w:t>服务针对性强</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实际可操作性</w:t>
            </w:r>
            <w:r>
              <w:rPr>
                <w:rFonts w:hint="eastAsia" w:ascii="宋体" w:hAnsi="宋体" w:eastAsia="宋体" w:cs="宋体"/>
                <w:bCs/>
                <w:color w:val="auto"/>
                <w:sz w:val="24"/>
                <w:szCs w:val="24"/>
                <w:highlight w:val="none"/>
                <w:lang w:val="en-US" w:eastAsia="zh-CN"/>
              </w:rPr>
              <w:t>强的</w:t>
            </w:r>
            <w:r>
              <w:rPr>
                <w:rFonts w:hint="eastAsia" w:ascii="宋体" w:hAnsi="宋体" w:eastAsia="宋体" w:cs="宋体"/>
                <w:color w:val="auto"/>
                <w:sz w:val="24"/>
                <w:szCs w:val="24"/>
                <w:highlight w:val="none"/>
                <w:lang w:val="en-US"/>
              </w:rPr>
              <w:t>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val="en-US"/>
              </w:rPr>
              <w:t>分</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rPr>
              <w:t>在此基础上</w:t>
            </w:r>
            <w:r>
              <w:rPr>
                <w:rFonts w:ascii="宋体" w:hAnsi="宋体" w:eastAsia="宋体" w:cs="宋体"/>
                <w:color w:val="auto"/>
                <w:sz w:val="24"/>
                <w:szCs w:val="24"/>
                <w:highlight w:val="none"/>
              </w:rPr>
              <w:t>每出现一处存在瑕疵或不完善扣1分，扣完为止。无此项描述的不得分。无此</w:t>
            </w:r>
            <w:r>
              <w:rPr>
                <w:rFonts w:hint="eastAsia" w:ascii="宋体" w:hAnsi="宋体" w:cs="宋体"/>
                <w:color w:val="auto"/>
                <w:sz w:val="24"/>
                <w:szCs w:val="24"/>
                <w:highlight w:val="none"/>
                <w:lang w:eastAsia="zh-CN"/>
              </w:rPr>
              <w:t>项</w:t>
            </w:r>
            <w:r>
              <w:rPr>
                <w:rFonts w:ascii="宋体" w:hAnsi="宋体" w:eastAsia="宋体" w:cs="宋体"/>
                <w:color w:val="auto"/>
                <w:sz w:val="24"/>
                <w:szCs w:val="24"/>
                <w:highlight w:val="none"/>
              </w:rPr>
              <w:t>描述的不得分。</w:t>
            </w:r>
          </w:p>
        </w:tc>
        <w:tc>
          <w:tcPr>
            <w:tcW w:w="595" w:type="pct"/>
            <w:tcBorders>
              <w:top w:val="single" w:color="auto" w:sz="4" w:space="0"/>
              <w:left w:val="single" w:color="auto" w:sz="4" w:space="0"/>
              <w:bottom w:val="single" w:color="auto" w:sz="4" w:space="0"/>
              <w:right w:val="single" w:color="auto" w:sz="4" w:space="0"/>
            </w:tcBorders>
            <w:noWrap/>
            <w:vAlign w:val="center"/>
          </w:tcPr>
          <w:p w14:paraId="169ABA60">
            <w:pPr>
              <w:spacing w:line="300" w:lineRule="auto"/>
              <w:rPr>
                <w:rFonts w:hint="eastAsia" w:ascii="宋体" w:hAnsi="宋体" w:eastAsia="宋体" w:cs="宋体"/>
                <w:b w:val="0"/>
                <w:bCs/>
                <w:color w:val="auto"/>
                <w:sz w:val="24"/>
                <w:szCs w:val="24"/>
                <w:highlight w:val="none"/>
                <w:lang w:eastAsia="zh-CN"/>
              </w:rPr>
            </w:pPr>
          </w:p>
        </w:tc>
      </w:tr>
      <w:tr w14:paraId="15883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4" w:type="pct"/>
            <w:tcBorders>
              <w:left w:val="single" w:color="auto" w:sz="4" w:space="0"/>
              <w:right w:val="single" w:color="auto" w:sz="4" w:space="0"/>
            </w:tcBorders>
            <w:noWrap/>
            <w:vAlign w:val="center"/>
          </w:tcPr>
          <w:p w14:paraId="39B26C2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宋体" w:hAnsi="宋体" w:eastAsia="宋体" w:cs="宋体"/>
                <w:bCs/>
                <w:color w:val="auto"/>
                <w:sz w:val="24"/>
                <w:szCs w:val="24"/>
                <w:highlight w:val="none"/>
              </w:rPr>
              <w:t>档案资料管理</w:t>
            </w:r>
          </w:p>
        </w:tc>
        <w:tc>
          <w:tcPr>
            <w:tcW w:w="501" w:type="pct"/>
            <w:tcBorders>
              <w:top w:val="single" w:color="auto" w:sz="4" w:space="0"/>
              <w:left w:val="single" w:color="auto" w:sz="4" w:space="0"/>
              <w:bottom w:val="single" w:color="auto" w:sz="4" w:space="0"/>
              <w:right w:val="single" w:color="auto" w:sz="4" w:space="0"/>
            </w:tcBorders>
            <w:noWrap/>
            <w:vAlign w:val="center"/>
          </w:tcPr>
          <w:p w14:paraId="4D069C1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5</w:t>
            </w:r>
          </w:p>
        </w:tc>
        <w:tc>
          <w:tcPr>
            <w:tcW w:w="3239" w:type="pct"/>
            <w:tcBorders>
              <w:top w:val="single" w:color="auto" w:sz="4" w:space="0"/>
              <w:left w:val="single" w:color="auto" w:sz="4" w:space="0"/>
              <w:bottom w:val="single" w:color="auto" w:sz="4" w:space="0"/>
              <w:right w:val="single" w:color="auto" w:sz="4" w:space="0"/>
            </w:tcBorders>
            <w:noWrap/>
            <w:vAlign w:val="center"/>
          </w:tcPr>
          <w:p w14:paraId="15A236D3">
            <w:pPr>
              <w:keepNext w:val="0"/>
              <w:keepLines w:val="0"/>
              <w:pageBreakBefore w:val="0"/>
              <w:widowControl w:val="0"/>
              <w:kinsoku/>
              <w:wordWrap/>
              <w:overflowPunct/>
              <w:topLinePunct w:val="0"/>
              <w:autoSpaceDE/>
              <w:autoSpaceDN/>
              <w:bidi w:val="0"/>
              <w:adjustRightInd/>
              <w:snapToGrid/>
              <w:spacing w:line="480" w:lineRule="exact"/>
              <w:ind w:left="61"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有完备的档案资料管理制度，建立、收集、保存等流程健全、规范，有完善档案移交步骤的得5分</w:t>
            </w:r>
            <w:r>
              <w:rPr>
                <w:rFonts w:hint="eastAsia" w:ascii="宋体" w:hAnsi="宋体" w:eastAsia="宋体" w:cs="宋体"/>
                <w:color w:val="auto"/>
                <w:sz w:val="24"/>
                <w:szCs w:val="24"/>
                <w:highlight w:val="none"/>
                <w:lang w:eastAsia="zh-CN"/>
              </w:rPr>
              <w:t>；</w:t>
            </w:r>
          </w:p>
          <w:p w14:paraId="17DCE524">
            <w:pPr>
              <w:keepNext w:val="0"/>
              <w:keepLines w:val="0"/>
              <w:pageBreakBefore w:val="0"/>
              <w:widowControl w:val="0"/>
              <w:kinsoku/>
              <w:wordWrap/>
              <w:overflowPunct/>
              <w:topLinePunct w:val="0"/>
              <w:autoSpaceDE/>
              <w:autoSpaceDN/>
              <w:bidi w:val="0"/>
              <w:adjustRightInd/>
              <w:snapToGrid/>
              <w:spacing w:line="480" w:lineRule="exact"/>
              <w:ind w:left="61"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有基本的档案资料管理制度，建立、收集、保存等流程健全、规范，有基本的档案移交步骤的得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p>
          <w:p w14:paraId="4E99A82D">
            <w:pPr>
              <w:keepNext w:val="0"/>
              <w:keepLines w:val="0"/>
              <w:pageBreakBefore w:val="0"/>
              <w:widowControl w:val="0"/>
              <w:kinsoku/>
              <w:wordWrap/>
              <w:overflowPunct/>
              <w:topLinePunct w:val="0"/>
              <w:autoSpaceDE/>
              <w:autoSpaceDN/>
              <w:bidi w:val="0"/>
              <w:adjustRightInd/>
              <w:snapToGrid/>
              <w:spacing w:line="480" w:lineRule="exact"/>
              <w:ind w:left="61"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3、档案资料管理制度不完善，没有档案移交步骤的得1分；</w:t>
            </w:r>
          </w:p>
          <w:p w14:paraId="505055B6">
            <w:pPr>
              <w:keepNext w:val="0"/>
              <w:keepLines w:val="0"/>
              <w:pageBreakBefore w:val="0"/>
              <w:widowControl w:val="0"/>
              <w:kinsoku/>
              <w:wordWrap/>
              <w:overflowPunct/>
              <w:topLinePunct w:val="0"/>
              <w:autoSpaceDE/>
              <w:autoSpaceDN/>
              <w:bidi w:val="0"/>
              <w:adjustRightInd/>
              <w:snapToGrid/>
              <w:spacing w:line="480" w:lineRule="exact"/>
              <w:ind w:left="61" w:leftChars="0" w:firstLine="480" w:firstLineChars="200"/>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ascii="宋体" w:hAnsi="宋体" w:eastAsia="宋体" w:cs="宋体"/>
                <w:color w:val="auto"/>
                <w:sz w:val="24"/>
                <w:szCs w:val="24"/>
                <w:highlight w:val="none"/>
              </w:rPr>
              <w:t>无此</w:t>
            </w:r>
            <w:r>
              <w:rPr>
                <w:rFonts w:hint="eastAsia" w:ascii="宋体" w:hAnsi="宋体" w:cs="宋体"/>
                <w:color w:val="auto"/>
                <w:sz w:val="24"/>
                <w:szCs w:val="24"/>
                <w:highlight w:val="none"/>
                <w:lang w:eastAsia="zh-CN"/>
              </w:rPr>
              <w:t>项</w:t>
            </w:r>
            <w:r>
              <w:rPr>
                <w:rFonts w:ascii="宋体" w:hAnsi="宋体" w:eastAsia="宋体" w:cs="宋体"/>
                <w:color w:val="auto"/>
                <w:sz w:val="24"/>
                <w:szCs w:val="24"/>
                <w:highlight w:val="none"/>
              </w:rPr>
              <w:t>描述的不得分</w:t>
            </w:r>
            <w:r>
              <w:rPr>
                <w:rFonts w:hint="eastAsia" w:ascii="宋体" w:hAnsi="宋体" w:eastAsia="宋体" w:cs="宋体"/>
                <w:color w:val="auto"/>
                <w:sz w:val="24"/>
                <w:szCs w:val="24"/>
                <w:highlight w:val="none"/>
                <w:lang w:val="en-US" w:eastAsia="zh-CN"/>
              </w:rPr>
              <w:t>。</w:t>
            </w:r>
          </w:p>
        </w:tc>
        <w:tc>
          <w:tcPr>
            <w:tcW w:w="595" w:type="pct"/>
            <w:tcBorders>
              <w:top w:val="single" w:color="auto" w:sz="4" w:space="0"/>
              <w:left w:val="single" w:color="auto" w:sz="4" w:space="0"/>
              <w:bottom w:val="single" w:color="auto" w:sz="4" w:space="0"/>
              <w:right w:val="single" w:color="auto" w:sz="4" w:space="0"/>
            </w:tcBorders>
            <w:noWrap/>
            <w:vAlign w:val="center"/>
          </w:tcPr>
          <w:p w14:paraId="642C2322">
            <w:pPr>
              <w:spacing w:line="300" w:lineRule="auto"/>
              <w:rPr>
                <w:rFonts w:hint="eastAsia" w:ascii="宋体" w:hAnsi="宋体" w:eastAsia="宋体" w:cs="宋体"/>
                <w:b w:val="0"/>
                <w:bCs/>
                <w:color w:val="auto"/>
                <w:sz w:val="24"/>
                <w:szCs w:val="24"/>
                <w:highlight w:val="none"/>
                <w:lang w:eastAsia="zh-CN"/>
              </w:rPr>
            </w:pPr>
          </w:p>
        </w:tc>
      </w:tr>
      <w:tr w14:paraId="38EA0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4" w:type="pct"/>
            <w:tcBorders>
              <w:left w:val="single" w:color="auto" w:sz="4" w:space="0"/>
              <w:right w:val="single" w:color="auto" w:sz="4" w:space="0"/>
            </w:tcBorders>
            <w:noWrap/>
            <w:vAlign w:val="center"/>
          </w:tcPr>
          <w:p w14:paraId="726FBFF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服务承诺</w:t>
            </w:r>
          </w:p>
        </w:tc>
        <w:tc>
          <w:tcPr>
            <w:tcW w:w="501" w:type="pct"/>
            <w:tcBorders>
              <w:top w:val="single" w:color="auto" w:sz="4" w:space="0"/>
              <w:left w:val="single" w:color="auto" w:sz="4" w:space="0"/>
              <w:bottom w:val="single" w:color="auto" w:sz="4" w:space="0"/>
              <w:right w:val="single" w:color="auto" w:sz="4" w:space="0"/>
            </w:tcBorders>
            <w:noWrap/>
            <w:vAlign w:val="center"/>
          </w:tcPr>
          <w:p w14:paraId="24BFA6E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10</w:t>
            </w:r>
          </w:p>
        </w:tc>
        <w:tc>
          <w:tcPr>
            <w:tcW w:w="3239" w:type="pct"/>
            <w:tcBorders>
              <w:top w:val="single" w:color="auto" w:sz="4" w:space="0"/>
              <w:left w:val="single" w:color="auto" w:sz="4" w:space="0"/>
              <w:bottom w:val="single" w:color="auto" w:sz="4" w:space="0"/>
              <w:right w:val="single" w:color="auto" w:sz="4" w:space="0"/>
            </w:tcBorders>
            <w:noWrap/>
            <w:vAlign w:val="center"/>
          </w:tcPr>
          <w:p w14:paraId="27A16690">
            <w:pPr>
              <w:pStyle w:val="76"/>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20" w:firstLineChars="175"/>
              <w:jc w:val="both"/>
              <w:textAlignment w:val="auto"/>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宋体" w:hAnsi="宋体" w:eastAsia="宋体" w:cs="宋体"/>
                <w:color w:val="auto"/>
                <w:sz w:val="24"/>
                <w:szCs w:val="24"/>
                <w:highlight w:val="none"/>
                <w:lang w:eastAsia="zh-CN"/>
              </w:rPr>
              <w:t>根据投标人所提供的服务承诺的指标是否足够明确，双方权责是否足够清晰，</w:t>
            </w:r>
            <w:r>
              <w:rPr>
                <w:rFonts w:hint="eastAsia" w:ascii="宋体" w:hAnsi="宋体" w:eastAsia="宋体" w:cs="宋体"/>
                <w:color w:val="auto"/>
                <w:sz w:val="24"/>
                <w:szCs w:val="24"/>
                <w:highlight w:val="none"/>
                <w:lang w:val="en-US" w:eastAsia="zh-CN"/>
              </w:rPr>
              <w:t>是否</w:t>
            </w:r>
            <w:r>
              <w:rPr>
                <w:rFonts w:hint="eastAsia" w:ascii="宋体" w:hAnsi="宋体" w:eastAsia="宋体" w:cs="宋体"/>
                <w:color w:val="auto"/>
                <w:sz w:val="24"/>
                <w:szCs w:val="24"/>
                <w:highlight w:val="none"/>
                <w:lang w:eastAsia="zh-CN"/>
              </w:rPr>
              <w:t>服从工作安排和管理及接受监督机制是否健全等情况，</w:t>
            </w:r>
            <w:r>
              <w:rPr>
                <w:rFonts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val="en-US" w:eastAsia="zh-CN"/>
              </w:rPr>
              <w:t>全面，承诺到位</w:t>
            </w:r>
            <w:r>
              <w:rPr>
                <w:rFonts w:ascii="宋体" w:hAnsi="宋体" w:eastAsia="宋体" w:cs="宋体"/>
                <w:color w:val="auto"/>
                <w:sz w:val="24"/>
                <w:szCs w:val="24"/>
                <w:highlight w:val="none"/>
              </w:rPr>
              <w:t>的得</w:t>
            </w:r>
            <w:r>
              <w:rPr>
                <w:rFonts w:hint="eastAsia" w:ascii="宋体" w:hAnsi="宋体" w:eastAsia="宋体" w:cs="宋体"/>
                <w:color w:val="auto"/>
                <w:sz w:val="24"/>
                <w:szCs w:val="24"/>
                <w:highlight w:val="none"/>
                <w:lang w:val="en-US" w:eastAsia="zh-CN"/>
              </w:rPr>
              <w:t>10</w:t>
            </w:r>
            <w:r>
              <w:rPr>
                <w:rFonts w:ascii="宋体" w:hAnsi="宋体" w:eastAsia="宋体" w:cs="宋体"/>
                <w:color w:val="auto"/>
                <w:sz w:val="24"/>
                <w:szCs w:val="24"/>
                <w:highlight w:val="none"/>
              </w:rPr>
              <w:t>分；每出现一处存在瑕疵或不完善扣1分，扣完为止。无此</w:t>
            </w:r>
            <w:r>
              <w:rPr>
                <w:rFonts w:hint="eastAsia" w:ascii="宋体" w:hAnsi="宋体" w:eastAsia="宋体" w:cs="宋体"/>
                <w:color w:val="auto"/>
                <w:sz w:val="24"/>
                <w:szCs w:val="24"/>
                <w:highlight w:val="none"/>
                <w:lang w:eastAsia="zh-CN"/>
              </w:rPr>
              <w:t>项</w:t>
            </w:r>
            <w:r>
              <w:rPr>
                <w:rFonts w:ascii="宋体" w:hAnsi="宋体" w:eastAsia="宋体" w:cs="宋体"/>
                <w:color w:val="auto"/>
                <w:sz w:val="24"/>
                <w:szCs w:val="24"/>
                <w:highlight w:val="none"/>
              </w:rPr>
              <w:t>描述的不得分。</w:t>
            </w:r>
          </w:p>
        </w:tc>
        <w:tc>
          <w:tcPr>
            <w:tcW w:w="595" w:type="pct"/>
            <w:tcBorders>
              <w:top w:val="single" w:color="auto" w:sz="4" w:space="0"/>
              <w:left w:val="single" w:color="auto" w:sz="4" w:space="0"/>
              <w:bottom w:val="single" w:color="auto" w:sz="4" w:space="0"/>
              <w:right w:val="single" w:color="auto" w:sz="4" w:space="0"/>
            </w:tcBorders>
            <w:noWrap/>
            <w:vAlign w:val="center"/>
          </w:tcPr>
          <w:p w14:paraId="21A7AC15">
            <w:pPr>
              <w:spacing w:line="300" w:lineRule="auto"/>
              <w:rPr>
                <w:rFonts w:hint="eastAsia" w:ascii="宋体" w:hAnsi="宋体" w:eastAsia="宋体" w:cs="宋体"/>
                <w:b w:val="0"/>
                <w:bCs/>
                <w:color w:val="auto"/>
                <w:sz w:val="24"/>
                <w:szCs w:val="24"/>
                <w:highlight w:val="none"/>
                <w:lang w:eastAsia="zh-CN"/>
              </w:rPr>
            </w:pPr>
          </w:p>
        </w:tc>
      </w:tr>
    </w:tbl>
    <w:p w14:paraId="2D22E1B8">
      <w:pPr>
        <w:pStyle w:val="41"/>
        <w:spacing w:line="480" w:lineRule="exact"/>
        <w:ind w:left="0" w:firstLine="0"/>
        <w:jc w:val="left"/>
        <w:rPr>
          <w:rFonts w:hint="eastAsia" w:ascii="方正姚体" w:hAnsi="方正姚体" w:eastAsia="方正姚体" w:cs="方正姚体"/>
          <w:color w:val="auto"/>
          <w:sz w:val="24"/>
          <w:highlight w:val="none"/>
        </w:rPr>
      </w:pPr>
      <w:r>
        <w:rPr>
          <w:rFonts w:hint="eastAsia" w:ascii="宋体" w:hAnsi="宋体" w:cs="宋体"/>
          <w:color w:val="auto"/>
          <w:sz w:val="24"/>
          <w:highlight w:val="none"/>
        </w:rPr>
        <w:t>说明：该表的位置应封装在</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（响应文件）目录之前。</w:t>
      </w:r>
    </w:p>
    <w:p w14:paraId="6083EAEA">
      <w:pPr>
        <w:rPr>
          <w:rFonts w:hint="eastAsia" w:ascii="宋体" w:hAnsi="宋体"/>
          <w:color w:val="auto"/>
          <w:highlight w:val="none"/>
        </w:rPr>
      </w:pPr>
    </w:p>
    <w:p w14:paraId="1CA80C54">
      <w:pPr>
        <w:rPr>
          <w:rFonts w:hint="eastAsia" w:ascii="宋体" w:hAnsi="宋体"/>
          <w:color w:val="auto"/>
          <w:highlight w:val="none"/>
        </w:rPr>
      </w:pPr>
      <w:r>
        <w:rPr>
          <w:rFonts w:hint="eastAsia" w:ascii="宋体" w:hAnsi="宋体"/>
          <w:color w:val="auto"/>
          <w:highlight w:val="none"/>
        </w:rPr>
        <w:br w:type="page"/>
      </w:r>
    </w:p>
    <w:p w14:paraId="5076D83C">
      <w:pPr>
        <w:pStyle w:val="3"/>
        <w:spacing w:line="600" w:lineRule="exact"/>
        <w:rPr>
          <w:rFonts w:hint="eastAsia" w:ascii="宋体" w:hAnsi="宋体" w:cs="宋体"/>
          <w:color w:val="auto"/>
          <w:highlight w:val="none"/>
        </w:rPr>
      </w:pPr>
      <w:bookmarkStart w:id="333" w:name="_Toc11092"/>
      <w:r>
        <w:rPr>
          <w:rFonts w:hint="eastAsia" w:ascii="宋体" w:hAnsi="宋体"/>
          <w:color w:val="auto"/>
          <w:highlight w:val="none"/>
          <w:lang w:val="en-US" w:eastAsia="zh-CN"/>
        </w:rPr>
        <w:t>三、</w:t>
      </w:r>
      <w:r>
        <w:rPr>
          <w:rFonts w:hint="eastAsia" w:ascii="宋体" w:hAnsi="宋体"/>
          <w:color w:val="auto"/>
          <w:highlight w:val="none"/>
        </w:rPr>
        <w:t>开标一览表</w:t>
      </w:r>
      <w:bookmarkEnd w:id="328"/>
      <w:bookmarkEnd w:id="329"/>
      <w:bookmarkEnd w:id="333"/>
    </w:p>
    <w:p w14:paraId="141248C2">
      <w:pPr>
        <w:pStyle w:val="4"/>
        <w:spacing w:line="600" w:lineRule="exact"/>
        <w:rPr>
          <w:rFonts w:hint="eastAsia" w:hAnsi="宋体"/>
          <w:color w:val="auto"/>
          <w:highlight w:val="none"/>
        </w:rPr>
      </w:pPr>
      <w:bookmarkStart w:id="334" w:name="_Hlt520356241"/>
      <w:bookmarkEnd w:id="334"/>
      <w:bookmarkStart w:id="335" w:name="_Toc494296984"/>
      <w:bookmarkStart w:id="336" w:name="_Toc46136852"/>
      <w:bookmarkStart w:id="337" w:name="_Toc14619"/>
      <w:r>
        <w:rPr>
          <w:rFonts w:hint="eastAsia" w:hAnsi="宋体"/>
          <w:color w:val="auto"/>
          <w:highlight w:val="none"/>
        </w:rPr>
        <w:t>1.开标一览表</w:t>
      </w:r>
      <w:bookmarkEnd w:id="335"/>
      <w:bookmarkEnd w:id="336"/>
      <w:bookmarkEnd w:id="337"/>
    </w:p>
    <w:p w14:paraId="6E6556A7">
      <w:pPr>
        <w:tabs>
          <w:tab w:val="left" w:pos="1800"/>
          <w:tab w:val="left" w:pos="5580"/>
        </w:tabs>
        <w:spacing w:line="600" w:lineRule="exact"/>
        <w:ind w:right="-867" w:rightChars="-413"/>
        <w:rPr>
          <w:rFonts w:hint="eastAsia" w:ascii="宋体" w:hAnsi="宋体"/>
          <w:color w:val="auto"/>
          <w:sz w:val="24"/>
          <w:highlight w:val="none"/>
        </w:rPr>
      </w:pPr>
      <w:r>
        <w:rPr>
          <w:rFonts w:hint="eastAsia" w:ascii="宋体" w:hAnsi="宋体"/>
          <w:color w:val="auto"/>
          <w:sz w:val="24"/>
          <w:highlight w:val="none"/>
        </w:rPr>
        <w:t>项目编号：</w:t>
      </w:r>
      <w:r>
        <w:rPr>
          <w:rFonts w:hint="eastAsia" w:ascii="宋体" w:hAnsi="宋体"/>
          <w:color w:val="auto"/>
          <w:sz w:val="24"/>
          <w:highlight w:val="none"/>
          <w:lang w:val="en-US" w:eastAsia="zh-CN"/>
        </w:rPr>
        <w:t xml:space="preserve">     包号：</w:t>
      </w:r>
      <w:r>
        <w:rPr>
          <w:rFonts w:hint="eastAsia" w:ascii="宋体" w:hAnsi="宋体"/>
          <w:color w:val="auto"/>
          <w:sz w:val="24"/>
          <w:highlight w:val="none"/>
        </w:rPr>
        <w:t xml:space="preserve">                                报价单位：人民币元</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7"/>
        <w:gridCol w:w="7102"/>
      </w:tblGrid>
      <w:tr w14:paraId="3BFB2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2477" w:type="dxa"/>
            <w:vMerge w:val="restart"/>
            <w:tcBorders>
              <w:top w:val="single" w:color="auto" w:sz="12" w:space="0"/>
              <w:left w:val="single" w:color="auto" w:sz="12" w:space="0"/>
              <w:bottom w:val="single" w:color="auto" w:sz="4" w:space="0"/>
              <w:right w:val="single" w:color="auto" w:sz="4" w:space="0"/>
            </w:tcBorders>
            <w:noWrap w:val="0"/>
            <w:vAlign w:val="center"/>
          </w:tcPr>
          <w:p w14:paraId="6F676045">
            <w:pPr>
              <w:tabs>
                <w:tab w:val="left" w:pos="1337"/>
              </w:tabs>
              <w:spacing w:line="600" w:lineRule="exact"/>
              <w:ind w:firstLine="735" w:firstLineChars="350"/>
              <w:rPr>
                <w:rFonts w:ascii="宋体" w:hAnsi="宋体"/>
                <w:b/>
                <w:bCs/>
                <w:color w:val="auto"/>
                <w:szCs w:val="21"/>
                <w:highlight w:val="none"/>
              </w:rPr>
            </w:pPr>
            <w:r>
              <w:rPr>
                <w:rFonts w:hint="eastAsia" w:ascii="宋体" w:hAnsi="宋体"/>
                <w:b/>
                <w:bCs/>
                <w:color w:val="auto"/>
                <w:szCs w:val="21"/>
                <w:highlight w:val="none"/>
              </w:rPr>
              <w:t>投标报价</w:t>
            </w:r>
          </w:p>
        </w:tc>
        <w:tc>
          <w:tcPr>
            <w:tcW w:w="7102" w:type="dxa"/>
            <w:tcBorders>
              <w:top w:val="single" w:color="auto" w:sz="12" w:space="0"/>
              <w:left w:val="single" w:color="auto" w:sz="4" w:space="0"/>
              <w:bottom w:val="single" w:color="auto" w:sz="4" w:space="0"/>
              <w:right w:val="single" w:color="auto" w:sz="12" w:space="0"/>
            </w:tcBorders>
            <w:noWrap w:val="0"/>
            <w:vAlign w:val="center"/>
          </w:tcPr>
          <w:p w14:paraId="1ED7235B">
            <w:pPr>
              <w:tabs>
                <w:tab w:val="left" w:pos="1337"/>
              </w:tabs>
              <w:spacing w:line="600" w:lineRule="exact"/>
              <w:rPr>
                <w:rFonts w:ascii="宋体" w:hAnsi="宋体"/>
                <w:b/>
                <w:bCs/>
                <w:color w:val="auto"/>
                <w:szCs w:val="21"/>
                <w:highlight w:val="none"/>
              </w:rPr>
            </w:pPr>
            <w:r>
              <w:rPr>
                <w:rFonts w:hint="eastAsia" w:ascii="宋体" w:hAnsi="宋体"/>
                <w:b/>
                <w:color w:val="auto"/>
                <w:szCs w:val="21"/>
                <w:highlight w:val="none"/>
              </w:rPr>
              <w:t>大写：</w:t>
            </w:r>
          </w:p>
        </w:tc>
      </w:tr>
      <w:tr w14:paraId="172B3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477" w:type="dxa"/>
            <w:vMerge w:val="continue"/>
            <w:tcBorders>
              <w:top w:val="single" w:color="auto" w:sz="12" w:space="0"/>
              <w:left w:val="single" w:color="auto" w:sz="12" w:space="0"/>
              <w:bottom w:val="single" w:color="auto" w:sz="4" w:space="0"/>
              <w:right w:val="single" w:color="auto" w:sz="4" w:space="0"/>
            </w:tcBorders>
            <w:noWrap w:val="0"/>
            <w:vAlign w:val="center"/>
          </w:tcPr>
          <w:p w14:paraId="6132AD20">
            <w:pPr>
              <w:widowControl/>
              <w:spacing w:line="600" w:lineRule="exact"/>
              <w:jc w:val="left"/>
              <w:rPr>
                <w:rFonts w:ascii="宋体" w:hAnsi="宋体"/>
                <w:b/>
                <w:bCs/>
                <w:color w:val="auto"/>
                <w:szCs w:val="21"/>
                <w:highlight w:val="none"/>
              </w:rPr>
            </w:pPr>
          </w:p>
        </w:tc>
        <w:tc>
          <w:tcPr>
            <w:tcW w:w="7102" w:type="dxa"/>
            <w:tcBorders>
              <w:top w:val="single" w:color="auto" w:sz="4" w:space="0"/>
              <w:left w:val="single" w:color="auto" w:sz="4" w:space="0"/>
              <w:bottom w:val="single" w:color="auto" w:sz="4" w:space="0"/>
              <w:right w:val="single" w:color="auto" w:sz="12" w:space="0"/>
            </w:tcBorders>
            <w:noWrap w:val="0"/>
            <w:vAlign w:val="top"/>
          </w:tcPr>
          <w:p w14:paraId="21F93A1A">
            <w:pPr>
              <w:tabs>
                <w:tab w:val="left" w:pos="1337"/>
              </w:tabs>
              <w:spacing w:line="600" w:lineRule="exact"/>
              <w:rPr>
                <w:rFonts w:ascii="宋体" w:hAnsi="宋体"/>
                <w:b/>
                <w:color w:val="auto"/>
                <w:szCs w:val="21"/>
                <w:highlight w:val="none"/>
              </w:rPr>
            </w:pPr>
            <w:r>
              <w:rPr>
                <w:rFonts w:hint="eastAsia" w:ascii="宋体" w:hAnsi="宋体"/>
                <w:b/>
                <w:color w:val="auto"/>
                <w:szCs w:val="21"/>
                <w:highlight w:val="none"/>
              </w:rPr>
              <w:t>小写：</w:t>
            </w:r>
          </w:p>
        </w:tc>
      </w:tr>
      <w:tr w14:paraId="44FE1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9579" w:type="dxa"/>
            <w:gridSpan w:val="2"/>
            <w:tcBorders>
              <w:top w:val="single" w:color="auto" w:sz="4" w:space="0"/>
              <w:left w:val="single" w:color="auto" w:sz="12" w:space="0"/>
              <w:bottom w:val="single" w:color="auto" w:sz="12" w:space="0"/>
              <w:right w:val="single" w:color="auto" w:sz="12" w:space="0"/>
            </w:tcBorders>
            <w:noWrap w:val="0"/>
            <w:vAlign w:val="center"/>
          </w:tcPr>
          <w:p w14:paraId="0564175A">
            <w:pPr>
              <w:tabs>
                <w:tab w:val="left" w:pos="1337"/>
              </w:tabs>
              <w:spacing w:line="600" w:lineRule="exact"/>
              <w:ind w:firstLine="630" w:firstLineChars="300"/>
              <w:rPr>
                <w:rFonts w:ascii="宋体" w:hAnsi="宋体"/>
                <w:b/>
                <w:color w:val="auto"/>
                <w:szCs w:val="21"/>
                <w:highlight w:val="none"/>
              </w:rPr>
            </w:pPr>
            <w:r>
              <w:rPr>
                <w:rFonts w:hint="eastAsia" w:ascii="宋体" w:hAnsi="宋体"/>
                <w:b/>
                <w:color w:val="auto"/>
                <w:szCs w:val="21"/>
                <w:highlight w:val="none"/>
              </w:rPr>
              <w:t>交付日期：</w:t>
            </w:r>
          </w:p>
        </w:tc>
      </w:tr>
    </w:tbl>
    <w:p w14:paraId="5B41A026">
      <w:pPr>
        <w:tabs>
          <w:tab w:val="left" w:pos="567"/>
          <w:tab w:val="left" w:pos="1146"/>
          <w:tab w:val="left" w:pos="1719"/>
          <w:tab w:val="left" w:pos="2483"/>
        </w:tabs>
        <w:spacing w:before="120" w:line="480" w:lineRule="exact"/>
        <w:ind w:leftChars="-135" w:hanging="283" w:hangingChars="118"/>
        <w:rPr>
          <w:rFonts w:hint="eastAsia" w:ascii="宋体" w:hAnsi="宋体" w:eastAsia="宋体" w:cs="宋体"/>
          <w:color w:val="auto"/>
          <w:sz w:val="24"/>
          <w:szCs w:val="21"/>
          <w:highlight w:val="none"/>
        </w:rPr>
      </w:pPr>
      <w:r>
        <w:rPr>
          <w:rFonts w:hint="eastAsia" w:ascii="宋体" w:hAnsi="宋体"/>
          <w:color w:val="auto"/>
          <w:sz w:val="24"/>
          <w:szCs w:val="21"/>
          <w:highlight w:val="none"/>
        </w:rPr>
        <w:t>说明：</w:t>
      </w:r>
      <w:r>
        <w:rPr>
          <w:rFonts w:hint="eastAsia" w:ascii="宋体" w:hAnsi="宋体" w:eastAsia="宋体" w:cs="宋体"/>
          <w:color w:val="auto"/>
          <w:sz w:val="24"/>
          <w:szCs w:val="21"/>
          <w:highlight w:val="none"/>
        </w:rPr>
        <w:t>1、</w:t>
      </w:r>
      <w:r>
        <w:rPr>
          <w:rFonts w:hint="eastAsia" w:ascii="宋体" w:hAnsi="宋体"/>
          <w:color w:val="auto"/>
          <w:sz w:val="24"/>
          <w:szCs w:val="21"/>
          <w:highlight w:val="none"/>
        </w:rPr>
        <w:t>开标一览表中“投标报价”是指提供服务及货物的全部费用的报价</w:t>
      </w:r>
      <w:r>
        <w:rPr>
          <w:rFonts w:hint="eastAsia" w:ascii="宋体" w:hAnsi="宋体"/>
          <w:color w:val="auto"/>
          <w:sz w:val="24"/>
          <w:szCs w:val="21"/>
          <w:highlight w:val="none"/>
          <w:lang w:eastAsia="zh-CN"/>
        </w:rPr>
        <w:t>。</w:t>
      </w:r>
    </w:p>
    <w:p w14:paraId="736B20C0">
      <w:pPr>
        <w:tabs>
          <w:tab w:val="left" w:pos="567"/>
          <w:tab w:val="left" w:pos="1146"/>
          <w:tab w:val="left" w:pos="1719"/>
          <w:tab w:val="left" w:pos="2483"/>
        </w:tabs>
        <w:spacing w:before="120" w:line="48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szCs w:val="21"/>
          <w:highlight w:val="none"/>
        </w:rPr>
        <w:t>2、</w:t>
      </w:r>
      <w:r>
        <w:rPr>
          <w:rFonts w:hint="eastAsia" w:ascii="宋体" w:hAnsi="宋体" w:eastAsia="宋体" w:cs="宋体"/>
          <w:color w:val="auto"/>
          <w:sz w:val="24"/>
          <w:highlight w:val="none"/>
        </w:rPr>
        <w:t>总价应和分项报价表的合计总价相一致。</w:t>
      </w:r>
    </w:p>
    <w:p w14:paraId="1D99F4D0">
      <w:pPr>
        <w:tabs>
          <w:tab w:val="left" w:pos="567"/>
          <w:tab w:val="left" w:pos="1146"/>
          <w:tab w:val="left" w:pos="1719"/>
          <w:tab w:val="left" w:pos="2483"/>
        </w:tabs>
        <w:spacing w:before="120" w:line="480" w:lineRule="exact"/>
        <w:ind w:firstLine="600" w:firstLineChars="250"/>
        <w:rPr>
          <w:rFonts w:hint="eastAsia" w:ascii="宋体" w:hAnsi="宋体" w:eastAsia="宋体" w:cs="宋体"/>
          <w:color w:val="auto"/>
          <w:sz w:val="24"/>
          <w:szCs w:val="21"/>
          <w:highlight w:val="none"/>
        </w:rPr>
      </w:pPr>
      <w:r>
        <w:rPr>
          <w:rFonts w:hint="eastAsia" w:ascii="宋体" w:hAnsi="宋体" w:eastAsia="宋体" w:cs="宋体"/>
          <w:color w:val="auto"/>
          <w:sz w:val="24"/>
          <w:highlight w:val="none"/>
        </w:rPr>
        <w:t>3、本表后附分项报价表。</w:t>
      </w:r>
    </w:p>
    <w:p w14:paraId="11EA1F20">
      <w:pPr>
        <w:tabs>
          <w:tab w:val="left" w:pos="567"/>
          <w:tab w:val="left" w:pos="1146"/>
          <w:tab w:val="left" w:pos="1719"/>
          <w:tab w:val="left" w:pos="2483"/>
        </w:tabs>
        <w:spacing w:before="120" w:line="600" w:lineRule="exact"/>
        <w:ind w:leftChars="-135" w:hanging="283" w:hangingChars="118"/>
        <w:rPr>
          <w:rFonts w:hint="eastAsia" w:ascii="宋体" w:hAnsi="宋体"/>
          <w:color w:val="auto"/>
          <w:sz w:val="24"/>
          <w:szCs w:val="21"/>
          <w:highlight w:val="none"/>
        </w:rPr>
      </w:pPr>
    </w:p>
    <w:p w14:paraId="59BF521C">
      <w:pPr>
        <w:pStyle w:val="14"/>
        <w:spacing w:line="600" w:lineRule="exact"/>
        <w:ind w:firstLine="480" w:firstLineChars="200"/>
        <w:rPr>
          <w:rFonts w:hAnsi="宋体" w:cs="MingLiU_HKSCS"/>
          <w:color w:val="auto"/>
          <w:sz w:val="24"/>
          <w:szCs w:val="24"/>
          <w:highlight w:val="none"/>
        </w:rPr>
      </w:pPr>
      <w:r>
        <w:rPr>
          <w:rFonts w:hint="eastAsia" w:hAnsi="宋体"/>
          <w:color w:val="auto"/>
          <w:sz w:val="24"/>
          <w:szCs w:val="24"/>
          <w:highlight w:val="none"/>
        </w:rPr>
        <w:t>投标人名称</w:t>
      </w:r>
      <w:r>
        <w:rPr>
          <w:rFonts w:hAnsi="宋体"/>
          <w:color w:val="auto"/>
          <w:sz w:val="24"/>
          <w:szCs w:val="24"/>
          <w:highlight w:val="none"/>
        </w:rPr>
        <w:t>(</w:t>
      </w:r>
      <w:r>
        <w:rPr>
          <w:rFonts w:hint="eastAsia" w:hAnsi="宋体"/>
          <w:color w:val="auto"/>
          <w:sz w:val="24"/>
          <w:szCs w:val="24"/>
          <w:highlight w:val="none"/>
        </w:rPr>
        <w:t>公章</w:t>
      </w:r>
      <w:r>
        <w:rPr>
          <w:rFonts w:hAnsi="宋体"/>
          <w:color w:val="auto"/>
          <w:sz w:val="24"/>
          <w:szCs w:val="24"/>
          <w:highlight w:val="none"/>
        </w:rPr>
        <w:t>)</w:t>
      </w:r>
      <w:r>
        <w:rPr>
          <w:rFonts w:hint="eastAsia" w:hAnsi="宋体"/>
          <w:color w:val="auto"/>
          <w:sz w:val="24"/>
          <w:szCs w:val="24"/>
          <w:highlight w:val="none"/>
        </w:rPr>
        <w:t>：</w:t>
      </w:r>
      <w:r>
        <w:rPr>
          <w:rFonts w:hAnsi="宋体"/>
          <w:color w:val="auto"/>
          <w:sz w:val="24"/>
          <w:szCs w:val="24"/>
          <w:highlight w:val="none"/>
        </w:rPr>
        <w:t>______________</w:t>
      </w:r>
    </w:p>
    <w:p w14:paraId="1C20F77A">
      <w:pPr>
        <w:pStyle w:val="14"/>
        <w:spacing w:line="600" w:lineRule="exact"/>
        <w:ind w:firstLine="480" w:firstLineChars="200"/>
        <w:rPr>
          <w:rFonts w:hAnsi="宋体" w:cs="MingLiU_HKSCS"/>
          <w:color w:val="auto"/>
          <w:sz w:val="24"/>
          <w:szCs w:val="24"/>
          <w:highlight w:val="none"/>
        </w:rPr>
      </w:pPr>
      <w:r>
        <w:rPr>
          <w:rFonts w:hint="eastAsia" w:hAnsi="宋体"/>
          <w:color w:val="auto"/>
          <w:sz w:val="24"/>
          <w:szCs w:val="24"/>
          <w:highlight w:val="none"/>
        </w:rPr>
        <w:t>法定代表人或负责人或其授权代表</w:t>
      </w:r>
      <w:r>
        <w:rPr>
          <w:rFonts w:hAnsi="宋体"/>
          <w:color w:val="auto"/>
          <w:sz w:val="24"/>
          <w:szCs w:val="24"/>
          <w:highlight w:val="none"/>
        </w:rPr>
        <w:t>(</w:t>
      </w:r>
      <w:r>
        <w:rPr>
          <w:rFonts w:hint="eastAsia" w:hAnsi="宋体"/>
          <w:color w:val="auto"/>
          <w:sz w:val="24"/>
          <w:szCs w:val="24"/>
          <w:highlight w:val="none"/>
        </w:rPr>
        <w:t>签字或盖章</w:t>
      </w:r>
      <w:r>
        <w:rPr>
          <w:rFonts w:hAnsi="宋体"/>
          <w:color w:val="auto"/>
          <w:sz w:val="24"/>
          <w:szCs w:val="24"/>
          <w:highlight w:val="none"/>
        </w:rPr>
        <w:t>)</w:t>
      </w:r>
      <w:r>
        <w:rPr>
          <w:rFonts w:hint="eastAsia" w:hAnsi="宋体"/>
          <w:color w:val="auto"/>
          <w:sz w:val="24"/>
          <w:szCs w:val="24"/>
          <w:highlight w:val="none"/>
        </w:rPr>
        <w:t>：</w:t>
      </w:r>
      <w:r>
        <w:rPr>
          <w:rFonts w:hAnsi="宋体"/>
          <w:color w:val="auto"/>
          <w:sz w:val="24"/>
          <w:szCs w:val="24"/>
          <w:highlight w:val="none"/>
        </w:rPr>
        <w:t>______________</w:t>
      </w:r>
    </w:p>
    <w:p w14:paraId="32F901AD">
      <w:pPr>
        <w:pStyle w:val="14"/>
        <w:spacing w:line="600" w:lineRule="exact"/>
        <w:ind w:firstLine="480" w:firstLineChars="200"/>
        <w:rPr>
          <w:rFonts w:hAnsi="宋体" w:cs="MingLiU_HKSCS"/>
          <w:color w:val="auto"/>
          <w:sz w:val="24"/>
          <w:szCs w:val="24"/>
          <w:highlight w:val="none"/>
        </w:rPr>
      </w:pPr>
      <w:r>
        <w:rPr>
          <w:rFonts w:hint="eastAsia" w:hAnsi="宋体"/>
          <w:color w:val="auto"/>
          <w:sz w:val="24"/>
          <w:szCs w:val="24"/>
          <w:highlight w:val="none"/>
        </w:rPr>
        <w:t>日期：</w:t>
      </w:r>
      <w:r>
        <w:rPr>
          <w:rFonts w:hAnsi="宋体"/>
          <w:color w:val="auto"/>
          <w:sz w:val="24"/>
          <w:szCs w:val="24"/>
          <w:highlight w:val="none"/>
        </w:rPr>
        <w:t>______</w:t>
      </w:r>
      <w:r>
        <w:rPr>
          <w:rFonts w:hint="eastAsia" w:hAnsi="宋体"/>
          <w:color w:val="auto"/>
          <w:sz w:val="24"/>
          <w:szCs w:val="24"/>
          <w:highlight w:val="none"/>
        </w:rPr>
        <w:t>年</w:t>
      </w:r>
      <w:r>
        <w:rPr>
          <w:rFonts w:hAnsi="宋体"/>
          <w:color w:val="auto"/>
          <w:sz w:val="24"/>
          <w:szCs w:val="24"/>
          <w:highlight w:val="none"/>
        </w:rPr>
        <w:t>____</w:t>
      </w:r>
      <w:r>
        <w:rPr>
          <w:rFonts w:hint="eastAsia" w:hAnsi="宋体"/>
          <w:color w:val="auto"/>
          <w:sz w:val="24"/>
          <w:szCs w:val="24"/>
          <w:highlight w:val="none"/>
        </w:rPr>
        <w:t>月</w:t>
      </w:r>
      <w:r>
        <w:rPr>
          <w:rFonts w:hAnsi="宋体"/>
          <w:color w:val="auto"/>
          <w:sz w:val="24"/>
          <w:szCs w:val="24"/>
          <w:highlight w:val="none"/>
        </w:rPr>
        <w:t>____</w:t>
      </w:r>
      <w:r>
        <w:rPr>
          <w:rFonts w:hint="eastAsia" w:hAnsi="宋体"/>
          <w:color w:val="auto"/>
          <w:sz w:val="24"/>
          <w:szCs w:val="24"/>
          <w:highlight w:val="none"/>
        </w:rPr>
        <w:t>日</w:t>
      </w:r>
    </w:p>
    <w:p w14:paraId="0B6478EE">
      <w:pPr>
        <w:tabs>
          <w:tab w:val="left" w:pos="567"/>
          <w:tab w:val="left" w:pos="1146"/>
          <w:tab w:val="left" w:pos="1719"/>
          <w:tab w:val="left" w:pos="2483"/>
        </w:tabs>
        <w:spacing w:before="120" w:line="600" w:lineRule="exact"/>
        <w:ind w:left="376" w:leftChars="46" w:hanging="280" w:hangingChars="117"/>
        <w:rPr>
          <w:rFonts w:hint="eastAsia" w:ascii="宋体" w:hAnsi="宋体"/>
          <w:color w:val="auto"/>
          <w:sz w:val="24"/>
          <w:szCs w:val="21"/>
          <w:highlight w:val="none"/>
        </w:rPr>
      </w:pPr>
      <w:r>
        <w:rPr>
          <w:rFonts w:hint="eastAsia" w:ascii="宋体" w:hAnsi="宋体"/>
          <w:color w:val="auto"/>
          <w:sz w:val="24"/>
          <w:szCs w:val="21"/>
          <w:highlight w:val="none"/>
        </w:rPr>
        <w:t xml:space="preserve">   </w:t>
      </w:r>
    </w:p>
    <w:p w14:paraId="2A133023">
      <w:pPr>
        <w:rPr>
          <w:rFonts w:hint="eastAsia" w:ascii="宋体" w:hAnsi="宋体"/>
          <w:color w:val="auto"/>
          <w:highlight w:val="none"/>
        </w:rPr>
      </w:pPr>
      <w:bookmarkStart w:id="338" w:name="_Toc46235130"/>
      <w:bookmarkStart w:id="339" w:name="_Toc45562505"/>
      <w:r>
        <w:rPr>
          <w:rFonts w:hint="eastAsia" w:ascii="宋体" w:hAnsi="宋体"/>
          <w:color w:val="auto"/>
          <w:highlight w:val="none"/>
        </w:rPr>
        <w:br w:type="page"/>
      </w:r>
    </w:p>
    <w:p w14:paraId="135849B4">
      <w:pPr>
        <w:pStyle w:val="3"/>
        <w:spacing w:line="600" w:lineRule="exact"/>
        <w:rPr>
          <w:rFonts w:ascii="宋体" w:hAnsi="宋体"/>
          <w:color w:val="auto"/>
          <w:highlight w:val="none"/>
        </w:rPr>
      </w:pPr>
      <w:bookmarkStart w:id="340" w:name="_Toc5373"/>
      <w:r>
        <w:rPr>
          <w:rFonts w:hint="eastAsia" w:ascii="宋体" w:hAnsi="宋体"/>
          <w:color w:val="auto"/>
          <w:highlight w:val="none"/>
          <w:lang w:val="en-US" w:eastAsia="zh-CN"/>
        </w:rPr>
        <w:t>四</w:t>
      </w:r>
      <w:r>
        <w:rPr>
          <w:rFonts w:hint="eastAsia" w:ascii="宋体" w:hAnsi="宋体"/>
          <w:color w:val="auto"/>
          <w:highlight w:val="none"/>
        </w:rPr>
        <w:t>、资格证明文件</w:t>
      </w:r>
      <w:bookmarkEnd w:id="338"/>
      <w:bookmarkEnd w:id="339"/>
      <w:bookmarkEnd w:id="340"/>
    </w:p>
    <w:p w14:paraId="7A415ADB">
      <w:pPr>
        <w:pStyle w:val="4"/>
        <w:spacing w:line="480" w:lineRule="exact"/>
        <w:rPr>
          <w:rFonts w:hint="eastAsia" w:ascii="宋体" w:hAnsi="宋体" w:eastAsia="宋体" w:cs="宋体"/>
          <w:color w:val="auto"/>
          <w:highlight w:val="none"/>
          <w:u w:val="none"/>
        </w:rPr>
      </w:pPr>
      <w:bookmarkStart w:id="341" w:name="_Toc20897"/>
      <w:bookmarkStart w:id="342" w:name="_Toc1231"/>
      <w:bookmarkStart w:id="343" w:name="_Toc46235131"/>
      <w:bookmarkStart w:id="344" w:name="_Toc518923109"/>
      <w:r>
        <w:rPr>
          <w:rFonts w:hint="eastAsia" w:ascii="宋体" w:hAnsi="宋体" w:eastAsia="宋体" w:cs="宋体"/>
          <w:color w:val="auto"/>
          <w:highlight w:val="none"/>
          <w:u w:val="none"/>
        </w:rPr>
        <w:t>2.法人或者其他组织的营业执照等证明文件或自然人的身份证明</w:t>
      </w:r>
      <w:bookmarkEnd w:id="341"/>
      <w:bookmarkEnd w:id="342"/>
      <w:bookmarkEnd w:id="343"/>
      <w:bookmarkEnd w:id="344"/>
    </w:p>
    <w:p w14:paraId="2CCA942C">
      <w:pPr>
        <w:tabs>
          <w:tab w:val="left" w:pos="5580"/>
        </w:tabs>
        <w:spacing w:line="480" w:lineRule="exac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说明：1.提供有效的营业执照等证明文件复印件。</w:t>
      </w:r>
    </w:p>
    <w:p w14:paraId="2102C2F0">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 xml:space="preserve">2. </w:t>
      </w:r>
      <w:r>
        <w:rPr>
          <w:rFonts w:hint="eastAsia" w:ascii="宋体" w:hAnsi="宋体" w:eastAsia="宋体" w:cs="宋体"/>
          <w:color w:val="auto"/>
          <w:sz w:val="24"/>
          <w:szCs w:val="20"/>
          <w:highlight w:val="none"/>
          <w:lang w:val="en-US" w:eastAsia="zh-CN"/>
        </w:rPr>
        <w:t>投标人</w:t>
      </w:r>
      <w:r>
        <w:rPr>
          <w:rFonts w:hint="eastAsia" w:ascii="宋体" w:hAnsi="宋体" w:eastAsia="宋体" w:cs="宋体"/>
          <w:color w:val="auto"/>
          <w:sz w:val="24"/>
          <w:szCs w:val="20"/>
          <w:highlight w:val="none"/>
        </w:rPr>
        <w:t>为自然人的，应提供身份证明的复印件。</w:t>
      </w:r>
    </w:p>
    <w:p w14:paraId="0CC5E9A3">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3.联合体</w:t>
      </w:r>
      <w:r>
        <w:rPr>
          <w:rFonts w:hint="eastAsia" w:ascii="宋体" w:hAnsi="宋体" w:cs="宋体"/>
          <w:color w:val="auto"/>
          <w:sz w:val="24"/>
          <w:szCs w:val="20"/>
          <w:highlight w:val="none"/>
          <w:lang w:eastAsia="zh-CN"/>
        </w:rPr>
        <w:t>投标文件</w:t>
      </w:r>
      <w:r>
        <w:rPr>
          <w:rFonts w:hint="eastAsia" w:ascii="宋体" w:hAnsi="宋体" w:eastAsia="宋体" w:cs="宋体"/>
          <w:color w:val="auto"/>
          <w:sz w:val="24"/>
          <w:szCs w:val="20"/>
          <w:highlight w:val="none"/>
        </w:rPr>
        <w:t>应提供联合体各方满足以上要求的证明文件。</w:t>
      </w:r>
    </w:p>
    <w:p w14:paraId="5CD2FBE2">
      <w:pPr>
        <w:tabs>
          <w:tab w:val="left" w:pos="5580"/>
        </w:tabs>
        <w:spacing w:line="480" w:lineRule="exact"/>
        <w:rPr>
          <w:rFonts w:hint="eastAsia" w:ascii="宋体" w:hAnsi="宋体" w:eastAsia="宋体" w:cs="宋体"/>
          <w:color w:val="auto"/>
          <w:sz w:val="24"/>
          <w:szCs w:val="20"/>
          <w:highlight w:val="none"/>
        </w:rPr>
      </w:pPr>
      <w:bookmarkStart w:id="345" w:name="_Toc2583670"/>
      <w:bookmarkStart w:id="346" w:name="_Toc46235132"/>
      <w:bookmarkStart w:id="347" w:name="_Toc518923110"/>
    </w:p>
    <w:p w14:paraId="0573BF5C">
      <w:pPr>
        <w:pStyle w:val="4"/>
        <w:spacing w:line="480" w:lineRule="exact"/>
        <w:rPr>
          <w:rFonts w:hint="eastAsia" w:ascii="宋体" w:hAnsi="宋体" w:eastAsia="宋体" w:cs="宋体"/>
          <w:color w:val="auto"/>
          <w:highlight w:val="none"/>
          <w:u w:val="none"/>
        </w:rPr>
      </w:pPr>
      <w:bookmarkStart w:id="348" w:name="_Toc19813"/>
      <w:bookmarkStart w:id="349" w:name="_Toc19206"/>
      <w:r>
        <w:rPr>
          <w:rFonts w:hint="eastAsia" w:ascii="宋体" w:hAnsi="宋体" w:eastAsia="宋体" w:cs="宋体"/>
          <w:color w:val="auto"/>
          <w:highlight w:val="none"/>
          <w:u w:val="none"/>
        </w:rPr>
        <w:t>3.法定代表人或负责人身份证明书</w:t>
      </w:r>
      <w:bookmarkEnd w:id="345"/>
      <w:bookmarkEnd w:id="346"/>
      <w:bookmarkEnd w:id="348"/>
      <w:bookmarkEnd w:id="349"/>
    </w:p>
    <w:p w14:paraId="69EB4B2D">
      <w:pPr>
        <w:tabs>
          <w:tab w:val="left" w:pos="5580"/>
        </w:tabs>
        <w:spacing w:line="480" w:lineRule="exact"/>
        <w:ind w:left="1101" w:leftChars="-29" w:hanging="116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致：临沂市沂蒙国际招标有限公司</w:t>
      </w:r>
      <w:r>
        <w:rPr>
          <w:rFonts w:hint="eastAsia" w:ascii="宋体" w:hAnsi="宋体" w:eastAsia="宋体" w:cs="宋体"/>
          <w:color w:val="auto"/>
          <w:sz w:val="24"/>
          <w:szCs w:val="20"/>
          <w:highlight w:val="none"/>
        </w:rPr>
        <w:t>：</w:t>
      </w:r>
    </w:p>
    <w:p w14:paraId="3846D204">
      <w:pPr>
        <w:tabs>
          <w:tab w:val="left" w:pos="5580"/>
        </w:tabs>
        <w:spacing w:line="480" w:lineRule="exact"/>
        <w:ind w:left="-113" w:leftChars="-54"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（姓名、性别、年龄、身份证号码）</w:t>
      </w:r>
      <w:r>
        <w:rPr>
          <w:rFonts w:hint="eastAsia" w:ascii="宋体" w:hAnsi="宋体" w:eastAsia="宋体" w:cs="宋体"/>
          <w:color w:val="auto"/>
          <w:sz w:val="24"/>
          <w:szCs w:val="20"/>
          <w:highlight w:val="none"/>
        </w:rPr>
        <w:t>在我单位任</w:t>
      </w:r>
      <w:r>
        <w:rPr>
          <w:rFonts w:hint="eastAsia" w:ascii="宋体" w:hAnsi="宋体" w:eastAsia="宋体" w:cs="宋体"/>
          <w:color w:val="auto"/>
          <w:sz w:val="24"/>
          <w:szCs w:val="20"/>
          <w:highlight w:val="none"/>
          <w:u w:val="single"/>
        </w:rPr>
        <w:t>（董事长、总经理等）</w:t>
      </w:r>
      <w:r>
        <w:rPr>
          <w:rFonts w:hint="eastAsia" w:ascii="宋体" w:hAnsi="宋体" w:eastAsia="宋体" w:cs="宋体"/>
          <w:color w:val="auto"/>
          <w:sz w:val="24"/>
          <w:szCs w:val="20"/>
          <w:highlight w:val="none"/>
        </w:rPr>
        <w:t>职务，是我单位的法定代表人/负责人。</w:t>
      </w:r>
    </w:p>
    <w:p w14:paraId="59B7CAFC">
      <w:pPr>
        <w:tabs>
          <w:tab w:val="left" w:pos="5580"/>
        </w:tabs>
        <w:spacing w:line="480" w:lineRule="exact"/>
        <w:ind w:left="1079"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特此证明。</w:t>
      </w:r>
    </w:p>
    <w:p w14:paraId="2C81C24F">
      <w:pPr>
        <w:spacing w:line="480" w:lineRule="exact"/>
        <w:rPr>
          <w:rFonts w:hint="eastAsia" w:ascii="宋体" w:hAnsi="宋体" w:eastAsia="宋体" w:cs="宋体"/>
          <w:color w:val="auto"/>
          <w:sz w:val="24"/>
          <w:highlight w:val="none"/>
        </w:rPr>
      </w:pPr>
    </w:p>
    <w:p w14:paraId="7D95675E">
      <w:pPr>
        <w:tabs>
          <w:tab w:val="left" w:pos="5580"/>
        </w:tabs>
        <w:spacing w:line="480" w:lineRule="exact"/>
        <w:ind w:left="-539" w:leftChars="-257" w:firstLine="900" w:firstLineChars="3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投标人名称</w:t>
      </w:r>
      <w:r>
        <w:rPr>
          <w:rFonts w:hint="eastAsia" w:ascii="宋体" w:hAnsi="宋体" w:eastAsia="宋体" w:cs="宋体"/>
          <w:color w:val="auto"/>
          <w:sz w:val="24"/>
          <w:szCs w:val="20"/>
          <w:highlight w:val="none"/>
        </w:rPr>
        <w:t>（盖公章）：</w:t>
      </w:r>
    </w:p>
    <w:p w14:paraId="56959CF2">
      <w:pPr>
        <w:tabs>
          <w:tab w:val="left" w:pos="5580"/>
        </w:tabs>
        <w:spacing w:line="480" w:lineRule="exact"/>
        <w:ind w:left="-539" w:leftChars="-257" w:firstLine="900" w:firstLineChars="375"/>
        <w:rPr>
          <w:rFonts w:hint="eastAsia" w:ascii="宋体" w:hAnsi="宋体" w:eastAsia="宋体" w:cs="宋体"/>
          <w:color w:val="auto"/>
          <w:sz w:val="24"/>
          <w:szCs w:val="20"/>
          <w:highlight w:val="none"/>
        </w:rPr>
      </w:pPr>
    </w:p>
    <w:p w14:paraId="6566F922">
      <w:pPr>
        <w:tabs>
          <w:tab w:val="left" w:pos="5580"/>
        </w:tabs>
        <w:spacing w:line="480" w:lineRule="exact"/>
        <w:ind w:left="-539" w:leftChars="-257" w:firstLine="900" w:firstLineChars="3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注：自然人</w:t>
      </w:r>
      <w:r>
        <w:rPr>
          <w:rFonts w:hint="eastAsia" w:ascii="宋体" w:hAnsi="宋体" w:cs="宋体"/>
          <w:color w:val="auto"/>
          <w:sz w:val="24"/>
          <w:szCs w:val="20"/>
          <w:highlight w:val="none"/>
          <w:lang w:eastAsia="zh-CN"/>
        </w:rPr>
        <w:t>投标文件</w:t>
      </w:r>
      <w:r>
        <w:rPr>
          <w:rFonts w:hint="eastAsia" w:ascii="宋体" w:hAnsi="宋体" w:eastAsia="宋体" w:cs="宋体"/>
          <w:color w:val="auto"/>
          <w:sz w:val="24"/>
          <w:szCs w:val="20"/>
          <w:highlight w:val="none"/>
        </w:rPr>
        <w:t>的无需提供</w:t>
      </w:r>
    </w:p>
    <w:p w14:paraId="54EE68F6">
      <w:pPr>
        <w:tabs>
          <w:tab w:val="left" w:pos="5580"/>
        </w:tabs>
        <w:spacing w:line="480" w:lineRule="exact"/>
        <w:ind w:firstLine="360" w:firstLineChars="150"/>
        <w:rPr>
          <w:rFonts w:hint="eastAsia" w:ascii="宋体" w:hAnsi="宋体" w:eastAsia="宋体" w:cs="宋体"/>
          <w:color w:val="auto"/>
          <w:sz w:val="24"/>
          <w:szCs w:val="20"/>
          <w:highlight w:val="none"/>
        </w:rPr>
      </w:pPr>
    </w:p>
    <w:p w14:paraId="0FA0C135">
      <w:pPr>
        <w:pStyle w:val="4"/>
        <w:spacing w:line="480" w:lineRule="exact"/>
        <w:rPr>
          <w:rFonts w:hint="eastAsia" w:ascii="宋体" w:hAnsi="宋体" w:eastAsia="宋体" w:cs="宋体"/>
          <w:color w:val="auto"/>
          <w:highlight w:val="none"/>
          <w:u w:val="none"/>
        </w:rPr>
      </w:pPr>
      <w:bookmarkStart w:id="350" w:name="_Toc12372"/>
      <w:bookmarkStart w:id="351" w:name="_Toc46235133"/>
      <w:bookmarkStart w:id="352" w:name="_Toc3987"/>
      <w:r>
        <w:rPr>
          <w:rFonts w:hint="eastAsia" w:ascii="宋体" w:hAnsi="宋体" w:eastAsia="宋体" w:cs="宋体"/>
          <w:color w:val="auto"/>
          <w:highlight w:val="none"/>
          <w:u w:val="none"/>
        </w:rPr>
        <w:t>4.法定代表人或负责人授权书</w:t>
      </w:r>
      <w:bookmarkEnd w:id="347"/>
      <w:bookmarkEnd w:id="350"/>
      <w:bookmarkEnd w:id="351"/>
      <w:bookmarkEnd w:id="352"/>
    </w:p>
    <w:p w14:paraId="5F22BC25">
      <w:pPr>
        <w:tabs>
          <w:tab w:val="left" w:pos="5580"/>
        </w:tabs>
        <w:spacing w:line="480" w:lineRule="exact"/>
        <w:ind w:firstLine="480"/>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本授权书声明：注册于</w:t>
      </w:r>
      <w:r>
        <w:rPr>
          <w:rFonts w:hint="eastAsia" w:ascii="宋体" w:hAnsi="宋体" w:eastAsia="宋体" w:cs="宋体"/>
          <w:color w:val="auto"/>
          <w:sz w:val="24"/>
          <w:szCs w:val="20"/>
          <w:highlight w:val="none"/>
          <w:u w:val="single"/>
        </w:rPr>
        <w:t>（国家或地区的名称）</w:t>
      </w:r>
      <w:r>
        <w:rPr>
          <w:rFonts w:hint="eastAsia" w:ascii="宋体" w:hAnsi="宋体" w:eastAsia="宋体" w:cs="宋体"/>
          <w:color w:val="auto"/>
          <w:sz w:val="24"/>
          <w:szCs w:val="20"/>
          <w:highlight w:val="none"/>
        </w:rPr>
        <w:t>的（</w:t>
      </w:r>
      <w:r>
        <w:rPr>
          <w:rFonts w:hint="eastAsia" w:ascii="宋体" w:hAnsi="宋体" w:cs="宋体"/>
          <w:i/>
          <w:color w:val="auto"/>
          <w:sz w:val="24"/>
          <w:szCs w:val="20"/>
          <w:highlight w:val="none"/>
          <w:u w:val="single"/>
          <w:lang w:eastAsia="zh-CN"/>
        </w:rPr>
        <w:t>投标人</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法定代表人</w:t>
      </w:r>
      <w:r>
        <w:rPr>
          <w:rFonts w:hint="eastAsia" w:ascii="宋体" w:hAnsi="宋体" w:eastAsia="宋体" w:cs="宋体"/>
          <w:color w:val="auto"/>
          <w:sz w:val="24"/>
          <w:szCs w:val="20"/>
          <w:highlight w:val="none"/>
          <w:u w:val="single"/>
        </w:rPr>
        <w:t>/负责人</w:t>
      </w:r>
      <w:r>
        <w:rPr>
          <w:rFonts w:hint="eastAsia" w:ascii="宋体" w:hAnsi="宋体" w:eastAsia="宋体" w:cs="宋体"/>
          <w:i/>
          <w:color w:val="auto"/>
          <w:sz w:val="24"/>
          <w:szCs w:val="20"/>
          <w:highlight w:val="none"/>
          <w:u w:val="single"/>
        </w:rPr>
        <w:t>姓名、职务</w:t>
      </w:r>
      <w:r>
        <w:rPr>
          <w:rFonts w:hint="eastAsia" w:ascii="宋体" w:hAnsi="宋体" w:eastAsia="宋体" w:cs="宋体"/>
          <w:color w:val="auto"/>
          <w:sz w:val="24"/>
          <w:szCs w:val="20"/>
          <w:highlight w:val="none"/>
        </w:rPr>
        <w:t>）代表我单位授权（</w:t>
      </w:r>
      <w:r>
        <w:rPr>
          <w:rFonts w:hint="eastAsia" w:ascii="宋体" w:hAnsi="宋体" w:eastAsia="宋体" w:cs="宋体"/>
          <w:i/>
          <w:color w:val="auto"/>
          <w:sz w:val="24"/>
          <w:szCs w:val="20"/>
          <w:highlight w:val="none"/>
          <w:u w:val="single"/>
        </w:rPr>
        <w:t>单位名称</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被授权人的姓名、职务</w:t>
      </w:r>
      <w:r>
        <w:rPr>
          <w:rFonts w:hint="eastAsia" w:ascii="宋体" w:hAnsi="宋体" w:eastAsia="宋体" w:cs="宋体"/>
          <w:color w:val="auto"/>
          <w:sz w:val="24"/>
          <w:szCs w:val="20"/>
          <w:highlight w:val="none"/>
        </w:rPr>
        <w:t>）为我单位的合法代理人，就（</w:t>
      </w:r>
      <w:r>
        <w:rPr>
          <w:rFonts w:hint="eastAsia" w:ascii="宋体" w:hAnsi="宋体" w:eastAsia="宋体" w:cs="宋体"/>
          <w:i/>
          <w:color w:val="auto"/>
          <w:sz w:val="24"/>
          <w:szCs w:val="20"/>
          <w:highlight w:val="none"/>
          <w:u w:val="single"/>
        </w:rPr>
        <w:t>项目名称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包号</w:t>
      </w:r>
      <w:r>
        <w:rPr>
          <w:rFonts w:hint="eastAsia" w:ascii="宋体" w:hAnsi="宋体" w:eastAsia="宋体" w:cs="宋体"/>
          <w:color w:val="auto"/>
          <w:sz w:val="24"/>
          <w:szCs w:val="20"/>
          <w:highlight w:val="none"/>
        </w:rPr>
        <w:t>）</w:t>
      </w:r>
      <w:r>
        <w:rPr>
          <w:rFonts w:hint="eastAsia" w:ascii="宋体" w:hAnsi="宋体" w:cs="宋体"/>
          <w:color w:val="auto"/>
          <w:sz w:val="24"/>
          <w:szCs w:val="20"/>
          <w:highlight w:val="none"/>
          <w:lang w:eastAsia="zh-CN"/>
        </w:rPr>
        <w:t>投标文件</w:t>
      </w:r>
      <w:r>
        <w:rPr>
          <w:rFonts w:hint="eastAsia" w:ascii="宋体" w:hAnsi="宋体" w:eastAsia="宋体" w:cs="宋体"/>
          <w:color w:val="auto"/>
          <w:sz w:val="24"/>
          <w:szCs w:val="20"/>
          <w:highlight w:val="none"/>
        </w:rPr>
        <w:t>，以我单位名义处理一切与之有关的事务。</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本授权书于年月日签字生效,特此声明。</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xml:space="preserve">   </w:t>
      </w:r>
      <w:r>
        <w:rPr>
          <w:rFonts w:hint="eastAsia" w:ascii="宋体" w:hAnsi="宋体" w:eastAsia="宋体" w:cs="宋体"/>
          <w:color w:val="auto"/>
          <w:sz w:val="24"/>
          <w:szCs w:val="20"/>
          <w:highlight w:val="none"/>
          <w:lang w:val="en-US" w:eastAsia="zh-CN"/>
        </w:rPr>
        <w:t>投标人</w:t>
      </w:r>
      <w:r>
        <w:rPr>
          <w:rFonts w:hint="eastAsia" w:ascii="宋体" w:hAnsi="宋体" w:eastAsia="宋体" w:cs="宋体"/>
          <w:color w:val="auto"/>
          <w:sz w:val="24"/>
          <w:szCs w:val="20"/>
          <w:highlight w:val="none"/>
        </w:rPr>
        <w:t>（盖单位公章）：</w:t>
      </w:r>
    </w:p>
    <w:p w14:paraId="1F3E787B">
      <w:pPr>
        <w:tabs>
          <w:tab w:val="left" w:pos="5580"/>
        </w:tabs>
        <w:spacing w:line="480" w:lineRule="exact"/>
        <w:ind w:left="-539"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法定代表人/负责人(签章)：</w:t>
      </w:r>
    </w:p>
    <w:p w14:paraId="78F3B7C4">
      <w:pPr>
        <w:tabs>
          <w:tab w:val="left" w:pos="5580"/>
        </w:tabs>
        <w:spacing w:line="480" w:lineRule="exact"/>
        <w:ind w:left="-539"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法定代表人/负责人身份证号码：</w:t>
      </w:r>
    </w:p>
    <w:p w14:paraId="50181B63">
      <w:pPr>
        <w:tabs>
          <w:tab w:val="left" w:pos="5580"/>
        </w:tabs>
        <w:spacing w:line="480" w:lineRule="exact"/>
        <w:ind w:firstLine="360" w:firstLineChars="15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委托代理人身份证号码：</w:t>
      </w:r>
    </w:p>
    <w:p w14:paraId="2576CC01">
      <w:pPr>
        <w:spacing w:line="480" w:lineRule="exact"/>
        <w:ind w:left="120" w:right="-20"/>
        <w:jc w:val="left"/>
        <w:rPr>
          <w:rFonts w:hint="eastAsia" w:ascii="宋体" w:hAnsi="宋体" w:eastAsia="宋体" w:cs="宋体"/>
          <w:color w:val="auto"/>
          <w:kern w:val="0"/>
          <w:position w:val="-3"/>
          <w:sz w:val="24"/>
          <w:highlight w:val="none"/>
        </w:rPr>
      </w:pPr>
    </w:p>
    <w:p w14:paraId="42F4DF3E">
      <w:pPr>
        <w:spacing w:line="480" w:lineRule="exact"/>
        <w:ind w:left="119" w:leftChars="57" w:right="-20" w:firstLine="240" w:firstLineChars="100"/>
        <w:jc w:val="left"/>
        <w:rPr>
          <w:rFonts w:hint="eastAsia" w:ascii="宋体" w:hAnsi="宋体" w:eastAsia="宋体" w:cs="宋体"/>
          <w:color w:val="auto"/>
          <w:kern w:val="0"/>
          <w:sz w:val="24"/>
          <w:highlight w:val="none"/>
        </w:rPr>
      </w:pPr>
      <w:r>
        <w:rPr>
          <w:rFonts w:hint="eastAsia" w:ascii="宋体" w:hAnsi="宋体" w:eastAsia="宋体" w:cs="宋体"/>
          <w:color w:val="auto"/>
          <w:kern w:val="0"/>
          <w:position w:val="-3"/>
          <w:sz w:val="24"/>
          <w:highlight w:val="none"/>
        </w:rPr>
        <w:t>注：自然人</w:t>
      </w:r>
      <w:r>
        <w:rPr>
          <w:rFonts w:hint="eastAsia" w:ascii="宋体" w:hAnsi="宋体" w:cs="宋体"/>
          <w:color w:val="auto"/>
          <w:kern w:val="0"/>
          <w:position w:val="-3"/>
          <w:sz w:val="24"/>
          <w:highlight w:val="none"/>
          <w:lang w:eastAsia="zh-CN"/>
        </w:rPr>
        <w:t>投标文件</w:t>
      </w:r>
      <w:r>
        <w:rPr>
          <w:rFonts w:hint="eastAsia" w:ascii="宋体" w:hAnsi="宋体" w:eastAsia="宋体" w:cs="宋体"/>
          <w:color w:val="auto"/>
          <w:kern w:val="0"/>
          <w:position w:val="-3"/>
          <w:sz w:val="24"/>
          <w:highlight w:val="none"/>
        </w:rPr>
        <w:t>的无需提供</w:t>
      </w:r>
    </w:p>
    <w:p w14:paraId="2642147C">
      <w:pPr>
        <w:tabs>
          <w:tab w:val="left" w:pos="5580"/>
        </w:tabs>
        <w:spacing w:line="480" w:lineRule="exact"/>
        <w:ind w:firstLine="315" w:firstLineChars="150"/>
        <w:rPr>
          <w:rFonts w:hint="eastAsia" w:ascii="宋体" w:hAnsi="宋体" w:eastAsia="宋体" w:cs="宋体"/>
          <w:color w:val="auto"/>
          <w:highlight w:val="none"/>
        </w:rPr>
      </w:pPr>
      <w:bookmarkStart w:id="353" w:name="_Toc46235134"/>
    </w:p>
    <w:p w14:paraId="7F90164F">
      <w:pPr>
        <w:pStyle w:val="4"/>
        <w:spacing w:line="480" w:lineRule="exact"/>
        <w:rPr>
          <w:rFonts w:hint="eastAsia" w:ascii="宋体" w:hAnsi="宋体" w:eastAsia="宋体" w:cs="宋体"/>
          <w:color w:val="auto"/>
          <w:highlight w:val="none"/>
          <w:u w:val="none"/>
        </w:rPr>
      </w:pPr>
      <w:bookmarkStart w:id="354" w:name="_Toc28328"/>
      <w:bookmarkStart w:id="355" w:name="_Toc11685"/>
      <w:r>
        <w:rPr>
          <w:rFonts w:hint="eastAsia" w:ascii="宋体" w:hAnsi="宋体" w:eastAsia="宋体" w:cs="宋体"/>
          <w:color w:val="auto"/>
          <w:highlight w:val="none"/>
          <w:u w:val="none"/>
        </w:rPr>
        <w:t>5.具有良好的商业信誉和健全的财务会计制度的</w:t>
      </w:r>
      <w:bookmarkEnd w:id="353"/>
      <w:r>
        <w:rPr>
          <w:rFonts w:hint="eastAsia" w:ascii="宋体" w:hAnsi="宋体" w:eastAsia="宋体" w:cs="宋体"/>
          <w:color w:val="auto"/>
          <w:highlight w:val="none"/>
          <w:u w:val="none"/>
        </w:rPr>
        <w:t>证明文件</w:t>
      </w:r>
      <w:bookmarkEnd w:id="354"/>
      <w:bookmarkEnd w:id="355"/>
    </w:p>
    <w:p w14:paraId="1441B59D">
      <w:pPr>
        <w:tabs>
          <w:tab w:val="left" w:pos="5580"/>
        </w:tabs>
        <w:spacing w:line="480" w:lineRule="exact"/>
        <w:ind w:left="1079"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4FAF0C83">
      <w:pPr>
        <w:tabs>
          <w:tab w:val="left" w:pos="5580"/>
        </w:tabs>
        <w:spacing w:line="480" w:lineRule="exact"/>
        <w:ind w:firstLine="480" w:firstLineChars="200"/>
        <w:rPr>
          <w:rFonts w:hint="eastAsia" w:ascii="宋体" w:hAnsi="宋体" w:eastAsia="宋体" w:cs="宋体"/>
          <w:bCs/>
          <w:color w:val="auto"/>
          <w:sz w:val="24"/>
          <w:highlight w:val="none"/>
        </w:rPr>
      </w:pPr>
      <w:bookmarkStart w:id="356" w:name="_Toc518923111"/>
      <w:r>
        <w:rPr>
          <w:rFonts w:hint="eastAsia" w:ascii="宋体" w:hAnsi="宋体" w:eastAsia="宋体" w:cs="宋体"/>
          <w:color w:val="auto"/>
          <w:sz w:val="24"/>
          <w:highlight w:val="none"/>
        </w:rPr>
        <w:t>1、如提供本单位上年度经会计师事务所出具的审计报告复印件，须加盖</w:t>
      </w:r>
      <w:r>
        <w:rPr>
          <w:rFonts w:hint="eastAsia" w:ascii="宋体" w:hAnsi="宋体" w:eastAsia="宋体" w:cs="宋体"/>
          <w:bCs/>
          <w:color w:val="auto"/>
          <w:sz w:val="24"/>
          <w:highlight w:val="none"/>
        </w:rPr>
        <w:t>本单位章。</w:t>
      </w:r>
    </w:p>
    <w:p w14:paraId="59BED48C">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如提供银行出具的证明文件。银行证明文件可提供原件，也可提供银行在开标日前三个月内开具证明文件的复印件。若提供的是复印件，采购人或采购代理机构保留审核原件的权利。银行出具的证明文件应能说明该</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与银行之间业务往来正常，企业信誉良好等。</w:t>
      </w:r>
    </w:p>
    <w:p w14:paraId="18B55986">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3、如果是联合体</w:t>
      </w:r>
      <w:r>
        <w:rPr>
          <w:rFonts w:hint="eastAsia" w:ascii="宋体" w:hAnsi="宋体" w:cs="宋体"/>
          <w:color w:val="auto"/>
          <w:sz w:val="24"/>
          <w:highlight w:val="none"/>
          <w:lang w:eastAsia="zh-CN"/>
        </w:rPr>
        <w:t>投标文件</w:t>
      </w:r>
      <w:r>
        <w:rPr>
          <w:rFonts w:hint="eastAsia" w:ascii="宋体" w:hAnsi="宋体" w:eastAsia="宋体" w:cs="宋体"/>
          <w:color w:val="auto"/>
          <w:sz w:val="24"/>
          <w:highlight w:val="none"/>
        </w:rPr>
        <w:t>，联合体各方均需提供上述证明。</w:t>
      </w:r>
    </w:p>
    <w:p w14:paraId="09E61A48">
      <w:pPr>
        <w:keepNext w:val="0"/>
        <w:keepLines w:val="0"/>
        <w:pageBreakBefore w:val="0"/>
        <w:widowControl w:val="0"/>
        <w:tabs>
          <w:tab w:val="left" w:pos="5580"/>
        </w:tabs>
        <w:kinsoku/>
        <w:wordWrap w:val="0"/>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4、如采用承诺方式的，承诺函格式下载地址：http://www.ymzb.com/news/?1868.html。</w:t>
      </w:r>
    </w:p>
    <w:p w14:paraId="63CFA132">
      <w:pPr>
        <w:spacing w:line="480" w:lineRule="exact"/>
        <w:rPr>
          <w:rFonts w:hint="eastAsia" w:ascii="宋体" w:hAnsi="宋体" w:eastAsia="宋体" w:cs="宋体"/>
          <w:color w:val="auto"/>
          <w:sz w:val="24"/>
          <w:highlight w:val="none"/>
        </w:rPr>
      </w:pPr>
    </w:p>
    <w:p w14:paraId="338C5B65">
      <w:pPr>
        <w:pStyle w:val="4"/>
        <w:spacing w:line="480" w:lineRule="exact"/>
        <w:rPr>
          <w:rFonts w:hint="eastAsia" w:ascii="宋体" w:hAnsi="宋体" w:eastAsia="宋体" w:cs="宋体"/>
          <w:color w:val="auto"/>
          <w:highlight w:val="none"/>
          <w:u w:val="none"/>
        </w:rPr>
      </w:pPr>
      <w:bookmarkStart w:id="357" w:name="_Toc46235135"/>
      <w:bookmarkStart w:id="358" w:name="_Toc13366"/>
      <w:bookmarkStart w:id="359" w:name="_Toc2292"/>
      <w:r>
        <w:rPr>
          <w:rFonts w:hint="eastAsia" w:ascii="宋体" w:hAnsi="宋体" w:eastAsia="宋体" w:cs="宋体"/>
          <w:color w:val="auto"/>
          <w:highlight w:val="none"/>
          <w:u w:val="none"/>
        </w:rPr>
        <w:t>6.依法缴纳社会保障资金和税收的</w:t>
      </w:r>
      <w:bookmarkEnd w:id="357"/>
      <w:r>
        <w:rPr>
          <w:rFonts w:hint="eastAsia" w:ascii="宋体" w:hAnsi="宋体" w:eastAsia="宋体" w:cs="宋体"/>
          <w:color w:val="auto"/>
          <w:highlight w:val="none"/>
        </w:rPr>
        <w:t>缴纳记录</w:t>
      </w:r>
      <w:bookmarkEnd w:id="358"/>
      <w:bookmarkEnd w:id="359"/>
    </w:p>
    <w:p w14:paraId="53AE1AFF">
      <w:pPr>
        <w:tabs>
          <w:tab w:val="left" w:pos="5580"/>
        </w:tabs>
        <w:spacing w:line="480" w:lineRule="exact"/>
        <w:ind w:left="1259" w:leftChars="257" w:hanging="720" w:hanging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49F54C05">
      <w:pPr>
        <w:pStyle w:val="14"/>
        <w:tabs>
          <w:tab w:val="left" w:pos="5580"/>
        </w:tabs>
        <w:spacing w:line="480" w:lineRule="exact"/>
        <w:ind w:left="540"/>
        <w:rPr>
          <w:rFonts w:hint="eastAsia" w:ascii="宋体" w:hAnsi="宋体" w:eastAsia="宋体" w:cs="宋体"/>
          <w:color w:val="auto"/>
          <w:sz w:val="24"/>
          <w:highlight w:val="none"/>
        </w:rPr>
      </w:pPr>
      <w:r>
        <w:rPr>
          <w:rFonts w:hint="eastAsia" w:ascii="宋体" w:hAnsi="宋体" w:eastAsia="宋体" w:cs="宋体"/>
          <w:color w:val="auto"/>
          <w:sz w:val="24"/>
          <w:highlight w:val="none"/>
        </w:rPr>
        <w:t>1.按照</w:t>
      </w:r>
      <w:r>
        <w:rPr>
          <w:rFonts w:hint="eastAsia" w:ascii="宋体" w:hAnsi="宋体" w:eastAsia="宋体" w:cs="宋体"/>
          <w:color w:val="auto"/>
          <w:sz w:val="24"/>
          <w:highlight w:val="none"/>
          <w:u w:val="single"/>
          <w:lang w:val="en-US" w:eastAsia="zh-CN"/>
        </w:rPr>
        <w:t>投标人</w:t>
      </w:r>
      <w:r>
        <w:rPr>
          <w:rFonts w:hint="eastAsia" w:ascii="宋体" w:hAnsi="宋体" w:eastAsia="宋体" w:cs="宋体"/>
          <w:color w:val="auto"/>
          <w:sz w:val="24"/>
          <w:highlight w:val="none"/>
          <w:u w:val="single"/>
        </w:rPr>
        <w:t>须知资料表</w:t>
      </w:r>
      <w:r>
        <w:rPr>
          <w:rFonts w:hint="eastAsia" w:ascii="宋体" w:hAnsi="宋体" w:eastAsia="宋体" w:cs="宋体"/>
          <w:color w:val="auto"/>
          <w:sz w:val="24"/>
          <w:highlight w:val="none"/>
        </w:rPr>
        <w:t>中的规定提供复印件。</w:t>
      </w:r>
    </w:p>
    <w:p w14:paraId="05DFFB6C">
      <w:pPr>
        <w:pStyle w:val="14"/>
        <w:tabs>
          <w:tab w:val="left" w:pos="5580"/>
        </w:tabs>
        <w:spacing w:line="480" w:lineRule="exact"/>
        <w:ind w:left="1079"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2.复印件上应加盖本单位章。</w:t>
      </w:r>
    </w:p>
    <w:p w14:paraId="5C8F42D1">
      <w:pPr>
        <w:tabs>
          <w:tab w:val="left" w:pos="5580"/>
        </w:tabs>
        <w:spacing w:line="480" w:lineRule="exact"/>
        <w:ind w:left="1079"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3.如果是联合体</w:t>
      </w:r>
      <w:r>
        <w:rPr>
          <w:rFonts w:hint="eastAsia" w:ascii="宋体" w:hAnsi="宋体" w:cs="宋体"/>
          <w:color w:val="auto"/>
          <w:sz w:val="24"/>
          <w:highlight w:val="none"/>
          <w:lang w:eastAsia="zh-CN"/>
        </w:rPr>
        <w:t>投标文件</w:t>
      </w:r>
      <w:r>
        <w:rPr>
          <w:rFonts w:hint="eastAsia" w:ascii="宋体" w:hAnsi="宋体" w:eastAsia="宋体" w:cs="宋体"/>
          <w:color w:val="auto"/>
          <w:sz w:val="24"/>
          <w:highlight w:val="none"/>
        </w:rPr>
        <w:t>，联合体各方均需提供上述证明。</w:t>
      </w:r>
    </w:p>
    <w:p w14:paraId="7D1D6775">
      <w:pPr>
        <w:tabs>
          <w:tab w:val="left" w:pos="5580"/>
        </w:tabs>
        <w:wordWrap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4、如采用承诺方式的，承诺函格式下载地址：http://www.ymzb.com/news/?1868.html。</w:t>
      </w:r>
    </w:p>
    <w:p w14:paraId="18E3BF46">
      <w:pPr>
        <w:spacing w:line="480" w:lineRule="exact"/>
        <w:ind w:left="482"/>
        <w:rPr>
          <w:rFonts w:hint="eastAsia" w:ascii="宋体" w:hAnsi="宋体" w:eastAsia="宋体" w:cs="宋体"/>
          <w:color w:val="auto"/>
          <w:sz w:val="24"/>
          <w:highlight w:val="none"/>
        </w:rPr>
      </w:pPr>
    </w:p>
    <w:p w14:paraId="7E5B313E">
      <w:pPr>
        <w:pStyle w:val="4"/>
        <w:spacing w:line="480" w:lineRule="exact"/>
        <w:rPr>
          <w:rFonts w:hint="eastAsia" w:ascii="宋体" w:hAnsi="宋体" w:eastAsia="宋体" w:cs="宋体"/>
          <w:color w:val="auto"/>
          <w:highlight w:val="none"/>
        </w:rPr>
      </w:pPr>
      <w:bookmarkStart w:id="360" w:name="_Toc518923112"/>
      <w:bookmarkStart w:id="361" w:name="_Toc46235136"/>
      <w:bookmarkStart w:id="362" w:name="_Toc11376"/>
      <w:bookmarkStart w:id="363" w:name="_Toc24"/>
      <w:r>
        <w:rPr>
          <w:rFonts w:hint="eastAsia" w:ascii="宋体" w:hAnsi="宋体" w:eastAsia="宋体" w:cs="宋体"/>
          <w:color w:val="auto"/>
          <w:highlight w:val="none"/>
          <w:u w:val="none"/>
        </w:rPr>
        <w:t>7.参加政府采购活动前3年内</w:t>
      </w:r>
      <w:bookmarkEnd w:id="360"/>
      <w:bookmarkStart w:id="364" w:name="_Toc518923113"/>
      <w:r>
        <w:rPr>
          <w:rFonts w:hint="eastAsia" w:ascii="宋体" w:hAnsi="宋体" w:eastAsia="宋体" w:cs="宋体"/>
          <w:color w:val="auto"/>
          <w:highlight w:val="none"/>
          <w:u w:val="none"/>
        </w:rPr>
        <w:t>在经营活动中没有重大违法记录的</w:t>
      </w:r>
      <w:bookmarkEnd w:id="364"/>
      <w:r>
        <w:rPr>
          <w:rFonts w:hint="eastAsia" w:ascii="宋体" w:hAnsi="宋体" w:eastAsia="宋体" w:cs="宋体"/>
          <w:color w:val="auto"/>
          <w:highlight w:val="none"/>
          <w:u w:val="none"/>
        </w:rPr>
        <w:t>书面声明</w:t>
      </w:r>
      <w:bookmarkEnd w:id="361"/>
      <w:bookmarkEnd w:id="362"/>
      <w:bookmarkEnd w:id="363"/>
    </w:p>
    <w:p w14:paraId="20AF8495">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w:t>
      </w:r>
    </w:p>
    <w:p w14:paraId="61B29250">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我单位在参加采购活动前三年内在经营活动中没有《</w:t>
      </w:r>
      <w:r>
        <w:rPr>
          <w:rFonts w:hint="eastAsia" w:hAnsi="宋体" w:cs="宋体"/>
          <w:color w:val="auto"/>
          <w:sz w:val="24"/>
          <w:szCs w:val="24"/>
          <w:highlight w:val="none"/>
          <w:lang w:eastAsia="zh-CN"/>
        </w:rPr>
        <w:t>中华人民共和国政府采购法</w:t>
      </w:r>
      <w:r>
        <w:rPr>
          <w:rFonts w:hint="eastAsia" w:ascii="宋体" w:hAnsi="宋体" w:eastAsia="宋体" w:cs="宋体"/>
          <w:color w:val="auto"/>
          <w:sz w:val="24"/>
          <w:szCs w:val="24"/>
          <w:highlight w:val="none"/>
        </w:rPr>
        <w:t>》第二十二条第一款第(五)项所称重大违法记录，包括：</w:t>
      </w:r>
    </w:p>
    <w:p w14:paraId="6D2167FA">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14:paraId="69DA414D">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4703072">
      <w:pPr>
        <w:pStyle w:val="14"/>
        <w:spacing w:line="480" w:lineRule="exact"/>
        <w:ind w:firstLine="480" w:firstLineChars="200"/>
        <w:rPr>
          <w:rFonts w:hint="eastAsia" w:ascii="宋体" w:hAnsi="宋体" w:eastAsia="宋体" w:cs="宋体"/>
          <w:color w:val="auto"/>
          <w:sz w:val="24"/>
          <w:szCs w:val="24"/>
          <w:highlight w:val="none"/>
        </w:rPr>
      </w:pPr>
    </w:p>
    <w:p w14:paraId="55BF387D">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名称(公章)：______________</w:t>
      </w:r>
    </w:p>
    <w:p w14:paraId="7B00AD78">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法定代表人或负责人或其授权代表(签字或盖章)：______________</w:t>
      </w:r>
    </w:p>
    <w:p w14:paraId="14D3C2CB">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510F0E2A">
      <w:pPr>
        <w:pStyle w:val="14"/>
        <w:spacing w:line="480" w:lineRule="exact"/>
        <w:ind w:firstLine="420" w:firstLineChars="200"/>
        <w:rPr>
          <w:rFonts w:hint="eastAsia" w:ascii="宋体" w:hAnsi="宋体" w:eastAsia="宋体" w:cs="宋体"/>
          <w:color w:val="auto"/>
          <w:highlight w:val="none"/>
        </w:rPr>
      </w:pPr>
    </w:p>
    <w:p w14:paraId="0F9EFC7E">
      <w:pPr>
        <w:tabs>
          <w:tab w:val="left" w:pos="5580"/>
        </w:tabs>
        <w:spacing w:line="480" w:lineRule="exact"/>
        <w:ind w:left="0" w:leftChars="0" w:firstLine="417" w:firstLineChars="174"/>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w:t>
      </w:r>
      <w:r>
        <w:rPr>
          <w:rFonts w:hint="eastAsia" w:ascii="宋体" w:hAnsi="宋体" w:cs="宋体"/>
          <w:color w:val="auto"/>
          <w:sz w:val="24"/>
          <w:szCs w:val="20"/>
          <w:highlight w:val="none"/>
          <w:lang w:eastAsia="zh-CN"/>
        </w:rPr>
        <w:t>投标人</w:t>
      </w:r>
      <w:r>
        <w:rPr>
          <w:rFonts w:hint="eastAsia" w:ascii="宋体" w:hAnsi="宋体" w:eastAsia="宋体" w:cs="宋体"/>
          <w:color w:val="auto"/>
          <w:sz w:val="24"/>
          <w:szCs w:val="20"/>
          <w:highlight w:val="none"/>
        </w:rPr>
        <w:t>应按照相关法规规定如实作出说明。</w:t>
      </w:r>
    </w:p>
    <w:p w14:paraId="440E1727">
      <w:pPr>
        <w:pStyle w:val="14"/>
        <w:tabs>
          <w:tab w:val="left" w:pos="5580"/>
        </w:tabs>
        <w:spacing w:line="480" w:lineRule="exact"/>
        <w:ind w:left="0" w:leftChars="0" w:firstLine="417" w:firstLineChars="174"/>
        <w:rPr>
          <w:rFonts w:hint="eastAsia" w:ascii="宋体" w:hAnsi="宋体" w:eastAsia="宋体" w:cs="宋体"/>
          <w:color w:val="auto"/>
          <w:sz w:val="24"/>
          <w:highlight w:val="none"/>
        </w:rPr>
      </w:pPr>
      <w:r>
        <w:rPr>
          <w:rFonts w:hint="eastAsia" w:ascii="宋体" w:hAnsi="宋体" w:eastAsia="宋体" w:cs="宋体"/>
          <w:color w:val="auto"/>
          <w:sz w:val="24"/>
          <w:highlight w:val="none"/>
        </w:rPr>
        <w:t>2．按照</w:t>
      </w:r>
      <w:r>
        <w:rPr>
          <w:rFonts w:hint="eastAsia" w:hAnsi="宋体" w:cs="宋体"/>
          <w:color w:val="auto"/>
          <w:sz w:val="24"/>
          <w:highlight w:val="none"/>
          <w:lang w:eastAsia="zh-CN"/>
        </w:rPr>
        <w:t>招标文件</w:t>
      </w:r>
      <w:r>
        <w:rPr>
          <w:rFonts w:hint="eastAsia" w:ascii="宋体" w:hAnsi="宋体" w:eastAsia="宋体" w:cs="宋体"/>
          <w:color w:val="auto"/>
          <w:sz w:val="24"/>
          <w:highlight w:val="none"/>
        </w:rPr>
        <w:t>的规定加盖本单位章（自然人投标的无需盖章，需要签字）。</w:t>
      </w:r>
    </w:p>
    <w:p w14:paraId="49EEC7BF">
      <w:pPr>
        <w:tabs>
          <w:tab w:val="left" w:pos="5580"/>
        </w:tabs>
        <w:spacing w:line="480" w:lineRule="exact"/>
        <w:ind w:left="0" w:leftChars="0" w:firstLine="417" w:firstLineChars="174"/>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3.如果是联合体</w:t>
      </w:r>
      <w:r>
        <w:rPr>
          <w:rFonts w:hint="eastAsia" w:ascii="宋体" w:hAnsi="宋体" w:cs="宋体"/>
          <w:color w:val="auto"/>
          <w:sz w:val="24"/>
          <w:szCs w:val="20"/>
          <w:highlight w:val="none"/>
          <w:lang w:eastAsia="zh-CN"/>
        </w:rPr>
        <w:t>投标文件</w:t>
      </w:r>
      <w:r>
        <w:rPr>
          <w:rFonts w:hint="eastAsia" w:ascii="宋体" w:hAnsi="宋体" w:eastAsia="宋体" w:cs="宋体"/>
          <w:color w:val="auto"/>
          <w:sz w:val="24"/>
          <w:szCs w:val="20"/>
          <w:highlight w:val="none"/>
        </w:rPr>
        <w:t>，联合体各方均需提供上述证明。</w:t>
      </w:r>
    </w:p>
    <w:p w14:paraId="3017A501">
      <w:pPr>
        <w:rPr>
          <w:rFonts w:hint="eastAsia" w:ascii="宋体" w:hAnsi="宋体" w:eastAsia="宋体" w:cs="宋体"/>
          <w:color w:val="auto"/>
          <w:highlight w:val="none"/>
        </w:rPr>
      </w:pPr>
      <w:bookmarkStart w:id="365" w:name="_Toc518923114"/>
    </w:p>
    <w:p w14:paraId="32BFF39F">
      <w:pPr>
        <w:pStyle w:val="4"/>
        <w:spacing w:line="480" w:lineRule="exact"/>
        <w:rPr>
          <w:rFonts w:hint="eastAsia" w:ascii="宋体" w:hAnsi="宋体" w:eastAsia="宋体" w:cs="宋体"/>
          <w:color w:val="auto"/>
          <w:highlight w:val="none"/>
          <w:u w:val="none"/>
        </w:rPr>
      </w:pPr>
      <w:bookmarkStart w:id="366" w:name="_Toc46235137"/>
      <w:bookmarkStart w:id="367" w:name="_Toc30908"/>
      <w:bookmarkStart w:id="368" w:name="_Toc21550"/>
      <w:r>
        <w:rPr>
          <w:rFonts w:hint="eastAsia" w:ascii="宋体" w:hAnsi="宋体" w:eastAsia="宋体" w:cs="宋体"/>
          <w:color w:val="auto"/>
          <w:highlight w:val="none"/>
          <w:u w:val="none"/>
        </w:rPr>
        <w:t>8.</w:t>
      </w:r>
      <w:bookmarkEnd w:id="365"/>
      <w:bookmarkEnd w:id="366"/>
      <w:r>
        <w:rPr>
          <w:rFonts w:hint="eastAsia" w:hAnsi="宋体" w:cs="宋体"/>
          <w:color w:val="auto"/>
          <w:highlight w:val="none"/>
          <w:u w:val="none"/>
          <w:lang w:eastAsia="zh-CN"/>
        </w:rPr>
        <w:t>投标人</w:t>
      </w:r>
      <w:r>
        <w:rPr>
          <w:rFonts w:hint="eastAsia" w:ascii="宋体" w:hAnsi="宋体" w:eastAsia="宋体" w:cs="宋体"/>
          <w:color w:val="auto"/>
          <w:highlight w:val="none"/>
          <w:u w:val="none"/>
        </w:rPr>
        <w:t>反商业贿赂承诺书</w:t>
      </w:r>
      <w:bookmarkEnd w:id="367"/>
      <w:bookmarkEnd w:id="368"/>
    </w:p>
    <w:bookmarkEnd w:id="356"/>
    <w:p w14:paraId="40C96B63">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为贯彻落实中央和省市关于治理商业贿赂的有关精神，进一步净化政府采购市场、规范政府采购行为，共同维护和营造竞争有序的政府采购市场，我们作为参加政府采购的</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就反商业贿赂向社会郑重承诺：</w:t>
      </w:r>
    </w:p>
    <w:p w14:paraId="61BBE7E8">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一、认真学习并遵守国家相关的法律、法规及社会公德，树立质量为本的理念，诚实守信，依法参与政府采购活动，坚决杜绝不正当交易行为。</w:t>
      </w:r>
    </w:p>
    <w:p w14:paraId="39057BFE">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二、在政府采购活动中，自觉遵守政府采购的法律法规，依法依规进行政府采购项目的投标及公平交易行为，树立投标诚信、价格诚信、合同诚信、履约诚信、服务诚信等企业诚信体系。</w:t>
      </w:r>
    </w:p>
    <w:p w14:paraId="5B3D673F">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三、杜绝弄虚作假，骗取政府采购</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资格；杜绝提供虚假资质文件谋取中标或成交；杜绝出借、转让、出卖资质（资格）证书；杜绝他人以本企业名义承接或承揽政府采购业务。</w:t>
      </w:r>
    </w:p>
    <w:p w14:paraId="680E9344">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四、杜绝采取或参与“围标、陪标、串标”等违法行为获得政府采购订单；杜绝采取不正当手段诋毁、排挤其他</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参与竞争。</w:t>
      </w:r>
    </w:p>
    <w:p w14:paraId="3864DC41">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五、在政府采购活动中，承诺不与采购人、采购代理机构及其工作人员和其他</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串通，损害国家利益、社会公共利益和其他相关人的合法权益。</w:t>
      </w:r>
    </w:p>
    <w:p w14:paraId="183E9015">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694D1A8E">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七、按规定与采购人签订政府采购合同，并严格按合同履约，为采购人提供符合质量标准规定的货物、工程和服务，不销售假冒、走私货物；不擅自变更或终止、转让、转包政府采购合同；主动配合政府采购项目的验收工作。</w:t>
      </w:r>
    </w:p>
    <w:p w14:paraId="3DD6BD2B">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八、自觉接受政府采购监管部门的监督管理，积极配合检查和调查，并如实反映情况和提供材料。</w:t>
      </w:r>
    </w:p>
    <w:p w14:paraId="410F0053">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hint="eastAsia" w:ascii="宋体" w:hAnsi="宋体" w:cs="宋体"/>
          <w:color w:val="auto"/>
          <w:kern w:val="0"/>
          <w:sz w:val="24"/>
          <w:highlight w:val="none"/>
        </w:rPr>
      </w:pPr>
      <w:r>
        <w:rPr>
          <w:rFonts w:hint="eastAsia" w:ascii="宋体" w:hAnsi="宋体" w:cs="宋体"/>
          <w:color w:val="auto"/>
          <w:kern w:val="0"/>
          <w:sz w:val="24"/>
          <w:highlight w:val="none"/>
        </w:rPr>
        <w:t>我们将严格遵守上述承诺事项，自愿接受主管（监管）部门和社会各方面的监督， 如有违反，自愿接受执法执纪机关和监督管理部门的处理。</w:t>
      </w:r>
    </w:p>
    <w:p w14:paraId="7B3C4530">
      <w:pPr>
        <w:pStyle w:val="9"/>
        <w:autoSpaceDE w:val="0"/>
        <w:autoSpaceDN w:val="0"/>
        <w:adjustRightInd w:val="0"/>
        <w:snapToGrid w:val="0"/>
        <w:spacing w:before="0" w:line="480" w:lineRule="exact"/>
        <w:ind w:left="-420" w:leftChars="-200" w:right="-470" w:rightChars="-224" w:firstLine="439" w:firstLineChars="183"/>
        <w:rPr>
          <w:rFonts w:hint="eastAsia" w:ascii="宋体" w:hAnsi="宋体" w:eastAsia="宋体" w:cs="宋体"/>
          <w:color w:val="auto"/>
          <w:highlight w:val="none"/>
        </w:rPr>
      </w:pPr>
    </w:p>
    <w:p w14:paraId="72948F6B">
      <w:pPr>
        <w:pStyle w:val="9"/>
        <w:autoSpaceDE w:val="0"/>
        <w:autoSpaceDN w:val="0"/>
        <w:adjustRightInd w:val="0"/>
        <w:snapToGrid w:val="0"/>
        <w:spacing w:before="0" w:line="480" w:lineRule="exact"/>
        <w:ind w:right="-470" w:rightChars="-224" w:firstLine="2400" w:firstLineChars="1000"/>
        <w:rPr>
          <w:rFonts w:hint="eastAsia" w:ascii="宋体" w:hAnsi="宋体" w:eastAsia="宋体" w:cs="宋体"/>
          <w:color w:val="auto"/>
          <w:highlight w:val="none"/>
        </w:rPr>
      </w:pPr>
      <w:r>
        <w:rPr>
          <w:rFonts w:hint="eastAsia" w:ascii="宋体" w:hAnsi="宋体" w:eastAsia="宋体" w:cs="宋体"/>
          <w:color w:val="auto"/>
          <w:highlight w:val="none"/>
        </w:rPr>
        <w:t>承诺单位（公章）：</w:t>
      </w:r>
    </w:p>
    <w:p w14:paraId="4230F68A">
      <w:pPr>
        <w:pStyle w:val="9"/>
        <w:autoSpaceDE w:val="0"/>
        <w:autoSpaceDN w:val="0"/>
        <w:adjustRightInd w:val="0"/>
        <w:snapToGrid w:val="0"/>
        <w:spacing w:before="0" w:line="480" w:lineRule="exact"/>
        <w:ind w:right="-470" w:rightChars="-224" w:firstLine="1680" w:firstLineChars="700"/>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p>
    <w:p w14:paraId="51216D67">
      <w:pPr>
        <w:autoSpaceDE w:val="0"/>
        <w:autoSpaceDN w:val="0"/>
        <w:adjustRightInd w:val="0"/>
        <w:snapToGrid w:val="0"/>
        <w:spacing w:line="480" w:lineRule="exact"/>
        <w:ind w:left="-420" w:leftChars="-200" w:right="-470" w:rightChars="-224" w:firstLine="6885" w:firstLineChars="3279"/>
        <w:rPr>
          <w:rFonts w:hint="eastAsia" w:ascii="宋体" w:hAnsi="宋体" w:eastAsia="宋体" w:cs="宋体"/>
          <w:color w:val="auto"/>
          <w:sz w:val="30"/>
          <w:szCs w:val="30"/>
          <w:highlight w:val="none"/>
        </w:rPr>
      </w:pPr>
      <w:r>
        <w:rPr>
          <w:rFonts w:hint="eastAsia" w:ascii="宋体" w:hAnsi="宋体" w:eastAsia="宋体" w:cs="宋体"/>
          <w:color w:val="auto"/>
          <w:highlight w:val="none"/>
        </w:rPr>
        <w:t>年</w:t>
      </w:r>
      <w:r>
        <w:rPr>
          <w:rFonts w:hint="eastAsia" w:ascii="宋体" w:hAnsi="宋体" w:eastAsia="宋体" w:cs="宋体"/>
          <w:color w:val="auto"/>
          <w:highlight w:val="none"/>
        </w:rPr>
        <w:tab/>
      </w:r>
      <w:r>
        <w:rPr>
          <w:rFonts w:hint="eastAsia" w:ascii="宋体" w:hAnsi="宋体" w:eastAsia="宋体" w:cs="宋体"/>
          <w:color w:val="auto"/>
          <w:highlight w:val="none"/>
        </w:rPr>
        <w:t xml:space="preserve">  月   日</w:t>
      </w:r>
    </w:p>
    <w:p w14:paraId="631E1CE0">
      <w:pPr>
        <w:rPr>
          <w:rFonts w:hint="eastAsia" w:ascii="宋体" w:hAnsi="宋体" w:eastAsia="宋体" w:cs="宋体"/>
          <w:color w:val="auto"/>
          <w:sz w:val="24"/>
          <w:szCs w:val="20"/>
          <w:highlight w:val="none"/>
        </w:rPr>
      </w:pPr>
    </w:p>
    <w:p w14:paraId="526CD964">
      <w:pPr>
        <w:rPr>
          <w:rFonts w:hint="eastAsia" w:hAnsi="宋体"/>
          <w:color w:val="auto"/>
          <w:highlight w:val="none"/>
          <w:lang w:val="en-US" w:eastAsia="zh-CN"/>
        </w:rPr>
      </w:pPr>
      <w:bookmarkStart w:id="369" w:name="_Toc46136862"/>
      <w:bookmarkStart w:id="370" w:name="_Toc28732"/>
      <w:r>
        <w:rPr>
          <w:rFonts w:hint="eastAsia" w:hAnsi="宋体"/>
          <w:color w:val="auto"/>
          <w:highlight w:val="none"/>
          <w:lang w:val="en-US" w:eastAsia="zh-CN"/>
        </w:rPr>
        <w:br w:type="page"/>
      </w:r>
    </w:p>
    <w:p w14:paraId="6AB9187A">
      <w:pPr>
        <w:pStyle w:val="4"/>
        <w:numPr>
          <w:ilvl w:val="0"/>
          <w:numId w:val="0"/>
        </w:numPr>
        <w:spacing w:line="600" w:lineRule="exact"/>
        <w:jc w:val="center"/>
        <w:rPr>
          <w:rFonts w:hint="eastAsia" w:hAnsi="宋体"/>
          <w:color w:val="auto"/>
          <w:highlight w:val="none"/>
        </w:rPr>
      </w:pPr>
      <w:r>
        <w:rPr>
          <w:rFonts w:hint="eastAsia" w:hAnsi="宋体"/>
          <w:color w:val="auto"/>
          <w:highlight w:val="none"/>
          <w:lang w:val="en-US" w:eastAsia="zh-CN"/>
        </w:rPr>
        <w:t>五</w:t>
      </w:r>
      <w:r>
        <w:rPr>
          <w:rFonts w:hint="eastAsia" w:hAnsi="宋体"/>
          <w:color w:val="auto"/>
          <w:highlight w:val="none"/>
        </w:rPr>
        <w:t>、  商务及技术文件</w:t>
      </w:r>
      <w:bookmarkEnd w:id="369"/>
      <w:bookmarkEnd w:id="370"/>
    </w:p>
    <w:p w14:paraId="6DF2FF48">
      <w:pPr>
        <w:pStyle w:val="4"/>
        <w:spacing w:line="600" w:lineRule="exact"/>
        <w:rPr>
          <w:rFonts w:hint="eastAsia" w:hAnsi="宋体"/>
          <w:color w:val="auto"/>
          <w:highlight w:val="none"/>
        </w:rPr>
      </w:pPr>
      <w:bookmarkStart w:id="371" w:name="_Hlt520355504"/>
      <w:bookmarkEnd w:id="371"/>
      <w:bookmarkStart w:id="372" w:name="_Toc518923116"/>
      <w:bookmarkStart w:id="373" w:name="_Toc8574"/>
      <w:bookmarkStart w:id="374" w:name="_Toc46136863"/>
      <w:r>
        <w:rPr>
          <w:rFonts w:hint="eastAsia" w:hAnsi="宋体"/>
          <w:color w:val="auto"/>
          <w:highlight w:val="none"/>
          <w:lang w:val="en-US" w:eastAsia="zh-CN"/>
        </w:rPr>
        <w:t>9</w:t>
      </w:r>
      <w:r>
        <w:rPr>
          <w:rFonts w:hint="eastAsia" w:hAnsi="宋体"/>
          <w:color w:val="auto"/>
          <w:highlight w:val="none"/>
        </w:rPr>
        <w:t>.投标书</w:t>
      </w:r>
      <w:bookmarkEnd w:id="372"/>
      <w:bookmarkEnd w:id="373"/>
      <w:bookmarkEnd w:id="374"/>
    </w:p>
    <w:p w14:paraId="4AEE1533">
      <w:pPr>
        <w:keepNext w:val="0"/>
        <w:keepLines w:val="0"/>
        <w:pageBreakBefore w:val="0"/>
        <w:tabs>
          <w:tab w:val="left" w:pos="5580"/>
        </w:tabs>
        <w:kinsoku/>
        <w:wordWrap/>
        <w:overflowPunct/>
        <w:topLinePunct w:val="0"/>
        <w:autoSpaceDE/>
        <w:autoSpaceDN/>
        <w:bidi w:val="0"/>
        <w:adjustRightInd/>
        <w:snapToGrid/>
        <w:spacing w:line="520" w:lineRule="exact"/>
        <w:ind w:left="1080" w:hanging="1080"/>
        <w:textAlignment w:val="auto"/>
        <w:rPr>
          <w:rFonts w:ascii="宋体" w:hAnsi="宋体"/>
          <w:color w:val="auto"/>
          <w:sz w:val="24"/>
          <w:highlight w:val="none"/>
        </w:rPr>
      </w:pPr>
      <w:r>
        <w:rPr>
          <w:rFonts w:hint="eastAsia" w:ascii="宋体" w:hAnsi="宋体"/>
          <w:color w:val="auto"/>
          <w:sz w:val="24"/>
          <w:highlight w:val="none"/>
        </w:rPr>
        <w:t>致：</w:t>
      </w:r>
      <w:r>
        <w:rPr>
          <w:rFonts w:hint="eastAsia" w:ascii="宋体" w:hAnsi="宋体"/>
          <w:color w:val="auto"/>
          <w:sz w:val="24"/>
          <w:szCs w:val="20"/>
          <w:highlight w:val="none"/>
          <w:u w:val="single"/>
        </w:rPr>
        <w:t>临沂市沂蒙国际招标有限公司</w:t>
      </w:r>
    </w:p>
    <w:p w14:paraId="45950B1D">
      <w:pPr>
        <w:pStyle w:val="14"/>
        <w:keepNext w:val="0"/>
        <w:keepLines w:val="0"/>
        <w:pageBreakBefore w:val="0"/>
        <w:tabs>
          <w:tab w:val="left" w:pos="5580"/>
        </w:tabs>
        <w:kinsoku/>
        <w:wordWrap/>
        <w:overflowPunct/>
        <w:topLinePunct w:val="0"/>
        <w:autoSpaceDE/>
        <w:autoSpaceDN/>
        <w:bidi w:val="0"/>
        <w:adjustRightInd/>
        <w:snapToGrid/>
        <w:spacing w:line="520" w:lineRule="exact"/>
        <w:ind w:left="2" w:leftChars="1" w:firstLine="480" w:firstLineChars="200"/>
        <w:textAlignment w:val="auto"/>
        <w:rPr>
          <w:rFonts w:hint="eastAsia" w:hAnsi="宋体"/>
          <w:b/>
          <w:color w:val="auto"/>
          <w:sz w:val="24"/>
          <w:highlight w:val="none"/>
        </w:rPr>
      </w:pPr>
      <w:r>
        <w:rPr>
          <w:rFonts w:hint="eastAsia" w:hAnsi="宋体"/>
          <w:color w:val="auto"/>
          <w:sz w:val="24"/>
          <w:highlight w:val="none"/>
        </w:rPr>
        <w:t>根据贵方(</w:t>
      </w:r>
      <w:r>
        <w:rPr>
          <w:rFonts w:hint="eastAsia" w:hAnsi="宋体"/>
          <w:i/>
          <w:color w:val="auto"/>
          <w:sz w:val="24"/>
          <w:highlight w:val="none"/>
          <w:u w:val="single"/>
        </w:rPr>
        <w:t>项目名称</w:t>
      </w:r>
      <w:r>
        <w:rPr>
          <w:rFonts w:hint="eastAsia" w:hAnsi="宋体"/>
          <w:color w:val="auto"/>
          <w:sz w:val="24"/>
          <w:highlight w:val="none"/>
        </w:rPr>
        <w:t>)项目的投标邀请(</w:t>
      </w:r>
      <w:r>
        <w:rPr>
          <w:rFonts w:hint="eastAsia" w:hAnsi="宋体"/>
          <w:i/>
          <w:color w:val="auto"/>
          <w:sz w:val="24"/>
          <w:highlight w:val="none"/>
          <w:u w:val="single"/>
        </w:rPr>
        <w:t>项目编号</w:t>
      </w:r>
      <w:r>
        <w:rPr>
          <w:rFonts w:hint="eastAsia" w:hAnsi="宋体"/>
          <w:color w:val="auto"/>
          <w:sz w:val="24"/>
          <w:highlight w:val="none"/>
        </w:rPr>
        <w:t>),签字代表(</w:t>
      </w:r>
      <w:r>
        <w:rPr>
          <w:rFonts w:hint="eastAsia" w:hAnsi="宋体"/>
          <w:i/>
          <w:color w:val="auto"/>
          <w:sz w:val="24"/>
          <w:highlight w:val="none"/>
          <w:u w:val="single"/>
        </w:rPr>
        <w:t>姓名、职务</w:t>
      </w:r>
      <w:r>
        <w:rPr>
          <w:rFonts w:hint="eastAsia" w:hAnsi="宋体"/>
          <w:color w:val="auto"/>
          <w:sz w:val="24"/>
          <w:highlight w:val="none"/>
        </w:rPr>
        <w:t>)经正式授权并代表投标人（</w:t>
      </w:r>
      <w:r>
        <w:rPr>
          <w:rFonts w:hint="eastAsia" w:hAnsi="宋体"/>
          <w:i/>
          <w:color w:val="auto"/>
          <w:sz w:val="24"/>
          <w:highlight w:val="none"/>
          <w:u w:val="single"/>
        </w:rPr>
        <w:t>名称、地址</w:t>
      </w:r>
      <w:r>
        <w:rPr>
          <w:rFonts w:hint="eastAsia" w:hAnsi="宋体"/>
          <w:color w:val="auto"/>
          <w:sz w:val="24"/>
          <w:highlight w:val="none"/>
        </w:rPr>
        <w:t>）提交下述文件正本</w:t>
      </w:r>
      <w:r>
        <w:rPr>
          <w:rFonts w:hint="eastAsia" w:hAnsi="宋体"/>
          <w:color w:val="auto"/>
          <w:sz w:val="24"/>
          <w:highlight w:val="none"/>
          <w:u w:val="single"/>
        </w:rPr>
        <w:t>1</w:t>
      </w:r>
      <w:r>
        <w:rPr>
          <w:rFonts w:hint="eastAsia" w:hAnsi="宋体"/>
          <w:color w:val="auto"/>
          <w:sz w:val="24"/>
          <w:highlight w:val="none"/>
        </w:rPr>
        <w:t>份、副本</w:t>
      </w:r>
      <w:r>
        <w:rPr>
          <w:rFonts w:hint="eastAsia" w:hAnsi="宋体"/>
          <w:color w:val="auto"/>
          <w:sz w:val="24"/>
          <w:highlight w:val="none"/>
          <w:u w:val="single"/>
        </w:rPr>
        <w:t>4</w:t>
      </w:r>
      <w:r>
        <w:rPr>
          <w:rFonts w:hint="eastAsia" w:hAnsi="宋体"/>
          <w:color w:val="auto"/>
          <w:sz w:val="24"/>
          <w:highlight w:val="none"/>
        </w:rPr>
        <w:t>份及电子文档</w:t>
      </w:r>
      <w:r>
        <w:rPr>
          <w:rFonts w:hint="eastAsia" w:hAnsi="宋体"/>
          <w:color w:val="auto"/>
          <w:sz w:val="24"/>
          <w:highlight w:val="none"/>
          <w:u w:val="single"/>
        </w:rPr>
        <w:t>1</w:t>
      </w:r>
      <w:r>
        <w:rPr>
          <w:rFonts w:hint="eastAsia" w:hAnsi="宋体"/>
          <w:color w:val="auto"/>
          <w:sz w:val="24"/>
          <w:highlight w:val="none"/>
        </w:rPr>
        <w:t>份，并以</w:t>
      </w:r>
      <w:r>
        <w:rPr>
          <w:rFonts w:hint="eastAsia" w:hAnsi="宋体"/>
          <w:color w:val="auto"/>
          <w:sz w:val="24"/>
          <w:highlight w:val="none"/>
          <w:u w:val="single"/>
        </w:rPr>
        <w:t xml:space="preserve">         </w:t>
      </w:r>
      <w:r>
        <w:rPr>
          <w:rFonts w:hint="eastAsia" w:hAnsi="宋体"/>
          <w:color w:val="auto"/>
          <w:sz w:val="24"/>
          <w:highlight w:val="none"/>
        </w:rPr>
        <w:t>形式出具的金额为人民币</w:t>
      </w:r>
      <w:r>
        <w:rPr>
          <w:rFonts w:hint="eastAsia" w:hAnsi="宋体"/>
          <w:color w:val="auto"/>
          <w:sz w:val="24"/>
          <w:highlight w:val="none"/>
          <w:u w:val="single"/>
        </w:rPr>
        <w:t>/</w:t>
      </w:r>
      <w:r>
        <w:rPr>
          <w:rFonts w:hint="eastAsia" w:hAnsi="宋体"/>
          <w:color w:val="auto"/>
          <w:sz w:val="24"/>
          <w:highlight w:val="none"/>
        </w:rPr>
        <w:t>元的投标保证金。</w:t>
      </w:r>
    </w:p>
    <w:p w14:paraId="5ACFE22D">
      <w:pPr>
        <w:keepNext w:val="0"/>
        <w:keepLines w:val="0"/>
        <w:pageBreakBefore w:val="0"/>
        <w:tabs>
          <w:tab w:val="left" w:pos="5580"/>
        </w:tabs>
        <w:kinsoku/>
        <w:wordWrap/>
        <w:overflowPunct/>
        <w:topLinePunct w:val="0"/>
        <w:autoSpaceDE/>
        <w:autoSpaceDN/>
        <w:bidi w:val="0"/>
        <w:adjustRightInd/>
        <w:snapToGrid/>
        <w:spacing w:line="520" w:lineRule="exact"/>
        <w:ind w:left="1079" w:leftChars="257" w:hanging="540"/>
        <w:textAlignment w:val="auto"/>
        <w:rPr>
          <w:rFonts w:hint="eastAsia" w:ascii="宋体" w:hAnsi="宋体"/>
          <w:color w:val="auto"/>
          <w:sz w:val="24"/>
          <w:szCs w:val="20"/>
          <w:highlight w:val="none"/>
        </w:rPr>
      </w:pPr>
      <w:r>
        <w:rPr>
          <w:rFonts w:hint="eastAsia" w:ascii="宋体" w:hAnsi="宋体"/>
          <w:color w:val="auto"/>
          <w:sz w:val="24"/>
          <w:szCs w:val="20"/>
          <w:highlight w:val="none"/>
        </w:rPr>
        <w:t>据此，签字代表宣布同意如下：</w:t>
      </w:r>
    </w:p>
    <w:p w14:paraId="65463856">
      <w:pPr>
        <w:tabs>
          <w:tab w:val="left" w:pos="5580"/>
        </w:tabs>
        <w:spacing w:line="600" w:lineRule="exact"/>
        <w:ind w:left="1079" w:leftChars="257" w:hanging="540"/>
        <w:rPr>
          <w:rFonts w:hint="eastAsia" w:ascii="宋体" w:hAnsi="宋体"/>
          <w:color w:val="auto"/>
          <w:sz w:val="24"/>
          <w:szCs w:val="20"/>
          <w:highlight w:val="none"/>
        </w:rPr>
      </w:pPr>
      <w:r>
        <w:rPr>
          <w:rFonts w:hint="eastAsia" w:ascii="宋体" w:hAnsi="宋体"/>
          <w:color w:val="auto"/>
          <w:sz w:val="24"/>
          <w:szCs w:val="20"/>
          <w:highlight w:val="none"/>
        </w:rPr>
        <w:t>据此，签字代表宣布同意如下：</w:t>
      </w:r>
    </w:p>
    <w:p w14:paraId="6643E454">
      <w:pPr>
        <w:pStyle w:val="14"/>
        <w:keepNext w:val="0"/>
        <w:keepLines w:val="0"/>
        <w:pageBreakBefore w:val="0"/>
        <w:tabs>
          <w:tab w:val="left" w:pos="5580"/>
        </w:tabs>
        <w:kinsoku/>
        <w:wordWrap/>
        <w:overflowPunct/>
        <w:topLinePunct w:val="0"/>
        <w:autoSpaceDE/>
        <w:autoSpaceDN/>
        <w:bidi w:val="0"/>
        <w:adjustRightInd/>
        <w:snapToGrid/>
        <w:spacing w:line="520" w:lineRule="exact"/>
        <w:ind w:left="2" w:leftChars="1" w:firstLine="480" w:firstLineChars="200"/>
        <w:textAlignment w:val="auto"/>
        <w:rPr>
          <w:rFonts w:hint="eastAsia" w:hAnsi="宋体" w:cs="Times New Roman"/>
          <w:color w:val="auto"/>
          <w:sz w:val="24"/>
          <w:highlight w:val="none"/>
        </w:rPr>
      </w:pPr>
      <w:r>
        <w:rPr>
          <w:rFonts w:hint="eastAsia" w:hAnsi="宋体" w:cs="Times New Roman"/>
          <w:color w:val="auto"/>
          <w:sz w:val="24"/>
          <w:highlight w:val="none"/>
        </w:rPr>
        <w:t>（1）附投标价格表中规定的应提供服务的投标总价详见开标一览表。</w:t>
      </w:r>
    </w:p>
    <w:p w14:paraId="0CB1F88E">
      <w:pPr>
        <w:pStyle w:val="14"/>
        <w:keepNext w:val="0"/>
        <w:keepLines w:val="0"/>
        <w:pageBreakBefore w:val="0"/>
        <w:tabs>
          <w:tab w:val="left" w:pos="5580"/>
        </w:tabs>
        <w:kinsoku/>
        <w:wordWrap/>
        <w:overflowPunct/>
        <w:topLinePunct w:val="0"/>
        <w:autoSpaceDE/>
        <w:autoSpaceDN/>
        <w:bidi w:val="0"/>
        <w:adjustRightInd/>
        <w:snapToGrid/>
        <w:spacing w:line="520" w:lineRule="exact"/>
        <w:ind w:left="2" w:leftChars="1" w:firstLine="480" w:firstLineChars="200"/>
        <w:textAlignment w:val="auto"/>
        <w:rPr>
          <w:rFonts w:hint="eastAsia" w:hAnsi="宋体" w:cs="Times New Roman"/>
          <w:color w:val="auto"/>
          <w:sz w:val="24"/>
          <w:highlight w:val="none"/>
        </w:rPr>
      </w:pPr>
      <w:r>
        <w:rPr>
          <w:rFonts w:hint="eastAsia" w:hAnsi="宋体" w:cs="Times New Roman"/>
          <w:color w:val="auto"/>
          <w:sz w:val="24"/>
          <w:highlight w:val="none"/>
        </w:rPr>
        <w:t>（2）本投标有效期为自投标截止之日起</w:t>
      </w:r>
      <w:r>
        <w:rPr>
          <w:rFonts w:hint="eastAsia" w:hAnsi="宋体" w:cs="Times New Roman"/>
          <w:color w:val="auto"/>
          <w:sz w:val="24"/>
          <w:highlight w:val="none"/>
          <w:u w:val="single"/>
          <w:lang w:val="en-US" w:eastAsia="zh-CN"/>
        </w:rPr>
        <w:t xml:space="preserve">    </w:t>
      </w:r>
      <w:r>
        <w:rPr>
          <w:rFonts w:hint="eastAsia" w:hAnsi="宋体" w:cs="Times New Roman"/>
          <w:color w:val="auto"/>
          <w:sz w:val="24"/>
          <w:highlight w:val="none"/>
        </w:rPr>
        <w:t>个日历日。</w:t>
      </w:r>
    </w:p>
    <w:p w14:paraId="01A00D63">
      <w:pPr>
        <w:pStyle w:val="14"/>
        <w:keepNext w:val="0"/>
        <w:keepLines w:val="0"/>
        <w:pageBreakBefore w:val="0"/>
        <w:tabs>
          <w:tab w:val="left" w:pos="5580"/>
        </w:tabs>
        <w:kinsoku/>
        <w:wordWrap/>
        <w:overflowPunct/>
        <w:topLinePunct w:val="0"/>
        <w:autoSpaceDE/>
        <w:autoSpaceDN/>
        <w:bidi w:val="0"/>
        <w:adjustRightInd/>
        <w:snapToGrid/>
        <w:spacing w:line="520" w:lineRule="exact"/>
        <w:ind w:left="2" w:leftChars="1" w:firstLine="480" w:firstLineChars="200"/>
        <w:textAlignment w:val="auto"/>
        <w:rPr>
          <w:rFonts w:hint="eastAsia" w:hAnsi="宋体" w:cs="Times New Roman"/>
          <w:color w:val="auto"/>
          <w:sz w:val="24"/>
          <w:highlight w:val="none"/>
        </w:rPr>
      </w:pPr>
      <w:r>
        <w:rPr>
          <w:rFonts w:hint="eastAsia" w:hAnsi="宋体" w:cs="Times New Roman"/>
          <w:color w:val="auto"/>
          <w:sz w:val="24"/>
          <w:highlight w:val="none"/>
        </w:rPr>
        <w:t>（3）联合体中的大中型企业和其他自然人、法人或者其他组织，与联合体中的小型、微型企业之间 （存在、不存在）投资关系（如果联合体的话）。</w:t>
      </w:r>
    </w:p>
    <w:p w14:paraId="3E399014">
      <w:pPr>
        <w:pStyle w:val="14"/>
        <w:keepNext w:val="0"/>
        <w:keepLines w:val="0"/>
        <w:pageBreakBefore w:val="0"/>
        <w:tabs>
          <w:tab w:val="left" w:pos="5580"/>
        </w:tabs>
        <w:kinsoku/>
        <w:wordWrap/>
        <w:overflowPunct/>
        <w:topLinePunct w:val="0"/>
        <w:autoSpaceDE/>
        <w:autoSpaceDN/>
        <w:bidi w:val="0"/>
        <w:adjustRightInd/>
        <w:snapToGrid/>
        <w:spacing w:line="520" w:lineRule="exact"/>
        <w:ind w:left="2" w:leftChars="1" w:firstLine="480" w:firstLineChars="200"/>
        <w:textAlignment w:val="auto"/>
        <w:rPr>
          <w:rFonts w:hint="eastAsia" w:hAnsi="宋体" w:cs="Times New Roman"/>
          <w:color w:val="auto"/>
          <w:sz w:val="24"/>
          <w:highlight w:val="none"/>
        </w:rPr>
      </w:pPr>
      <w:r>
        <w:rPr>
          <w:rFonts w:hint="eastAsia" w:hAnsi="宋体" w:cs="Times New Roman"/>
          <w:color w:val="auto"/>
          <w:sz w:val="24"/>
          <w:highlight w:val="none"/>
        </w:rPr>
        <w:t>（4）已详细审查全部招标文件，包括所有补充通知（如果有的话），完全理解并同意放弃对这方面有不明、误解和质疑的权力。</w:t>
      </w:r>
    </w:p>
    <w:p w14:paraId="674DBAFB">
      <w:pPr>
        <w:pStyle w:val="14"/>
        <w:keepNext w:val="0"/>
        <w:keepLines w:val="0"/>
        <w:pageBreakBefore w:val="0"/>
        <w:tabs>
          <w:tab w:val="left" w:pos="5580"/>
        </w:tabs>
        <w:kinsoku/>
        <w:wordWrap/>
        <w:overflowPunct/>
        <w:topLinePunct w:val="0"/>
        <w:autoSpaceDE/>
        <w:autoSpaceDN/>
        <w:bidi w:val="0"/>
        <w:adjustRightInd/>
        <w:snapToGrid/>
        <w:spacing w:line="520" w:lineRule="exact"/>
        <w:ind w:left="2" w:leftChars="1" w:firstLine="480" w:firstLineChars="200"/>
        <w:textAlignment w:val="auto"/>
        <w:rPr>
          <w:rFonts w:hint="eastAsia" w:hAnsi="宋体" w:cs="Times New Roman"/>
          <w:color w:val="auto"/>
          <w:sz w:val="24"/>
          <w:highlight w:val="none"/>
        </w:rPr>
      </w:pPr>
      <w:r>
        <w:rPr>
          <w:rFonts w:hint="eastAsia" w:hAnsi="宋体" w:cs="Times New Roman"/>
          <w:color w:val="auto"/>
          <w:sz w:val="24"/>
          <w:highlight w:val="none"/>
        </w:rPr>
        <w:t>（5）我方不是为本项目提供整体设计、规范编制或者项目管理、监理、检测等服务的</w:t>
      </w:r>
      <w:r>
        <w:rPr>
          <w:rFonts w:hint="eastAsia" w:hAnsi="宋体" w:cs="Times New Roman"/>
          <w:color w:val="auto"/>
          <w:sz w:val="24"/>
          <w:highlight w:val="none"/>
          <w:lang w:eastAsia="zh-CN"/>
        </w:rPr>
        <w:t>投标人</w:t>
      </w:r>
      <w:r>
        <w:rPr>
          <w:rFonts w:hint="eastAsia" w:hAnsi="宋体" w:cs="Times New Roman"/>
          <w:color w:val="auto"/>
          <w:sz w:val="24"/>
          <w:highlight w:val="none"/>
        </w:rPr>
        <w:t>，我方不是采购代理机构的附属机构。</w:t>
      </w:r>
    </w:p>
    <w:p w14:paraId="1188DE8C">
      <w:pPr>
        <w:pStyle w:val="14"/>
        <w:keepNext w:val="0"/>
        <w:keepLines w:val="0"/>
        <w:pageBreakBefore w:val="0"/>
        <w:tabs>
          <w:tab w:val="left" w:pos="5580"/>
        </w:tabs>
        <w:kinsoku/>
        <w:wordWrap/>
        <w:overflowPunct/>
        <w:topLinePunct w:val="0"/>
        <w:autoSpaceDE/>
        <w:autoSpaceDN/>
        <w:bidi w:val="0"/>
        <w:adjustRightInd/>
        <w:snapToGrid/>
        <w:spacing w:line="520" w:lineRule="exact"/>
        <w:ind w:left="2" w:leftChars="1" w:firstLine="480" w:firstLineChars="200"/>
        <w:textAlignment w:val="auto"/>
        <w:rPr>
          <w:rFonts w:hint="eastAsia" w:hAnsi="宋体" w:cs="Times New Roman"/>
          <w:color w:val="auto"/>
          <w:sz w:val="24"/>
          <w:highlight w:val="none"/>
        </w:rPr>
      </w:pPr>
      <w:r>
        <w:rPr>
          <w:rFonts w:hint="eastAsia" w:hAnsi="宋体" w:cs="Times New Roman"/>
          <w:color w:val="auto"/>
          <w:sz w:val="24"/>
          <w:highlight w:val="none"/>
        </w:rPr>
        <w:t>（6）按照贵方可能要求，提供与其投标有关的一切数据或资料，完全理解贵方不一定接受最低价的投标或收到的任何投标。</w:t>
      </w:r>
    </w:p>
    <w:p w14:paraId="3D1510BA">
      <w:pPr>
        <w:pStyle w:val="14"/>
        <w:keepNext w:val="0"/>
        <w:keepLines w:val="0"/>
        <w:pageBreakBefore w:val="0"/>
        <w:tabs>
          <w:tab w:val="left" w:pos="5580"/>
        </w:tabs>
        <w:kinsoku/>
        <w:wordWrap/>
        <w:overflowPunct/>
        <w:topLinePunct w:val="0"/>
        <w:autoSpaceDE/>
        <w:autoSpaceDN/>
        <w:bidi w:val="0"/>
        <w:adjustRightInd/>
        <w:snapToGrid/>
        <w:spacing w:line="520" w:lineRule="exact"/>
        <w:ind w:left="2" w:leftChars="1" w:firstLine="480" w:firstLineChars="200"/>
        <w:textAlignment w:val="auto"/>
        <w:rPr>
          <w:rFonts w:hint="eastAsia" w:hAnsi="宋体" w:cs="Times New Roman"/>
          <w:color w:val="auto"/>
          <w:sz w:val="24"/>
          <w:highlight w:val="none"/>
        </w:rPr>
      </w:pPr>
      <w:r>
        <w:rPr>
          <w:rFonts w:hint="eastAsia" w:hAnsi="宋体" w:cs="Times New Roman"/>
          <w:color w:val="auto"/>
          <w:sz w:val="24"/>
          <w:highlight w:val="none"/>
        </w:rPr>
        <w:t>（7）在领取中标通知书的同时按招标文件规定的形式，向贵方一次性支付中标服务费。</w:t>
      </w:r>
    </w:p>
    <w:p w14:paraId="276ADF8F">
      <w:pPr>
        <w:pStyle w:val="14"/>
        <w:keepNext w:val="0"/>
        <w:keepLines w:val="0"/>
        <w:pageBreakBefore w:val="0"/>
        <w:tabs>
          <w:tab w:val="left" w:pos="5580"/>
        </w:tabs>
        <w:kinsoku/>
        <w:wordWrap/>
        <w:overflowPunct/>
        <w:topLinePunct w:val="0"/>
        <w:autoSpaceDE/>
        <w:autoSpaceDN/>
        <w:bidi w:val="0"/>
        <w:adjustRightInd/>
        <w:snapToGrid/>
        <w:spacing w:line="520" w:lineRule="exact"/>
        <w:ind w:left="2" w:leftChars="1" w:firstLine="480" w:firstLineChars="200"/>
        <w:textAlignment w:val="auto"/>
        <w:rPr>
          <w:rFonts w:hint="eastAsia" w:hAnsi="宋体" w:cs="Times New Roman"/>
          <w:color w:val="auto"/>
          <w:sz w:val="24"/>
          <w:highlight w:val="none"/>
        </w:rPr>
      </w:pPr>
      <w:r>
        <w:rPr>
          <w:rFonts w:hint="eastAsia" w:hAnsi="宋体" w:cs="Times New Roman"/>
          <w:color w:val="auto"/>
          <w:sz w:val="24"/>
          <w:highlight w:val="none"/>
        </w:rPr>
        <w:t>（</w:t>
      </w:r>
      <w:r>
        <w:rPr>
          <w:rFonts w:hint="eastAsia" w:hAnsi="宋体" w:cs="Times New Roman"/>
          <w:color w:val="auto"/>
          <w:sz w:val="24"/>
          <w:highlight w:val="none"/>
          <w:lang w:val="en-US" w:eastAsia="zh-CN"/>
        </w:rPr>
        <w:t>8</w:t>
      </w:r>
      <w:r>
        <w:rPr>
          <w:rFonts w:hint="eastAsia" w:hAnsi="宋体" w:cs="Times New Roman"/>
          <w:color w:val="auto"/>
          <w:sz w:val="24"/>
          <w:highlight w:val="none"/>
        </w:rPr>
        <w:t>）按照招标文件的规定履行合同责任和义务。</w:t>
      </w:r>
    </w:p>
    <w:p w14:paraId="261B18EE">
      <w:pPr>
        <w:keepNext w:val="0"/>
        <w:keepLines w:val="0"/>
        <w:pageBreakBefore w:val="0"/>
        <w:tabs>
          <w:tab w:val="left" w:pos="5580"/>
        </w:tabs>
        <w:kinsoku/>
        <w:wordWrap/>
        <w:overflowPunct/>
        <w:topLinePunct w:val="0"/>
        <w:autoSpaceDE/>
        <w:autoSpaceDN/>
        <w:bidi w:val="0"/>
        <w:adjustRightInd/>
        <w:snapToGrid/>
        <w:spacing w:line="520" w:lineRule="exact"/>
        <w:ind w:left="8" w:firstLine="410" w:firstLineChars="171"/>
        <w:textAlignment w:val="auto"/>
        <w:rPr>
          <w:rFonts w:hint="eastAsia" w:ascii="宋体" w:hAnsi="宋体"/>
          <w:color w:val="auto"/>
          <w:sz w:val="24"/>
          <w:szCs w:val="20"/>
          <w:highlight w:val="none"/>
        </w:rPr>
      </w:pPr>
      <w:r>
        <w:rPr>
          <w:rFonts w:hint="eastAsia" w:ascii="宋体" w:hAnsi="宋体"/>
          <w:color w:val="auto"/>
          <w:sz w:val="24"/>
          <w:szCs w:val="20"/>
          <w:highlight w:val="none"/>
        </w:rPr>
        <w:t xml:space="preserve">  与本投标有关的一切正式往来信函请寄：</w:t>
      </w:r>
    </w:p>
    <w:p w14:paraId="09DB72F9">
      <w:pPr>
        <w:keepNext w:val="0"/>
        <w:keepLines w:val="0"/>
        <w:pageBreakBefore w:val="0"/>
        <w:tabs>
          <w:tab w:val="left" w:pos="5580"/>
        </w:tabs>
        <w:kinsoku/>
        <w:wordWrap/>
        <w:overflowPunct/>
        <w:topLinePunct w:val="0"/>
        <w:autoSpaceDE/>
        <w:autoSpaceDN/>
        <w:bidi w:val="0"/>
        <w:adjustRightInd/>
        <w:snapToGrid/>
        <w:spacing w:line="520" w:lineRule="exact"/>
        <w:ind w:left="8" w:firstLine="410" w:firstLineChars="171"/>
        <w:textAlignment w:val="auto"/>
        <w:rPr>
          <w:rFonts w:hint="eastAsia" w:ascii="宋体" w:hAnsi="宋体"/>
          <w:color w:val="auto"/>
          <w:sz w:val="24"/>
          <w:szCs w:val="20"/>
          <w:highlight w:val="none"/>
        </w:rPr>
      </w:pPr>
      <w:r>
        <w:rPr>
          <w:rFonts w:hint="eastAsia" w:ascii="宋体" w:hAnsi="宋体"/>
          <w:color w:val="auto"/>
          <w:sz w:val="24"/>
          <w:szCs w:val="20"/>
          <w:highlight w:val="none"/>
        </w:rPr>
        <w:t>地址：</w:t>
      </w:r>
      <w:r>
        <w:rPr>
          <w:rFonts w:hint="eastAsia" w:ascii="宋体" w:hAnsi="宋体"/>
          <w:color w:val="auto"/>
          <w:sz w:val="24"/>
          <w:szCs w:val="20"/>
          <w:highlight w:val="none"/>
          <w:u w:val="single"/>
        </w:rPr>
        <w:t xml:space="preserve">                         </w:t>
      </w:r>
      <w:r>
        <w:rPr>
          <w:rFonts w:hint="eastAsia" w:ascii="宋体" w:hAnsi="宋体"/>
          <w:color w:val="auto"/>
          <w:sz w:val="24"/>
          <w:szCs w:val="20"/>
          <w:highlight w:val="none"/>
        </w:rPr>
        <w:t xml:space="preserve">     传真：</w:t>
      </w:r>
      <w:r>
        <w:rPr>
          <w:rFonts w:hint="eastAsia" w:ascii="宋体" w:hAnsi="宋体"/>
          <w:color w:val="auto"/>
          <w:sz w:val="24"/>
          <w:szCs w:val="20"/>
          <w:highlight w:val="none"/>
          <w:u w:val="single"/>
        </w:rPr>
        <w:t xml:space="preserve">                             </w:t>
      </w:r>
    </w:p>
    <w:p w14:paraId="63BB1462">
      <w:pPr>
        <w:keepNext w:val="0"/>
        <w:keepLines w:val="0"/>
        <w:pageBreakBefore w:val="0"/>
        <w:tabs>
          <w:tab w:val="left" w:pos="5580"/>
        </w:tabs>
        <w:kinsoku/>
        <w:wordWrap/>
        <w:overflowPunct/>
        <w:topLinePunct w:val="0"/>
        <w:autoSpaceDE/>
        <w:autoSpaceDN/>
        <w:bidi w:val="0"/>
        <w:adjustRightInd/>
        <w:snapToGrid/>
        <w:spacing w:line="520" w:lineRule="exact"/>
        <w:ind w:left="8" w:firstLine="410" w:firstLineChars="171"/>
        <w:textAlignment w:val="auto"/>
        <w:rPr>
          <w:rFonts w:hint="eastAsia" w:ascii="宋体" w:hAnsi="宋体"/>
          <w:b/>
          <w:color w:val="auto"/>
          <w:sz w:val="24"/>
          <w:szCs w:val="20"/>
          <w:highlight w:val="none"/>
        </w:rPr>
      </w:pPr>
      <w:r>
        <w:rPr>
          <w:rFonts w:hint="eastAsia" w:ascii="宋体" w:hAnsi="宋体"/>
          <w:color w:val="auto"/>
          <w:sz w:val="24"/>
          <w:szCs w:val="20"/>
          <w:highlight w:val="none"/>
        </w:rPr>
        <w:t>电话：</w:t>
      </w:r>
      <w:r>
        <w:rPr>
          <w:rFonts w:hint="eastAsia" w:ascii="宋体" w:hAnsi="宋体"/>
          <w:color w:val="auto"/>
          <w:sz w:val="24"/>
          <w:szCs w:val="20"/>
          <w:highlight w:val="none"/>
          <w:u w:val="single"/>
        </w:rPr>
        <w:t xml:space="preserve">                         </w:t>
      </w:r>
      <w:r>
        <w:rPr>
          <w:rFonts w:hint="eastAsia" w:ascii="宋体" w:hAnsi="宋体"/>
          <w:color w:val="auto"/>
          <w:sz w:val="24"/>
          <w:szCs w:val="20"/>
          <w:highlight w:val="none"/>
        </w:rPr>
        <w:t xml:space="preserve">     电子函件：</w:t>
      </w:r>
      <w:r>
        <w:rPr>
          <w:rFonts w:hint="eastAsia" w:ascii="宋体" w:hAnsi="宋体"/>
          <w:color w:val="auto"/>
          <w:sz w:val="24"/>
          <w:szCs w:val="20"/>
          <w:highlight w:val="none"/>
          <w:u w:val="single"/>
        </w:rPr>
        <w:t xml:space="preserve">                         </w:t>
      </w:r>
    </w:p>
    <w:p w14:paraId="4F10730F">
      <w:pPr>
        <w:keepNext w:val="0"/>
        <w:keepLines w:val="0"/>
        <w:pageBreakBefore w:val="0"/>
        <w:tabs>
          <w:tab w:val="left" w:pos="5580"/>
        </w:tabs>
        <w:kinsoku/>
        <w:wordWrap/>
        <w:overflowPunct/>
        <w:topLinePunct w:val="0"/>
        <w:autoSpaceDE/>
        <w:autoSpaceDN/>
        <w:bidi w:val="0"/>
        <w:adjustRightInd/>
        <w:snapToGrid/>
        <w:spacing w:line="520" w:lineRule="exact"/>
        <w:ind w:left="1079" w:leftChars="257" w:hanging="540"/>
        <w:textAlignment w:val="auto"/>
        <w:rPr>
          <w:rFonts w:hint="eastAsia" w:ascii="宋体" w:hAnsi="宋体"/>
          <w:color w:val="auto"/>
          <w:sz w:val="24"/>
          <w:szCs w:val="20"/>
          <w:highlight w:val="none"/>
        </w:rPr>
      </w:pPr>
    </w:p>
    <w:p w14:paraId="71BAD057">
      <w:pPr>
        <w:pStyle w:val="14"/>
        <w:keepNext w:val="0"/>
        <w:keepLines w:val="0"/>
        <w:pageBreakBefore w:val="0"/>
        <w:tabs>
          <w:tab w:val="left" w:pos="5580"/>
        </w:tabs>
        <w:kinsoku/>
        <w:wordWrap/>
        <w:overflowPunct/>
        <w:topLinePunct w:val="0"/>
        <w:autoSpaceDE/>
        <w:autoSpaceDN/>
        <w:bidi w:val="0"/>
        <w:adjustRightInd/>
        <w:snapToGrid/>
        <w:spacing w:line="520" w:lineRule="exact"/>
        <w:ind w:left="1079" w:leftChars="257" w:hanging="540"/>
        <w:textAlignment w:val="auto"/>
        <w:rPr>
          <w:rFonts w:hint="eastAsia" w:hAnsi="宋体"/>
          <w:color w:val="auto"/>
          <w:sz w:val="24"/>
          <w:highlight w:val="none"/>
        </w:rPr>
      </w:pPr>
      <w:r>
        <w:rPr>
          <w:rFonts w:hint="eastAsia" w:hAnsi="宋体"/>
          <w:color w:val="auto"/>
          <w:sz w:val="24"/>
          <w:highlight w:val="none"/>
        </w:rPr>
        <w:t>法定代表人</w:t>
      </w:r>
      <w:r>
        <w:rPr>
          <w:rFonts w:hAnsi="宋体"/>
          <w:color w:val="auto"/>
          <w:sz w:val="24"/>
          <w:highlight w:val="none"/>
        </w:rPr>
        <w:t>或其委托代理人</w:t>
      </w:r>
      <w:r>
        <w:rPr>
          <w:rFonts w:hint="eastAsia" w:hAnsi="宋体"/>
          <w:color w:val="auto"/>
          <w:sz w:val="24"/>
          <w:highlight w:val="none"/>
        </w:rPr>
        <w:t>签字：-----------------</w:t>
      </w:r>
    </w:p>
    <w:p w14:paraId="579D313B">
      <w:pPr>
        <w:pStyle w:val="14"/>
        <w:keepNext w:val="0"/>
        <w:keepLines w:val="0"/>
        <w:pageBreakBefore w:val="0"/>
        <w:tabs>
          <w:tab w:val="left" w:pos="5580"/>
        </w:tabs>
        <w:kinsoku/>
        <w:wordWrap/>
        <w:overflowPunct/>
        <w:topLinePunct w:val="0"/>
        <w:autoSpaceDE/>
        <w:autoSpaceDN/>
        <w:bidi w:val="0"/>
        <w:adjustRightInd/>
        <w:snapToGrid/>
        <w:spacing w:line="520" w:lineRule="exact"/>
        <w:ind w:left="1079" w:leftChars="257" w:hanging="540"/>
        <w:textAlignment w:val="auto"/>
        <w:rPr>
          <w:rFonts w:hint="eastAsia" w:hAnsi="宋体"/>
          <w:color w:val="auto"/>
          <w:sz w:val="24"/>
          <w:highlight w:val="none"/>
        </w:rPr>
      </w:pPr>
      <w:r>
        <w:rPr>
          <w:rFonts w:hint="eastAsia" w:hAnsi="宋体"/>
          <w:color w:val="auto"/>
          <w:sz w:val="24"/>
          <w:highlight w:val="none"/>
        </w:rPr>
        <w:t>投标人名称（全称）：-----------------</w:t>
      </w:r>
    </w:p>
    <w:p w14:paraId="48D58744">
      <w:pPr>
        <w:pStyle w:val="14"/>
        <w:keepNext w:val="0"/>
        <w:keepLines w:val="0"/>
        <w:pageBreakBefore w:val="0"/>
        <w:tabs>
          <w:tab w:val="left" w:pos="5580"/>
        </w:tabs>
        <w:kinsoku/>
        <w:wordWrap/>
        <w:overflowPunct/>
        <w:topLinePunct w:val="0"/>
        <w:autoSpaceDE/>
        <w:autoSpaceDN/>
        <w:bidi w:val="0"/>
        <w:adjustRightInd/>
        <w:snapToGrid/>
        <w:spacing w:line="520" w:lineRule="exact"/>
        <w:ind w:left="1079" w:leftChars="257" w:hanging="540"/>
        <w:textAlignment w:val="auto"/>
        <w:rPr>
          <w:rFonts w:hint="eastAsia" w:hAnsi="宋体"/>
          <w:color w:val="auto"/>
          <w:sz w:val="24"/>
          <w:highlight w:val="none"/>
        </w:rPr>
      </w:pPr>
      <w:r>
        <w:rPr>
          <w:rFonts w:hint="eastAsia" w:hAnsi="宋体"/>
          <w:color w:val="auto"/>
          <w:sz w:val="24"/>
          <w:highlight w:val="none"/>
        </w:rPr>
        <w:t xml:space="preserve">投标人开户银行（全称）：　　　　　　 </w:t>
      </w:r>
    </w:p>
    <w:p w14:paraId="5AA11C1B">
      <w:pPr>
        <w:pStyle w:val="14"/>
        <w:keepNext w:val="0"/>
        <w:keepLines w:val="0"/>
        <w:pageBreakBefore w:val="0"/>
        <w:tabs>
          <w:tab w:val="left" w:pos="5580"/>
        </w:tabs>
        <w:kinsoku/>
        <w:wordWrap/>
        <w:overflowPunct/>
        <w:topLinePunct w:val="0"/>
        <w:autoSpaceDE/>
        <w:autoSpaceDN/>
        <w:bidi w:val="0"/>
        <w:adjustRightInd/>
        <w:snapToGrid/>
        <w:spacing w:line="520" w:lineRule="exact"/>
        <w:ind w:left="1079" w:leftChars="257" w:hanging="540"/>
        <w:textAlignment w:val="auto"/>
        <w:rPr>
          <w:rFonts w:hint="eastAsia" w:hAnsi="宋体"/>
          <w:color w:val="auto"/>
          <w:sz w:val="24"/>
          <w:highlight w:val="none"/>
        </w:rPr>
      </w:pPr>
      <w:r>
        <w:rPr>
          <w:rFonts w:hint="eastAsia" w:hAnsi="宋体"/>
          <w:color w:val="auto"/>
          <w:sz w:val="24"/>
          <w:highlight w:val="none"/>
        </w:rPr>
        <w:t>投标人银行帐号：　　　　　　　　 　　</w:t>
      </w:r>
    </w:p>
    <w:p w14:paraId="6DD91E8B">
      <w:pPr>
        <w:pStyle w:val="14"/>
        <w:keepNext w:val="0"/>
        <w:keepLines w:val="0"/>
        <w:pageBreakBefore w:val="0"/>
        <w:tabs>
          <w:tab w:val="left" w:pos="5580"/>
        </w:tabs>
        <w:kinsoku/>
        <w:wordWrap/>
        <w:overflowPunct/>
        <w:topLinePunct w:val="0"/>
        <w:autoSpaceDE/>
        <w:autoSpaceDN/>
        <w:bidi w:val="0"/>
        <w:adjustRightInd/>
        <w:snapToGrid/>
        <w:spacing w:line="520" w:lineRule="exact"/>
        <w:ind w:left="1079" w:leftChars="257" w:hanging="540"/>
        <w:textAlignment w:val="auto"/>
        <w:rPr>
          <w:rFonts w:hint="eastAsia" w:hAnsi="宋体"/>
          <w:color w:val="auto"/>
          <w:sz w:val="24"/>
          <w:highlight w:val="none"/>
        </w:rPr>
      </w:pPr>
      <w:r>
        <w:rPr>
          <w:rFonts w:hint="eastAsia" w:hAnsi="宋体"/>
          <w:color w:val="auto"/>
          <w:sz w:val="24"/>
          <w:highlight w:val="none"/>
        </w:rPr>
        <w:t>投标人单位章：-------------------------</w:t>
      </w:r>
    </w:p>
    <w:p w14:paraId="03CE860E">
      <w:pPr>
        <w:pStyle w:val="14"/>
        <w:keepNext w:val="0"/>
        <w:keepLines w:val="0"/>
        <w:pageBreakBefore w:val="0"/>
        <w:tabs>
          <w:tab w:val="left" w:pos="5580"/>
        </w:tabs>
        <w:kinsoku/>
        <w:wordWrap/>
        <w:overflowPunct/>
        <w:topLinePunct w:val="0"/>
        <w:autoSpaceDE/>
        <w:autoSpaceDN/>
        <w:bidi w:val="0"/>
        <w:adjustRightInd/>
        <w:snapToGrid/>
        <w:spacing w:line="520" w:lineRule="exact"/>
        <w:ind w:left="1079" w:leftChars="257" w:hanging="540"/>
        <w:textAlignment w:val="auto"/>
        <w:rPr>
          <w:rFonts w:hAnsi="宋体"/>
          <w:color w:val="auto"/>
          <w:sz w:val="24"/>
          <w:highlight w:val="none"/>
        </w:rPr>
      </w:pPr>
      <w:r>
        <w:rPr>
          <w:rFonts w:hint="eastAsia" w:hAnsi="宋体"/>
          <w:color w:val="auto"/>
          <w:sz w:val="24"/>
          <w:highlight w:val="none"/>
        </w:rPr>
        <w:t>日期-：------------------------------</w:t>
      </w:r>
    </w:p>
    <w:p w14:paraId="6A3A1939">
      <w:pPr>
        <w:spacing w:line="600" w:lineRule="exact"/>
        <w:jc w:val="center"/>
        <w:rPr>
          <w:rFonts w:ascii="宋体" w:hAnsi="宋体"/>
          <w:b/>
          <w:color w:val="auto"/>
          <w:kern w:val="0"/>
          <w:sz w:val="24"/>
          <w:szCs w:val="20"/>
          <w:highlight w:val="none"/>
        </w:rPr>
        <w:sectPr>
          <w:pgSz w:w="11906" w:h="16838"/>
          <w:pgMar w:top="1440" w:right="1797" w:bottom="1440" w:left="1797" w:header="851" w:footer="992" w:gutter="0"/>
          <w:cols w:space="720" w:num="1"/>
          <w:docGrid w:type="linesAndChars" w:linePitch="312" w:charSpace="0"/>
        </w:sectPr>
      </w:pPr>
      <w:r>
        <w:rPr>
          <w:rFonts w:hint="eastAsia" w:hAnsi="宋体"/>
          <w:b w:val="0"/>
          <w:color w:val="auto"/>
          <w:sz w:val="30"/>
          <w:highlight w:val="none"/>
        </w:rPr>
        <w:br w:type="page"/>
      </w:r>
      <w:bookmarkStart w:id="375" w:name="_Hlt520356243"/>
      <w:bookmarkEnd w:id="375"/>
      <w:bookmarkStart w:id="376" w:name="_Hlt520355938"/>
      <w:bookmarkEnd w:id="376"/>
      <w:bookmarkStart w:id="377" w:name="_Toc216582815"/>
    </w:p>
    <w:p w14:paraId="7D50CE41">
      <w:pPr>
        <w:pStyle w:val="4"/>
        <w:spacing w:line="600" w:lineRule="exact"/>
        <w:rPr>
          <w:rFonts w:hint="default" w:eastAsia="宋体"/>
          <w:color w:val="auto"/>
          <w:highlight w:val="none"/>
          <w:lang w:val="en-US" w:eastAsia="zh-CN"/>
        </w:rPr>
      </w:pPr>
      <w:bookmarkStart w:id="378" w:name="_Toc518923118"/>
      <w:bookmarkStart w:id="379" w:name="_Toc46136865"/>
      <w:bookmarkStart w:id="380" w:name="_Toc9804"/>
      <w:r>
        <w:rPr>
          <w:rFonts w:hint="eastAsia" w:hAnsi="宋体"/>
          <w:color w:val="auto"/>
          <w:highlight w:val="none"/>
          <w:lang w:val="en-US" w:eastAsia="zh-CN"/>
        </w:rPr>
        <w:t>10</w:t>
      </w:r>
      <w:r>
        <w:rPr>
          <w:rFonts w:hint="eastAsia" w:hAnsi="宋体"/>
          <w:color w:val="auto"/>
          <w:highlight w:val="none"/>
        </w:rPr>
        <w:t>.</w:t>
      </w:r>
      <w:bookmarkEnd w:id="377"/>
      <w:bookmarkEnd w:id="378"/>
      <w:bookmarkEnd w:id="379"/>
      <w:r>
        <w:rPr>
          <w:rFonts w:hint="eastAsia"/>
          <w:color w:val="auto"/>
          <w:highlight w:val="none"/>
          <w:lang w:val="en-US" w:eastAsia="zh-CN"/>
        </w:rPr>
        <w:t>报价明细表</w:t>
      </w:r>
      <w:bookmarkEnd w:id="380"/>
    </w:p>
    <w:p w14:paraId="2533B9E6">
      <w:pPr>
        <w:keepNext w:val="0"/>
        <w:keepLines w:val="0"/>
        <w:pageBreakBefore w:val="0"/>
        <w:kinsoku/>
        <w:wordWrap/>
        <w:overflowPunct/>
        <w:topLinePunct w:val="0"/>
        <w:bidi w:val="0"/>
        <w:spacing w:line="480" w:lineRule="exact"/>
        <w:ind w:right="480"/>
        <w:jc w:val="center"/>
        <w:textAlignment w:val="auto"/>
        <w:rPr>
          <w:rFonts w:hint="default" w:ascii="宋体" w:hAnsi="宋体" w:eastAsia="宋体" w:cs="宋体"/>
          <w:b/>
          <w:color w:val="auto"/>
          <w:kern w:val="0"/>
          <w:sz w:val="24"/>
          <w:szCs w:val="24"/>
          <w:highlight w:val="none"/>
          <w:lang w:val="en-US" w:eastAsia="zh-CN"/>
        </w:rPr>
      </w:pPr>
      <w:r>
        <w:rPr>
          <w:rFonts w:hint="eastAsia" w:ascii="宋体" w:hAnsi="宋体" w:cs="宋体"/>
          <w:b/>
          <w:color w:val="auto"/>
          <w:kern w:val="0"/>
          <w:sz w:val="24"/>
          <w:szCs w:val="24"/>
          <w:highlight w:val="none"/>
          <w:lang w:val="en-US" w:eastAsia="zh-CN"/>
        </w:rPr>
        <w:t>报价明细表</w:t>
      </w:r>
    </w:p>
    <w:tbl>
      <w:tblPr>
        <w:tblStyle w:val="33"/>
        <w:tblW w:w="901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26"/>
        <w:gridCol w:w="4062"/>
        <w:gridCol w:w="1765"/>
        <w:gridCol w:w="1765"/>
      </w:tblGrid>
      <w:tr w14:paraId="34815B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426" w:type="dxa"/>
            <w:tcBorders>
              <w:top w:val="single" w:color="auto" w:sz="4" w:space="0"/>
              <w:left w:val="single" w:color="auto" w:sz="4" w:space="0"/>
              <w:bottom w:val="single" w:color="auto" w:sz="4" w:space="0"/>
              <w:right w:val="single" w:color="auto" w:sz="4" w:space="0"/>
            </w:tcBorders>
            <w:vAlign w:val="center"/>
          </w:tcPr>
          <w:p w14:paraId="7B115E20">
            <w:pPr>
              <w:keepNext w:val="0"/>
              <w:keepLines w:val="0"/>
              <w:pageBreakBefore w:val="0"/>
              <w:widowControl/>
              <w:kinsoku/>
              <w:wordWrap/>
              <w:overflowPunct/>
              <w:topLinePunct w:val="0"/>
              <w:bidi w:val="0"/>
              <w:spacing w:line="480" w:lineRule="exact"/>
              <w:jc w:val="center"/>
              <w:textAlignment w:val="auto"/>
              <w:rPr>
                <w:rFonts w:ascii="宋体" w:hAnsi="宋体" w:cs="宋体"/>
                <w:b/>
                <w:bCs/>
                <w:color w:val="auto"/>
                <w:kern w:val="0"/>
                <w:sz w:val="24"/>
                <w:szCs w:val="24"/>
                <w:highlight w:val="none"/>
              </w:rPr>
            </w:pPr>
            <w:r>
              <w:rPr>
                <w:rFonts w:ascii="宋体" w:hAnsi="宋体" w:cs="宋体"/>
                <w:b/>
                <w:bCs/>
                <w:color w:val="auto"/>
                <w:kern w:val="0"/>
                <w:sz w:val="24"/>
                <w:szCs w:val="24"/>
                <w:highlight w:val="none"/>
              </w:rPr>
              <w:t>序号</w:t>
            </w:r>
          </w:p>
        </w:tc>
        <w:tc>
          <w:tcPr>
            <w:tcW w:w="4062" w:type="dxa"/>
            <w:tcBorders>
              <w:top w:val="single" w:color="auto" w:sz="4" w:space="0"/>
              <w:left w:val="single" w:color="auto" w:sz="4" w:space="0"/>
              <w:bottom w:val="single" w:color="auto" w:sz="4" w:space="0"/>
              <w:right w:val="single" w:color="auto" w:sz="4" w:space="0"/>
            </w:tcBorders>
            <w:vAlign w:val="center"/>
          </w:tcPr>
          <w:p w14:paraId="568D2BA7">
            <w:pPr>
              <w:keepNext w:val="0"/>
              <w:keepLines w:val="0"/>
              <w:pageBreakBefore w:val="0"/>
              <w:widowControl/>
              <w:kinsoku/>
              <w:wordWrap/>
              <w:overflowPunct/>
              <w:topLinePunct w:val="0"/>
              <w:bidi w:val="0"/>
              <w:spacing w:line="480" w:lineRule="exact"/>
              <w:jc w:val="center"/>
              <w:textAlignment w:val="auto"/>
              <w:rPr>
                <w:rFonts w:ascii="宋体" w:hAnsi="宋体" w:cs="宋体"/>
                <w:b/>
                <w:bCs/>
                <w:color w:val="auto"/>
                <w:kern w:val="0"/>
                <w:sz w:val="24"/>
                <w:szCs w:val="24"/>
                <w:highlight w:val="none"/>
              </w:rPr>
            </w:pPr>
            <w:r>
              <w:rPr>
                <w:rFonts w:ascii="宋体" w:hAnsi="宋体" w:cs="宋体"/>
                <w:b/>
                <w:bCs/>
                <w:color w:val="auto"/>
                <w:kern w:val="0"/>
                <w:sz w:val="24"/>
                <w:szCs w:val="24"/>
                <w:highlight w:val="none"/>
              </w:rPr>
              <w:t>分类项目名称</w:t>
            </w:r>
          </w:p>
        </w:tc>
        <w:tc>
          <w:tcPr>
            <w:tcW w:w="1765" w:type="dxa"/>
            <w:tcBorders>
              <w:top w:val="single" w:color="auto" w:sz="4" w:space="0"/>
              <w:left w:val="single" w:color="auto" w:sz="4" w:space="0"/>
              <w:bottom w:val="single" w:color="auto" w:sz="4" w:space="0"/>
              <w:right w:val="single" w:color="auto" w:sz="4" w:space="0"/>
            </w:tcBorders>
            <w:vAlign w:val="center"/>
          </w:tcPr>
          <w:p w14:paraId="2087046D">
            <w:pPr>
              <w:keepNext w:val="0"/>
              <w:keepLines w:val="0"/>
              <w:pageBreakBefore w:val="0"/>
              <w:widowControl/>
              <w:kinsoku/>
              <w:wordWrap/>
              <w:overflowPunct/>
              <w:topLinePunct w:val="0"/>
              <w:bidi w:val="0"/>
              <w:spacing w:line="480" w:lineRule="exact"/>
              <w:jc w:val="center"/>
              <w:textAlignment w:val="auto"/>
              <w:rPr>
                <w:rFonts w:ascii="宋体" w:hAnsi="宋体" w:cs="宋体"/>
                <w:b/>
                <w:bCs/>
                <w:color w:val="auto"/>
                <w:kern w:val="0"/>
                <w:sz w:val="24"/>
                <w:szCs w:val="24"/>
                <w:highlight w:val="none"/>
              </w:rPr>
            </w:pPr>
            <w:r>
              <w:rPr>
                <w:rFonts w:ascii="宋体" w:hAnsi="宋体" w:cs="宋体"/>
                <w:b/>
                <w:bCs/>
                <w:color w:val="auto"/>
                <w:kern w:val="0"/>
                <w:sz w:val="24"/>
                <w:szCs w:val="24"/>
                <w:highlight w:val="none"/>
              </w:rPr>
              <w:t>金额</w:t>
            </w:r>
          </w:p>
        </w:tc>
        <w:tc>
          <w:tcPr>
            <w:tcW w:w="1765" w:type="dxa"/>
            <w:tcBorders>
              <w:top w:val="single" w:color="auto" w:sz="4" w:space="0"/>
              <w:left w:val="single" w:color="auto" w:sz="4" w:space="0"/>
              <w:bottom w:val="single" w:color="auto" w:sz="4" w:space="0"/>
              <w:right w:val="single" w:color="auto" w:sz="4" w:space="0"/>
            </w:tcBorders>
            <w:vAlign w:val="center"/>
          </w:tcPr>
          <w:p w14:paraId="31B40290">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lang w:val="en-US" w:eastAsia="zh-CN"/>
              </w:rPr>
              <w:t>备注</w:t>
            </w:r>
          </w:p>
        </w:tc>
      </w:tr>
      <w:tr w14:paraId="0E0F7D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426" w:type="dxa"/>
            <w:tcBorders>
              <w:top w:val="single" w:color="auto" w:sz="4" w:space="0"/>
              <w:left w:val="single" w:color="auto" w:sz="4" w:space="0"/>
              <w:bottom w:val="single" w:color="auto" w:sz="4" w:space="0"/>
              <w:right w:val="single" w:color="auto" w:sz="4" w:space="0"/>
            </w:tcBorders>
            <w:vAlign w:val="center"/>
          </w:tcPr>
          <w:p w14:paraId="29036EA4">
            <w:pPr>
              <w:keepNext w:val="0"/>
              <w:keepLines w:val="0"/>
              <w:pageBreakBefore w:val="0"/>
              <w:widowControl/>
              <w:kinsoku/>
              <w:wordWrap/>
              <w:overflowPunct/>
              <w:topLinePunct w:val="0"/>
              <w:bidi w:val="0"/>
              <w:spacing w:line="480" w:lineRule="exact"/>
              <w:jc w:val="center"/>
              <w:textAlignment w:val="auto"/>
              <w:rPr>
                <w:rFonts w:ascii="宋体" w:hAnsi="宋体" w:cs="宋体"/>
                <w:color w:val="auto"/>
                <w:kern w:val="0"/>
                <w:sz w:val="24"/>
                <w:szCs w:val="24"/>
                <w:highlight w:val="none"/>
              </w:rPr>
            </w:pPr>
            <w:r>
              <w:rPr>
                <w:rFonts w:ascii="宋体" w:hAnsi="宋体" w:cs="宋体"/>
                <w:color w:val="auto"/>
                <w:kern w:val="0"/>
                <w:sz w:val="24"/>
                <w:szCs w:val="24"/>
                <w:highlight w:val="none"/>
              </w:rPr>
              <w:t>1</w:t>
            </w:r>
          </w:p>
        </w:tc>
        <w:tc>
          <w:tcPr>
            <w:tcW w:w="4062" w:type="dxa"/>
            <w:tcBorders>
              <w:top w:val="single" w:color="auto" w:sz="4" w:space="0"/>
              <w:left w:val="single" w:color="auto" w:sz="4" w:space="0"/>
              <w:bottom w:val="single" w:color="auto" w:sz="4" w:space="0"/>
              <w:right w:val="single" w:color="auto" w:sz="4" w:space="0"/>
            </w:tcBorders>
            <w:shd w:val="clear" w:color="auto" w:fill="auto"/>
            <w:vAlign w:val="center"/>
          </w:tcPr>
          <w:p w14:paraId="119563BB">
            <w:pPr>
              <w:keepNext w:val="0"/>
              <w:keepLines w:val="0"/>
              <w:pageBreakBefore w:val="0"/>
              <w:widowControl/>
              <w:wordWrap/>
              <w:topLinePunct w:val="0"/>
              <w:autoSpaceDE/>
              <w:autoSpaceDN/>
              <w:bidi w:val="0"/>
              <w:adjustRightInd/>
              <w:spacing w:line="520" w:lineRule="exact"/>
              <w:jc w:val="center"/>
              <w:textAlignment w:val="center"/>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0"/>
                <w:sz w:val="24"/>
                <w:szCs w:val="24"/>
                <w:highlight w:val="none"/>
                <w:lang w:bidi="ar"/>
              </w:rPr>
              <w:t>人工费</w:t>
            </w:r>
          </w:p>
        </w:tc>
        <w:tc>
          <w:tcPr>
            <w:tcW w:w="1765" w:type="dxa"/>
            <w:tcBorders>
              <w:top w:val="single" w:color="auto" w:sz="4" w:space="0"/>
              <w:left w:val="single" w:color="auto" w:sz="4" w:space="0"/>
              <w:bottom w:val="single" w:color="auto" w:sz="4" w:space="0"/>
              <w:right w:val="single" w:color="auto" w:sz="4" w:space="0"/>
            </w:tcBorders>
            <w:vAlign w:val="center"/>
          </w:tcPr>
          <w:p w14:paraId="7BCF7BAA">
            <w:pPr>
              <w:keepNext w:val="0"/>
              <w:keepLines w:val="0"/>
              <w:pageBreakBefore w:val="0"/>
              <w:widowControl/>
              <w:kinsoku/>
              <w:wordWrap/>
              <w:overflowPunct/>
              <w:topLinePunct w:val="0"/>
              <w:bidi w:val="0"/>
              <w:spacing w:line="480" w:lineRule="exact"/>
              <w:jc w:val="center"/>
              <w:textAlignment w:val="auto"/>
              <w:rPr>
                <w:rFonts w:hint="default" w:ascii="宋体" w:hAnsi="宋体" w:eastAsia="宋体" w:cs="宋体"/>
                <w:color w:val="auto"/>
                <w:kern w:val="0"/>
                <w:sz w:val="24"/>
                <w:szCs w:val="24"/>
                <w:highlight w:val="none"/>
                <w:lang w:val="en-US" w:eastAsia="zh-CN" w:bidi="ar-SA"/>
              </w:rPr>
            </w:pPr>
          </w:p>
        </w:tc>
        <w:tc>
          <w:tcPr>
            <w:tcW w:w="1765" w:type="dxa"/>
            <w:tcBorders>
              <w:top w:val="single" w:color="auto" w:sz="4" w:space="0"/>
              <w:left w:val="single" w:color="auto" w:sz="4" w:space="0"/>
              <w:bottom w:val="single" w:color="auto" w:sz="4" w:space="0"/>
              <w:right w:val="single" w:color="auto" w:sz="4" w:space="0"/>
            </w:tcBorders>
            <w:vAlign w:val="center"/>
          </w:tcPr>
          <w:p w14:paraId="5F6BD574">
            <w:pPr>
              <w:keepNext w:val="0"/>
              <w:keepLines w:val="0"/>
              <w:pageBreakBefore w:val="0"/>
              <w:widowControl/>
              <w:kinsoku/>
              <w:wordWrap/>
              <w:overflowPunct/>
              <w:topLinePunct w:val="0"/>
              <w:bidi w:val="0"/>
              <w:spacing w:line="480" w:lineRule="exact"/>
              <w:jc w:val="center"/>
              <w:textAlignment w:val="auto"/>
              <w:rPr>
                <w:rFonts w:hint="default" w:ascii="宋体" w:hAnsi="宋体" w:eastAsia="宋体" w:cs="宋体"/>
                <w:color w:val="auto"/>
                <w:kern w:val="0"/>
                <w:sz w:val="24"/>
                <w:szCs w:val="24"/>
                <w:highlight w:val="none"/>
                <w:lang w:val="en-US" w:eastAsia="zh-CN" w:bidi="ar-SA"/>
              </w:rPr>
            </w:pPr>
          </w:p>
        </w:tc>
      </w:tr>
      <w:tr w14:paraId="555FAA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426" w:type="dxa"/>
            <w:tcBorders>
              <w:top w:val="single" w:color="auto" w:sz="4" w:space="0"/>
              <w:left w:val="single" w:color="auto" w:sz="4" w:space="0"/>
              <w:bottom w:val="single" w:color="auto" w:sz="4" w:space="0"/>
              <w:right w:val="single" w:color="auto" w:sz="4" w:space="0"/>
            </w:tcBorders>
            <w:vAlign w:val="center"/>
          </w:tcPr>
          <w:p w14:paraId="7CC4F05C">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w:t>
            </w:r>
          </w:p>
        </w:tc>
        <w:tc>
          <w:tcPr>
            <w:tcW w:w="4062" w:type="dxa"/>
            <w:tcBorders>
              <w:top w:val="single" w:color="auto" w:sz="4" w:space="0"/>
              <w:left w:val="single" w:color="auto" w:sz="4" w:space="0"/>
              <w:bottom w:val="single" w:color="auto" w:sz="4" w:space="0"/>
              <w:right w:val="single" w:color="auto" w:sz="4" w:space="0"/>
            </w:tcBorders>
            <w:shd w:val="clear" w:color="auto" w:fill="auto"/>
            <w:vAlign w:val="center"/>
          </w:tcPr>
          <w:p w14:paraId="5D2D3694">
            <w:pPr>
              <w:keepNext w:val="0"/>
              <w:keepLines w:val="0"/>
              <w:pageBreakBefore w:val="0"/>
              <w:widowControl/>
              <w:wordWrap/>
              <w:topLinePunct w:val="0"/>
              <w:autoSpaceDE/>
              <w:autoSpaceDN/>
              <w:bidi w:val="0"/>
              <w:adjustRightInd/>
              <w:spacing w:line="520" w:lineRule="exact"/>
              <w:jc w:val="center"/>
              <w:textAlignment w:val="center"/>
              <w:rPr>
                <w:rFonts w:hint="default"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0"/>
                <w:sz w:val="24"/>
                <w:szCs w:val="24"/>
                <w:highlight w:val="none"/>
                <w:lang w:bidi="ar"/>
              </w:rPr>
              <w:t>维修配件及保洁物料费</w:t>
            </w:r>
          </w:p>
        </w:tc>
        <w:tc>
          <w:tcPr>
            <w:tcW w:w="1765" w:type="dxa"/>
            <w:tcBorders>
              <w:top w:val="single" w:color="auto" w:sz="4" w:space="0"/>
              <w:left w:val="single" w:color="auto" w:sz="4" w:space="0"/>
              <w:bottom w:val="single" w:color="auto" w:sz="4" w:space="0"/>
              <w:right w:val="single" w:color="auto" w:sz="4" w:space="0"/>
            </w:tcBorders>
            <w:vAlign w:val="center"/>
          </w:tcPr>
          <w:p w14:paraId="1BE8DF92">
            <w:pPr>
              <w:keepNext w:val="0"/>
              <w:keepLines w:val="0"/>
              <w:pageBreakBefore w:val="0"/>
              <w:widowControl/>
              <w:kinsoku/>
              <w:wordWrap/>
              <w:overflowPunct/>
              <w:topLinePunct w:val="0"/>
              <w:bidi w:val="0"/>
              <w:spacing w:line="480" w:lineRule="exact"/>
              <w:jc w:val="center"/>
              <w:textAlignment w:val="auto"/>
              <w:rPr>
                <w:rFonts w:ascii="宋体" w:hAnsi="宋体" w:cs="宋体"/>
                <w:color w:val="auto"/>
                <w:kern w:val="0"/>
                <w:sz w:val="24"/>
                <w:szCs w:val="24"/>
                <w:highlight w:val="none"/>
              </w:rPr>
            </w:pPr>
          </w:p>
        </w:tc>
        <w:tc>
          <w:tcPr>
            <w:tcW w:w="1765" w:type="dxa"/>
            <w:tcBorders>
              <w:top w:val="single" w:color="auto" w:sz="4" w:space="0"/>
              <w:left w:val="single" w:color="auto" w:sz="4" w:space="0"/>
              <w:bottom w:val="single" w:color="auto" w:sz="4" w:space="0"/>
              <w:right w:val="single" w:color="auto" w:sz="4" w:space="0"/>
            </w:tcBorders>
            <w:vAlign w:val="center"/>
          </w:tcPr>
          <w:p w14:paraId="582CF22B">
            <w:pPr>
              <w:keepNext w:val="0"/>
              <w:keepLines w:val="0"/>
              <w:pageBreakBefore w:val="0"/>
              <w:widowControl/>
              <w:kinsoku/>
              <w:wordWrap/>
              <w:overflowPunct/>
              <w:topLinePunct w:val="0"/>
              <w:bidi w:val="0"/>
              <w:spacing w:line="480" w:lineRule="exact"/>
              <w:jc w:val="center"/>
              <w:textAlignment w:val="auto"/>
              <w:rPr>
                <w:rFonts w:ascii="宋体" w:hAnsi="宋体" w:cs="宋体"/>
                <w:color w:val="auto"/>
                <w:kern w:val="0"/>
                <w:sz w:val="24"/>
                <w:szCs w:val="24"/>
                <w:highlight w:val="none"/>
              </w:rPr>
            </w:pPr>
          </w:p>
        </w:tc>
      </w:tr>
      <w:tr w14:paraId="2798B9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426" w:type="dxa"/>
            <w:tcBorders>
              <w:top w:val="single" w:color="auto" w:sz="4" w:space="0"/>
              <w:left w:val="single" w:color="auto" w:sz="4" w:space="0"/>
              <w:bottom w:val="single" w:color="auto" w:sz="4" w:space="0"/>
              <w:right w:val="single" w:color="auto" w:sz="4" w:space="0"/>
            </w:tcBorders>
            <w:vAlign w:val="center"/>
          </w:tcPr>
          <w:p w14:paraId="132A256A">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3</w:t>
            </w:r>
          </w:p>
        </w:tc>
        <w:tc>
          <w:tcPr>
            <w:tcW w:w="4062" w:type="dxa"/>
            <w:tcBorders>
              <w:top w:val="single" w:color="auto" w:sz="4" w:space="0"/>
              <w:left w:val="single" w:color="auto" w:sz="4" w:space="0"/>
              <w:bottom w:val="single" w:color="auto" w:sz="4" w:space="0"/>
              <w:right w:val="single" w:color="auto" w:sz="4" w:space="0"/>
            </w:tcBorders>
            <w:shd w:val="clear" w:color="auto" w:fill="auto"/>
            <w:vAlign w:val="center"/>
          </w:tcPr>
          <w:p w14:paraId="545CAC2A">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0"/>
                <w:sz w:val="24"/>
                <w:szCs w:val="24"/>
                <w:highlight w:val="none"/>
                <w:lang w:bidi="ar"/>
              </w:rPr>
              <w:t>学生卫生工具</w:t>
            </w:r>
          </w:p>
        </w:tc>
        <w:tc>
          <w:tcPr>
            <w:tcW w:w="1765" w:type="dxa"/>
            <w:tcBorders>
              <w:top w:val="single" w:color="auto" w:sz="4" w:space="0"/>
              <w:left w:val="single" w:color="auto" w:sz="4" w:space="0"/>
              <w:bottom w:val="single" w:color="auto" w:sz="4" w:space="0"/>
              <w:right w:val="single" w:color="auto" w:sz="4" w:space="0"/>
            </w:tcBorders>
            <w:vAlign w:val="center"/>
          </w:tcPr>
          <w:p w14:paraId="5133A598">
            <w:pPr>
              <w:keepNext w:val="0"/>
              <w:keepLines w:val="0"/>
              <w:pageBreakBefore w:val="0"/>
              <w:widowControl/>
              <w:kinsoku/>
              <w:wordWrap/>
              <w:overflowPunct/>
              <w:topLinePunct w:val="0"/>
              <w:bidi w:val="0"/>
              <w:spacing w:line="480" w:lineRule="exact"/>
              <w:jc w:val="center"/>
              <w:textAlignment w:val="auto"/>
              <w:rPr>
                <w:rFonts w:ascii="宋体" w:hAnsi="宋体" w:eastAsia="宋体" w:cs="宋体"/>
                <w:color w:val="auto"/>
                <w:kern w:val="0"/>
                <w:sz w:val="24"/>
                <w:szCs w:val="24"/>
                <w:highlight w:val="none"/>
                <w:lang w:val="en-US" w:eastAsia="zh-CN" w:bidi="ar-SA"/>
              </w:rPr>
            </w:pPr>
          </w:p>
        </w:tc>
        <w:tc>
          <w:tcPr>
            <w:tcW w:w="1765" w:type="dxa"/>
            <w:tcBorders>
              <w:top w:val="single" w:color="auto" w:sz="4" w:space="0"/>
              <w:left w:val="single" w:color="auto" w:sz="4" w:space="0"/>
              <w:bottom w:val="single" w:color="auto" w:sz="4" w:space="0"/>
              <w:right w:val="single" w:color="auto" w:sz="4" w:space="0"/>
            </w:tcBorders>
            <w:vAlign w:val="center"/>
          </w:tcPr>
          <w:p w14:paraId="750264DA">
            <w:pPr>
              <w:keepNext w:val="0"/>
              <w:keepLines w:val="0"/>
              <w:pageBreakBefore w:val="0"/>
              <w:widowControl/>
              <w:kinsoku/>
              <w:wordWrap/>
              <w:overflowPunct/>
              <w:topLinePunct w:val="0"/>
              <w:bidi w:val="0"/>
              <w:spacing w:line="480" w:lineRule="exact"/>
              <w:jc w:val="center"/>
              <w:textAlignment w:val="auto"/>
              <w:rPr>
                <w:rFonts w:ascii="宋体" w:hAnsi="宋体" w:eastAsia="宋体" w:cs="宋体"/>
                <w:color w:val="auto"/>
                <w:kern w:val="0"/>
                <w:sz w:val="24"/>
                <w:szCs w:val="24"/>
                <w:highlight w:val="none"/>
                <w:lang w:val="en-US" w:eastAsia="zh-CN" w:bidi="ar-SA"/>
              </w:rPr>
            </w:pPr>
          </w:p>
        </w:tc>
      </w:tr>
      <w:tr w14:paraId="6C21DF6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426" w:type="dxa"/>
            <w:tcBorders>
              <w:top w:val="single" w:color="auto" w:sz="4" w:space="0"/>
              <w:left w:val="single" w:color="auto" w:sz="4" w:space="0"/>
              <w:bottom w:val="single" w:color="auto" w:sz="4" w:space="0"/>
              <w:right w:val="single" w:color="auto" w:sz="4" w:space="0"/>
            </w:tcBorders>
            <w:vAlign w:val="center"/>
          </w:tcPr>
          <w:p w14:paraId="2E13721E">
            <w:pPr>
              <w:keepNext w:val="0"/>
              <w:keepLines w:val="0"/>
              <w:pageBreakBefore w:val="0"/>
              <w:widowControl/>
              <w:kinsoku/>
              <w:wordWrap/>
              <w:overflowPunct/>
              <w:topLinePunct w:val="0"/>
              <w:bidi w:val="0"/>
              <w:spacing w:line="480" w:lineRule="exact"/>
              <w:jc w:val="center"/>
              <w:textAlignment w:val="auto"/>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4</w:t>
            </w:r>
          </w:p>
        </w:tc>
        <w:tc>
          <w:tcPr>
            <w:tcW w:w="4062" w:type="dxa"/>
            <w:tcBorders>
              <w:top w:val="single" w:color="auto" w:sz="4" w:space="0"/>
              <w:left w:val="single" w:color="auto" w:sz="4" w:space="0"/>
              <w:bottom w:val="single" w:color="auto" w:sz="4" w:space="0"/>
              <w:right w:val="single" w:color="auto" w:sz="4" w:space="0"/>
            </w:tcBorders>
            <w:shd w:val="clear" w:color="auto" w:fill="auto"/>
            <w:vAlign w:val="center"/>
          </w:tcPr>
          <w:p w14:paraId="1C537C24">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0"/>
                <w:sz w:val="24"/>
                <w:szCs w:val="24"/>
                <w:highlight w:val="none"/>
                <w:lang w:bidi="ar"/>
              </w:rPr>
              <w:t>电梯检修费</w:t>
            </w:r>
          </w:p>
        </w:tc>
        <w:tc>
          <w:tcPr>
            <w:tcW w:w="1765" w:type="dxa"/>
            <w:tcBorders>
              <w:top w:val="single" w:color="auto" w:sz="4" w:space="0"/>
              <w:left w:val="single" w:color="auto" w:sz="4" w:space="0"/>
              <w:bottom w:val="single" w:color="auto" w:sz="4" w:space="0"/>
              <w:right w:val="single" w:color="auto" w:sz="4" w:space="0"/>
            </w:tcBorders>
            <w:vAlign w:val="center"/>
          </w:tcPr>
          <w:p w14:paraId="4B14E41D">
            <w:pPr>
              <w:keepNext w:val="0"/>
              <w:keepLines w:val="0"/>
              <w:pageBreakBefore w:val="0"/>
              <w:widowControl/>
              <w:kinsoku/>
              <w:wordWrap/>
              <w:overflowPunct/>
              <w:topLinePunct w:val="0"/>
              <w:bidi w:val="0"/>
              <w:spacing w:line="480" w:lineRule="exact"/>
              <w:jc w:val="center"/>
              <w:textAlignment w:val="auto"/>
              <w:rPr>
                <w:rFonts w:ascii="宋体" w:hAnsi="宋体" w:eastAsia="宋体" w:cs="宋体"/>
                <w:color w:val="auto"/>
                <w:kern w:val="0"/>
                <w:sz w:val="24"/>
                <w:szCs w:val="24"/>
                <w:highlight w:val="none"/>
                <w:lang w:val="en-US" w:eastAsia="zh-CN" w:bidi="ar-SA"/>
              </w:rPr>
            </w:pPr>
          </w:p>
        </w:tc>
        <w:tc>
          <w:tcPr>
            <w:tcW w:w="1765" w:type="dxa"/>
            <w:tcBorders>
              <w:top w:val="single" w:color="auto" w:sz="4" w:space="0"/>
              <w:left w:val="single" w:color="auto" w:sz="4" w:space="0"/>
              <w:bottom w:val="single" w:color="auto" w:sz="4" w:space="0"/>
              <w:right w:val="single" w:color="auto" w:sz="4" w:space="0"/>
            </w:tcBorders>
            <w:vAlign w:val="center"/>
          </w:tcPr>
          <w:p w14:paraId="69B26CE9">
            <w:pPr>
              <w:keepNext w:val="0"/>
              <w:keepLines w:val="0"/>
              <w:pageBreakBefore w:val="0"/>
              <w:widowControl/>
              <w:kinsoku/>
              <w:wordWrap/>
              <w:overflowPunct/>
              <w:topLinePunct w:val="0"/>
              <w:bidi w:val="0"/>
              <w:spacing w:line="480" w:lineRule="exact"/>
              <w:jc w:val="center"/>
              <w:textAlignment w:val="auto"/>
              <w:rPr>
                <w:rFonts w:ascii="宋体" w:hAnsi="宋体" w:eastAsia="宋体" w:cs="宋体"/>
                <w:color w:val="auto"/>
                <w:kern w:val="0"/>
                <w:sz w:val="24"/>
                <w:szCs w:val="24"/>
                <w:highlight w:val="none"/>
                <w:lang w:val="en-US" w:eastAsia="zh-CN" w:bidi="ar-SA"/>
              </w:rPr>
            </w:pPr>
          </w:p>
        </w:tc>
      </w:tr>
      <w:tr w14:paraId="5C60A8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426" w:type="dxa"/>
            <w:tcBorders>
              <w:top w:val="single" w:color="auto" w:sz="4" w:space="0"/>
              <w:left w:val="single" w:color="auto" w:sz="4" w:space="0"/>
              <w:bottom w:val="single" w:color="auto" w:sz="4" w:space="0"/>
              <w:right w:val="single" w:color="auto" w:sz="4" w:space="0"/>
            </w:tcBorders>
            <w:vAlign w:val="center"/>
          </w:tcPr>
          <w:p w14:paraId="12D14BB3">
            <w:pPr>
              <w:keepNext w:val="0"/>
              <w:keepLines w:val="0"/>
              <w:pageBreakBefore w:val="0"/>
              <w:widowControl/>
              <w:kinsoku/>
              <w:wordWrap/>
              <w:overflowPunct/>
              <w:topLinePunct w:val="0"/>
              <w:bidi w:val="0"/>
              <w:spacing w:line="480" w:lineRule="exact"/>
              <w:jc w:val="center"/>
              <w:textAlignment w:val="auto"/>
              <w:rPr>
                <w:rFonts w:hint="default"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5</w:t>
            </w:r>
          </w:p>
        </w:tc>
        <w:tc>
          <w:tcPr>
            <w:tcW w:w="4062" w:type="dxa"/>
            <w:tcBorders>
              <w:top w:val="single" w:color="auto" w:sz="4" w:space="0"/>
              <w:left w:val="single" w:color="auto" w:sz="4" w:space="0"/>
              <w:bottom w:val="single" w:color="auto" w:sz="4" w:space="0"/>
              <w:right w:val="single" w:color="auto" w:sz="4" w:space="0"/>
            </w:tcBorders>
            <w:shd w:val="clear" w:color="auto" w:fill="auto"/>
            <w:vAlign w:val="center"/>
          </w:tcPr>
          <w:p w14:paraId="463BF183">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0"/>
                <w:sz w:val="24"/>
                <w:szCs w:val="24"/>
                <w:highlight w:val="none"/>
                <w:lang w:bidi="ar"/>
              </w:rPr>
              <w:t>管理费</w:t>
            </w:r>
          </w:p>
        </w:tc>
        <w:tc>
          <w:tcPr>
            <w:tcW w:w="1765" w:type="dxa"/>
            <w:tcBorders>
              <w:top w:val="single" w:color="auto" w:sz="4" w:space="0"/>
              <w:left w:val="single" w:color="auto" w:sz="4" w:space="0"/>
              <w:bottom w:val="single" w:color="auto" w:sz="4" w:space="0"/>
              <w:right w:val="single" w:color="auto" w:sz="4" w:space="0"/>
            </w:tcBorders>
            <w:vAlign w:val="center"/>
          </w:tcPr>
          <w:p w14:paraId="742C6FA3">
            <w:pPr>
              <w:keepNext w:val="0"/>
              <w:keepLines w:val="0"/>
              <w:pageBreakBefore w:val="0"/>
              <w:widowControl/>
              <w:kinsoku/>
              <w:wordWrap/>
              <w:overflowPunct/>
              <w:topLinePunct w:val="0"/>
              <w:bidi w:val="0"/>
              <w:spacing w:line="480" w:lineRule="exact"/>
              <w:jc w:val="center"/>
              <w:textAlignment w:val="auto"/>
              <w:rPr>
                <w:rFonts w:ascii="宋体" w:hAnsi="宋体" w:eastAsia="宋体" w:cs="宋体"/>
                <w:color w:val="auto"/>
                <w:kern w:val="0"/>
                <w:sz w:val="24"/>
                <w:szCs w:val="24"/>
                <w:highlight w:val="none"/>
                <w:lang w:val="en-US" w:eastAsia="zh-CN" w:bidi="ar-SA"/>
              </w:rPr>
            </w:pPr>
          </w:p>
        </w:tc>
        <w:tc>
          <w:tcPr>
            <w:tcW w:w="1765" w:type="dxa"/>
            <w:tcBorders>
              <w:top w:val="single" w:color="auto" w:sz="4" w:space="0"/>
              <w:left w:val="single" w:color="auto" w:sz="4" w:space="0"/>
              <w:bottom w:val="single" w:color="auto" w:sz="4" w:space="0"/>
              <w:right w:val="single" w:color="auto" w:sz="4" w:space="0"/>
            </w:tcBorders>
            <w:vAlign w:val="center"/>
          </w:tcPr>
          <w:p w14:paraId="4E6477C1">
            <w:pPr>
              <w:keepNext w:val="0"/>
              <w:keepLines w:val="0"/>
              <w:pageBreakBefore w:val="0"/>
              <w:widowControl/>
              <w:kinsoku/>
              <w:wordWrap/>
              <w:overflowPunct/>
              <w:topLinePunct w:val="0"/>
              <w:bidi w:val="0"/>
              <w:spacing w:line="480" w:lineRule="exact"/>
              <w:jc w:val="center"/>
              <w:textAlignment w:val="auto"/>
              <w:rPr>
                <w:rFonts w:ascii="宋体" w:hAnsi="宋体" w:eastAsia="宋体" w:cs="宋体"/>
                <w:color w:val="auto"/>
                <w:kern w:val="0"/>
                <w:sz w:val="24"/>
                <w:szCs w:val="24"/>
                <w:highlight w:val="none"/>
                <w:lang w:val="en-US" w:eastAsia="zh-CN" w:bidi="ar-SA"/>
              </w:rPr>
            </w:pPr>
          </w:p>
        </w:tc>
      </w:tr>
      <w:tr w14:paraId="4885BD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426" w:type="dxa"/>
            <w:tcBorders>
              <w:top w:val="single" w:color="auto" w:sz="4" w:space="0"/>
              <w:left w:val="single" w:color="auto" w:sz="4" w:space="0"/>
              <w:bottom w:val="single" w:color="auto" w:sz="4" w:space="0"/>
              <w:right w:val="single" w:color="auto" w:sz="4" w:space="0"/>
            </w:tcBorders>
            <w:vAlign w:val="center"/>
          </w:tcPr>
          <w:p w14:paraId="638B0ED5">
            <w:pPr>
              <w:keepNext w:val="0"/>
              <w:keepLines w:val="0"/>
              <w:pageBreakBefore w:val="0"/>
              <w:widowControl/>
              <w:kinsoku/>
              <w:wordWrap/>
              <w:overflowPunct/>
              <w:topLinePunct w:val="0"/>
              <w:bidi w:val="0"/>
              <w:spacing w:line="480" w:lineRule="exact"/>
              <w:jc w:val="center"/>
              <w:textAlignment w:val="auto"/>
              <w:rPr>
                <w:rFonts w:hint="default"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6</w:t>
            </w:r>
          </w:p>
        </w:tc>
        <w:tc>
          <w:tcPr>
            <w:tcW w:w="4062" w:type="dxa"/>
            <w:tcBorders>
              <w:top w:val="single" w:color="auto" w:sz="4" w:space="0"/>
              <w:left w:val="single" w:color="auto" w:sz="4" w:space="0"/>
              <w:bottom w:val="single" w:color="auto" w:sz="4" w:space="0"/>
              <w:right w:val="single" w:color="auto" w:sz="4" w:space="0"/>
            </w:tcBorders>
            <w:shd w:val="clear" w:color="auto" w:fill="auto"/>
            <w:vAlign w:val="center"/>
          </w:tcPr>
          <w:p w14:paraId="6EE8759C">
            <w:pPr>
              <w:keepNext w:val="0"/>
              <w:keepLines w:val="0"/>
              <w:pageBreakBefore w:val="0"/>
              <w:widowControl/>
              <w:wordWrap/>
              <w:topLinePunct w:val="0"/>
              <w:autoSpaceDE/>
              <w:autoSpaceDN/>
              <w:bidi w:val="0"/>
              <w:adjustRightInd/>
              <w:spacing w:line="520" w:lineRule="exact"/>
              <w:jc w:val="center"/>
              <w:textAlignment w:val="center"/>
              <w:rPr>
                <w:rFonts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0"/>
                <w:sz w:val="24"/>
                <w:szCs w:val="24"/>
                <w:highlight w:val="none"/>
                <w:lang w:bidi="ar"/>
              </w:rPr>
              <w:t>税金</w:t>
            </w:r>
          </w:p>
        </w:tc>
        <w:tc>
          <w:tcPr>
            <w:tcW w:w="1765" w:type="dxa"/>
            <w:tcBorders>
              <w:top w:val="single" w:color="auto" w:sz="4" w:space="0"/>
              <w:left w:val="single" w:color="auto" w:sz="4" w:space="0"/>
              <w:bottom w:val="single" w:color="auto" w:sz="4" w:space="0"/>
              <w:right w:val="single" w:color="auto" w:sz="4" w:space="0"/>
            </w:tcBorders>
            <w:vAlign w:val="center"/>
          </w:tcPr>
          <w:p w14:paraId="2FD5E503">
            <w:pPr>
              <w:keepNext w:val="0"/>
              <w:keepLines w:val="0"/>
              <w:pageBreakBefore w:val="0"/>
              <w:widowControl/>
              <w:kinsoku/>
              <w:wordWrap/>
              <w:overflowPunct/>
              <w:topLinePunct w:val="0"/>
              <w:bidi w:val="0"/>
              <w:spacing w:line="480" w:lineRule="exact"/>
              <w:jc w:val="center"/>
              <w:textAlignment w:val="auto"/>
              <w:rPr>
                <w:rFonts w:ascii="宋体" w:hAnsi="宋体" w:eastAsia="宋体" w:cs="宋体"/>
                <w:color w:val="auto"/>
                <w:kern w:val="0"/>
                <w:sz w:val="24"/>
                <w:szCs w:val="24"/>
                <w:highlight w:val="none"/>
                <w:lang w:val="en-US" w:eastAsia="zh-CN" w:bidi="ar-SA"/>
              </w:rPr>
            </w:pPr>
          </w:p>
        </w:tc>
        <w:tc>
          <w:tcPr>
            <w:tcW w:w="1765" w:type="dxa"/>
            <w:tcBorders>
              <w:top w:val="single" w:color="auto" w:sz="4" w:space="0"/>
              <w:left w:val="single" w:color="auto" w:sz="4" w:space="0"/>
              <w:bottom w:val="single" w:color="auto" w:sz="4" w:space="0"/>
              <w:right w:val="single" w:color="auto" w:sz="4" w:space="0"/>
            </w:tcBorders>
            <w:vAlign w:val="center"/>
          </w:tcPr>
          <w:p w14:paraId="77CD07DE">
            <w:pPr>
              <w:keepNext w:val="0"/>
              <w:keepLines w:val="0"/>
              <w:pageBreakBefore w:val="0"/>
              <w:widowControl/>
              <w:kinsoku/>
              <w:wordWrap/>
              <w:overflowPunct/>
              <w:topLinePunct w:val="0"/>
              <w:bidi w:val="0"/>
              <w:spacing w:line="480" w:lineRule="exact"/>
              <w:jc w:val="center"/>
              <w:textAlignment w:val="auto"/>
              <w:rPr>
                <w:rFonts w:ascii="宋体" w:hAnsi="宋体" w:eastAsia="宋体" w:cs="宋体"/>
                <w:color w:val="auto"/>
                <w:kern w:val="0"/>
                <w:sz w:val="24"/>
                <w:szCs w:val="24"/>
                <w:highlight w:val="none"/>
                <w:lang w:val="en-US" w:eastAsia="zh-CN" w:bidi="ar-SA"/>
              </w:rPr>
            </w:pPr>
          </w:p>
        </w:tc>
      </w:tr>
      <w:tr w14:paraId="760D83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1426" w:type="dxa"/>
            <w:tcBorders>
              <w:top w:val="single" w:color="auto" w:sz="4" w:space="0"/>
              <w:left w:val="single" w:color="auto" w:sz="4" w:space="0"/>
              <w:bottom w:val="single" w:color="auto" w:sz="4" w:space="0"/>
              <w:right w:val="single" w:color="auto" w:sz="4" w:space="0"/>
            </w:tcBorders>
            <w:vAlign w:val="center"/>
          </w:tcPr>
          <w:p w14:paraId="3CEA8DDD">
            <w:pPr>
              <w:keepNext w:val="0"/>
              <w:keepLines w:val="0"/>
              <w:pageBreakBefore w:val="0"/>
              <w:widowControl/>
              <w:kinsoku/>
              <w:wordWrap/>
              <w:overflowPunct/>
              <w:topLinePunct w:val="0"/>
              <w:bidi w:val="0"/>
              <w:spacing w:line="480" w:lineRule="exact"/>
              <w:jc w:val="left"/>
              <w:textAlignment w:val="auto"/>
              <w:rPr>
                <w:rFonts w:ascii="宋体" w:hAnsi="宋体" w:cs="宋体"/>
                <w:color w:val="auto"/>
                <w:kern w:val="0"/>
                <w:sz w:val="24"/>
                <w:szCs w:val="24"/>
                <w:highlight w:val="none"/>
              </w:rPr>
            </w:pPr>
            <w:r>
              <w:rPr>
                <w:rFonts w:ascii="宋体" w:hAnsi="宋体" w:cs="宋体"/>
                <w:color w:val="auto"/>
                <w:kern w:val="0"/>
                <w:sz w:val="24"/>
                <w:szCs w:val="24"/>
                <w:highlight w:val="none"/>
              </w:rPr>
              <w:t>服务总费用</w:t>
            </w:r>
          </w:p>
        </w:tc>
        <w:tc>
          <w:tcPr>
            <w:tcW w:w="7592" w:type="dxa"/>
            <w:gridSpan w:val="3"/>
            <w:tcBorders>
              <w:top w:val="single" w:color="auto" w:sz="4" w:space="0"/>
              <w:left w:val="single" w:color="auto" w:sz="4" w:space="0"/>
              <w:bottom w:val="single" w:color="auto" w:sz="4" w:space="0"/>
            </w:tcBorders>
            <w:vAlign w:val="center"/>
          </w:tcPr>
          <w:p w14:paraId="7EC0DF6C">
            <w:pPr>
              <w:keepNext w:val="0"/>
              <w:keepLines w:val="0"/>
              <w:pageBreakBefore w:val="0"/>
              <w:widowControl/>
              <w:kinsoku/>
              <w:wordWrap/>
              <w:overflowPunct/>
              <w:topLinePunct w:val="0"/>
              <w:bidi w:val="0"/>
              <w:spacing w:line="480" w:lineRule="exact"/>
              <w:jc w:val="left"/>
              <w:textAlignment w:val="auto"/>
              <w:rPr>
                <w:rFonts w:ascii="宋体" w:hAnsi="宋体" w:cs="宋体"/>
                <w:color w:val="auto"/>
                <w:kern w:val="0"/>
                <w:sz w:val="24"/>
                <w:szCs w:val="24"/>
                <w:highlight w:val="none"/>
              </w:rPr>
            </w:pPr>
            <w:r>
              <w:rPr>
                <w:rFonts w:ascii="宋体" w:hAnsi="宋体" w:cs="宋体"/>
                <w:color w:val="auto"/>
                <w:kern w:val="0"/>
                <w:sz w:val="24"/>
                <w:szCs w:val="24"/>
                <w:highlight w:val="none"/>
              </w:rPr>
              <w:t>小写：</w:t>
            </w:r>
          </w:p>
          <w:p w14:paraId="00797440">
            <w:pPr>
              <w:keepNext w:val="0"/>
              <w:keepLines w:val="0"/>
              <w:pageBreakBefore w:val="0"/>
              <w:widowControl/>
              <w:kinsoku/>
              <w:wordWrap/>
              <w:overflowPunct/>
              <w:topLinePunct w:val="0"/>
              <w:bidi w:val="0"/>
              <w:spacing w:line="480" w:lineRule="exact"/>
              <w:jc w:val="left"/>
              <w:textAlignment w:val="auto"/>
              <w:rPr>
                <w:rFonts w:ascii="宋体" w:hAnsi="宋体"/>
                <w:color w:val="auto"/>
                <w:kern w:val="0"/>
                <w:sz w:val="24"/>
                <w:szCs w:val="24"/>
                <w:highlight w:val="none"/>
              </w:rPr>
            </w:pPr>
            <w:r>
              <w:rPr>
                <w:rFonts w:ascii="宋体" w:hAnsi="宋体" w:cs="宋体"/>
                <w:color w:val="auto"/>
                <w:kern w:val="0"/>
                <w:sz w:val="24"/>
                <w:szCs w:val="24"/>
                <w:highlight w:val="none"/>
              </w:rPr>
              <w:t>大写：</w:t>
            </w:r>
          </w:p>
        </w:tc>
      </w:tr>
    </w:tbl>
    <w:p w14:paraId="1177595E">
      <w:pPr>
        <w:keepNext w:val="0"/>
        <w:keepLines w:val="0"/>
        <w:pageBreakBefore w:val="0"/>
        <w:widowControl/>
        <w:kinsoku/>
        <w:wordWrap/>
        <w:overflowPunct/>
        <w:topLinePunct w:val="0"/>
        <w:bidi w:val="0"/>
        <w:spacing w:line="480" w:lineRule="exact"/>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“工资标准”不得低于服务地最低工资标准，否则将视为无效报价。</w:t>
      </w:r>
    </w:p>
    <w:p w14:paraId="4A408B4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、如有特殊情况，须在本表“备注”栏注明。</w:t>
      </w:r>
    </w:p>
    <w:p w14:paraId="0A6C42DE">
      <w:pPr>
        <w:pStyle w:val="7"/>
        <w:rPr>
          <w:rFonts w:hint="default"/>
          <w:color w:val="auto"/>
          <w:highlight w:val="none"/>
          <w:lang w:val="en-US" w:eastAsia="zh-CN"/>
        </w:rPr>
      </w:pPr>
    </w:p>
    <w:p w14:paraId="3978CC42">
      <w:pPr>
        <w:spacing w:line="440" w:lineRule="exact"/>
        <w:jc w:val="both"/>
        <w:rPr>
          <w:rFonts w:hint="eastAsia" w:ascii="宋体" w:hAnsi="宋体"/>
          <w:color w:val="auto"/>
          <w:sz w:val="24"/>
          <w:highlight w:val="none"/>
        </w:rPr>
      </w:pPr>
    </w:p>
    <w:p w14:paraId="32854692">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r>
        <w:rPr>
          <w:rFonts w:hint="eastAsia" w:hAnsi="宋体"/>
          <w:color w:val="auto"/>
          <w:sz w:val="24"/>
          <w:szCs w:val="24"/>
          <w:highlight w:val="none"/>
        </w:rPr>
        <w:t>投标人名称</w:t>
      </w:r>
      <w:r>
        <w:rPr>
          <w:rFonts w:hAnsi="宋体"/>
          <w:color w:val="auto"/>
          <w:sz w:val="24"/>
          <w:szCs w:val="24"/>
          <w:highlight w:val="none"/>
        </w:rPr>
        <w:t>(</w:t>
      </w:r>
      <w:r>
        <w:rPr>
          <w:rFonts w:hint="eastAsia" w:hAnsi="宋体"/>
          <w:color w:val="auto"/>
          <w:sz w:val="24"/>
          <w:szCs w:val="24"/>
          <w:highlight w:val="none"/>
        </w:rPr>
        <w:t>公章</w:t>
      </w:r>
      <w:r>
        <w:rPr>
          <w:rFonts w:hAnsi="宋体"/>
          <w:color w:val="auto"/>
          <w:sz w:val="24"/>
          <w:szCs w:val="24"/>
          <w:highlight w:val="none"/>
        </w:rPr>
        <w:t>)</w:t>
      </w:r>
      <w:r>
        <w:rPr>
          <w:rFonts w:hint="eastAsia" w:hAnsi="宋体"/>
          <w:color w:val="auto"/>
          <w:sz w:val="24"/>
          <w:szCs w:val="24"/>
          <w:highlight w:val="none"/>
        </w:rPr>
        <w:t>：</w:t>
      </w:r>
      <w:r>
        <w:rPr>
          <w:rFonts w:hAnsi="宋体"/>
          <w:color w:val="auto"/>
          <w:sz w:val="24"/>
          <w:szCs w:val="24"/>
          <w:highlight w:val="none"/>
        </w:rPr>
        <w:t>______________</w:t>
      </w:r>
    </w:p>
    <w:p w14:paraId="6E80075A">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r>
        <w:rPr>
          <w:rFonts w:hint="eastAsia" w:hAnsi="宋体"/>
          <w:color w:val="auto"/>
          <w:sz w:val="24"/>
          <w:szCs w:val="24"/>
          <w:highlight w:val="none"/>
        </w:rPr>
        <w:t>法定代表人或负责人或其授权代表</w:t>
      </w:r>
      <w:r>
        <w:rPr>
          <w:rFonts w:hAnsi="宋体"/>
          <w:color w:val="auto"/>
          <w:sz w:val="24"/>
          <w:szCs w:val="24"/>
          <w:highlight w:val="none"/>
        </w:rPr>
        <w:t>(</w:t>
      </w:r>
      <w:r>
        <w:rPr>
          <w:rFonts w:hint="eastAsia" w:hAnsi="宋体"/>
          <w:color w:val="auto"/>
          <w:sz w:val="24"/>
          <w:szCs w:val="24"/>
          <w:highlight w:val="none"/>
        </w:rPr>
        <w:t>签字或盖章</w:t>
      </w:r>
      <w:r>
        <w:rPr>
          <w:rFonts w:hAnsi="宋体"/>
          <w:color w:val="auto"/>
          <w:sz w:val="24"/>
          <w:szCs w:val="24"/>
          <w:highlight w:val="none"/>
        </w:rPr>
        <w:t>)</w:t>
      </w:r>
      <w:r>
        <w:rPr>
          <w:rFonts w:hint="eastAsia" w:hAnsi="宋体"/>
          <w:color w:val="auto"/>
          <w:sz w:val="24"/>
          <w:szCs w:val="24"/>
          <w:highlight w:val="none"/>
        </w:rPr>
        <w:t>：</w:t>
      </w:r>
      <w:r>
        <w:rPr>
          <w:rFonts w:hAnsi="宋体"/>
          <w:color w:val="auto"/>
          <w:sz w:val="24"/>
          <w:szCs w:val="24"/>
          <w:highlight w:val="none"/>
        </w:rPr>
        <w:t>______________</w:t>
      </w:r>
    </w:p>
    <w:p w14:paraId="7B1DE548">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r>
        <w:rPr>
          <w:rFonts w:hint="eastAsia" w:hAnsi="宋体"/>
          <w:color w:val="auto"/>
          <w:sz w:val="24"/>
          <w:szCs w:val="24"/>
          <w:highlight w:val="none"/>
        </w:rPr>
        <w:t>日期：</w:t>
      </w:r>
      <w:r>
        <w:rPr>
          <w:rFonts w:hAnsi="宋体"/>
          <w:color w:val="auto"/>
          <w:sz w:val="24"/>
          <w:szCs w:val="24"/>
          <w:highlight w:val="none"/>
        </w:rPr>
        <w:t>______</w:t>
      </w:r>
      <w:r>
        <w:rPr>
          <w:rFonts w:hint="eastAsia" w:hAnsi="宋体"/>
          <w:color w:val="auto"/>
          <w:sz w:val="24"/>
          <w:szCs w:val="24"/>
          <w:highlight w:val="none"/>
        </w:rPr>
        <w:t>年</w:t>
      </w:r>
      <w:r>
        <w:rPr>
          <w:rFonts w:hAnsi="宋体"/>
          <w:color w:val="auto"/>
          <w:sz w:val="24"/>
          <w:szCs w:val="24"/>
          <w:highlight w:val="none"/>
        </w:rPr>
        <w:t>____</w:t>
      </w:r>
      <w:r>
        <w:rPr>
          <w:rFonts w:hint="eastAsia" w:hAnsi="宋体"/>
          <w:color w:val="auto"/>
          <w:sz w:val="24"/>
          <w:szCs w:val="24"/>
          <w:highlight w:val="none"/>
        </w:rPr>
        <w:t>月</w:t>
      </w:r>
      <w:r>
        <w:rPr>
          <w:rFonts w:hAnsi="宋体"/>
          <w:color w:val="auto"/>
          <w:sz w:val="24"/>
          <w:szCs w:val="24"/>
          <w:highlight w:val="none"/>
        </w:rPr>
        <w:t>____</w:t>
      </w:r>
      <w:r>
        <w:rPr>
          <w:rFonts w:hint="eastAsia" w:hAnsi="宋体"/>
          <w:color w:val="auto"/>
          <w:sz w:val="24"/>
          <w:szCs w:val="24"/>
          <w:highlight w:val="none"/>
        </w:rPr>
        <w:t>日</w:t>
      </w:r>
    </w:p>
    <w:p w14:paraId="54A7A0E3">
      <w:pPr>
        <w:rPr>
          <w:rFonts w:hint="eastAsia" w:ascii="宋体" w:hAnsi="宋体" w:eastAsia="宋体" w:cs="宋体"/>
          <w:color w:val="auto"/>
          <w:highlight w:val="none"/>
          <w:u w:val="none"/>
        </w:rPr>
      </w:pPr>
    </w:p>
    <w:p w14:paraId="110FD609">
      <w:pPr>
        <w:pStyle w:val="4"/>
        <w:spacing w:line="480" w:lineRule="exact"/>
        <w:rPr>
          <w:rFonts w:hint="eastAsia" w:ascii="宋体" w:hAnsi="宋体" w:eastAsia="宋体" w:cs="宋体"/>
          <w:color w:val="auto"/>
          <w:highlight w:val="none"/>
          <w:u w:val="none"/>
        </w:rPr>
      </w:pPr>
      <w:bookmarkStart w:id="381" w:name="_Toc28438"/>
      <w:r>
        <w:rPr>
          <w:rFonts w:hint="eastAsia" w:hAnsi="宋体" w:cs="宋体"/>
          <w:color w:val="auto"/>
          <w:highlight w:val="none"/>
          <w:u w:val="none"/>
          <w:lang w:val="en-US" w:eastAsia="zh-CN"/>
        </w:rPr>
        <w:t>11</w:t>
      </w:r>
      <w:r>
        <w:rPr>
          <w:rFonts w:hint="eastAsia" w:ascii="宋体" w:hAnsi="宋体" w:eastAsia="宋体" w:cs="宋体"/>
          <w:color w:val="auto"/>
          <w:highlight w:val="none"/>
          <w:u w:val="none"/>
        </w:rPr>
        <w:t>. 案例一览表</w:t>
      </w:r>
      <w:bookmarkEnd w:id="381"/>
    </w:p>
    <w:p w14:paraId="25381982">
      <w:pPr>
        <w:spacing w:line="360" w:lineRule="auto"/>
        <w:ind w:right="187"/>
        <w:jc w:val="center"/>
        <w:rPr>
          <w:rFonts w:ascii="宋体" w:hAnsi="宋体" w:cs="宋体"/>
          <w:color w:val="auto"/>
          <w:kern w:val="0"/>
          <w:sz w:val="30"/>
          <w:szCs w:val="30"/>
          <w:highlight w:val="none"/>
        </w:rPr>
      </w:pPr>
      <w:r>
        <w:rPr>
          <w:rFonts w:hint="eastAsia" w:ascii="宋体" w:hAnsi="宋体" w:cs="宋体"/>
          <w:color w:val="auto"/>
          <w:kern w:val="0"/>
          <w:sz w:val="30"/>
          <w:szCs w:val="30"/>
          <w:highlight w:val="none"/>
        </w:rPr>
        <w:t>案例一览表及合同复印件</w:t>
      </w:r>
    </w:p>
    <w:tbl>
      <w:tblPr>
        <w:tblStyle w:val="33"/>
        <w:tblW w:w="89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1330"/>
        <w:gridCol w:w="949"/>
        <w:gridCol w:w="1135"/>
        <w:gridCol w:w="1173"/>
        <w:gridCol w:w="1147"/>
        <w:gridCol w:w="1324"/>
        <w:gridCol w:w="1324"/>
      </w:tblGrid>
      <w:tr w14:paraId="682E6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595" w:type="dxa"/>
            <w:tcBorders>
              <w:top w:val="single" w:color="auto" w:sz="12" w:space="0"/>
              <w:left w:val="single" w:color="auto" w:sz="12" w:space="0"/>
              <w:bottom w:val="single" w:color="auto" w:sz="4" w:space="0"/>
              <w:right w:val="single" w:color="auto" w:sz="4" w:space="0"/>
            </w:tcBorders>
            <w:noWrap w:val="0"/>
            <w:vAlign w:val="center"/>
          </w:tcPr>
          <w:p w14:paraId="6D5C8980">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序号</w:t>
            </w:r>
          </w:p>
        </w:tc>
        <w:tc>
          <w:tcPr>
            <w:tcW w:w="1330" w:type="dxa"/>
            <w:tcBorders>
              <w:top w:val="single" w:color="auto" w:sz="12" w:space="0"/>
              <w:left w:val="single" w:color="auto" w:sz="4" w:space="0"/>
              <w:bottom w:val="single" w:color="auto" w:sz="4" w:space="0"/>
              <w:right w:val="single" w:color="auto" w:sz="4" w:space="0"/>
            </w:tcBorders>
            <w:noWrap w:val="0"/>
            <w:vAlign w:val="center"/>
          </w:tcPr>
          <w:p w14:paraId="5F05BE72">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项目内容</w:t>
            </w:r>
          </w:p>
        </w:tc>
        <w:tc>
          <w:tcPr>
            <w:tcW w:w="949" w:type="dxa"/>
            <w:tcBorders>
              <w:top w:val="single" w:color="auto" w:sz="12" w:space="0"/>
              <w:left w:val="single" w:color="auto" w:sz="4" w:space="0"/>
              <w:bottom w:val="single" w:color="auto" w:sz="4" w:space="0"/>
              <w:right w:val="single" w:color="auto" w:sz="4" w:space="0"/>
            </w:tcBorders>
            <w:noWrap w:val="0"/>
            <w:vAlign w:val="center"/>
          </w:tcPr>
          <w:p w14:paraId="59DD734B">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合同金额</w:t>
            </w:r>
          </w:p>
        </w:tc>
        <w:tc>
          <w:tcPr>
            <w:tcW w:w="1135" w:type="dxa"/>
            <w:tcBorders>
              <w:top w:val="single" w:color="auto" w:sz="12" w:space="0"/>
              <w:left w:val="single" w:color="auto" w:sz="4" w:space="0"/>
              <w:bottom w:val="single" w:color="auto" w:sz="4" w:space="0"/>
              <w:right w:val="single" w:color="auto" w:sz="4" w:space="0"/>
            </w:tcBorders>
            <w:noWrap w:val="0"/>
            <w:vAlign w:val="center"/>
          </w:tcPr>
          <w:p w14:paraId="69647DF2">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项目单位名称</w:t>
            </w:r>
          </w:p>
        </w:tc>
        <w:tc>
          <w:tcPr>
            <w:tcW w:w="1173" w:type="dxa"/>
            <w:tcBorders>
              <w:top w:val="single" w:color="auto" w:sz="12" w:space="0"/>
              <w:left w:val="single" w:color="auto" w:sz="4" w:space="0"/>
              <w:bottom w:val="single" w:color="auto" w:sz="4" w:space="0"/>
              <w:right w:val="single" w:color="auto" w:sz="4" w:space="0"/>
            </w:tcBorders>
            <w:noWrap w:val="0"/>
            <w:vAlign w:val="center"/>
          </w:tcPr>
          <w:p w14:paraId="5358379B">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项目负责人姓名</w:t>
            </w:r>
          </w:p>
        </w:tc>
        <w:tc>
          <w:tcPr>
            <w:tcW w:w="1147" w:type="dxa"/>
            <w:tcBorders>
              <w:top w:val="single" w:color="auto" w:sz="12" w:space="0"/>
              <w:left w:val="single" w:color="auto" w:sz="4" w:space="0"/>
              <w:bottom w:val="single" w:color="auto" w:sz="4" w:space="0"/>
              <w:right w:val="single" w:color="auto" w:sz="4" w:space="0"/>
            </w:tcBorders>
            <w:noWrap w:val="0"/>
            <w:vAlign w:val="center"/>
          </w:tcPr>
          <w:p w14:paraId="6E09C164">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合同签订日期</w:t>
            </w:r>
          </w:p>
        </w:tc>
        <w:tc>
          <w:tcPr>
            <w:tcW w:w="1324" w:type="dxa"/>
            <w:tcBorders>
              <w:top w:val="single" w:color="auto" w:sz="12" w:space="0"/>
              <w:left w:val="single" w:color="auto" w:sz="4" w:space="0"/>
              <w:bottom w:val="single" w:color="auto" w:sz="4" w:space="0"/>
              <w:right w:val="single" w:color="auto" w:sz="12" w:space="0"/>
            </w:tcBorders>
            <w:noWrap w:val="0"/>
            <w:vAlign w:val="center"/>
          </w:tcPr>
          <w:p w14:paraId="719977D0">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项目单位的有效联系方式</w:t>
            </w:r>
          </w:p>
        </w:tc>
        <w:tc>
          <w:tcPr>
            <w:tcW w:w="1324" w:type="dxa"/>
            <w:tcBorders>
              <w:top w:val="single" w:color="auto" w:sz="12" w:space="0"/>
              <w:left w:val="single" w:color="auto" w:sz="4" w:space="0"/>
              <w:bottom w:val="single" w:color="auto" w:sz="4" w:space="0"/>
              <w:right w:val="single" w:color="auto" w:sz="12" w:space="0"/>
            </w:tcBorders>
            <w:noWrap w:val="0"/>
            <w:vAlign w:val="center"/>
          </w:tcPr>
          <w:p w14:paraId="272004BC">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合同复印件等证明材料</w:t>
            </w:r>
          </w:p>
        </w:tc>
      </w:tr>
      <w:tr w14:paraId="3FB0D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595" w:type="dxa"/>
            <w:tcBorders>
              <w:top w:val="single" w:color="auto" w:sz="4" w:space="0"/>
              <w:left w:val="single" w:color="auto" w:sz="12" w:space="0"/>
              <w:bottom w:val="single" w:color="auto" w:sz="4" w:space="0"/>
              <w:right w:val="single" w:color="auto" w:sz="4" w:space="0"/>
            </w:tcBorders>
            <w:noWrap w:val="0"/>
            <w:vAlign w:val="center"/>
          </w:tcPr>
          <w:p w14:paraId="759B69B1">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1</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5507E21B">
            <w:pPr>
              <w:spacing w:line="360" w:lineRule="exact"/>
              <w:jc w:val="center"/>
              <w:rPr>
                <w:rFonts w:ascii="宋体" w:hAnsi="宋体" w:cs="宋体"/>
                <w:b/>
                <w:color w:val="auto"/>
                <w:kern w:val="0"/>
                <w:szCs w:val="21"/>
                <w:highlight w:val="none"/>
              </w:rPr>
            </w:pPr>
          </w:p>
        </w:tc>
        <w:tc>
          <w:tcPr>
            <w:tcW w:w="949" w:type="dxa"/>
            <w:tcBorders>
              <w:top w:val="single" w:color="auto" w:sz="4" w:space="0"/>
              <w:left w:val="single" w:color="auto" w:sz="4" w:space="0"/>
              <w:bottom w:val="single" w:color="auto" w:sz="4" w:space="0"/>
              <w:right w:val="single" w:color="auto" w:sz="4" w:space="0"/>
            </w:tcBorders>
            <w:noWrap w:val="0"/>
            <w:vAlign w:val="center"/>
          </w:tcPr>
          <w:p w14:paraId="3EF85FB3">
            <w:pPr>
              <w:spacing w:line="360" w:lineRule="exact"/>
              <w:jc w:val="center"/>
              <w:rPr>
                <w:rFonts w:ascii="宋体" w:hAnsi="宋体" w:cs="宋体"/>
                <w:b/>
                <w:color w:val="auto"/>
                <w:kern w:val="0"/>
                <w:szCs w:val="21"/>
                <w:highlight w:val="none"/>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71B23025">
            <w:pPr>
              <w:spacing w:line="360" w:lineRule="exact"/>
              <w:jc w:val="center"/>
              <w:rPr>
                <w:rFonts w:ascii="宋体" w:hAnsi="宋体" w:cs="宋体"/>
                <w:b/>
                <w:color w:val="auto"/>
                <w:kern w:val="0"/>
                <w:szCs w:val="21"/>
                <w:highlight w:val="none"/>
              </w:rPr>
            </w:pPr>
          </w:p>
        </w:tc>
        <w:tc>
          <w:tcPr>
            <w:tcW w:w="1173" w:type="dxa"/>
            <w:tcBorders>
              <w:top w:val="single" w:color="auto" w:sz="4" w:space="0"/>
              <w:left w:val="single" w:color="auto" w:sz="4" w:space="0"/>
              <w:bottom w:val="single" w:color="auto" w:sz="4" w:space="0"/>
              <w:right w:val="single" w:color="auto" w:sz="4" w:space="0"/>
            </w:tcBorders>
            <w:noWrap w:val="0"/>
            <w:vAlign w:val="center"/>
          </w:tcPr>
          <w:p w14:paraId="7058F469">
            <w:pPr>
              <w:spacing w:line="360" w:lineRule="exact"/>
              <w:jc w:val="center"/>
              <w:rPr>
                <w:rFonts w:ascii="宋体" w:hAnsi="宋体" w:cs="宋体"/>
                <w:b/>
                <w:color w:val="auto"/>
                <w:kern w:val="0"/>
                <w:szCs w:val="21"/>
                <w:highlight w:val="none"/>
              </w:rPr>
            </w:pPr>
          </w:p>
        </w:tc>
        <w:tc>
          <w:tcPr>
            <w:tcW w:w="1147" w:type="dxa"/>
            <w:tcBorders>
              <w:top w:val="single" w:color="auto" w:sz="4" w:space="0"/>
              <w:left w:val="single" w:color="auto" w:sz="4" w:space="0"/>
              <w:bottom w:val="single" w:color="auto" w:sz="4" w:space="0"/>
              <w:right w:val="single" w:color="auto" w:sz="4" w:space="0"/>
            </w:tcBorders>
            <w:noWrap w:val="0"/>
            <w:vAlign w:val="top"/>
          </w:tcPr>
          <w:p w14:paraId="030D4E46">
            <w:pPr>
              <w:spacing w:line="360" w:lineRule="exact"/>
              <w:jc w:val="center"/>
              <w:rPr>
                <w:rFonts w:ascii="宋体" w:hAnsi="宋体" w:cs="宋体"/>
                <w:b/>
                <w:color w:val="auto"/>
                <w:kern w:val="0"/>
                <w:szCs w:val="21"/>
                <w:highlight w:val="none"/>
              </w:rPr>
            </w:pPr>
          </w:p>
        </w:tc>
        <w:tc>
          <w:tcPr>
            <w:tcW w:w="1324" w:type="dxa"/>
            <w:tcBorders>
              <w:top w:val="single" w:color="auto" w:sz="4" w:space="0"/>
              <w:left w:val="single" w:color="auto" w:sz="4" w:space="0"/>
              <w:bottom w:val="single" w:color="auto" w:sz="4" w:space="0"/>
              <w:right w:val="single" w:color="auto" w:sz="12" w:space="0"/>
            </w:tcBorders>
            <w:noWrap w:val="0"/>
            <w:vAlign w:val="center"/>
          </w:tcPr>
          <w:p w14:paraId="2A43784F">
            <w:pPr>
              <w:spacing w:line="360" w:lineRule="exact"/>
              <w:jc w:val="center"/>
              <w:rPr>
                <w:rFonts w:ascii="宋体" w:hAnsi="宋体" w:cs="宋体"/>
                <w:b/>
                <w:color w:val="auto"/>
                <w:kern w:val="0"/>
                <w:szCs w:val="21"/>
                <w:highlight w:val="none"/>
              </w:rPr>
            </w:pPr>
          </w:p>
        </w:tc>
        <w:tc>
          <w:tcPr>
            <w:tcW w:w="1324" w:type="dxa"/>
            <w:tcBorders>
              <w:top w:val="single" w:color="auto" w:sz="4" w:space="0"/>
              <w:left w:val="single" w:color="auto" w:sz="4" w:space="0"/>
              <w:bottom w:val="single" w:color="auto" w:sz="4" w:space="0"/>
              <w:right w:val="single" w:color="auto" w:sz="12" w:space="0"/>
            </w:tcBorders>
            <w:noWrap w:val="0"/>
            <w:vAlign w:val="top"/>
          </w:tcPr>
          <w:p w14:paraId="407E3081">
            <w:pPr>
              <w:spacing w:line="360" w:lineRule="exact"/>
              <w:jc w:val="center"/>
              <w:rPr>
                <w:rFonts w:ascii="宋体" w:hAnsi="宋体" w:cs="宋体"/>
                <w:b/>
                <w:color w:val="auto"/>
                <w:kern w:val="0"/>
                <w:szCs w:val="21"/>
                <w:highlight w:val="none"/>
              </w:rPr>
            </w:pPr>
          </w:p>
        </w:tc>
      </w:tr>
      <w:tr w14:paraId="33C64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595" w:type="dxa"/>
            <w:tcBorders>
              <w:top w:val="single" w:color="auto" w:sz="4" w:space="0"/>
              <w:left w:val="single" w:color="auto" w:sz="12" w:space="0"/>
              <w:bottom w:val="single" w:color="auto" w:sz="4" w:space="0"/>
              <w:right w:val="single" w:color="auto" w:sz="4" w:space="0"/>
            </w:tcBorders>
            <w:noWrap w:val="0"/>
            <w:vAlign w:val="center"/>
          </w:tcPr>
          <w:p w14:paraId="161B2074">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2</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68E9793D">
            <w:pPr>
              <w:spacing w:line="360" w:lineRule="exact"/>
              <w:jc w:val="center"/>
              <w:rPr>
                <w:rFonts w:ascii="宋体" w:hAnsi="宋体" w:cs="宋体"/>
                <w:b/>
                <w:color w:val="auto"/>
                <w:kern w:val="0"/>
                <w:szCs w:val="21"/>
                <w:highlight w:val="none"/>
              </w:rPr>
            </w:pPr>
          </w:p>
        </w:tc>
        <w:tc>
          <w:tcPr>
            <w:tcW w:w="949" w:type="dxa"/>
            <w:tcBorders>
              <w:top w:val="single" w:color="auto" w:sz="4" w:space="0"/>
              <w:left w:val="single" w:color="auto" w:sz="4" w:space="0"/>
              <w:bottom w:val="single" w:color="auto" w:sz="4" w:space="0"/>
              <w:right w:val="single" w:color="auto" w:sz="4" w:space="0"/>
            </w:tcBorders>
            <w:noWrap w:val="0"/>
            <w:vAlign w:val="center"/>
          </w:tcPr>
          <w:p w14:paraId="16B08FB7">
            <w:pPr>
              <w:spacing w:line="360" w:lineRule="exact"/>
              <w:jc w:val="center"/>
              <w:rPr>
                <w:rFonts w:ascii="宋体" w:hAnsi="宋体" w:cs="宋体"/>
                <w:b/>
                <w:color w:val="auto"/>
                <w:kern w:val="0"/>
                <w:szCs w:val="21"/>
                <w:highlight w:val="none"/>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1A2CEC88">
            <w:pPr>
              <w:spacing w:line="360" w:lineRule="exact"/>
              <w:jc w:val="center"/>
              <w:rPr>
                <w:rFonts w:ascii="宋体" w:hAnsi="宋体" w:cs="宋体"/>
                <w:b/>
                <w:color w:val="auto"/>
                <w:kern w:val="0"/>
                <w:szCs w:val="21"/>
                <w:highlight w:val="none"/>
              </w:rPr>
            </w:pPr>
          </w:p>
        </w:tc>
        <w:tc>
          <w:tcPr>
            <w:tcW w:w="1173" w:type="dxa"/>
            <w:tcBorders>
              <w:top w:val="single" w:color="auto" w:sz="4" w:space="0"/>
              <w:left w:val="single" w:color="auto" w:sz="4" w:space="0"/>
              <w:bottom w:val="single" w:color="auto" w:sz="4" w:space="0"/>
              <w:right w:val="single" w:color="auto" w:sz="4" w:space="0"/>
            </w:tcBorders>
            <w:noWrap w:val="0"/>
            <w:vAlign w:val="center"/>
          </w:tcPr>
          <w:p w14:paraId="61932CE4">
            <w:pPr>
              <w:spacing w:line="360" w:lineRule="exact"/>
              <w:jc w:val="center"/>
              <w:rPr>
                <w:rFonts w:ascii="宋体" w:hAnsi="宋体" w:cs="宋体"/>
                <w:b/>
                <w:color w:val="auto"/>
                <w:kern w:val="0"/>
                <w:szCs w:val="21"/>
                <w:highlight w:val="none"/>
              </w:rPr>
            </w:pPr>
          </w:p>
        </w:tc>
        <w:tc>
          <w:tcPr>
            <w:tcW w:w="1147" w:type="dxa"/>
            <w:tcBorders>
              <w:top w:val="single" w:color="auto" w:sz="4" w:space="0"/>
              <w:left w:val="single" w:color="auto" w:sz="4" w:space="0"/>
              <w:bottom w:val="single" w:color="auto" w:sz="4" w:space="0"/>
              <w:right w:val="single" w:color="auto" w:sz="4" w:space="0"/>
            </w:tcBorders>
            <w:noWrap w:val="0"/>
            <w:vAlign w:val="top"/>
          </w:tcPr>
          <w:p w14:paraId="5AF54DC0">
            <w:pPr>
              <w:spacing w:line="360" w:lineRule="exact"/>
              <w:jc w:val="center"/>
              <w:rPr>
                <w:rFonts w:ascii="宋体" w:hAnsi="宋体" w:cs="宋体"/>
                <w:b/>
                <w:color w:val="auto"/>
                <w:kern w:val="0"/>
                <w:szCs w:val="21"/>
                <w:highlight w:val="none"/>
              </w:rPr>
            </w:pPr>
          </w:p>
        </w:tc>
        <w:tc>
          <w:tcPr>
            <w:tcW w:w="1324" w:type="dxa"/>
            <w:tcBorders>
              <w:top w:val="single" w:color="auto" w:sz="4" w:space="0"/>
              <w:left w:val="single" w:color="auto" w:sz="4" w:space="0"/>
              <w:bottom w:val="single" w:color="auto" w:sz="4" w:space="0"/>
              <w:right w:val="single" w:color="auto" w:sz="12" w:space="0"/>
            </w:tcBorders>
            <w:noWrap w:val="0"/>
            <w:vAlign w:val="center"/>
          </w:tcPr>
          <w:p w14:paraId="0560132F">
            <w:pPr>
              <w:spacing w:line="360" w:lineRule="exact"/>
              <w:jc w:val="center"/>
              <w:rPr>
                <w:rFonts w:ascii="宋体" w:hAnsi="宋体" w:cs="宋体"/>
                <w:b/>
                <w:color w:val="auto"/>
                <w:kern w:val="0"/>
                <w:szCs w:val="21"/>
                <w:highlight w:val="none"/>
              </w:rPr>
            </w:pPr>
          </w:p>
        </w:tc>
        <w:tc>
          <w:tcPr>
            <w:tcW w:w="1324" w:type="dxa"/>
            <w:tcBorders>
              <w:top w:val="single" w:color="auto" w:sz="4" w:space="0"/>
              <w:left w:val="single" w:color="auto" w:sz="4" w:space="0"/>
              <w:bottom w:val="single" w:color="auto" w:sz="4" w:space="0"/>
              <w:right w:val="single" w:color="auto" w:sz="12" w:space="0"/>
            </w:tcBorders>
            <w:noWrap w:val="0"/>
            <w:vAlign w:val="top"/>
          </w:tcPr>
          <w:p w14:paraId="08CE135B">
            <w:pPr>
              <w:spacing w:line="360" w:lineRule="exact"/>
              <w:jc w:val="center"/>
              <w:rPr>
                <w:rFonts w:ascii="宋体" w:hAnsi="宋体" w:cs="宋体"/>
                <w:b/>
                <w:color w:val="auto"/>
                <w:kern w:val="0"/>
                <w:szCs w:val="21"/>
                <w:highlight w:val="none"/>
              </w:rPr>
            </w:pPr>
          </w:p>
        </w:tc>
      </w:tr>
      <w:tr w14:paraId="6CC0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595" w:type="dxa"/>
            <w:tcBorders>
              <w:top w:val="single" w:color="auto" w:sz="4" w:space="0"/>
              <w:left w:val="single" w:color="auto" w:sz="12" w:space="0"/>
              <w:bottom w:val="single" w:color="auto" w:sz="4" w:space="0"/>
              <w:right w:val="single" w:color="auto" w:sz="4" w:space="0"/>
            </w:tcBorders>
            <w:noWrap w:val="0"/>
            <w:vAlign w:val="center"/>
          </w:tcPr>
          <w:p w14:paraId="284273F8">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3</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670A3701">
            <w:pPr>
              <w:spacing w:line="360" w:lineRule="exact"/>
              <w:jc w:val="center"/>
              <w:rPr>
                <w:rFonts w:ascii="宋体" w:hAnsi="宋体" w:cs="宋体"/>
                <w:b/>
                <w:color w:val="auto"/>
                <w:kern w:val="0"/>
                <w:szCs w:val="21"/>
                <w:highlight w:val="none"/>
              </w:rPr>
            </w:pPr>
          </w:p>
        </w:tc>
        <w:tc>
          <w:tcPr>
            <w:tcW w:w="949" w:type="dxa"/>
            <w:tcBorders>
              <w:top w:val="single" w:color="auto" w:sz="4" w:space="0"/>
              <w:left w:val="single" w:color="auto" w:sz="4" w:space="0"/>
              <w:bottom w:val="single" w:color="auto" w:sz="4" w:space="0"/>
              <w:right w:val="single" w:color="auto" w:sz="4" w:space="0"/>
            </w:tcBorders>
            <w:noWrap w:val="0"/>
            <w:vAlign w:val="center"/>
          </w:tcPr>
          <w:p w14:paraId="376C9B4E">
            <w:pPr>
              <w:spacing w:line="360" w:lineRule="exact"/>
              <w:jc w:val="center"/>
              <w:rPr>
                <w:rFonts w:ascii="宋体" w:hAnsi="宋体" w:cs="宋体"/>
                <w:b/>
                <w:color w:val="auto"/>
                <w:kern w:val="0"/>
                <w:szCs w:val="21"/>
                <w:highlight w:val="none"/>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2803F366">
            <w:pPr>
              <w:spacing w:line="360" w:lineRule="exact"/>
              <w:jc w:val="center"/>
              <w:rPr>
                <w:rFonts w:ascii="宋体" w:hAnsi="宋体" w:cs="宋体"/>
                <w:b/>
                <w:color w:val="auto"/>
                <w:kern w:val="0"/>
                <w:szCs w:val="21"/>
                <w:highlight w:val="none"/>
              </w:rPr>
            </w:pPr>
          </w:p>
        </w:tc>
        <w:tc>
          <w:tcPr>
            <w:tcW w:w="1173" w:type="dxa"/>
            <w:tcBorders>
              <w:top w:val="single" w:color="auto" w:sz="4" w:space="0"/>
              <w:left w:val="single" w:color="auto" w:sz="4" w:space="0"/>
              <w:bottom w:val="single" w:color="auto" w:sz="4" w:space="0"/>
              <w:right w:val="single" w:color="auto" w:sz="4" w:space="0"/>
            </w:tcBorders>
            <w:noWrap w:val="0"/>
            <w:vAlign w:val="center"/>
          </w:tcPr>
          <w:p w14:paraId="73E2FA7C">
            <w:pPr>
              <w:spacing w:line="360" w:lineRule="exact"/>
              <w:jc w:val="center"/>
              <w:rPr>
                <w:rFonts w:ascii="宋体" w:hAnsi="宋体" w:cs="宋体"/>
                <w:b/>
                <w:color w:val="auto"/>
                <w:kern w:val="0"/>
                <w:szCs w:val="21"/>
                <w:highlight w:val="none"/>
              </w:rPr>
            </w:pPr>
          </w:p>
        </w:tc>
        <w:tc>
          <w:tcPr>
            <w:tcW w:w="1147" w:type="dxa"/>
            <w:tcBorders>
              <w:top w:val="single" w:color="auto" w:sz="4" w:space="0"/>
              <w:left w:val="single" w:color="auto" w:sz="4" w:space="0"/>
              <w:bottom w:val="single" w:color="auto" w:sz="4" w:space="0"/>
              <w:right w:val="single" w:color="auto" w:sz="4" w:space="0"/>
            </w:tcBorders>
            <w:noWrap w:val="0"/>
            <w:vAlign w:val="top"/>
          </w:tcPr>
          <w:p w14:paraId="7D2E2164">
            <w:pPr>
              <w:spacing w:line="360" w:lineRule="exact"/>
              <w:jc w:val="center"/>
              <w:rPr>
                <w:rFonts w:ascii="宋体" w:hAnsi="宋体" w:cs="宋体"/>
                <w:b/>
                <w:color w:val="auto"/>
                <w:kern w:val="0"/>
                <w:szCs w:val="21"/>
                <w:highlight w:val="none"/>
              </w:rPr>
            </w:pPr>
          </w:p>
        </w:tc>
        <w:tc>
          <w:tcPr>
            <w:tcW w:w="1324" w:type="dxa"/>
            <w:tcBorders>
              <w:top w:val="single" w:color="auto" w:sz="4" w:space="0"/>
              <w:left w:val="single" w:color="auto" w:sz="4" w:space="0"/>
              <w:bottom w:val="single" w:color="auto" w:sz="4" w:space="0"/>
              <w:right w:val="single" w:color="auto" w:sz="12" w:space="0"/>
            </w:tcBorders>
            <w:noWrap w:val="0"/>
            <w:vAlign w:val="center"/>
          </w:tcPr>
          <w:p w14:paraId="13D5048C">
            <w:pPr>
              <w:spacing w:line="360" w:lineRule="exact"/>
              <w:jc w:val="center"/>
              <w:rPr>
                <w:rFonts w:ascii="宋体" w:hAnsi="宋体" w:cs="宋体"/>
                <w:b/>
                <w:color w:val="auto"/>
                <w:kern w:val="0"/>
                <w:szCs w:val="21"/>
                <w:highlight w:val="none"/>
              </w:rPr>
            </w:pPr>
          </w:p>
        </w:tc>
        <w:tc>
          <w:tcPr>
            <w:tcW w:w="1324" w:type="dxa"/>
            <w:tcBorders>
              <w:top w:val="single" w:color="auto" w:sz="4" w:space="0"/>
              <w:left w:val="single" w:color="auto" w:sz="4" w:space="0"/>
              <w:bottom w:val="single" w:color="auto" w:sz="4" w:space="0"/>
              <w:right w:val="single" w:color="auto" w:sz="12" w:space="0"/>
            </w:tcBorders>
            <w:noWrap w:val="0"/>
            <w:vAlign w:val="top"/>
          </w:tcPr>
          <w:p w14:paraId="47F7F895">
            <w:pPr>
              <w:spacing w:line="360" w:lineRule="exact"/>
              <w:jc w:val="center"/>
              <w:rPr>
                <w:rFonts w:ascii="宋体" w:hAnsi="宋体" w:cs="宋体"/>
                <w:b/>
                <w:color w:val="auto"/>
                <w:kern w:val="0"/>
                <w:szCs w:val="21"/>
                <w:highlight w:val="none"/>
              </w:rPr>
            </w:pPr>
          </w:p>
        </w:tc>
      </w:tr>
      <w:tr w14:paraId="4C1FC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595" w:type="dxa"/>
            <w:tcBorders>
              <w:top w:val="single" w:color="auto" w:sz="4" w:space="0"/>
              <w:left w:val="single" w:color="auto" w:sz="12" w:space="0"/>
              <w:bottom w:val="single" w:color="auto" w:sz="12" w:space="0"/>
              <w:right w:val="single" w:color="auto" w:sz="4" w:space="0"/>
            </w:tcBorders>
            <w:noWrap w:val="0"/>
            <w:vAlign w:val="center"/>
          </w:tcPr>
          <w:p w14:paraId="44C970FB">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4</w:t>
            </w:r>
          </w:p>
        </w:tc>
        <w:tc>
          <w:tcPr>
            <w:tcW w:w="1330" w:type="dxa"/>
            <w:tcBorders>
              <w:top w:val="single" w:color="auto" w:sz="4" w:space="0"/>
              <w:left w:val="single" w:color="auto" w:sz="4" w:space="0"/>
              <w:bottom w:val="single" w:color="auto" w:sz="12" w:space="0"/>
              <w:right w:val="single" w:color="auto" w:sz="4" w:space="0"/>
            </w:tcBorders>
            <w:noWrap w:val="0"/>
            <w:vAlign w:val="center"/>
          </w:tcPr>
          <w:p w14:paraId="20CD75B3">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w:t>
            </w:r>
          </w:p>
        </w:tc>
        <w:tc>
          <w:tcPr>
            <w:tcW w:w="949" w:type="dxa"/>
            <w:tcBorders>
              <w:top w:val="single" w:color="auto" w:sz="4" w:space="0"/>
              <w:left w:val="single" w:color="auto" w:sz="4" w:space="0"/>
              <w:bottom w:val="single" w:color="auto" w:sz="12" w:space="0"/>
              <w:right w:val="single" w:color="auto" w:sz="4" w:space="0"/>
            </w:tcBorders>
            <w:noWrap w:val="0"/>
            <w:vAlign w:val="center"/>
          </w:tcPr>
          <w:p w14:paraId="102F607B">
            <w:pPr>
              <w:spacing w:line="360" w:lineRule="exact"/>
              <w:jc w:val="center"/>
              <w:rPr>
                <w:rFonts w:ascii="宋体" w:hAnsi="宋体" w:cs="宋体"/>
                <w:b/>
                <w:color w:val="auto"/>
                <w:kern w:val="0"/>
                <w:szCs w:val="21"/>
                <w:highlight w:val="none"/>
              </w:rPr>
            </w:pPr>
          </w:p>
        </w:tc>
        <w:tc>
          <w:tcPr>
            <w:tcW w:w="1135" w:type="dxa"/>
            <w:tcBorders>
              <w:top w:val="single" w:color="auto" w:sz="4" w:space="0"/>
              <w:left w:val="single" w:color="auto" w:sz="4" w:space="0"/>
              <w:bottom w:val="single" w:color="auto" w:sz="12" w:space="0"/>
              <w:right w:val="single" w:color="auto" w:sz="4" w:space="0"/>
            </w:tcBorders>
            <w:noWrap w:val="0"/>
            <w:vAlign w:val="center"/>
          </w:tcPr>
          <w:p w14:paraId="383603B2">
            <w:pPr>
              <w:spacing w:line="360" w:lineRule="exact"/>
              <w:jc w:val="center"/>
              <w:rPr>
                <w:rFonts w:ascii="宋体" w:hAnsi="宋体" w:cs="宋体"/>
                <w:b/>
                <w:color w:val="auto"/>
                <w:kern w:val="0"/>
                <w:szCs w:val="21"/>
                <w:highlight w:val="none"/>
              </w:rPr>
            </w:pPr>
          </w:p>
        </w:tc>
        <w:tc>
          <w:tcPr>
            <w:tcW w:w="1173" w:type="dxa"/>
            <w:tcBorders>
              <w:top w:val="single" w:color="auto" w:sz="4" w:space="0"/>
              <w:left w:val="single" w:color="auto" w:sz="4" w:space="0"/>
              <w:bottom w:val="single" w:color="auto" w:sz="12" w:space="0"/>
              <w:right w:val="single" w:color="auto" w:sz="4" w:space="0"/>
            </w:tcBorders>
            <w:noWrap w:val="0"/>
            <w:vAlign w:val="center"/>
          </w:tcPr>
          <w:p w14:paraId="43C91B01">
            <w:pPr>
              <w:spacing w:line="360" w:lineRule="exact"/>
              <w:jc w:val="center"/>
              <w:rPr>
                <w:rFonts w:ascii="宋体" w:hAnsi="宋体" w:cs="宋体"/>
                <w:b/>
                <w:color w:val="auto"/>
                <w:kern w:val="0"/>
                <w:szCs w:val="21"/>
                <w:highlight w:val="none"/>
              </w:rPr>
            </w:pPr>
          </w:p>
        </w:tc>
        <w:tc>
          <w:tcPr>
            <w:tcW w:w="1147" w:type="dxa"/>
            <w:tcBorders>
              <w:top w:val="single" w:color="auto" w:sz="4" w:space="0"/>
              <w:left w:val="single" w:color="auto" w:sz="4" w:space="0"/>
              <w:bottom w:val="single" w:color="auto" w:sz="12" w:space="0"/>
              <w:right w:val="single" w:color="auto" w:sz="4" w:space="0"/>
            </w:tcBorders>
            <w:noWrap w:val="0"/>
            <w:vAlign w:val="top"/>
          </w:tcPr>
          <w:p w14:paraId="50EE5A3F">
            <w:pPr>
              <w:spacing w:line="360" w:lineRule="exact"/>
              <w:jc w:val="center"/>
              <w:rPr>
                <w:rFonts w:ascii="宋体" w:hAnsi="宋体" w:cs="宋体"/>
                <w:b/>
                <w:color w:val="auto"/>
                <w:kern w:val="0"/>
                <w:szCs w:val="21"/>
                <w:highlight w:val="none"/>
              </w:rPr>
            </w:pPr>
          </w:p>
        </w:tc>
        <w:tc>
          <w:tcPr>
            <w:tcW w:w="1324" w:type="dxa"/>
            <w:tcBorders>
              <w:top w:val="single" w:color="auto" w:sz="4" w:space="0"/>
              <w:left w:val="single" w:color="auto" w:sz="4" w:space="0"/>
              <w:bottom w:val="single" w:color="auto" w:sz="12" w:space="0"/>
              <w:right w:val="single" w:color="auto" w:sz="12" w:space="0"/>
            </w:tcBorders>
            <w:noWrap w:val="0"/>
            <w:vAlign w:val="center"/>
          </w:tcPr>
          <w:p w14:paraId="0E4A6A25">
            <w:pPr>
              <w:spacing w:line="360" w:lineRule="exact"/>
              <w:jc w:val="center"/>
              <w:rPr>
                <w:rFonts w:ascii="宋体" w:hAnsi="宋体" w:cs="宋体"/>
                <w:b/>
                <w:color w:val="auto"/>
                <w:kern w:val="0"/>
                <w:szCs w:val="21"/>
                <w:highlight w:val="none"/>
              </w:rPr>
            </w:pPr>
          </w:p>
        </w:tc>
        <w:tc>
          <w:tcPr>
            <w:tcW w:w="1324" w:type="dxa"/>
            <w:tcBorders>
              <w:top w:val="single" w:color="auto" w:sz="4" w:space="0"/>
              <w:left w:val="single" w:color="auto" w:sz="4" w:space="0"/>
              <w:bottom w:val="single" w:color="auto" w:sz="12" w:space="0"/>
              <w:right w:val="single" w:color="auto" w:sz="12" w:space="0"/>
            </w:tcBorders>
            <w:noWrap w:val="0"/>
            <w:vAlign w:val="top"/>
          </w:tcPr>
          <w:p w14:paraId="48D87674">
            <w:pPr>
              <w:spacing w:line="360" w:lineRule="exact"/>
              <w:jc w:val="center"/>
              <w:rPr>
                <w:rFonts w:ascii="宋体" w:hAnsi="宋体" w:cs="宋体"/>
                <w:b/>
                <w:color w:val="auto"/>
                <w:kern w:val="0"/>
                <w:szCs w:val="21"/>
                <w:highlight w:val="none"/>
              </w:rPr>
            </w:pPr>
          </w:p>
        </w:tc>
      </w:tr>
    </w:tbl>
    <w:p w14:paraId="4C6D6169">
      <w:pPr>
        <w:spacing w:line="360" w:lineRule="auto"/>
        <w:ind w:right="187" w:firstLine="480" w:firstLineChars="200"/>
        <w:jc w:val="left"/>
        <w:rPr>
          <w:rFonts w:ascii="宋体" w:hAnsi="宋体" w:cs="宋体"/>
          <w:color w:val="auto"/>
          <w:sz w:val="24"/>
          <w:highlight w:val="none"/>
        </w:rPr>
      </w:pPr>
      <w:r>
        <w:rPr>
          <w:rFonts w:hint="eastAsia" w:ascii="宋体" w:hAnsi="宋体" w:cs="宋体"/>
          <w:color w:val="auto"/>
          <w:sz w:val="24"/>
          <w:highlight w:val="none"/>
        </w:rPr>
        <w:t>说明：（1）以上合同案例须真实有效，相关内容在</w:t>
      </w:r>
      <w:r>
        <w:rPr>
          <w:rFonts w:hint="eastAsia" w:ascii="宋体" w:hAnsi="宋体" w:cs="宋体"/>
          <w:color w:val="auto"/>
          <w:sz w:val="24"/>
          <w:highlight w:val="none"/>
          <w:lang w:val="en-US" w:eastAsia="zh-CN"/>
        </w:rPr>
        <w:t>成交</w:t>
      </w:r>
      <w:r>
        <w:rPr>
          <w:rFonts w:hint="eastAsia" w:ascii="宋体" w:hAnsi="宋体" w:cs="宋体"/>
          <w:color w:val="auto"/>
          <w:sz w:val="24"/>
          <w:highlight w:val="none"/>
        </w:rPr>
        <w:t>公告中予以公示。</w:t>
      </w:r>
    </w:p>
    <w:p w14:paraId="47DEF40C">
      <w:pPr>
        <w:spacing w:line="360" w:lineRule="auto"/>
        <w:ind w:right="187" w:firstLine="840" w:firstLineChars="350"/>
        <w:jc w:val="left"/>
        <w:rPr>
          <w:rFonts w:hint="eastAsia" w:ascii="宋体" w:hAnsi="宋体" w:eastAsia="宋体" w:cs="宋体"/>
          <w:color w:val="auto"/>
          <w:sz w:val="24"/>
          <w:highlight w:val="none"/>
          <w:lang w:eastAsia="zh-CN"/>
        </w:rPr>
      </w:pPr>
      <w:r>
        <w:rPr>
          <w:rFonts w:hint="eastAsia" w:ascii="宋体" w:hAnsi="宋体" w:cs="宋体"/>
          <w:color w:val="auto"/>
          <w:sz w:val="24"/>
          <w:highlight w:val="none"/>
        </w:rPr>
        <w:t xml:space="preserve">(2) </w:t>
      </w:r>
      <w:r>
        <w:rPr>
          <w:rFonts w:hint="eastAsia" w:ascii="宋体" w:hAnsi="宋体" w:cs="宋体"/>
          <w:color w:val="auto"/>
          <w:kern w:val="0"/>
          <w:sz w:val="24"/>
          <w:highlight w:val="none"/>
        </w:rPr>
        <w:t>提供</w:t>
      </w:r>
      <w:r>
        <w:rPr>
          <w:rFonts w:hint="eastAsia" w:ascii="宋体" w:hAnsi="宋体" w:cs="宋体"/>
          <w:color w:val="auto"/>
          <w:sz w:val="24"/>
          <w:highlight w:val="none"/>
        </w:rPr>
        <w:t>提交20</w:t>
      </w:r>
      <w:r>
        <w:rPr>
          <w:rFonts w:hint="eastAsia" w:ascii="宋体" w:hAnsi="宋体" w:cs="宋体"/>
          <w:color w:val="auto"/>
          <w:sz w:val="24"/>
          <w:highlight w:val="none"/>
          <w:lang w:val="en-US" w:eastAsia="zh-CN"/>
        </w:rPr>
        <w:t>22</w:t>
      </w:r>
      <w:r>
        <w:rPr>
          <w:rFonts w:hint="eastAsia" w:ascii="宋体" w:hAnsi="宋体" w:cs="宋体"/>
          <w:color w:val="auto"/>
          <w:sz w:val="24"/>
          <w:highlight w:val="none"/>
        </w:rPr>
        <w:t>年1月1日以来</w:t>
      </w:r>
      <w:r>
        <w:rPr>
          <w:rFonts w:hint="eastAsia" w:ascii="宋体" w:hAnsi="宋体" w:cs="宋体"/>
          <w:color w:val="auto"/>
          <w:kern w:val="0"/>
          <w:sz w:val="24"/>
          <w:highlight w:val="none"/>
        </w:rPr>
        <w:t>的合同复印件等证明材料（</w:t>
      </w:r>
      <w:r>
        <w:rPr>
          <w:rFonts w:hint="eastAsia" w:ascii="宋体" w:hAnsi="宋体" w:cs="宋体"/>
          <w:color w:val="auto"/>
          <w:sz w:val="24"/>
          <w:highlight w:val="none"/>
        </w:rPr>
        <w:t>至少包括合同首页、标的及标的金额页、签字盖章页及相应标的明细等内容</w:t>
      </w:r>
      <w:r>
        <w:rPr>
          <w:rFonts w:hint="eastAsia" w:ascii="宋体" w:hAnsi="宋体" w:cs="宋体"/>
          <w:color w:val="auto"/>
          <w:kern w:val="0"/>
          <w:sz w:val="24"/>
          <w:highlight w:val="none"/>
        </w:rPr>
        <w:t>）</w:t>
      </w:r>
      <w:r>
        <w:rPr>
          <w:rFonts w:hint="eastAsia" w:ascii="宋体" w:hAnsi="宋体" w:cs="宋体"/>
          <w:color w:val="auto"/>
          <w:kern w:val="0"/>
          <w:sz w:val="24"/>
          <w:highlight w:val="none"/>
          <w:lang w:eastAsia="zh-CN"/>
        </w:rPr>
        <w:t>。</w:t>
      </w:r>
    </w:p>
    <w:p w14:paraId="28CA1FB6">
      <w:pPr>
        <w:rPr>
          <w:rFonts w:ascii="宋体" w:hAnsi="宋体" w:cs="宋体"/>
          <w:color w:val="auto"/>
          <w:highlight w:val="none"/>
        </w:rPr>
      </w:pPr>
    </w:p>
    <w:p w14:paraId="6C49ADC1">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bookmarkStart w:id="382" w:name="_Toc46238293"/>
      <w:r>
        <w:rPr>
          <w:rFonts w:hint="eastAsia" w:hAnsi="宋体"/>
          <w:color w:val="auto"/>
          <w:sz w:val="24"/>
          <w:szCs w:val="24"/>
          <w:highlight w:val="none"/>
        </w:rPr>
        <w:t>投标人名称</w:t>
      </w:r>
      <w:r>
        <w:rPr>
          <w:rFonts w:hAnsi="宋体"/>
          <w:color w:val="auto"/>
          <w:sz w:val="24"/>
          <w:szCs w:val="24"/>
          <w:highlight w:val="none"/>
        </w:rPr>
        <w:t>(</w:t>
      </w:r>
      <w:r>
        <w:rPr>
          <w:rFonts w:hint="eastAsia" w:hAnsi="宋体"/>
          <w:color w:val="auto"/>
          <w:sz w:val="24"/>
          <w:szCs w:val="24"/>
          <w:highlight w:val="none"/>
        </w:rPr>
        <w:t>公章</w:t>
      </w:r>
      <w:r>
        <w:rPr>
          <w:rFonts w:hAnsi="宋体"/>
          <w:color w:val="auto"/>
          <w:sz w:val="24"/>
          <w:szCs w:val="24"/>
          <w:highlight w:val="none"/>
        </w:rPr>
        <w:t>)</w:t>
      </w:r>
      <w:r>
        <w:rPr>
          <w:rFonts w:hint="eastAsia" w:hAnsi="宋体"/>
          <w:color w:val="auto"/>
          <w:sz w:val="24"/>
          <w:szCs w:val="24"/>
          <w:highlight w:val="none"/>
        </w:rPr>
        <w:t>：</w:t>
      </w:r>
      <w:r>
        <w:rPr>
          <w:rFonts w:hAnsi="宋体"/>
          <w:color w:val="auto"/>
          <w:sz w:val="24"/>
          <w:szCs w:val="24"/>
          <w:highlight w:val="none"/>
        </w:rPr>
        <w:t>______________</w:t>
      </w:r>
    </w:p>
    <w:p w14:paraId="5BE1E582">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r>
        <w:rPr>
          <w:rFonts w:hint="eastAsia" w:hAnsi="宋体"/>
          <w:color w:val="auto"/>
          <w:sz w:val="24"/>
          <w:szCs w:val="24"/>
          <w:highlight w:val="none"/>
        </w:rPr>
        <w:t>法定代表人或负责人或其授权代表</w:t>
      </w:r>
      <w:r>
        <w:rPr>
          <w:rFonts w:hAnsi="宋体"/>
          <w:color w:val="auto"/>
          <w:sz w:val="24"/>
          <w:szCs w:val="24"/>
          <w:highlight w:val="none"/>
        </w:rPr>
        <w:t>(</w:t>
      </w:r>
      <w:r>
        <w:rPr>
          <w:rFonts w:hint="eastAsia" w:hAnsi="宋体"/>
          <w:color w:val="auto"/>
          <w:sz w:val="24"/>
          <w:szCs w:val="24"/>
          <w:highlight w:val="none"/>
        </w:rPr>
        <w:t>签字或盖章</w:t>
      </w:r>
      <w:r>
        <w:rPr>
          <w:rFonts w:hAnsi="宋体"/>
          <w:color w:val="auto"/>
          <w:sz w:val="24"/>
          <w:szCs w:val="24"/>
          <w:highlight w:val="none"/>
        </w:rPr>
        <w:t>)</w:t>
      </w:r>
      <w:r>
        <w:rPr>
          <w:rFonts w:hint="eastAsia" w:hAnsi="宋体"/>
          <w:color w:val="auto"/>
          <w:sz w:val="24"/>
          <w:szCs w:val="24"/>
          <w:highlight w:val="none"/>
        </w:rPr>
        <w:t>：</w:t>
      </w:r>
      <w:r>
        <w:rPr>
          <w:rFonts w:hAnsi="宋体"/>
          <w:color w:val="auto"/>
          <w:sz w:val="24"/>
          <w:szCs w:val="24"/>
          <w:highlight w:val="none"/>
        </w:rPr>
        <w:t>______________</w:t>
      </w:r>
    </w:p>
    <w:p w14:paraId="58DF5C69">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r>
        <w:rPr>
          <w:rFonts w:hint="eastAsia" w:hAnsi="宋体"/>
          <w:color w:val="auto"/>
          <w:sz w:val="24"/>
          <w:szCs w:val="24"/>
          <w:highlight w:val="none"/>
        </w:rPr>
        <w:t>日期：</w:t>
      </w:r>
      <w:r>
        <w:rPr>
          <w:rFonts w:hAnsi="宋体"/>
          <w:color w:val="auto"/>
          <w:sz w:val="24"/>
          <w:szCs w:val="24"/>
          <w:highlight w:val="none"/>
        </w:rPr>
        <w:t>______</w:t>
      </w:r>
      <w:r>
        <w:rPr>
          <w:rFonts w:hint="eastAsia" w:hAnsi="宋体"/>
          <w:color w:val="auto"/>
          <w:sz w:val="24"/>
          <w:szCs w:val="24"/>
          <w:highlight w:val="none"/>
        </w:rPr>
        <w:t>年</w:t>
      </w:r>
      <w:r>
        <w:rPr>
          <w:rFonts w:hAnsi="宋体"/>
          <w:color w:val="auto"/>
          <w:sz w:val="24"/>
          <w:szCs w:val="24"/>
          <w:highlight w:val="none"/>
        </w:rPr>
        <w:t>____</w:t>
      </w:r>
      <w:r>
        <w:rPr>
          <w:rFonts w:hint="eastAsia" w:hAnsi="宋体"/>
          <w:color w:val="auto"/>
          <w:sz w:val="24"/>
          <w:szCs w:val="24"/>
          <w:highlight w:val="none"/>
        </w:rPr>
        <w:t>月</w:t>
      </w:r>
      <w:r>
        <w:rPr>
          <w:rFonts w:hAnsi="宋体"/>
          <w:color w:val="auto"/>
          <w:sz w:val="24"/>
          <w:szCs w:val="24"/>
          <w:highlight w:val="none"/>
        </w:rPr>
        <w:t>____</w:t>
      </w:r>
      <w:r>
        <w:rPr>
          <w:rFonts w:hint="eastAsia" w:hAnsi="宋体"/>
          <w:color w:val="auto"/>
          <w:sz w:val="24"/>
          <w:szCs w:val="24"/>
          <w:highlight w:val="none"/>
        </w:rPr>
        <w:t>日</w:t>
      </w:r>
    </w:p>
    <w:p w14:paraId="1708D3DA">
      <w:pPr>
        <w:pStyle w:val="4"/>
        <w:spacing w:line="480" w:lineRule="exact"/>
        <w:rPr>
          <w:rFonts w:hint="eastAsia" w:hAnsi="宋体" w:cs="宋体"/>
          <w:color w:val="auto"/>
          <w:highlight w:val="none"/>
          <w:u w:val="none"/>
        </w:rPr>
      </w:pPr>
    </w:p>
    <w:p w14:paraId="03C0E22E">
      <w:pPr>
        <w:pStyle w:val="4"/>
        <w:spacing w:line="480" w:lineRule="exact"/>
        <w:rPr>
          <w:rFonts w:hint="eastAsia" w:hAnsi="宋体" w:cs="宋体"/>
          <w:color w:val="auto"/>
          <w:highlight w:val="none"/>
          <w:u w:val="none"/>
        </w:rPr>
      </w:pPr>
      <w:bookmarkStart w:id="383" w:name="_Toc27718"/>
      <w:r>
        <w:rPr>
          <w:rFonts w:hint="eastAsia" w:hAnsi="宋体" w:cs="宋体"/>
          <w:color w:val="auto"/>
          <w:highlight w:val="none"/>
          <w:u w:val="none"/>
        </w:rPr>
        <w:t>1</w:t>
      </w:r>
      <w:r>
        <w:rPr>
          <w:rFonts w:hint="eastAsia" w:cs="宋体"/>
          <w:color w:val="auto"/>
          <w:highlight w:val="none"/>
          <w:u w:val="none"/>
          <w:lang w:val="en-US" w:eastAsia="zh-CN"/>
        </w:rPr>
        <w:t>2</w:t>
      </w:r>
      <w:r>
        <w:rPr>
          <w:rFonts w:hint="eastAsia" w:hAnsi="宋体" w:cs="宋体"/>
          <w:color w:val="auto"/>
          <w:highlight w:val="none"/>
          <w:u w:val="none"/>
        </w:rPr>
        <w:t>.</w:t>
      </w:r>
      <w:bookmarkEnd w:id="382"/>
      <w:bookmarkStart w:id="384" w:name="_Toc17771"/>
      <w:r>
        <w:rPr>
          <w:rFonts w:hint="eastAsia" w:hAnsi="宋体" w:cs="宋体"/>
          <w:color w:val="auto"/>
          <w:highlight w:val="none"/>
          <w:u w:val="none"/>
        </w:rPr>
        <w:t xml:space="preserve"> 服务团队人员</w:t>
      </w:r>
      <w:bookmarkEnd w:id="383"/>
      <w:bookmarkEnd w:id="384"/>
    </w:p>
    <w:p w14:paraId="0CE6328F">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拟投入服务人员配备表</w:t>
      </w:r>
    </w:p>
    <w:tbl>
      <w:tblPr>
        <w:tblStyle w:val="33"/>
        <w:tblW w:w="9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599"/>
        <w:gridCol w:w="213"/>
        <w:gridCol w:w="13"/>
        <w:gridCol w:w="892"/>
        <w:gridCol w:w="977"/>
        <w:gridCol w:w="1334"/>
        <w:gridCol w:w="2779"/>
        <w:gridCol w:w="1674"/>
      </w:tblGrid>
      <w:tr w14:paraId="69B9B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337" w:type="dxa"/>
            <w:gridSpan w:val="2"/>
            <w:noWrap w:val="0"/>
            <w:vAlign w:val="center"/>
          </w:tcPr>
          <w:p w14:paraId="2001B836">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单位名称</w:t>
            </w:r>
          </w:p>
        </w:tc>
        <w:tc>
          <w:tcPr>
            <w:tcW w:w="7882" w:type="dxa"/>
            <w:gridSpan w:val="7"/>
            <w:noWrap w:val="0"/>
            <w:vAlign w:val="center"/>
          </w:tcPr>
          <w:p w14:paraId="0DECE5B9">
            <w:pPr>
              <w:pageBreakBefore w:val="0"/>
              <w:widowControl w:val="0"/>
              <w:kinsoku/>
              <w:wordWrap/>
              <w:overflowPunct/>
              <w:topLinePunct w:val="0"/>
              <w:bidi w:val="0"/>
              <w:spacing w:line="500" w:lineRule="exact"/>
              <w:textAlignment w:val="auto"/>
              <w:rPr>
                <w:rFonts w:hint="eastAsia" w:asciiTheme="minorEastAsia" w:hAnsiTheme="minorEastAsia" w:eastAsiaTheme="minorEastAsia" w:cstheme="minorEastAsia"/>
                <w:color w:val="auto"/>
                <w:sz w:val="24"/>
                <w:szCs w:val="24"/>
                <w:highlight w:val="none"/>
              </w:rPr>
            </w:pPr>
          </w:p>
        </w:tc>
      </w:tr>
      <w:tr w14:paraId="4173A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219" w:type="dxa"/>
            <w:gridSpan w:val="9"/>
            <w:noWrap w:val="0"/>
            <w:vAlign w:val="center"/>
          </w:tcPr>
          <w:p w14:paraId="663D850E">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项目负责人</w:t>
            </w:r>
          </w:p>
        </w:tc>
      </w:tr>
      <w:tr w14:paraId="24CED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738" w:type="dxa"/>
            <w:noWrap w:val="0"/>
            <w:vAlign w:val="center"/>
          </w:tcPr>
          <w:p w14:paraId="4F79B6B5">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姓名</w:t>
            </w:r>
          </w:p>
        </w:tc>
        <w:tc>
          <w:tcPr>
            <w:tcW w:w="812" w:type="dxa"/>
            <w:gridSpan w:val="2"/>
            <w:noWrap w:val="0"/>
            <w:vAlign w:val="center"/>
          </w:tcPr>
          <w:p w14:paraId="50C1C6C5">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性别</w:t>
            </w:r>
          </w:p>
        </w:tc>
        <w:tc>
          <w:tcPr>
            <w:tcW w:w="905" w:type="dxa"/>
            <w:gridSpan w:val="2"/>
            <w:noWrap w:val="0"/>
            <w:vAlign w:val="center"/>
          </w:tcPr>
          <w:p w14:paraId="08864ECA">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年龄</w:t>
            </w:r>
          </w:p>
        </w:tc>
        <w:tc>
          <w:tcPr>
            <w:tcW w:w="977" w:type="dxa"/>
            <w:noWrap w:val="0"/>
            <w:vAlign w:val="center"/>
          </w:tcPr>
          <w:p w14:paraId="1F1F449E">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职务</w:t>
            </w:r>
          </w:p>
        </w:tc>
        <w:tc>
          <w:tcPr>
            <w:tcW w:w="1334" w:type="dxa"/>
            <w:noWrap w:val="0"/>
            <w:vAlign w:val="center"/>
          </w:tcPr>
          <w:p w14:paraId="59730DA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执业资格</w:t>
            </w:r>
          </w:p>
        </w:tc>
        <w:tc>
          <w:tcPr>
            <w:tcW w:w="2779" w:type="dxa"/>
            <w:noWrap w:val="0"/>
            <w:vAlign w:val="center"/>
          </w:tcPr>
          <w:p w14:paraId="796AA90F">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为本项目工作时间</w:t>
            </w:r>
          </w:p>
        </w:tc>
        <w:tc>
          <w:tcPr>
            <w:tcW w:w="1674" w:type="dxa"/>
            <w:noWrap w:val="0"/>
            <w:vAlign w:val="center"/>
          </w:tcPr>
          <w:p w14:paraId="3CCBE805">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手机号码</w:t>
            </w:r>
          </w:p>
        </w:tc>
      </w:tr>
      <w:tr w14:paraId="5E490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38" w:type="dxa"/>
            <w:noWrap w:val="0"/>
            <w:vAlign w:val="center"/>
          </w:tcPr>
          <w:p w14:paraId="560FB3E0">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812" w:type="dxa"/>
            <w:gridSpan w:val="2"/>
            <w:noWrap w:val="0"/>
            <w:vAlign w:val="center"/>
          </w:tcPr>
          <w:p w14:paraId="29C90637">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905" w:type="dxa"/>
            <w:gridSpan w:val="2"/>
            <w:noWrap w:val="0"/>
            <w:vAlign w:val="center"/>
          </w:tcPr>
          <w:p w14:paraId="09C0FB6D">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977" w:type="dxa"/>
            <w:noWrap w:val="0"/>
            <w:vAlign w:val="center"/>
          </w:tcPr>
          <w:p w14:paraId="0E79E7D8">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334" w:type="dxa"/>
            <w:noWrap w:val="0"/>
            <w:vAlign w:val="center"/>
          </w:tcPr>
          <w:p w14:paraId="56E52505">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2779" w:type="dxa"/>
            <w:noWrap w:val="0"/>
            <w:vAlign w:val="center"/>
          </w:tcPr>
          <w:p w14:paraId="0AAFE02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674" w:type="dxa"/>
            <w:noWrap w:val="0"/>
            <w:vAlign w:val="center"/>
          </w:tcPr>
          <w:p w14:paraId="41C1FF7F">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r>
      <w:tr w14:paraId="142DC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219" w:type="dxa"/>
            <w:gridSpan w:val="9"/>
            <w:noWrap w:val="0"/>
            <w:vAlign w:val="center"/>
          </w:tcPr>
          <w:p w14:paraId="4A7B009C">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主要</w:t>
            </w:r>
            <w:r>
              <w:rPr>
                <w:rFonts w:hint="eastAsia" w:asciiTheme="minorEastAsia" w:hAnsiTheme="minorEastAsia" w:eastAsiaTheme="minorEastAsia" w:cstheme="minorEastAsia"/>
                <w:color w:val="auto"/>
                <w:sz w:val="24"/>
                <w:szCs w:val="24"/>
                <w:highlight w:val="none"/>
                <w:lang w:val="en-US" w:eastAsia="zh-CN"/>
              </w:rPr>
              <w:t>服务</w:t>
            </w:r>
            <w:r>
              <w:rPr>
                <w:rFonts w:hint="eastAsia" w:asciiTheme="minorEastAsia" w:hAnsiTheme="minorEastAsia" w:eastAsiaTheme="minorEastAsia" w:cstheme="minorEastAsia"/>
                <w:color w:val="auto"/>
                <w:sz w:val="24"/>
                <w:szCs w:val="24"/>
                <w:highlight w:val="none"/>
              </w:rPr>
              <w:t>人员</w:t>
            </w:r>
          </w:p>
        </w:tc>
      </w:tr>
      <w:tr w14:paraId="429C5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738" w:type="dxa"/>
            <w:noWrap w:val="0"/>
            <w:vAlign w:val="center"/>
          </w:tcPr>
          <w:p w14:paraId="48487B5A">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姓名</w:t>
            </w:r>
          </w:p>
        </w:tc>
        <w:tc>
          <w:tcPr>
            <w:tcW w:w="825" w:type="dxa"/>
            <w:gridSpan w:val="3"/>
            <w:noWrap w:val="0"/>
            <w:vAlign w:val="center"/>
          </w:tcPr>
          <w:p w14:paraId="5DC68495">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性别</w:t>
            </w:r>
          </w:p>
        </w:tc>
        <w:tc>
          <w:tcPr>
            <w:tcW w:w="892" w:type="dxa"/>
            <w:noWrap w:val="0"/>
            <w:vAlign w:val="center"/>
          </w:tcPr>
          <w:p w14:paraId="797CAAED">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年龄</w:t>
            </w:r>
          </w:p>
        </w:tc>
        <w:tc>
          <w:tcPr>
            <w:tcW w:w="977" w:type="dxa"/>
            <w:noWrap w:val="0"/>
            <w:vAlign w:val="center"/>
          </w:tcPr>
          <w:p w14:paraId="49F4470E">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职务</w:t>
            </w:r>
          </w:p>
        </w:tc>
        <w:tc>
          <w:tcPr>
            <w:tcW w:w="1334" w:type="dxa"/>
            <w:noWrap w:val="0"/>
            <w:vAlign w:val="center"/>
          </w:tcPr>
          <w:p w14:paraId="27D6F492">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执业资格或职称</w:t>
            </w:r>
          </w:p>
        </w:tc>
        <w:tc>
          <w:tcPr>
            <w:tcW w:w="2779" w:type="dxa"/>
            <w:noWrap w:val="0"/>
            <w:vAlign w:val="center"/>
          </w:tcPr>
          <w:p w14:paraId="4CD2252A">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为本项目工作时间</w:t>
            </w:r>
          </w:p>
        </w:tc>
        <w:tc>
          <w:tcPr>
            <w:tcW w:w="1674" w:type="dxa"/>
            <w:noWrap w:val="0"/>
            <w:vAlign w:val="center"/>
          </w:tcPr>
          <w:p w14:paraId="5ED0A526">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手机号码</w:t>
            </w:r>
          </w:p>
        </w:tc>
      </w:tr>
      <w:tr w14:paraId="50F1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738" w:type="dxa"/>
            <w:noWrap w:val="0"/>
            <w:vAlign w:val="center"/>
          </w:tcPr>
          <w:p w14:paraId="1B7474BD">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825" w:type="dxa"/>
            <w:gridSpan w:val="3"/>
            <w:noWrap w:val="0"/>
            <w:vAlign w:val="center"/>
          </w:tcPr>
          <w:p w14:paraId="4C8FBDF2">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892" w:type="dxa"/>
            <w:noWrap w:val="0"/>
            <w:vAlign w:val="center"/>
          </w:tcPr>
          <w:p w14:paraId="789C30C6">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977" w:type="dxa"/>
            <w:noWrap w:val="0"/>
            <w:vAlign w:val="center"/>
          </w:tcPr>
          <w:p w14:paraId="1FC6F645">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334" w:type="dxa"/>
            <w:noWrap w:val="0"/>
            <w:vAlign w:val="center"/>
          </w:tcPr>
          <w:p w14:paraId="21D4D9DE">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2779" w:type="dxa"/>
            <w:noWrap w:val="0"/>
            <w:vAlign w:val="center"/>
          </w:tcPr>
          <w:p w14:paraId="21A76AB2">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674" w:type="dxa"/>
            <w:noWrap w:val="0"/>
            <w:vAlign w:val="center"/>
          </w:tcPr>
          <w:p w14:paraId="5F1409FD">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r>
      <w:tr w14:paraId="4FD8B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738" w:type="dxa"/>
            <w:noWrap w:val="0"/>
            <w:vAlign w:val="center"/>
          </w:tcPr>
          <w:p w14:paraId="40A729AE">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825" w:type="dxa"/>
            <w:gridSpan w:val="3"/>
            <w:noWrap w:val="0"/>
            <w:vAlign w:val="center"/>
          </w:tcPr>
          <w:p w14:paraId="4330B3BC">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892" w:type="dxa"/>
            <w:noWrap w:val="0"/>
            <w:vAlign w:val="center"/>
          </w:tcPr>
          <w:p w14:paraId="48A07918">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977" w:type="dxa"/>
            <w:noWrap w:val="0"/>
            <w:vAlign w:val="center"/>
          </w:tcPr>
          <w:p w14:paraId="5F23100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334" w:type="dxa"/>
            <w:noWrap w:val="0"/>
            <w:vAlign w:val="center"/>
          </w:tcPr>
          <w:p w14:paraId="07966C2F">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2779" w:type="dxa"/>
            <w:noWrap w:val="0"/>
            <w:vAlign w:val="center"/>
          </w:tcPr>
          <w:p w14:paraId="0710ADD9">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674" w:type="dxa"/>
            <w:noWrap w:val="0"/>
            <w:vAlign w:val="center"/>
          </w:tcPr>
          <w:p w14:paraId="202BA0FB">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r>
      <w:tr w14:paraId="173FD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738" w:type="dxa"/>
            <w:noWrap w:val="0"/>
            <w:vAlign w:val="center"/>
          </w:tcPr>
          <w:p w14:paraId="30EC6F8D">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825" w:type="dxa"/>
            <w:gridSpan w:val="3"/>
            <w:noWrap w:val="0"/>
            <w:vAlign w:val="center"/>
          </w:tcPr>
          <w:p w14:paraId="20EF85B5">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892" w:type="dxa"/>
            <w:noWrap w:val="0"/>
            <w:vAlign w:val="center"/>
          </w:tcPr>
          <w:p w14:paraId="3056D7FD">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977" w:type="dxa"/>
            <w:noWrap w:val="0"/>
            <w:vAlign w:val="center"/>
          </w:tcPr>
          <w:p w14:paraId="64C3E50F">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334" w:type="dxa"/>
            <w:noWrap w:val="0"/>
            <w:vAlign w:val="center"/>
          </w:tcPr>
          <w:p w14:paraId="780D45B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2779" w:type="dxa"/>
            <w:noWrap w:val="0"/>
            <w:vAlign w:val="center"/>
          </w:tcPr>
          <w:p w14:paraId="30647B40">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674" w:type="dxa"/>
            <w:noWrap w:val="0"/>
            <w:vAlign w:val="center"/>
          </w:tcPr>
          <w:p w14:paraId="192F8EA0">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r>
      <w:tr w14:paraId="3853E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738" w:type="dxa"/>
            <w:noWrap w:val="0"/>
            <w:vAlign w:val="center"/>
          </w:tcPr>
          <w:p w14:paraId="0B399609">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825" w:type="dxa"/>
            <w:gridSpan w:val="3"/>
            <w:noWrap w:val="0"/>
            <w:vAlign w:val="center"/>
          </w:tcPr>
          <w:p w14:paraId="729EECA2">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892" w:type="dxa"/>
            <w:noWrap w:val="0"/>
            <w:vAlign w:val="center"/>
          </w:tcPr>
          <w:p w14:paraId="57AE61C9">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977" w:type="dxa"/>
            <w:noWrap w:val="0"/>
            <w:vAlign w:val="center"/>
          </w:tcPr>
          <w:p w14:paraId="2A32C714">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334" w:type="dxa"/>
            <w:noWrap w:val="0"/>
            <w:vAlign w:val="center"/>
          </w:tcPr>
          <w:p w14:paraId="134CB7C4">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2779" w:type="dxa"/>
            <w:noWrap w:val="0"/>
            <w:vAlign w:val="center"/>
          </w:tcPr>
          <w:p w14:paraId="625B4BF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674" w:type="dxa"/>
            <w:noWrap w:val="0"/>
            <w:vAlign w:val="center"/>
          </w:tcPr>
          <w:p w14:paraId="604063F5">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r>
      <w:tr w14:paraId="02E3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738" w:type="dxa"/>
            <w:noWrap w:val="0"/>
            <w:vAlign w:val="center"/>
          </w:tcPr>
          <w:p w14:paraId="09302C2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825" w:type="dxa"/>
            <w:gridSpan w:val="3"/>
            <w:noWrap w:val="0"/>
            <w:vAlign w:val="center"/>
          </w:tcPr>
          <w:p w14:paraId="4EC9670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892" w:type="dxa"/>
            <w:noWrap w:val="0"/>
            <w:vAlign w:val="center"/>
          </w:tcPr>
          <w:p w14:paraId="357E5AFA">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977" w:type="dxa"/>
            <w:noWrap w:val="0"/>
            <w:vAlign w:val="center"/>
          </w:tcPr>
          <w:p w14:paraId="7010D6E8">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334" w:type="dxa"/>
            <w:noWrap w:val="0"/>
            <w:vAlign w:val="center"/>
          </w:tcPr>
          <w:p w14:paraId="605E86F8">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2779" w:type="dxa"/>
            <w:noWrap w:val="0"/>
            <w:vAlign w:val="center"/>
          </w:tcPr>
          <w:p w14:paraId="7CBB1628">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1674" w:type="dxa"/>
            <w:noWrap w:val="0"/>
            <w:vAlign w:val="center"/>
          </w:tcPr>
          <w:p w14:paraId="319D8DE6">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rPr>
            </w:pPr>
          </w:p>
        </w:tc>
      </w:tr>
    </w:tbl>
    <w:p w14:paraId="688DCEBF">
      <w:pPr>
        <w:pageBreakBefore w:val="0"/>
        <w:widowControl w:val="0"/>
        <w:kinsoku/>
        <w:wordWrap/>
        <w:overflowPunct/>
        <w:topLinePunct w:val="0"/>
        <w:bidi w:val="0"/>
        <w:spacing w:line="500" w:lineRule="exact"/>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注：</w:t>
      </w:r>
      <w:r>
        <w:rPr>
          <w:rFonts w:hint="eastAsia" w:asciiTheme="minorEastAsia" w:hAnsiTheme="minorEastAsia" w:eastAsia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申明所提供的资料真实有效，如有虚假将承担相关法律责任。</w:t>
      </w:r>
    </w:p>
    <w:p w14:paraId="6BC814EA">
      <w:pPr>
        <w:pageBreakBefore w:val="0"/>
        <w:widowControl w:val="0"/>
        <w:kinsoku/>
        <w:wordWrap/>
        <w:overflowPunct/>
        <w:topLinePunct w:val="0"/>
        <w:bidi w:val="0"/>
        <w:adjustRightInd w:val="0"/>
        <w:snapToGrid w:val="0"/>
        <w:spacing w:line="500" w:lineRule="exact"/>
        <w:ind w:left="210" w:leftChars="100" w:firstLine="297" w:firstLineChars="124"/>
        <w:textAlignment w:val="auto"/>
        <w:rPr>
          <w:rFonts w:hint="eastAsia" w:asciiTheme="minorEastAsia" w:hAnsiTheme="minorEastAsia" w:eastAsiaTheme="minorEastAsia" w:cstheme="minorEastAsia"/>
          <w:color w:val="auto"/>
          <w:sz w:val="24"/>
          <w:szCs w:val="24"/>
          <w:highlight w:val="none"/>
        </w:rPr>
      </w:pPr>
    </w:p>
    <w:p w14:paraId="5605CBD8">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r>
        <w:rPr>
          <w:rFonts w:hint="eastAsia" w:hAnsi="宋体"/>
          <w:color w:val="auto"/>
          <w:sz w:val="24"/>
          <w:szCs w:val="24"/>
          <w:highlight w:val="none"/>
        </w:rPr>
        <w:t>投标人名称</w:t>
      </w:r>
      <w:r>
        <w:rPr>
          <w:rFonts w:hAnsi="宋体"/>
          <w:color w:val="auto"/>
          <w:sz w:val="24"/>
          <w:szCs w:val="24"/>
          <w:highlight w:val="none"/>
        </w:rPr>
        <w:t>(</w:t>
      </w:r>
      <w:r>
        <w:rPr>
          <w:rFonts w:hint="eastAsia" w:hAnsi="宋体"/>
          <w:color w:val="auto"/>
          <w:sz w:val="24"/>
          <w:szCs w:val="24"/>
          <w:highlight w:val="none"/>
        </w:rPr>
        <w:t>公章</w:t>
      </w:r>
      <w:r>
        <w:rPr>
          <w:rFonts w:hAnsi="宋体"/>
          <w:color w:val="auto"/>
          <w:sz w:val="24"/>
          <w:szCs w:val="24"/>
          <w:highlight w:val="none"/>
        </w:rPr>
        <w:t>)</w:t>
      </w:r>
      <w:r>
        <w:rPr>
          <w:rFonts w:hint="eastAsia" w:hAnsi="宋体"/>
          <w:color w:val="auto"/>
          <w:sz w:val="24"/>
          <w:szCs w:val="24"/>
          <w:highlight w:val="none"/>
        </w:rPr>
        <w:t>：</w:t>
      </w:r>
      <w:r>
        <w:rPr>
          <w:rFonts w:hAnsi="宋体"/>
          <w:color w:val="auto"/>
          <w:sz w:val="24"/>
          <w:szCs w:val="24"/>
          <w:highlight w:val="none"/>
        </w:rPr>
        <w:t>______________</w:t>
      </w:r>
    </w:p>
    <w:p w14:paraId="2E8E2532">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r>
        <w:rPr>
          <w:rFonts w:hint="eastAsia" w:hAnsi="宋体"/>
          <w:color w:val="auto"/>
          <w:sz w:val="24"/>
          <w:szCs w:val="24"/>
          <w:highlight w:val="none"/>
        </w:rPr>
        <w:t>法定代表人或负责人或其授权代表</w:t>
      </w:r>
      <w:r>
        <w:rPr>
          <w:rFonts w:hAnsi="宋体"/>
          <w:color w:val="auto"/>
          <w:sz w:val="24"/>
          <w:szCs w:val="24"/>
          <w:highlight w:val="none"/>
        </w:rPr>
        <w:t>(</w:t>
      </w:r>
      <w:r>
        <w:rPr>
          <w:rFonts w:hint="eastAsia" w:hAnsi="宋体"/>
          <w:color w:val="auto"/>
          <w:sz w:val="24"/>
          <w:szCs w:val="24"/>
          <w:highlight w:val="none"/>
        </w:rPr>
        <w:t>签字或盖章</w:t>
      </w:r>
      <w:r>
        <w:rPr>
          <w:rFonts w:hAnsi="宋体"/>
          <w:color w:val="auto"/>
          <w:sz w:val="24"/>
          <w:szCs w:val="24"/>
          <w:highlight w:val="none"/>
        </w:rPr>
        <w:t>)</w:t>
      </w:r>
      <w:r>
        <w:rPr>
          <w:rFonts w:hint="eastAsia" w:hAnsi="宋体"/>
          <w:color w:val="auto"/>
          <w:sz w:val="24"/>
          <w:szCs w:val="24"/>
          <w:highlight w:val="none"/>
        </w:rPr>
        <w:t>：</w:t>
      </w:r>
      <w:r>
        <w:rPr>
          <w:rFonts w:hAnsi="宋体"/>
          <w:color w:val="auto"/>
          <w:sz w:val="24"/>
          <w:szCs w:val="24"/>
          <w:highlight w:val="none"/>
        </w:rPr>
        <w:t>______________</w:t>
      </w:r>
    </w:p>
    <w:p w14:paraId="512C87E7">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r>
        <w:rPr>
          <w:rFonts w:hint="eastAsia" w:hAnsi="宋体"/>
          <w:color w:val="auto"/>
          <w:sz w:val="24"/>
          <w:szCs w:val="24"/>
          <w:highlight w:val="none"/>
        </w:rPr>
        <w:t>日期：</w:t>
      </w:r>
      <w:r>
        <w:rPr>
          <w:rFonts w:hAnsi="宋体"/>
          <w:color w:val="auto"/>
          <w:sz w:val="24"/>
          <w:szCs w:val="24"/>
          <w:highlight w:val="none"/>
        </w:rPr>
        <w:t>______</w:t>
      </w:r>
      <w:r>
        <w:rPr>
          <w:rFonts w:hint="eastAsia" w:hAnsi="宋体"/>
          <w:color w:val="auto"/>
          <w:sz w:val="24"/>
          <w:szCs w:val="24"/>
          <w:highlight w:val="none"/>
        </w:rPr>
        <w:t>年</w:t>
      </w:r>
      <w:r>
        <w:rPr>
          <w:rFonts w:hAnsi="宋体"/>
          <w:color w:val="auto"/>
          <w:sz w:val="24"/>
          <w:szCs w:val="24"/>
          <w:highlight w:val="none"/>
        </w:rPr>
        <w:t>____</w:t>
      </w:r>
      <w:r>
        <w:rPr>
          <w:rFonts w:hint="eastAsia" w:hAnsi="宋体"/>
          <w:color w:val="auto"/>
          <w:sz w:val="24"/>
          <w:szCs w:val="24"/>
          <w:highlight w:val="none"/>
        </w:rPr>
        <w:t>月</w:t>
      </w:r>
      <w:r>
        <w:rPr>
          <w:rFonts w:hAnsi="宋体"/>
          <w:color w:val="auto"/>
          <w:sz w:val="24"/>
          <w:szCs w:val="24"/>
          <w:highlight w:val="none"/>
        </w:rPr>
        <w:t>____</w:t>
      </w:r>
      <w:r>
        <w:rPr>
          <w:rFonts w:hint="eastAsia" w:hAnsi="宋体"/>
          <w:color w:val="auto"/>
          <w:sz w:val="24"/>
          <w:szCs w:val="24"/>
          <w:highlight w:val="none"/>
        </w:rPr>
        <w:t>日</w:t>
      </w:r>
    </w:p>
    <w:p w14:paraId="75373063">
      <w:pPr>
        <w:rPr>
          <w:rFonts w:hint="eastAsia" w:ascii="宋体" w:hAnsi="宋体"/>
          <w:color w:val="auto"/>
          <w:sz w:val="24"/>
          <w:highlight w:val="none"/>
        </w:rPr>
      </w:pPr>
      <w:r>
        <w:rPr>
          <w:rFonts w:hint="eastAsia" w:ascii="宋体" w:hAnsi="宋体"/>
          <w:color w:val="auto"/>
          <w:sz w:val="24"/>
          <w:highlight w:val="none"/>
        </w:rPr>
        <w:br w:type="page"/>
      </w:r>
    </w:p>
    <w:p w14:paraId="26991FEE">
      <w:pPr>
        <w:pStyle w:val="4"/>
        <w:spacing w:line="600" w:lineRule="exact"/>
        <w:rPr>
          <w:rFonts w:hAnsi="宋体"/>
          <w:color w:val="auto"/>
          <w:highlight w:val="none"/>
        </w:rPr>
      </w:pPr>
      <w:bookmarkStart w:id="385" w:name="_Toc46136866"/>
      <w:bookmarkStart w:id="386" w:name="_Toc45562517"/>
      <w:bookmarkStart w:id="387" w:name="_Toc5753"/>
      <w:r>
        <w:rPr>
          <w:rFonts w:hint="eastAsia" w:hAnsi="宋体"/>
          <w:color w:val="auto"/>
          <w:highlight w:val="none"/>
        </w:rPr>
        <w:t>1</w:t>
      </w:r>
      <w:r>
        <w:rPr>
          <w:rFonts w:hint="eastAsia" w:hAnsi="宋体"/>
          <w:color w:val="auto"/>
          <w:highlight w:val="none"/>
          <w:lang w:val="en-US" w:eastAsia="zh-CN"/>
        </w:rPr>
        <w:t>3</w:t>
      </w:r>
      <w:r>
        <w:rPr>
          <w:rFonts w:hint="eastAsia" w:hAnsi="宋体"/>
          <w:color w:val="auto"/>
          <w:highlight w:val="none"/>
        </w:rPr>
        <w:t>.</w:t>
      </w:r>
      <w:bookmarkEnd w:id="385"/>
      <w:bookmarkEnd w:id="386"/>
      <w:r>
        <w:rPr>
          <w:rFonts w:hint="eastAsia" w:hAnsi="宋体"/>
          <w:color w:val="auto"/>
          <w:highlight w:val="none"/>
        </w:rPr>
        <w:t>技术响应表</w:t>
      </w:r>
      <w:bookmarkEnd w:id="387"/>
    </w:p>
    <w:tbl>
      <w:tblPr>
        <w:tblStyle w:val="33"/>
        <w:tblW w:w="8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
        <w:gridCol w:w="1268"/>
        <w:gridCol w:w="1473"/>
        <w:gridCol w:w="2393"/>
        <w:gridCol w:w="2875"/>
      </w:tblGrid>
      <w:tr w14:paraId="037F5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889" w:type="dxa"/>
            <w:noWrap/>
            <w:vAlign w:val="top"/>
          </w:tcPr>
          <w:p w14:paraId="291290A2">
            <w:pPr>
              <w:spacing w:before="9" w:line="600" w:lineRule="exact"/>
              <w:jc w:val="center"/>
              <w:rPr>
                <w:rFonts w:ascii="宋体" w:hAnsi="宋体"/>
                <w:color w:val="auto"/>
                <w:kern w:val="0"/>
                <w:szCs w:val="21"/>
                <w:highlight w:val="none"/>
                <w:lang w:eastAsia="en-US"/>
              </w:rPr>
            </w:pPr>
            <w:r>
              <w:rPr>
                <w:rFonts w:hint="eastAsia" w:ascii="宋体" w:hAnsi="宋体"/>
                <w:color w:val="auto"/>
                <w:kern w:val="0"/>
                <w:szCs w:val="21"/>
                <w:highlight w:val="none"/>
                <w:lang w:eastAsia="en-US"/>
              </w:rPr>
              <w:t>编号</w:t>
            </w:r>
          </w:p>
        </w:tc>
        <w:tc>
          <w:tcPr>
            <w:tcW w:w="1268" w:type="dxa"/>
            <w:noWrap/>
            <w:vAlign w:val="center"/>
          </w:tcPr>
          <w:p w14:paraId="4BE70AE5">
            <w:pPr>
              <w:spacing w:before="9" w:line="600" w:lineRule="exact"/>
              <w:jc w:val="center"/>
              <w:rPr>
                <w:rFonts w:ascii="宋体" w:hAnsi="宋体"/>
                <w:color w:val="auto"/>
                <w:kern w:val="0"/>
                <w:szCs w:val="21"/>
                <w:highlight w:val="none"/>
                <w:lang w:eastAsia="en-US"/>
              </w:rPr>
            </w:pPr>
            <w:r>
              <w:rPr>
                <w:rFonts w:hint="eastAsia" w:ascii="宋体" w:hAnsi="宋体"/>
                <w:color w:val="auto"/>
                <w:kern w:val="0"/>
                <w:szCs w:val="21"/>
                <w:highlight w:val="none"/>
                <w:lang w:val="en-US" w:eastAsia="zh-CN"/>
              </w:rPr>
              <w:t>服务</w:t>
            </w:r>
            <w:r>
              <w:rPr>
                <w:rFonts w:hint="eastAsia" w:ascii="宋体" w:hAnsi="宋体"/>
                <w:color w:val="auto"/>
                <w:kern w:val="0"/>
                <w:szCs w:val="21"/>
                <w:highlight w:val="none"/>
                <w:lang w:eastAsia="en-US"/>
              </w:rPr>
              <w:t>名称</w:t>
            </w:r>
          </w:p>
        </w:tc>
        <w:tc>
          <w:tcPr>
            <w:tcW w:w="1473" w:type="dxa"/>
            <w:noWrap/>
            <w:vAlign w:val="center"/>
          </w:tcPr>
          <w:p w14:paraId="15EF5498">
            <w:pPr>
              <w:spacing w:before="9" w:line="600" w:lineRule="exact"/>
              <w:jc w:val="center"/>
              <w:rPr>
                <w:rFonts w:ascii="宋体" w:hAnsi="宋体"/>
                <w:color w:val="auto"/>
                <w:kern w:val="0"/>
                <w:szCs w:val="21"/>
                <w:highlight w:val="none"/>
                <w:lang w:eastAsia="en-US"/>
              </w:rPr>
            </w:pPr>
            <w:r>
              <w:rPr>
                <w:rFonts w:hint="eastAsia" w:ascii="宋体" w:hAnsi="宋体"/>
                <w:color w:val="auto"/>
                <w:kern w:val="0"/>
                <w:szCs w:val="21"/>
                <w:highlight w:val="none"/>
                <w:lang w:eastAsia="en-US"/>
              </w:rPr>
              <w:t>偏离</w:t>
            </w:r>
          </w:p>
        </w:tc>
        <w:tc>
          <w:tcPr>
            <w:tcW w:w="2393" w:type="dxa"/>
            <w:noWrap/>
            <w:vAlign w:val="center"/>
          </w:tcPr>
          <w:p w14:paraId="6898F8D8">
            <w:pPr>
              <w:spacing w:before="9" w:line="600" w:lineRule="exact"/>
              <w:jc w:val="center"/>
              <w:rPr>
                <w:rFonts w:ascii="宋体" w:hAnsi="宋体"/>
                <w:color w:val="auto"/>
                <w:kern w:val="0"/>
                <w:szCs w:val="21"/>
                <w:highlight w:val="none"/>
                <w:lang w:eastAsia="en-US"/>
              </w:rPr>
            </w:pPr>
            <w:r>
              <w:rPr>
                <w:rFonts w:hint="eastAsia" w:ascii="宋体" w:hAnsi="宋体"/>
                <w:color w:val="auto"/>
                <w:kern w:val="0"/>
                <w:szCs w:val="21"/>
                <w:highlight w:val="none"/>
                <w:lang w:eastAsia="en-US"/>
              </w:rPr>
              <w:t>偏离说明</w:t>
            </w:r>
          </w:p>
        </w:tc>
        <w:tc>
          <w:tcPr>
            <w:tcW w:w="2875" w:type="dxa"/>
            <w:noWrap/>
            <w:vAlign w:val="center"/>
          </w:tcPr>
          <w:p w14:paraId="13D88D29">
            <w:pPr>
              <w:spacing w:before="9" w:line="600" w:lineRule="exact"/>
              <w:jc w:val="center"/>
              <w:rPr>
                <w:rFonts w:ascii="宋体" w:hAnsi="宋体"/>
                <w:color w:val="auto"/>
                <w:kern w:val="0"/>
                <w:szCs w:val="21"/>
                <w:highlight w:val="none"/>
                <w:lang w:eastAsia="en-US"/>
              </w:rPr>
            </w:pPr>
            <w:r>
              <w:rPr>
                <w:rFonts w:hint="eastAsia" w:ascii="宋体" w:hAnsi="宋体"/>
                <w:color w:val="auto"/>
                <w:kern w:val="0"/>
                <w:szCs w:val="21"/>
                <w:highlight w:val="none"/>
                <w:lang w:eastAsia="en-US"/>
              </w:rPr>
              <w:t>证明材料</w:t>
            </w:r>
          </w:p>
        </w:tc>
      </w:tr>
      <w:tr w14:paraId="2C64E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889" w:type="dxa"/>
            <w:noWrap/>
            <w:vAlign w:val="top"/>
          </w:tcPr>
          <w:p w14:paraId="47BB89DB">
            <w:pPr>
              <w:spacing w:before="9" w:line="600" w:lineRule="exact"/>
              <w:jc w:val="center"/>
              <w:rPr>
                <w:rFonts w:ascii="宋体" w:hAnsi="宋体"/>
                <w:color w:val="auto"/>
                <w:kern w:val="0"/>
                <w:szCs w:val="21"/>
                <w:highlight w:val="none"/>
              </w:rPr>
            </w:pPr>
            <w:r>
              <w:rPr>
                <w:rFonts w:hint="eastAsia" w:ascii="宋体" w:hAnsi="宋体"/>
                <w:color w:val="auto"/>
                <w:kern w:val="0"/>
                <w:szCs w:val="21"/>
                <w:highlight w:val="none"/>
              </w:rPr>
              <w:t>1.1</w:t>
            </w:r>
          </w:p>
        </w:tc>
        <w:tc>
          <w:tcPr>
            <w:tcW w:w="1268" w:type="dxa"/>
            <w:noWrap/>
            <w:vAlign w:val="center"/>
          </w:tcPr>
          <w:p w14:paraId="5E7EB259">
            <w:pPr>
              <w:spacing w:before="9" w:line="600" w:lineRule="exact"/>
              <w:jc w:val="center"/>
              <w:rPr>
                <w:rFonts w:ascii="宋体" w:hAnsi="宋体"/>
                <w:color w:val="auto"/>
                <w:kern w:val="0"/>
                <w:szCs w:val="21"/>
                <w:highlight w:val="none"/>
                <w:lang w:eastAsia="en-US"/>
              </w:rPr>
            </w:pPr>
          </w:p>
        </w:tc>
        <w:tc>
          <w:tcPr>
            <w:tcW w:w="1473" w:type="dxa"/>
            <w:noWrap/>
            <w:vAlign w:val="center"/>
          </w:tcPr>
          <w:p w14:paraId="4239A211">
            <w:pPr>
              <w:spacing w:before="9" w:line="600" w:lineRule="exact"/>
              <w:jc w:val="center"/>
              <w:rPr>
                <w:rFonts w:ascii="宋体" w:hAnsi="宋体"/>
                <w:color w:val="auto"/>
                <w:kern w:val="0"/>
                <w:szCs w:val="21"/>
                <w:highlight w:val="none"/>
                <w:lang w:eastAsia="en-US"/>
              </w:rPr>
            </w:pPr>
          </w:p>
        </w:tc>
        <w:tc>
          <w:tcPr>
            <w:tcW w:w="2393" w:type="dxa"/>
            <w:noWrap/>
            <w:vAlign w:val="center"/>
          </w:tcPr>
          <w:p w14:paraId="09ABFA47">
            <w:pPr>
              <w:spacing w:before="9" w:line="600" w:lineRule="exact"/>
              <w:jc w:val="center"/>
              <w:rPr>
                <w:rFonts w:ascii="宋体" w:hAnsi="宋体"/>
                <w:color w:val="auto"/>
                <w:kern w:val="0"/>
                <w:szCs w:val="21"/>
                <w:highlight w:val="none"/>
                <w:lang w:eastAsia="en-US"/>
              </w:rPr>
            </w:pPr>
          </w:p>
        </w:tc>
        <w:tc>
          <w:tcPr>
            <w:tcW w:w="2875" w:type="dxa"/>
            <w:noWrap/>
            <w:vAlign w:val="center"/>
          </w:tcPr>
          <w:p w14:paraId="52A947B9">
            <w:pPr>
              <w:spacing w:before="9" w:line="600" w:lineRule="exact"/>
              <w:jc w:val="center"/>
              <w:rPr>
                <w:rFonts w:ascii="宋体" w:hAnsi="宋体"/>
                <w:color w:val="auto"/>
                <w:kern w:val="0"/>
                <w:szCs w:val="21"/>
                <w:highlight w:val="none"/>
                <w:lang w:eastAsia="en-US"/>
              </w:rPr>
            </w:pPr>
          </w:p>
        </w:tc>
      </w:tr>
      <w:tr w14:paraId="78C5A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889" w:type="dxa"/>
            <w:noWrap/>
            <w:vAlign w:val="top"/>
          </w:tcPr>
          <w:p w14:paraId="3476DB4B">
            <w:pPr>
              <w:spacing w:before="9" w:line="600" w:lineRule="exact"/>
              <w:jc w:val="center"/>
              <w:rPr>
                <w:rFonts w:ascii="宋体" w:hAnsi="宋体"/>
                <w:color w:val="auto"/>
                <w:kern w:val="0"/>
                <w:szCs w:val="21"/>
                <w:highlight w:val="none"/>
              </w:rPr>
            </w:pPr>
            <w:r>
              <w:rPr>
                <w:rFonts w:hint="eastAsia" w:ascii="宋体" w:hAnsi="宋体"/>
                <w:color w:val="auto"/>
                <w:kern w:val="0"/>
                <w:szCs w:val="21"/>
                <w:highlight w:val="none"/>
              </w:rPr>
              <w:t>2.2</w:t>
            </w:r>
          </w:p>
        </w:tc>
        <w:tc>
          <w:tcPr>
            <w:tcW w:w="1268" w:type="dxa"/>
            <w:noWrap/>
            <w:vAlign w:val="center"/>
          </w:tcPr>
          <w:p w14:paraId="530C7754">
            <w:pPr>
              <w:spacing w:before="9" w:line="600" w:lineRule="exact"/>
              <w:jc w:val="center"/>
              <w:rPr>
                <w:rFonts w:ascii="宋体" w:hAnsi="宋体"/>
                <w:color w:val="auto"/>
                <w:kern w:val="0"/>
                <w:szCs w:val="21"/>
                <w:highlight w:val="none"/>
                <w:lang w:eastAsia="en-US"/>
              </w:rPr>
            </w:pPr>
          </w:p>
        </w:tc>
        <w:tc>
          <w:tcPr>
            <w:tcW w:w="1473" w:type="dxa"/>
            <w:noWrap/>
            <w:vAlign w:val="center"/>
          </w:tcPr>
          <w:p w14:paraId="42B246C6">
            <w:pPr>
              <w:spacing w:before="9" w:line="600" w:lineRule="exact"/>
              <w:jc w:val="center"/>
              <w:rPr>
                <w:rFonts w:ascii="宋体" w:hAnsi="宋体"/>
                <w:color w:val="auto"/>
                <w:kern w:val="0"/>
                <w:szCs w:val="21"/>
                <w:highlight w:val="none"/>
                <w:lang w:eastAsia="en-US"/>
              </w:rPr>
            </w:pPr>
          </w:p>
        </w:tc>
        <w:tc>
          <w:tcPr>
            <w:tcW w:w="2393" w:type="dxa"/>
            <w:noWrap/>
            <w:vAlign w:val="center"/>
          </w:tcPr>
          <w:p w14:paraId="470252E4">
            <w:pPr>
              <w:spacing w:before="9" w:line="600" w:lineRule="exact"/>
              <w:jc w:val="center"/>
              <w:rPr>
                <w:rFonts w:ascii="宋体" w:hAnsi="宋体"/>
                <w:color w:val="auto"/>
                <w:kern w:val="0"/>
                <w:szCs w:val="21"/>
                <w:highlight w:val="none"/>
                <w:lang w:eastAsia="en-US"/>
              </w:rPr>
            </w:pPr>
          </w:p>
        </w:tc>
        <w:tc>
          <w:tcPr>
            <w:tcW w:w="2875" w:type="dxa"/>
            <w:noWrap/>
            <w:vAlign w:val="center"/>
          </w:tcPr>
          <w:p w14:paraId="60FC22B5">
            <w:pPr>
              <w:spacing w:before="9" w:line="600" w:lineRule="exact"/>
              <w:jc w:val="center"/>
              <w:rPr>
                <w:rFonts w:ascii="宋体" w:hAnsi="宋体"/>
                <w:color w:val="auto"/>
                <w:kern w:val="0"/>
                <w:szCs w:val="21"/>
                <w:highlight w:val="none"/>
                <w:lang w:eastAsia="en-US"/>
              </w:rPr>
            </w:pPr>
          </w:p>
        </w:tc>
      </w:tr>
      <w:tr w14:paraId="69ABA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89" w:type="dxa"/>
            <w:noWrap/>
            <w:vAlign w:val="top"/>
          </w:tcPr>
          <w:p w14:paraId="2F83BEE7">
            <w:pPr>
              <w:spacing w:before="9" w:line="600" w:lineRule="exact"/>
              <w:jc w:val="center"/>
              <w:rPr>
                <w:rFonts w:ascii="宋体" w:hAnsi="宋体"/>
                <w:color w:val="auto"/>
                <w:kern w:val="0"/>
                <w:szCs w:val="21"/>
                <w:highlight w:val="none"/>
              </w:rPr>
            </w:pPr>
            <w:r>
              <w:rPr>
                <w:rFonts w:hint="eastAsia" w:ascii="宋体" w:hAnsi="宋体"/>
                <w:color w:val="auto"/>
                <w:kern w:val="0"/>
                <w:szCs w:val="21"/>
                <w:highlight w:val="none"/>
              </w:rPr>
              <w:t>3.3</w:t>
            </w:r>
          </w:p>
        </w:tc>
        <w:tc>
          <w:tcPr>
            <w:tcW w:w="1268" w:type="dxa"/>
            <w:noWrap/>
            <w:vAlign w:val="center"/>
          </w:tcPr>
          <w:p w14:paraId="3D3443CD">
            <w:pPr>
              <w:spacing w:before="9" w:line="600" w:lineRule="exact"/>
              <w:jc w:val="center"/>
              <w:rPr>
                <w:rFonts w:ascii="宋体" w:hAnsi="宋体"/>
                <w:color w:val="auto"/>
                <w:kern w:val="0"/>
                <w:szCs w:val="21"/>
                <w:highlight w:val="none"/>
              </w:rPr>
            </w:pPr>
            <w:r>
              <w:rPr>
                <w:rFonts w:ascii="宋体" w:hAnsi="宋体"/>
                <w:color w:val="auto"/>
                <w:kern w:val="0"/>
                <w:szCs w:val="21"/>
                <w:highlight w:val="none"/>
              </w:rPr>
              <w:t>…</w:t>
            </w:r>
          </w:p>
        </w:tc>
        <w:tc>
          <w:tcPr>
            <w:tcW w:w="1473" w:type="dxa"/>
            <w:noWrap/>
            <w:vAlign w:val="center"/>
          </w:tcPr>
          <w:p w14:paraId="60819BAF">
            <w:pPr>
              <w:spacing w:before="9" w:line="600" w:lineRule="exact"/>
              <w:jc w:val="center"/>
              <w:rPr>
                <w:rFonts w:ascii="宋体" w:hAnsi="宋体"/>
                <w:color w:val="auto"/>
                <w:kern w:val="0"/>
                <w:szCs w:val="21"/>
                <w:highlight w:val="none"/>
                <w:lang w:eastAsia="en-US"/>
              </w:rPr>
            </w:pPr>
          </w:p>
        </w:tc>
        <w:tc>
          <w:tcPr>
            <w:tcW w:w="2393" w:type="dxa"/>
            <w:noWrap/>
            <w:vAlign w:val="center"/>
          </w:tcPr>
          <w:p w14:paraId="212F12E0">
            <w:pPr>
              <w:spacing w:before="9" w:line="600" w:lineRule="exact"/>
              <w:jc w:val="center"/>
              <w:rPr>
                <w:rFonts w:ascii="宋体" w:hAnsi="宋体"/>
                <w:color w:val="auto"/>
                <w:kern w:val="0"/>
                <w:szCs w:val="21"/>
                <w:highlight w:val="none"/>
                <w:lang w:eastAsia="en-US"/>
              </w:rPr>
            </w:pPr>
          </w:p>
        </w:tc>
        <w:tc>
          <w:tcPr>
            <w:tcW w:w="2875" w:type="dxa"/>
            <w:noWrap/>
            <w:vAlign w:val="center"/>
          </w:tcPr>
          <w:p w14:paraId="2387C080">
            <w:pPr>
              <w:spacing w:before="9" w:line="600" w:lineRule="exact"/>
              <w:jc w:val="center"/>
              <w:rPr>
                <w:rFonts w:ascii="宋体" w:hAnsi="宋体"/>
                <w:color w:val="auto"/>
                <w:kern w:val="0"/>
                <w:szCs w:val="21"/>
                <w:highlight w:val="none"/>
                <w:lang w:eastAsia="en-US"/>
              </w:rPr>
            </w:pPr>
          </w:p>
        </w:tc>
      </w:tr>
    </w:tbl>
    <w:p w14:paraId="137707DD">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r>
        <w:rPr>
          <w:rFonts w:hint="eastAsia" w:hAnsi="宋体"/>
          <w:color w:val="auto"/>
          <w:sz w:val="24"/>
          <w:szCs w:val="24"/>
          <w:highlight w:val="none"/>
        </w:rPr>
        <w:t>投标人名称</w:t>
      </w:r>
      <w:r>
        <w:rPr>
          <w:rFonts w:hAnsi="宋体"/>
          <w:color w:val="auto"/>
          <w:sz w:val="24"/>
          <w:szCs w:val="24"/>
          <w:highlight w:val="none"/>
        </w:rPr>
        <w:t>(</w:t>
      </w:r>
      <w:r>
        <w:rPr>
          <w:rFonts w:hint="eastAsia" w:hAnsi="宋体"/>
          <w:color w:val="auto"/>
          <w:sz w:val="24"/>
          <w:szCs w:val="24"/>
          <w:highlight w:val="none"/>
        </w:rPr>
        <w:t>公章</w:t>
      </w:r>
      <w:r>
        <w:rPr>
          <w:rFonts w:hAnsi="宋体"/>
          <w:color w:val="auto"/>
          <w:sz w:val="24"/>
          <w:szCs w:val="24"/>
          <w:highlight w:val="none"/>
        </w:rPr>
        <w:t>)</w:t>
      </w:r>
      <w:r>
        <w:rPr>
          <w:rFonts w:hint="eastAsia" w:hAnsi="宋体"/>
          <w:color w:val="auto"/>
          <w:sz w:val="24"/>
          <w:szCs w:val="24"/>
          <w:highlight w:val="none"/>
        </w:rPr>
        <w:t>：</w:t>
      </w:r>
      <w:r>
        <w:rPr>
          <w:rFonts w:hAnsi="宋体"/>
          <w:color w:val="auto"/>
          <w:sz w:val="24"/>
          <w:szCs w:val="24"/>
          <w:highlight w:val="none"/>
        </w:rPr>
        <w:t>______________</w:t>
      </w:r>
    </w:p>
    <w:p w14:paraId="573FC45B">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r>
        <w:rPr>
          <w:rFonts w:hint="eastAsia" w:hAnsi="宋体"/>
          <w:color w:val="auto"/>
          <w:sz w:val="24"/>
          <w:szCs w:val="24"/>
          <w:highlight w:val="none"/>
        </w:rPr>
        <w:t>法定代表人或负责人或其授权代表</w:t>
      </w:r>
      <w:r>
        <w:rPr>
          <w:rFonts w:hAnsi="宋体"/>
          <w:color w:val="auto"/>
          <w:sz w:val="24"/>
          <w:szCs w:val="24"/>
          <w:highlight w:val="none"/>
        </w:rPr>
        <w:t>(</w:t>
      </w:r>
      <w:r>
        <w:rPr>
          <w:rFonts w:hint="eastAsia" w:hAnsi="宋体"/>
          <w:color w:val="auto"/>
          <w:sz w:val="24"/>
          <w:szCs w:val="24"/>
          <w:highlight w:val="none"/>
        </w:rPr>
        <w:t>签字或盖章</w:t>
      </w:r>
      <w:r>
        <w:rPr>
          <w:rFonts w:hAnsi="宋体"/>
          <w:color w:val="auto"/>
          <w:sz w:val="24"/>
          <w:szCs w:val="24"/>
          <w:highlight w:val="none"/>
        </w:rPr>
        <w:t>)</w:t>
      </w:r>
      <w:r>
        <w:rPr>
          <w:rFonts w:hint="eastAsia" w:hAnsi="宋体"/>
          <w:color w:val="auto"/>
          <w:sz w:val="24"/>
          <w:szCs w:val="24"/>
          <w:highlight w:val="none"/>
        </w:rPr>
        <w:t>：</w:t>
      </w:r>
      <w:r>
        <w:rPr>
          <w:rFonts w:hAnsi="宋体"/>
          <w:color w:val="auto"/>
          <w:sz w:val="24"/>
          <w:szCs w:val="24"/>
          <w:highlight w:val="none"/>
        </w:rPr>
        <w:t>______________</w:t>
      </w:r>
    </w:p>
    <w:p w14:paraId="2A1EAF92">
      <w:pPr>
        <w:pStyle w:val="14"/>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Ansi="宋体" w:cs="MingLiU_HKSCS"/>
          <w:color w:val="auto"/>
          <w:sz w:val="24"/>
          <w:szCs w:val="24"/>
          <w:highlight w:val="none"/>
        </w:rPr>
      </w:pPr>
      <w:r>
        <w:rPr>
          <w:rFonts w:hint="eastAsia" w:hAnsi="宋体"/>
          <w:color w:val="auto"/>
          <w:sz w:val="24"/>
          <w:szCs w:val="24"/>
          <w:highlight w:val="none"/>
        </w:rPr>
        <w:t>日期：</w:t>
      </w:r>
      <w:r>
        <w:rPr>
          <w:rFonts w:hAnsi="宋体"/>
          <w:color w:val="auto"/>
          <w:sz w:val="24"/>
          <w:szCs w:val="24"/>
          <w:highlight w:val="none"/>
        </w:rPr>
        <w:t>______</w:t>
      </w:r>
      <w:r>
        <w:rPr>
          <w:rFonts w:hint="eastAsia" w:hAnsi="宋体"/>
          <w:color w:val="auto"/>
          <w:sz w:val="24"/>
          <w:szCs w:val="24"/>
          <w:highlight w:val="none"/>
        </w:rPr>
        <w:t>年</w:t>
      </w:r>
      <w:r>
        <w:rPr>
          <w:rFonts w:hAnsi="宋体"/>
          <w:color w:val="auto"/>
          <w:sz w:val="24"/>
          <w:szCs w:val="24"/>
          <w:highlight w:val="none"/>
        </w:rPr>
        <w:t>____</w:t>
      </w:r>
      <w:r>
        <w:rPr>
          <w:rFonts w:hint="eastAsia" w:hAnsi="宋体"/>
          <w:color w:val="auto"/>
          <w:sz w:val="24"/>
          <w:szCs w:val="24"/>
          <w:highlight w:val="none"/>
        </w:rPr>
        <w:t>月</w:t>
      </w:r>
      <w:r>
        <w:rPr>
          <w:rFonts w:hAnsi="宋体"/>
          <w:color w:val="auto"/>
          <w:sz w:val="24"/>
          <w:szCs w:val="24"/>
          <w:highlight w:val="none"/>
        </w:rPr>
        <w:t>____</w:t>
      </w:r>
      <w:r>
        <w:rPr>
          <w:rFonts w:hint="eastAsia" w:hAnsi="宋体"/>
          <w:color w:val="auto"/>
          <w:sz w:val="24"/>
          <w:szCs w:val="24"/>
          <w:highlight w:val="none"/>
        </w:rPr>
        <w:t>日</w:t>
      </w:r>
    </w:p>
    <w:p w14:paraId="34127BB8">
      <w:pPr>
        <w:spacing w:line="600" w:lineRule="exact"/>
        <w:rPr>
          <w:rFonts w:ascii="宋体" w:hAnsi="宋体"/>
          <w:color w:val="auto"/>
          <w:highlight w:val="none"/>
        </w:rPr>
      </w:pPr>
    </w:p>
    <w:p w14:paraId="33400973">
      <w:pPr>
        <w:pStyle w:val="4"/>
        <w:keepNext/>
        <w:keepLines/>
        <w:pageBreakBefore w:val="0"/>
        <w:widowControl w:val="0"/>
        <w:kinsoku/>
        <w:wordWrap/>
        <w:overflowPunct/>
        <w:topLinePunct w:val="0"/>
        <w:autoSpaceDE w:val="0"/>
        <w:autoSpaceDN w:val="0"/>
        <w:bidi w:val="0"/>
        <w:adjustRightInd w:val="0"/>
        <w:snapToGrid/>
        <w:spacing w:before="0" w:after="0" w:line="600" w:lineRule="exact"/>
        <w:textAlignment w:val="auto"/>
        <w:rPr>
          <w:rFonts w:hint="eastAsia" w:hAnsi="宋体"/>
          <w:color w:val="auto"/>
          <w:highlight w:val="none"/>
        </w:rPr>
      </w:pPr>
      <w:bookmarkStart w:id="388" w:name="_Toc20238"/>
      <w:bookmarkStart w:id="389" w:name="_Toc45562518"/>
      <w:bookmarkStart w:id="390" w:name="_Toc46136864"/>
      <w:bookmarkStart w:id="391" w:name="_Toc216582818"/>
      <w:bookmarkStart w:id="392" w:name="_Toc518923119"/>
      <w:bookmarkStart w:id="393" w:name="_Toc46136871"/>
      <w:bookmarkStart w:id="394" w:name="_Toc31051"/>
      <w:bookmarkStart w:id="395" w:name="_Toc518923122"/>
      <w:r>
        <w:rPr>
          <w:rFonts w:hint="eastAsia" w:hAnsi="宋体"/>
          <w:color w:val="auto"/>
          <w:highlight w:val="none"/>
          <w:lang w:val="en-US" w:eastAsia="zh-CN"/>
        </w:rPr>
        <w:t>14</w:t>
      </w:r>
      <w:r>
        <w:rPr>
          <w:rFonts w:hint="eastAsia" w:hAnsi="宋体"/>
          <w:color w:val="auto"/>
          <w:highlight w:val="none"/>
        </w:rPr>
        <w:t>.符合价格扣除条件的投标人需提供的资料</w:t>
      </w:r>
      <w:bookmarkEnd w:id="388"/>
      <w:bookmarkEnd w:id="389"/>
      <w:bookmarkEnd w:id="390"/>
    </w:p>
    <w:bookmarkEnd w:id="391"/>
    <w:bookmarkEnd w:id="392"/>
    <w:p w14:paraId="16D60B20">
      <w:pPr>
        <w:pStyle w:val="4"/>
        <w:keepNext/>
        <w:keepLines/>
        <w:pageBreakBefore w:val="0"/>
        <w:widowControl w:val="0"/>
        <w:kinsoku/>
        <w:wordWrap/>
        <w:overflowPunct/>
        <w:topLinePunct w:val="0"/>
        <w:autoSpaceDE w:val="0"/>
        <w:autoSpaceDN w:val="0"/>
        <w:bidi w:val="0"/>
        <w:adjustRightInd w:val="0"/>
        <w:snapToGrid/>
        <w:spacing w:before="0" w:after="0" w:line="600" w:lineRule="exact"/>
        <w:textAlignment w:val="auto"/>
        <w:rPr>
          <w:color w:val="auto"/>
          <w:highlight w:val="none"/>
        </w:rPr>
      </w:pPr>
      <w:bookmarkStart w:id="396" w:name="_Toc518923120"/>
      <w:bookmarkStart w:id="397" w:name="_Toc19990"/>
      <w:bookmarkStart w:id="398" w:name="_Toc13412"/>
      <w:r>
        <w:rPr>
          <w:rFonts w:hint="eastAsia" w:hAnsi="宋体"/>
          <w:b w:val="0"/>
          <w:color w:val="auto"/>
          <w:highlight w:val="none"/>
          <w:lang w:val="en-US" w:eastAsia="zh-CN"/>
        </w:rPr>
        <w:t>14</w:t>
      </w:r>
      <w:r>
        <w:rPr>
          <w:rFonts w:hint="eastAsia" w:hAnsi="宋体"/>
          <w:b w:val="0"/>
          <w:color w:val="auto"/>
          <w:highlight w:val="none"/>
        </w:rPr>
        <w:t xml:space="preserve">.1 </w:t>
      </w:r>
      <w:bookmarkEnd w:id="396"/>
      <w:r>
        <w:rPr>
          <w:rFonts w:hint="eastAsia"/>
          <w:color w:val="auto"/>
          <w:highlight w:val="none"/>
        </w:rPr>
        <w:t>中小企业声明函</w:t>
      </w:r>
      <w:bookmarkEnd w:id="397"/>
      <w:bookmarkEnd w:id="398"/>
      <w:r>
        <w:rPr>
          <w:rFonts w:hint="eastAsia"/>
          <w:color w:val="auto"/>
          <w:highlight w:val="none"/>
        </w:rPr>
        <w:t xml:space="preserve">   </w:t>
      </w:r>
    </w:p>
    <w:p w14:paraId="14D15750">
      <w:pPr>
        <w:tabs>
          <w:tab w:val="left" w:pos="146"/>
        </w:tabs>
        <w:spacing w:before="240" w:line="369" w:lineRule="auto"/>
        <w:ind w:left="11" w:right="260" w:firstLine="49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本公司（联合体） 郑重声明，根据《政府采购促进中小企业发展管理办  法》（财库﹝2020﹞46号）的规定，本公司</w:t>
      </w:r>
      <w:r>
        <w:rPr>
          <w:rFonts w:hint="eastAsia" w:ascii="宋体" w:hAnsi="宋体" w:eastAsia="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rPr>
        <w:t>（联合体） 参加（单位名称）的</w:t>
      </w:r>
      <w:r>
        <w:rPr>
          <w:rFonts w:hint="eastAsia" w:ascii="宋体" w:hAnsi="宋体" w:eastAsia="宋体" w:cs="宋体"/>
          <w:color w:val="auto"/>
          <w:spacing w:val="0"/>
          <w:sz w:val="24"/>
          <w:szCs w:val="24"/>
          <w:highlight w:val="none"/>
          <w:u w:val="single"/>
        </w:rPr>
        <w:t xml:space="preserve">  </w:t>
      </w:r>
      <w:r>
        <w:rPr>
          <w:rFonts w:hint="eastAsia" w:ascii="宋体" w:hAnsi="宋体" w:eastAsia="宋体" w:cs="宋体"/>
          <w:color w:val="auto"/>
          <w:spacing w:val="0"/>
          <w:sz w:val="24"/>
          <w:szCs w:val="24"/>
          <w:highlight w:val="none"/>
          <w:u w:val="single"/>
        </w:rPr>
        <w:tab/>
      </w:r>
      <w:r>
        <w:rPr>
          <w:rFonts w:hint="eastAsia" w:ascii="宋体" w:hAnsi="宋体" w:eastAsia="宋体" w:cs="宋体"/>
          <w:color w:val="auto"/>
          <w:spacing w:val="0"/>
          <w:sz w:val="24"/>
          <w:szCs w:val="24"/>
          <w:highlight w:val="none"/>
          <w:u w:val="single"/>
        </w:rPr>
        <w:t xml:space="preserve">（项目名称） </w:t>
      </w:r>
      <w:r>
        <w:rPr>
          <w:rFonts w:hint="eastAsia" w:ascii="宋体" w:hAnsi="宋体" w:eastAsia="宋体" w:cs="宋体"/>
          <w:color w:val="auto"/>
          <w:spacing w:val="0"/>
          <w:sz w:val="24"/>
          <w:szCs w:val="24"/>
          <w:highlight w:val="none"/>
        </w:rPr>
        <w:t>采购活动，服务全部由符合政策要求的中小企业承接 。相关企业（含联合体中的中小企业、签订分包意向协议的中小企业） 的具体情况如下：</w:t>
      </w:r>
    </w:p>
    <w:p w14:paraId="45EF1FCB">
      <w:pPr>
        <w:spacing w:line="369" w:lineRule="auto"/>
        <w:ind w:left="23" w:right="301" w:firstLine="495"/>
        <w:rPr>
          <w:rFonts w:hint="eastAsia" w:ascii="宋体" w:hAnsi="宋体" w:eastAsia="宋体" w:cs="宋体"/>
          <w:color w:val="auto"/>
          <w:spacing w:val="0"/>
          <w:sz w:val="24"/>
          <w:szCs w:val="24"/>
          <w:highlight w:val="none"/>
          <w:lang w:eastAsia="zh-CN"/>
        </w:rPr>
      </w:pPr>
      <w:r>
        <w:rPr>
          <w:rFonts w:ascii="宋体" w:hAnsi="宋体" w:eastAsia="宋体" w:cs="宋体"/>
          <w:color w:val="auto"/>
          <w:spacing w:val="0"/>
          <w:sz w:val="24"/>
          <w:szCs w:val="24"/>
          <w:highlight w:val="none"/>
          <w:u w:val="single" w:color="auto"/>
        </w:rPr>
        <w:t xml:space="preserve">（标的名称） </w:t>
      </w:r>
      <w:r>
        <w:rPr>
          <w:rFonts w:ascii="宋体" w:hAnsi="宋体" w:eastAsia="宋体" w:cs="宋体"/>
          <w:color w:val="auto"/>
          <w:spacing w:val="0"/>
          <w:sz w:val="24"/>
          <w:szCs w:val="24"/>
          <w:highlight w:val="none"/>
        </w:rPr>
        <w:t>，属于（</w:t>
      </w:r>
      <w:r>
        <w:rPr>
          <w:rFonts w:hint="eastAsia" w:ascii="宋体" w:hAnsi="宋体" w:eastAsia="宋体" w:cs="宋体"/>
          <w:color w:val="auto"/>
          <w:spacing w:val="0"/>
          <w:sz w:val="24"/>
          <w:szCs w:val="24"/>
          <w:highlight w:val="none"/>
        </w:rPr>
        <w:t>物业管理</w:t>
      </w:r>
      <w:r>
        <w:rPr>
          <w:rFonts w:ascii="宋体" w:hAnsi="宋体" w:eastAsia="宋体" w:cs="宋体"/>
          <w:color w:val="auto"/>
          <w:spacing w:val="0"/>
          <w:sz w:val="24"/>
          <w:szCs w:val="24"/>
          <w:highlight w:val="none"/>
          <w:u w:val="none" w:color="auto"/>
        </w:rPr>
        <w:t>）</w:t>
      </w:r>
      <w:r>
        <w:rPr>
          <w:rFonts w:hint="eastAsia" w:ascii="宋体" w:hAnsi="宋体" w:cs="宋体"/>
          <w:color w:val="auto"/>
          <w:spacing w:val="0"/>
          <w:sz w:val="24"/>
          <w:szCs w:val="24"/>
          <w:highlight w:val="none"/>
          <w:u w:val="none" w:color="auto"/>
          <w:lang w:val="en-US" w:eastAsia="zh-CN"/>
        </w:rPr>
        <w:t>行业</w:t>
      </w:r>
      <w:r>
        <w:rPr>
          <w:rFonts w:ascii="宋体" w:hAnsi="宋体" w:eastAsia="宋体" w:cs="宋体"/>
          <w:color w:val="auto"/>
          <w:spacing w:val="0"/>
          <w:sz w:val="24"/>
          <w:szCs w:val="24"/>
          <w:highlight w:val="none"/>
          <w:u w:val="none" w:color="auto"/>
        </w:rPr>
        <w:t xml:space="preserve"> </w:t>
      </w:r>
      <w:r>
        <w:rPr>
          <w:rFonts w:ascii="宋体" w:hAnsi="宋体" w:eastAsia="宋体" w:cs="宋体"/>
          <w:color w:val="auto"/>
          <w:spacing w:val="0"/>
          <w:sz w:val="24"/>
          <w:szCs w:val="24"/>
          <w:highlight w:val="none"/>
        </w:rPr>
        <w:t>；承建（承接） 企业为</w:t>
      </w:r>
      <w:r>
        <w:rPr>
          <w:rFonts w:ascii="宋体" w:hAnsi="宋体" w:eastAsia="宋体" w:cs="宋体"/>
          <w:color w:val="auto"/>
          <w:spacing w:val="0"/>
          <w:sz w:val="24"/>
          <w:szCs w:val="24"/>
          <w:highlight w:val="none"/>
          <w:u w:val="single" w:color="auto"/>
        </w:rPr>
        <w:t xml:space="preserve">（企业名称） </w:t>
      </w:r>
      <w:r>
        <w:rPr>
          <w:rFonts w:ascii="宋体" w:hAnsi="宋体" w:eastAsia="宋体" w:cs="宋体"/>
          <w:color w:val="auto"/>
          <w:spacing w:val="0"/>
          <w:sz w:val="24"/>
          <w:szCs w:val="24"/>
          <w:highlight w:val="none"/>
        </w:rPr>
        <w:t>， 从业人员</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人，营业收入为</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万元，资产总额为</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万元，属于</w:t>
      </w:r>
      <w:r>
        <w:rPr>
          <w:rFonts w:ascii="宋体" w:hAnsi="宋体" w:eastAsia="宋体" w:cs="宋体"/>
          <w:color w:val="auto"/>
          <w:spacing w:val="0"/>
          <w:sz w:val="24"/>
          <w:szCs w:val="24"/>
          <w:highlight w:val="none"/>
          <w:u w:val="single" w:color="auto"/>
        </w:rPr>
        <w:t>（</w:t>
      </w:r>
      <w:r>
        <w:rPr>
          <w:rFonts w:hint="eastAsia" w:ascii="宋体" w:hAnsi="宋体" w:cs="宋体"/>
          <w:color w:val="auto"/>
          <w:spacing w:val="0"/>
          <w:sz w:val="24"/>
          <w:szCs w:val="24"/>
          <w:highlight w:val="none"/>
          <w:u w:val="single" w:color="auto"/>
          <w:lang w:val="en-US" w:eastAsia="zh-CN"/>
        </w:rPr>
        <w:t>选其中之一填写：</w:t>
      </w:r>
      <w:r>
        <w:rPr>
          <w:rFonts w:ascii="宋体" w:hAnsi="宋体" w:eastAsia="宋体" w:cs="宋体"/>
          <w:color w:val="auto"/>
          <w:spacing w:val="0"/>
          <w:sz w:val="24"/>
          <w:szCs w:val="24"/>
          <w:highlight w:val="none"/>
          <w:u w:val="single" w:color="auto"/>
        </w:rPr>
        <w:t>中型企业、小型企业、微型企业）</w:t>
      </w:r>
      <w:r>
        <w:rPr>
          <w:rFonts w:hint="eastAsia" w:ascii="宋体" w:hAnsi="宋体" w:cs="宋体"/>
          <w:color w:val="auto"/>
          <w:spacing w:val="0"/>
          <w:sz w:val="24"/>
          <w:szCs w:val="24"/>
          <w:highlight w:val="none"/>
          <w:u w:val="single" w:color="auto"/>
          <w:lang w:eastAsia="zh-CN"/>
        </w:rPr>
        <w:t>。</w:t>
      </w:r>
    </w:p>
    <w:p w14:paraId="042692BB">
      <w:pPr>
        <w:spacing w:before="243" w:line="521" w:lineRule="exact"/>
        <w:ind w:firstLine="528"/>
        <w:rPr>
          <w:rFonts w:ascii="宋体" w:hAnsi="宋体" w:eastAsia="宋体" w:cs="宋体"/>
          <w:color w:val="auto"/>
          <w:spacing w:val="0"/>
          <w:sz w:val="24"/>
          <w:szCs w:val="24"/>
          <w:highlight w:val="none"/>
        </w:rPr>
      </w:pPr>
      <w:r>
        <w:rPr>
          <w:rFonts w:ascii="宋体" w:hAnsi="宋体" w:eastAsia="宋体" w:cs="宋体"/>
          <w:color w:val="auto"/>
          <w:spacing w:val="0"/>
          <w:position w:val="21"/>
          <w:sz w:val="24"/>
          <w:szCs w:val="24"/>
          <w:highlight w:val="none"/>
        </w:rPr>
        <w:t>以上企业，不属于大企业的分支机构，不存在控股股东为大企业的情形，</w:t>
      </w:r>
    </w:p>
    <w:p w14:paraId="55634215">
      <w:pPr>
        <w:spacing w:line="204" w:lineRule="auto"/>
        <w:ind w:firstLine="25"/>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也不存在与大企业的负责人为同一人的情形。</w:t>
      </w:r>
    </w:p>
    <w:p w14:paraId="29A0CACB">
      <w:pPr>
        <w:spacing w:before="256" w:line="185" w:lineRule="auto"/>
        <w:ind w:firstLine="502"/>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本企业对上述声明内容的真实性负责。如有虚假，将依法承担相应责任。</w:t>
      </w:r>
    </w:p>
    <w:p w14:paraId="1FC97FA4">
      <w:pPr>
        <w:spacing w:line="297" w:lineRule="auto"/>
        <w:rPr>
          <w:rFonts w:ascii="宋体"/>
          <w:color w:val="auto"/>
          <w:spacing w:val="0"/>
          <w:sz w:val="21"/>
          <w:highlight w:val="none"/>
        </w:rPr>
      </w:pPr>
    </w:p>
    <w:p w14:paraId="78D0C65D">
      <w:pPr>
        <w:spacing w:line="298" w:lineRule="auto"/>
        <w:rPr>
          <w:rFonts w:ascii="宋体"/>
          <w:color w:val="auto"/>
          <w:sz w:val="21"/>
          <w:highlight w:val="none"/>
        </w:rPr>
      </w:pPr>
    </w:p>
    <w:p w14:paraId="0562614B">
      <w:pPr>
        <w:spacing w:before="78" w:line="509" w:lineRule="exact"/>
        <w:ind w:firstLine="4083"/>
        <w:rPr>
          <w:rFonts w:ascii="宋体" w:hAnsi="宋体" w:eastAsia="宋体" w:cs="宋体"/>
          <w:color w:val="auto"/>
          <w:sz w:val="24"/>
          <w:szCs w:val="24"/>
          <w:highlight w:val="none"/>
        </w:rPr>
      </w:pPr>
      <w:r>
        <w:rPr>
          <w:rFonts w:ascii="宋体" w:hAnsi="宋体" w:eastAsia="宋体" w:cs="宋体"/>
          <w:color w:val="auto"/>
          <w:spacing w:val="-1"/>
          <w:position w:val="20"/>
          <w:sz w:val="24"/>
          <w:szCs w:val="24"/>
          <w:highlight w:val="none"/>
        </w:rPr>
        <w:t>企业名称（盖章</w:t>
      </w:r>
      <w:r>
        <w:rPr>
          <w:rFonts w:ascii="宋体" w:hAnsi="宋体" w:eastAsia="宋体" w:cs="宋体"/>
          <w:color w:val="auto"/>
          <w:spacing w:val="-67"/>
          <w:position w:val="20"/>
          <w:sz w:val="24"/>
          <w:szCs w:val="24"/>
          <w:highlight w:val="none"/>
        </w:rPr>
        <w:t>）</w:t>
      </w:r>
      <w:r>
        <w:rPr>
          <w:rFonts w:ascii="宋体" w:hAnsi="宋体" w:eastAsia="宋体" w:cs="宋体"/>
          <w:color w:val="auto"/>
          <w:spacing w:val="-19"/>
          <w:position w:val="20"/>
          <w:sz w:val="24"/>
          <w:szCs w:val="24"/>
          <w:highlight w:val="none"/>
        </w:rPr>
        <w:t xml:space="preserve"> </w:t>
      </w:r>
      <w:r>
        <w:rPr>
          <w:rFonts w:ascii="宋体" w:hAnsi="宋体" w:eastAsia="宋体" w:cs="宋体"/>
          <w:color w:val="auto"/>
          <w:spacing w:val="-67"/>
          <w:position w:val="20"/>
          <w:sz w:val="24"/>
          <w:szCs w:val="24"/>
          <w:highlight w:val="none"/>
        </w:rPr>
        <w:t>：</w:t>
      </w:r>
    </w:p>
    <w:p w14:paraId="1D3A8514">
      <w:pPr>
        <w:spacing w:line="204" w:lineRule="auto"/>
        <w:ind w:firstLine="4120"/>
        <w:rPr>
          <w:rFonts w:ascii="宋体" w:hAnsi="宋体" w:eastAsia="宋体" w:cs="宋体"/>
          <w:color w:val="auto"/>
          <w:sz w:val="24"/>
          <w:szCs w:val="24"/>
          <w:highlight w:val="none"/>
        </w:rPr>
      </w:pPr>
      <w:r>
        <w:rPr>
          <w:rFonts w:ascii="宋体" w:hAnsi="宋体" w:eastAsia="宋体" w:cs="宋体"/>
          <w:color w:val="auto"/>
          <w:spacing w:val="-17"/>
          <w:sz w:val="24"/>
          <w:szCs w:val="24"/>
          <w:highlight w:val="none"/>
        </w:rPr>
        <w:t>日期：</w:t>
      </w:r>
    </w:p>
    <w:p w14:paraId="5739A5AB">
      <w:pPr>
        <w:pStyle w:val="76"/>
        <w:spacing w:line="480" w:lineRule="exact"/>
        <w:rPr>
          <w:rFonts w:hint="eastAsia" w:hAnsi="宋体" w:cs="宋体"/>
          <w:color w:val="auto"/>
          <w:highlight w:val="none"/>
        </w:rPr>
      </w:pPr>
    </w:p>
    <w:p w14:paraId="219C6577">
      <w:pPr>
        <w:pStyle w:val="76"/>
        <w:spacing w:line="480" w:lineRule="exact"/>
        <w:rPr>
          <w:rFonts w:hint="eastAsia" w:hAnsi="宋体" w:cs="宋体"/>
          <w:color w:val="auto"/>
          <w:sz w:val="21"/>
          <w:szCs w:val="21"/>
          <w:highlight w:val="none"/>
        </w:rPr>
      </w:pPr>
      <w:r>
        <w:rPr>
          <w:rFonts w:hint="eastAsia" w:hAnsi="宋体" w:cs="宋体"/>
          <w:color w:val="auto"/>
          <w:sz w:val="21"/>
          <w:szCs w:val="21"/>
          <w:highlight w:val="none"/>
        </w:rPr>
        <w:t>填写说明：</w:t>
      </w:r>
    </w:p>
    <w:p w14:paraId="7B9C80C1">
      <w:pPr>
        <w:pStyle w:val="76"/>
        <w:spacing w:line="480" w:lineRule="exact"/>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1、从</w:t>
      </w:r>
      <w:r>
        <w:rPr>
          <w:rFonts w:hint="eastAsia" w:ascii="宋体" w:hAnsi="宋体" w:eastAsia="宋体" w:cs="宋体"/>
          <w:color w:val="auto"/>
          <w:sz w:val="21"/>
          <w:szCs w:val="21"/>
          <w:highlight w:val="none"/>
          <w:lang w:val="zh-CN"/>
        </w:rPr>
        <w:t>业人员、营业收入、资产总额填报上一年度数据，无上一年度数据的新成立企业可不填报；</w:t>
      </w:r>
    </w:p>
    <w:p w14:paraId="75AF88B7">
      <w:pPr>
        <w:pStyle w:val="76"/>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2、企业类型认定标准：本项目</w:t>
      </w:r>
      <w:r>
        <w:rPr>
          <w:rFonts w:hint="eastAsia" w:ascii="宋体" w:hAnsi="宋体" w:eastAsia="宋体" w:cs="宋体"/>
          <w:color w:val="auto"/>
          <w:sz w:val="21"/>
          <w:szCs w:val="21"/>
          <w:highlight w:val="none"/>
          <w:lang w:val="en-US" w:eastAsia="zh-CN"/>
        </w:rPr>
        <w:t>所属行业以物业管理</w:t>
      </w:r>
      <w:r>
        <w:rPr>
          <w:rFonts w:hint="eastAsia" w:ascii="宋体" w:hAnsi="宋体" w:eastAsia="宋体" w:cs="宋体"/>
          <w:color w:val="auto"/>
          <w:sz w:val="21"/>
          <w:szCs w:val="21"/>
          <w:highlight w:val="none"/>
        </w:rPr>
        <w:t>为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09476FF2">
      <w:pPr>
        <w:pStyle w:val="76"/>
        <w:wordWrap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3、为保证自行认定企业类型的准确性，</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可通过国务院客户端小程序自行测试企业类型；登录国务院客户端小程序-企业-涉企查询更多-中小企业规模类型自测。</w:t>
      </w:r>
    </w:p>
    <w:p w14:paraId="2A5A4C70">
      <w:pPr>
        <w:rPr>
          <w:rFonts w:hint="eastAsia" w:ascii="宋体" w:hAnsi="宋体"/>
          <w:b/>
          <w:color w:val="auto"/>
          <w:kern w:val="0"/>
          <w:sz w:val="24"/>
          <w:szCs w:val="20"/>
          <w:highlight w:val="none"/>
        </w:rPr>
      </w:pPr>
      <w:r>
        <w:rPr>
          <w:rFonts w:hint="eastAsia" w:ascii="宋体" w:hAnsi="宋体"/>
          <w:b/>
          <w:color w:val="auto"/>
          <w:kern w:val="0"/>
          <w:sz w:val="24"/>
          <w:szCs w:val="20"/>
          <w:highlight w:val="none"/>
        </w:rPr>
        <w:br w:type="page"/>
      </w:r>
    </w:p>
    <w:p w14:paraId="23D03B25">
      <w:pPr>
        <w:spacing w:line="600" w:lineRule="exact"/>
        <w:ind w:left="1080" w:leftChars="257" w:hanging="540"/>
        <w:jc w:val="center"/>
        <w:rPr>
          <w:rFonts w:hint="eastAsia" w:ascii="宋体" w:hAnsi="宋体"/>
          <w:b/>
          <w:color w:val="auto"/>
          <w:kern w:val="0"/>
          <w:sz w:val="24"/>
          <w:szCs w:val="20"/>
          <w:highlight w:val="none"/>
        </w:rPr>
      </w:pPr>
      <w:r>
        <w:rPr>
          <w:rFonts w:hint="eastAsia" w:ascii="宋体" w:hAnsi="宋体"/>
          <w:b/>
          <w:color w:val="auto"/>
          <w:kern w:val="0"/>
          <w:sz w:val="24"/>
          <w:szCs w:val="20"/>
          <w:highlight w:val="none"/>
        </w:rPr>
        <w:t>　</w:t>
      </w:r>
      <w:bookmarkStart w:id="399" w:name="_Toc23068"/>
      <w:bookmarkStart w:id="400" w:name="_Toc515647825"/>
      <w:bookmarkStart w:id="401" w:name="_Toc24603"/>
      <w:bookmarkStart w:id="402" w:name="_Toc19284"/>
      <w:bookmarkStart w:id="403" w:name="OLE_LINK13"/>
      <w:bookmarkStart w:id="404" w:name="OLE_LINK14"/>
    </w:p>
    <w:p w14:paraId="721B3966">
      <w:pPr>
        <w:spacing w:line="600" w:lineRule="exact"/>
        <w:jc w:val="center"/>
        <w:rPr>
          <w:rFonts w:hint="eastAsia" w:ascii="宋体" w:hAnsi="宋体"/>
          <w:b/>
          <w:color w:val="auto"/>
          <w:kern w:val="0"/>
          <w:sz w:val="24"/>
          <w:szCs w:val="20"/>
          <w:highlight w:val="none"/>
        </w:rPr>
      </w:pPr>
      <w:r>
        <w:rPr>
          <w:rFonts w:hint="eastAsia" w:ascii="宋体" w:hAnsi="宋体"/>
          <w:b/>
          <w:color w:val="auto"/>
          <w:kern w:val="0"/>
          <w:sz w:val="24"/>
          <w:szCs w:val="20"/>
          <w:highlight w:val="none"/>
          <w:lang w:val="en-US" w:eastAsia="zh-CN"/>
        </w:rPr>
        <w:t>14</w:t>
      </w:r>
      <w:r>
        <w:rPr>
          <w:rFonts w:hint="eastAsia" w:ascii="宋体" w:hAnsi="宋体"/>
          <w:b/>
          <w:color w:val="auto"/>
          <w:kern w:val="0"/>
          <w:sz w:val="24"/>
          <w:szCs w:val="20"/>
          <w:highlight w:val="none"/>
        </w:rPr>
        <w:t>.2  残疾人福利性单位声明函</w:t>
      </w:r>
      <w:bookmarkEnd w:id="399"/>
      <w:bookmarkEnd w:id="400"/>
      <w:bookmarkEnd w:id="401"/>
      <w:bookmarkEnd w:id="402"/>
    </w:p>
    <w:bookmarkEnd w:id="403"/>
    <w:bookmarkEnd w:id="404"/>
    <w:p w14:paraId="0382C679">
      <w:pPr>
        <w:spacing w:line="600" w:lineRule="exact"/>
        <w:ind w:firstLine="567"/>
        <w:rPr>
          <w:rFonts w:hint="eastAsia" w:ascii="宋体" w:hAnsi="宋体"/>
          <w:color w:val="auto"/>
          <w:kern w:val="0"/>
          <w:sz w:val="24"/>
          <w:szCs w:val="20"/>
          <w:highlight w:val="none"/>
        </w:rPr>
      </w:pPr>
      <w:r>
        <w:rPr>
          <w:rFonts w:hint="eastAsia" w:ascii="宋体" w:hAnsi="宋体"/>
          <w:color w:val="auto"/>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14:paraId="4E24C86E">
      <w:pPr>
        <w:spacing w:line="600" w:lineRule="exact"/>
        <w:ind w:left="1080" w:leftChars="257" w:hanging="540"/>
        <w:rPr>
          <w:rFonts w:hint="eastAsia" w:ascii="宋体" w:hAnsi="宋体"/>
          <w:color w:val="auto"/>
          <w:kern w:val="0"/>
          <w:sz w:val="24"/>
          <w:szCs w:val="20"/>
          <w:highlight w:val="none"/>
        </w:rPr>
      </w:pPr>
      <w:r>
        <w:rPr>
          <w:rFonts w:hint="eastAsia" w:ascii="宋体" w:hAnsi="宋体"/>
          <w:color w:val="auto"/>
          <w:kern w:val="0"/>
          <w:sz w:val="24"/>
          <w:szCs w:val="20"/>
          <w:highlight w:val="none"/>
        </w:rPr>
        <w:t>本单位对上述声明的真实性负责。如有虚假，将依法承担相应责任。</w:t>
      </w:r>
    </w:p>
    <w:p w14:paraId="28FC0886">
      <w:pPr>
        <w:spacing w:line="600" w:lineRule="exact"/>
        <w:ind w:left="1080" w:leftChars="257" w:hanging="540"/>
        <w:rPr>
          <w:rFonts w:hint="eastAsia" w:ascii="宋体" w:hAnsi="宋体"/>
          <w:color w:val="auto"/>
          <w:kern w:val="0"/>
          <w:sz w:val="24"/>
          <w:szCs w:val="20"/>
          <w:highlight w:val="none"/>
        </w:rPr>
      </w:pPr>
    </w:p>
    <w:p w14:paraId="1C750219">
      <w:pPr>
        <w:spacing w:line="600" w:lineRule="exact"/>
        <w:jc w:val="center"/>
        <w:rPr>
          <w:rFonts w:hint="eastAsia" w:ascii="宋体" w:hAnsi="宋体"/>
          <w:b/>
          <w:color w:val="auto"/>
          <w:kern w:val="0"/>
          <w:sz w:val="24"/>
          <w:szCs w:val="20"/>
          <w:highlight w:val="none"/>
        </w:rPr>
      </w:pPr>
      <w:r>
        <w:rPr>
          <w:rFonts w:hint="eastAsia" w:ascii="宋体" w:hAnsi="宋体"/>
          <w:b/>
          <w:color w:val="auto"/>
          <w:kern w:val="0"/>
          <w:sz w:val="24"/>
          <w:szCs w:val="20"/>
          <w:highlight w:val="none"/>
          <w:lang w:val="en-US" w:eastAsia="zh-CN"/>
        </w:rPr>
        <w:t>14</w:t>
      </w:r>
      <w:r>
        <w:rPr>
          <w:rFonts w:hint="eastAsia" w:ascii="宋体" w:hAnsi="宋体"/>
          <w:b/>
          <w:color w:val="auto"/>
          <w:kern w:val="0"/>
          <w:sz w:val="24"/>
          <w:szCs w:val="20"/>
          <w:highlight w:val="none"/>
        </w:rPr>
        <w:t>.3省级以上监狱管理局、戒毒管理局（含新疆生产建设兵团） 出具的属于监狱企业的证明文件复印件</w:t>
      </w:r>
    </w:p>
    <w:p w14:paraId="1522B3FC">
      <w:pPr>
        <w:pStyle w:val="4"/>
        <w:spacing w:line="600" w:lineRule="exact"/>
        <w:rPr>
          <w:rFonts w:hint="eastAsia" w:hAnsi="宋体"/>
          <w:color w:val="auto"/>
          <w:highlight w:val="none"/>
        </w:rPr>
      </w:pPr>
      <w:r>
        <w:rPr>
          <w:rFonts w:hint="eastAsia" w:hAnsi="宋体"/>
          <w:color w:val="auto"/>
          <w:highlight w:val="none"/>
        </w:rPr>
        <w:t>1</w:t>
      </w:r>
      <w:r>
        <w:rPr>
          <w:rFonts w:hint="eastAsia" w:hAnsi="宋体"/>
          <w:color w:val="auto"/>
          <w:highlight w:val="none"/>
          <w:lang w:val="en-US" w:eastAsia="zh-CN"/>
        </w:rPr>
        <w:t>5</w:t>
      </w:r>
      <w:r>
        <w:rPr>
          <w:rFonts w:hint="eastAsia" w:hAnsi="宋体"/>
          <w:color w:val="auto"/>
          <w:highlight w:val="none"/>
        </w:rPr>
        <w:t>.技术评审文件</w:t>
      </w:r>
      <w:bookmarkEnd w:id="393"/>
      <w:bookmarkEnd w:id="394"/>
    </w:p>
    <w:p w14:paraId="1C55F257">
      <w:pPr>
        <w:spacing w:line="600" w:lineRule="exact"/>
        <w:jc w:val="left"/>
        <w:rPr>
          <w:rFonts w:hint="eastAsia" w:ascii="宋体" w:hAnsi="宋体"/>
          <w:color w:val="auto"/>
          <w:kern w:val="0"/>
          <w:sz w:val="24"/>
          <w:szCs w:val="22"/>
          <w:highlight w:val="none"/>
        </w:rPr>
      </w:pPr>
      <w:r>
        <w:rPr>
          <w:rFonts w:hint="eastAsia" w:ascii="宋体" w:hAnsi="宋体"/>
          <w:color w:val="auto"/>
          <w:kern w:val="0"/>
          <w:sz w:val="24"/>
          <w:szCs w:val="22"/>
          <w:highlight w:val="none"/>
        </w:rPr>
        <w:t>技术部分评分中要求的相关技术文件。</w:t>
      </w:r>
    </w:p>
    <w:p w14:paraId="4EF4B8C3">
      <w:pPr>
        <w:pStyle w:val="4"/>
        <w:spacing w:line="600" w:lineRule="exact"/>
        <w:rPr>
          <w:rFonts w:hAnsi="宋体"/>
          <w:color w:val="auto"/>
          <w:highlight w:val="none"/>
        </w:rPr>
      </w:pPr>
      <w:bookmarkStart w:id="405" w:name="_Toc46136873"/>
      <w:bookmarkStart w:id="406" w:name="_Toc6276"/>
      <w:r>
        <w:rPr>
          <w:rFonts w:hint="eastAsia" w:hAnsi="宋体"/>
          <w:color w:val="auto"/>
          <w:highlight w:val="none"/>
          <w:lang w:val="en-US" w:eastAsia="zh-CN"/>
        </w:rPr>
        <w:t>16</w:t>
      </w:r>
      <w:r>
        <w:rPr>
          <w:rFonts w:hint="eastAsia" w:hAnsi="宋体"/>
          <w:color w:val="auto"/>
          <w:highlight w:val="none"/>
        </w:rPr>
        <w:t>.其他用于评分的证明材料</w:t>
      </w:r>
      <w:bookmarkEnd w:id="405"/>
      <w:bookmarkEnd w:id="406"/>
    </w:p>
    <w:p w14:paraId="6D47E008">
      <w:pPr>
        <w:spacing w:line="600" w:lineRule="exact"/>
        <w:jc w:val="left"/>
        <w:rPr>
          <w:rFonts w:hint="eastAsia" w:ascii="宋体" w:hAnsi="宋体"/>
          <w:color w:val="auto"/>
          <w:kern w:val="0"/>
          <w:sz w:val="24"/>
          <w:szCs w:val="22"/>
          <w:highlight w:val="none"/>
        </w:rPr>
      </w:pPr>
      <w:r>
        <w:rPr>
          <w:rFonts w:hint="eastAsia" w:ascii="宋体" w:hAnsi="宋体"/>
          <w:color w:val="auto"/>
          <w:kern w:val="0"/>
          <w:sz w:val="24"/>
          <w:szCs w:val="22"/>
          <w:highlight w:val="none"/>
        </w:rPr>
        <w:t>评分细则中要求的相关文件。</w:t>
      </w:r>
    </w:p>
    <w:p w14:paraId="30C81A85">
      <w:pPr>
        <w:pStyle w:val="4"/>
        <w:spacing w:line="600" w:lineRule="exact"/>
        <w:rPr>
          <w:rFonts w:hint="eastAsia" w:hAnsi="宋体"/>
          <w:color w:val="auto"/>
          <w:highlight w:val="none"/>
        </w:rPr>
      </w:pPr>
      <w:bookmarkStart w:id="407" w:name="_Toc24566"/>
      <w:bookmarkStart w:id="408" w:name="_Toc46136875"/>
      <w:r>
        <w:rPr>
          <w:rFonts w:hint="eastAsia" w:hAnsi="宋体"/>
          <w:color w:val="auto"/>
          <w:highlight w:val="none"/>
          <w:lang w:val="en-US" w:eastAsia="zh-CN"/>
        </w:rPr>
        <w:t>17</w:t>
      </w:r>
      <w:r>
        <w:rPr>
          <w:rFonts w:hint="eastAsia" w:hAnsi="宋体"/>
          <w:color w:val="auto"/>
          <w:highlight w:val="none"/>
        </w:rPr>
        <w:t>.投标人关联单位的说明</w:t>
      </w:r>
      <w:bookmarkEnd w:id="395"/>
      <w:bookmarkEnd w:id="407"/>
      <w:bookmarkEnd w:id="408"/>
    </w:p>
    <w:p w14:paraId="530D46F5">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left"/>
        <w:textAlignment w:val="auto"/>
        <w:rPr>
          <w:rFonts w:hint="eastAsia" w:ascii="宋体" w:hAnsi="宋体"/>
          <w:color w:val="auto"/>
          <w:kern w:val="0"/>
          <w:sz w:val="24"/>
          <w:szCs w:val="20"/>
          <w:highlight w:val="none"/>
        </w:rPr>
      </w:pPr>
      <w:r>
        <w:rPr>
          <w:rFonts w:hint="eastAsia" w:ascii="宋体" w:hAnsi="宋体"/>
          <w:color w:val="auto"/>
          <w:kern w:val="0"/>
          <w:sz w:val="24"/>
          <w:szCs w:val="20"/>
          <w:highlight w:val="none"/>
        </w:rPr>
        <w:t>说明：投标人应当如实披露与本单位存在下列关联关系的单位名称：</w:t>
      </w:r>
    </w:p>
    <w:p w14:paraId="2E97D2C6">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left"/>
        <w:textAlignment w:val="auto"/>
        <w:rPr>
          <w:rFonts w:hint="eastAsia" w:ascii="宋体" w:hAnsi="宋体" w:eastAsia="宋体"/>
          <w:color w:val="auto"/>
          <w:kern w:val="0"/>
          <w:sz w:val="24"/>
          <w:szCs w:val="20"/>
          <w:highlight w:val="none"/>
          <w:lang w:eastAsia="zh-CN"/>
        </w:rPr>
      </w:pPr>
      <w:r>
        <w:rPr>
          <w:rFonts w:hint="eastAsia" w:ascii="宋体" w:hAnsi="宋体"/>
          <w:color w:val="auto"/>
          <w:kern w:val="0"/>
          <w:sz w:val="24"/>
          <w:szCs w:val="20"/>
          <w:highlight w:val="none"/>
        </w:rPr>
        <w:t>（1）与投标人单位负责人为同一人的其他单位；</w:t>
      </w:r>
    </w:p>
    <w:p w14:paraId="5428170F">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jc w:val="left"/>
        <w:textAlignment w:val="auto"/>
        <w:rPr>
          <w:rFonts w:hint="eastAsia" w:ascii="宋体" w:hAnsi="宋体"/>
          <w:color w:val="auto"/>
          <w:kern w:val="0"/>
          <w:sz w:val="24"/>
          <w:szCs w:val="20"/>
          <w:highlight w:val="none"/>
        </w:rPr>
      </w:pPr>
      <w:r>
        <w:rPr>
          <w:rFonts w:hint="eastAsia" w:ascii="宋体" w:hAnsi="宋体"/>
          <w:color w:val="auto"/>
          <w:kern w:val="0"/>
          <w:sz w:val="24"/>
          <w:szCs w:val="20"/>
          <w:highlight w:val="none"/>
        </w:rPr>
        <w:t xml:space="preserve">    （2）与投标人存在直接控股、管理关系的其他单位。</w:t>
      </w:r>
    </w:p>
    <w:p w14:paraId="739185E3">
      <w:pPr>
        <w:pStyle w:val="4"/>
        <w:spacing w:line="600" w:lineRule="exact"/>
        <w:rPr>
          <w:rFonts w:hint="eastAsia" w:hAnsi="宋体"/>
          <w:color w:val="auto"/>
          <w:highlight w:val="none"/>
        </w:rPr>
      </w:pPr>
      <w:bookmarkStart w:id="409" w:name="_Toc45562528"/>
      <w:bookmarkStart w:id="410" w:name="_Toc26046"/>
      <w:bookmarkStart w:id="411" w:name="_Toc46136876"/>
      <w:r>
        <w:rPr>
          <w:rFonts w:hint="eastAsia" w:hAnsi="宋体"/>
          <w:color w:val="auto"/>
          <w:highlight w:val="none"/>
          <w:lang w:val="en-US" w:eastAsia="zh-CN"/>
        </w:rPr>
        <w:t>18</w:t>
      </w:r>
      <w:r>
        <w:rPr>
          <w:rFonts w:hint="eastAsia" w:hAnsi="宋体"/>
          <w:color w:val="auto"/>
          <w:highlight w:val="none"/>
        </w:rPr>
        <w:t>.其他材料</w:t>
      </w:r>
      <w:bookmarkEnd w:id="409"/>
      <w:bookmarkEnd w:id="410"/>
      <w:bookmarkEnd w:id="411"/>
    </w:p>
    <w:bookmarkEnd w:id="322"/>
    <w:bookmarkEnd w:id="323"/>
    <w:bookmarkEnd w:id="324"/>
    <w:bookmarkEnd w:id="325"/>
    <w:p w14:paraId="0CAC7001">
      <w:pPr>
        <w:pStyle w:val="2"/>
        <w:tabs>
          <w:tab w:val="left" w:pos="0"/>
        </w:tabs>
        <w:spacing w:before="0" w:after="0" w:line="600" w:lineRule="exact"/>
        <w:rPr>
          <w:rFonts w:hint="eastAsia" w:hAnsi="宋体"/>
          <w:color w:val="auto"/>
          <w:highlight w:val="none"/>
        </w:rPr>
      </w:pPr>
      <w:r>
        <w:rPr>
          <w:rFonts w:hAnsi="宋体"/>
          <w:color w:val="auto"/>
          <w:kern w:val="0"/>
          <w:sz w:val="24"/>
          <w:highlight w:val="none"/>
        </w:rPr>
        <w:br w:type="page"/>
      </w:r>
      <w:bookmarkStart w:id="412" w:name="_Toc7618"/>
      <w:r>
        <w:rPr>
          <w:rFonts w:hint="eastAsia" w:hAnsi="宋体"/>
          <w:color w:val="auto"/>
          <w:highlight w:val="none"/>
        </w:rPr>
        <w:t>第7章 政府采购合同格式</w:t>
      </w:r>
      <w:bookmarkEnd w:id="412"/>
    </w:p>
    <w:p w14:paraId="72763E8F">
      <w:pPr>
        <w:spacing w:line="600" w:lineRule="exact"/>
        <w:rPr>
          <w:rFonts w:hint="eastAsia" w:ascii="宋体" w:hAnsi="宋体"/>
          <w:color w:val="auto"/>
          <w:highlight w:val="none"/>
        </w:rPr>
      </w:pPr>
    </w:p>
    <w:p w14:paraId="3A65D83A">
      <w:pPr>
        <w:spacing w:line="600" w:lineRule="exact"/>
        <w:jc w:val="center"/>
        <w:rPr>
          <w:rFonts w:hint="eastAsia" w:ascii="宋体" w:hAnsi="宋体"/>
          <w:color w:val="auto"/>
          <w:sz w:val="24"/>
          <w:highlight w:val="none"/>
        </w:rPr>
      </w:pPr>
      <w:r>
        <w:rPr>
          <w:rFonts w:hint="eastAsia" w:ascii="宋体" w:hAnsi="宋体"/>
          <w:color w:val="auto"/>
          <w:sz w:val="24"/>
          <w:highlight w:val="none"/>
        </w:rPr>
        <w:t>（此合同仅供参考。以最终采购人与中标人</w:t>
      </w:r>
      <w:r>
        <w:rPr>
          <w:rFonts w:hint="eastAsia" w:ascii="宋体" w:hAnsi="宋体"/>
          <w:color w:val="auto"/>
          <w:sz w:val="24"/>
          <w:highlight w:val="none"/>
          <w:lang w:eastAsia="zh-CN"/>
        </w:rPr>
        <w:t>签订的</w:t>
      </w:r>
      <w:r>
        <w:rPr>
          <w:rFonts w:hint="eastAsia" w:ascii="宋体" w:hAnsi="宋体"/>
          <w:color w:val="auto"/>
          <w:sz w:val="24"/>
          <w:highlight w:val="none"/>
        </w:rPr>
        <w:t>合同条款为准进行公示，最终</w:t>
      </w:r>
      <w:r>
        <w:rPr>
          <w:rFonts w:hint="eastAsia" w:ascii="宋体" w:hAnsi="宋体"/>
          <w:color w:val="auto"/>
          <w:sz w:val="24"/>
          <w:highlight w:val="none"/>
          <w:lang w:eastAsia="zh-CN"/>
        </w:rPr>
        <w:t>签订合同的</w:t>
      </w:r>
      <w:r>
        <w:rPr>
          <w:rFonts w:hint="eastAsia" w:ascii="宋体" w:hAnsi="宋体"/>
          <w:color w:val="auto"/>
          <w:sz w:val="24"/>
          <w:highlight w:val="none"/>
        </w:rPr>
        <w:t>主要条款不能与招标文件冲突）</w:t>
      </w:r>
    </w:p>
    <w:p w14:paraId="2737AE0F">
      <w:pPr>
        <w:spacing w:line="600" w:lineRule="exact"/>
        <w:rPr>
          <w:rFonts w:ascii="宋体" w:hAnsi="宋体"/>
          <w:color w:val="auto"/>
          <w:sz w:val="24"/>
          <w:highlight w:val="none"/>
        </w:rPr>
      </w:pPr>
    </w:p>
    <w:p w14:paraId="4E33C577">
      <w:pPr>
        <w:spacing w:line="600" w:lineRule="exact"/>
        <w:rPr>
          <w:rFonts w:ascii="宋体" w:hAnsi="宋体"/>
          <w:color w:val="auto"/>
          <w:sz w:val="24"/>
          <w:highlight w:val="none"/>
        </w:rPr>
      </w:pPr>
    </w:p>
    <w:p w14:paraId="00A236C2">
      <w:pPr>
        <w:spacing w:line="600" w:lineRule="exact"/>
        <w:rPr>
          <w:rFonts w:ascii="宋体" w:hAnsi="宋体"/>
          <w:color w:val="auto"/>
          <w:sz w:val="24"/>
          <w:highlight w:val="none"/>
        </w:rPr>
      </w:pPr>
    </w:p>
    <w:p w14:paraId="01262B6A">
      <w:pPr>
        <w:spacing w:line="600" w:lineRule="exact"/>
        <w:jc w:val="center"/>
        <w:rPr>
          <w:rFonts w:hint="eastAsia" w:ascii="宋体" w:hAnsi="宋体"/>
          <w:b/>
          <w:color w:val="auto"/>
          <w:sz w:val="44"/>
          <w:szCs w:val="30"/>
          <w:highlight w:val="none"/>
        </w:rPr>
      </w:pPr>
      <w:r>
        <w:rPr>
          <w:rFonts w:hint="eastAsia" w:ascii="宋体" w:hAnsi="宋体"/>
          <w:b/>
          <w:color w:val="auto"/>
          <w:sz w:val="44"/>
          <w:szCs w:val="30"/>
          <w:highlight w:val="none"/>
        </w:rPr>
        <w:t>政府采购合同</w:t>
      </w:r>
    </w:p>
    <w:p w14:paraId="01922596">
      <w:pPr>
        <w:spacing w:line="600" w:lineRule="exact"/>
        <w:rPr>
          <w:rFonts w:ascii="宋体" w:hAnsi="宋体"/>
          <w:color w:val="auto"/>
          <w:sz w:val="24"/>
          <w:highlight w:val="none"/>
        </w:rPr>
      </w:pPr>
      <w:r>
        <w:rPr>
          <w:rFonts w:ascii="宋体" w:hAnsi="宋体"/>
          <w:color w:val="auto"/>
          <w:sz w:val="24"/>
          <w:highlight w:val="none"/>
        </w:rPr>
        <w:t xml:space="preserve"> </w:t>
      </w:r>
    </w:p>
    <w:p w14:paraId="42675F42">
      <w:pPr>
        <w:spacing w:line="600" w:lineRule="exact"/>
        <w:rPr>
          <w:rFonts w:ascii="宋体" w:hAnsi="宋体"/>
          <w:color w:val="auto"/>
          <w:sz w:val="24"/>
          <w:highlight w:val="none"/>
        </w:rPr>
      </w:pPr>
      <w:r>
        <w:rPr>
          <w:rFonts w:ascii="宋体" w:hAnsi="宋体"/>
          <w:color w:val="auto"/>
          <w:sz w:val="24"/>
          <w:highlight w:val="none"/>
        </w:rPr>
        <w:t xml:space="preserve"> </w:t>
      </w:r>
    </w:p>
    <w:p w14:paraId="28D83F81">
      <w:pPr>
        <w:spacing w:line="600" w:lineRule="exact"/>
        <w:rPr>
          <w:rFonts w:ascii="宋体" w:hAnsi="宋体"/>
          <w:color w:val="auto"/>
          <w:sz w:val="24"/>
          <w:highlight w:val="none"/>
        </w:rPr>
      </w:pPr>
    </w:p>
    <w:p w14:paraId="6A97CE87">
      <w:pPr>
        <w:spacing w:line="600" w:lineRule="exact"/>
        <w:rPr>
          <w:rFonts w:ascii="宋体" w:hAnsi="宋体"/>
          <w:color w:val="auto"/>
          <w:sz w:val="24"/>
          <w:highlight w:val="none"/>
        </w:rPr>
      </w:pPr>
      <w:r>
        <w:rPr>
          <w:rFonts w:ascii="宋体" w:hAnsi="宋体"/>
          <w:color w:val="auto"/>
          <w:sz w:val="24"/>
          <w:highlight w:val="none"/>
        </w:rPr>
        <w:t xml:space="preserve">                                                                                  </w:t>
      </w:r>
    </w:p>
    <w:p w14:paraId="742C7425">
      <w:pPr>
        <w:spacing w:line="600" w:lineRule="exact"/>
        <w:rPr>
          <w:rFonts w:ascii="宋体" w:hAnsi="宋体"/>
          <w:color w:val="auto"/>
          <w:sz w:val="24"/>
          <w:highlight w:val="none"/>
        </w:rPr>
      </w:pPr>
      <w:r>
        <w:rPr>
          <w:rFonts w:ascii="宋体" w:hAnsi="宋体"/>
          <w:color w:val="auto"/>
          <w:sz w:val="24"/>
          <w:highlight w:val="none"/>
        </w:rPr>
        <w:t xml:space="preserve"> </w:t>
      </w:r>
    </w:p>
    <w:p w14:paraId="482C95E5">
      <w:pPr>
        <w:spacing w:line="600" w:lineRule="exact"/>
        <w:ind w:firstLine="1200" w:firstLineChars="500"/>
        <w:rPr>
          <w:rFonts w:hint="eastAsia" w:ascii="宋体" w:hAnsi="宋体" w:eastAsia="宋体"/>
          <w:color w:val="auto"/>
          <w:sz w:val="24"/>
          <w:highlight w:val="none"/>
          <w:lang w:eastAsia="zh-CN"/>
        </w:rPr>
      </w:pPr>
      <w:r>
        <w:rPr>
          <w:rFonts w:hint="eastAsia" w:ascii="宋体" w:hAnsi="宋体"/>
          <w:color w:val="auto"/>
          <w:sz w:val="24"/>
          <w:highlight w:val="none"/>
        </w:rPr>
        <w:t>项目名称:</w:t>
      </w:r>
      <w:r>
        <w:rPr>
          <w:rFonts w:hint="eastAsia" w:ascii="宋体" w:hAnsi="宋体"/>
          <w:color w:val="auto"/>
          <w:sz w:val="24"/>
          <w:highlight w:val="none"/>
          <w:lang w:eastAsia="zh-CN"/>
        </w:rPr>
        <w:t>临沂大学第一生活区D8、D9学生公寓楼物业管理与服务采购项目</w:t>
      </w:r>
    </w:p>
    <w:p w14:paraId="2EE25358">
      <w:pPr>
        <w:spacing w:line="600" w:lineRule="exact"/>
        <w:ind w:firstLine="1200" w:firstLineChars="500"/>
        <w:rPr>
          <w:rFonts w:hint="eastAsia" w:ascii="宋体" w:hAnsi="宋体"/>
          <w:color w:val="auto"/>
          <w:sz w:val="24"/>
          <w:highlight w:val="none"/>
        </w:rPr>
      </w:pPr>
      <w:r>
        <w:rPr>
          <w:rFonts w:hint="eastAsia" w:ascii="宋体" w:hAnsi="宋体"/>
          <w:color w:val="auto"/>
          <w:sz w:val="24"/>
          <w:highlight w:val="none"/>
        </w:rPr>
        <w:t>合同编号:</w:t>
      </w:r>
    </w:p>
    <w:p w14:paraId="1FA9CF88">
      <w:pPr>
        <w:spacing w:line="600" w:lineRule="exact"/>
        <w:ind w:firstLine="1200" w:firstLineChars="500"/>
        <w:rPr>
          <w:rFonts w:hint="eastAsia" w:ascii="宋体" w:hAnsi="宋体"/>
          <w:color w:val="auto"/>
          <w:sz w:val="24"/>
          <w:highlight w:val="none"/>
        </w:rPr>
      </w:pPr>
      <w:r>
        <w:rPr>
          <w:rFonts w:hint="eastAsia" w:ascii="宋体" w:hAnsi="宋体"/>
          <w:color w:val="auto"/>
          <w:sz w:val="24"/>
          <w:highlight w:val="none"/>
        </w:rPr>
        <w:t>采购编号:</w:t>
      </w:r>
    </w:p>
    <w:p w14:paraId="43487D23">
      <w:pPr>
        <w:spacing w:line="600" w:lineRule="exact"/>
        <w:rPr>
          <w:rFonts w:ascii="宋体" w:hAnsi="宋体"/>
          <w:color w:val="auto"/>
          <w:sz w:val="24"/>
          <w:highlight w:val="none"/>
        </w:rPr>
      </w:pPr>
      <w:r>
        <w:rPr>
          <w:rFonts w:ascii="宋体" w:hAnsi="宋体"/>
          <w:color w:val="auto"/>
          <w:sz w:val="24"/>
          <w:highlight w:val="none"/>
        </w:rPr>
        <w:t xml:space="preserve"> </w:t>
      </w:r>
    </w:p>
    <w:p w14:paraId="032ED50C">
      <w:pPr>
        <w:spacing w:line="600" w:lineRule="exact"/>
        <w:rPr>
          <w:rFonts w:ascii="宋体" w:hAnsi="宋体"/>
          <w:color w:val="auto"/>
          <w:sz w:val="24"/>
          <w:highlight w:val="none"/>
        </w:rPr>
      </w:pPr>
      <w:r>
        <w:rPr>
          <w:rFonts w:ascii="宋体" w:hAnsi="宋体"/>
          <w:color w:val="auto"/>
          <w:sz w:val="24"/>
          <w:highlight w:val="none"/>
        </w:rPr>
        <w:t xml:space="preserve">  </w:t>
      </w:r>
    </w:p>
    <w:p w14:paraId="37D47F75">
      <w:pPr>
        <w:spacing w:line="600" w:lineRule="exact"/>
        <w:ind w:firstLine="1440" w:firstLineChars="600"/>
        <w:rPr>
          <w:rFonts w:hint="eastAsia" w:ascii="宋体" w:hAnsi="宋体"/>
          <w:color w:val="auto"/>
          <w:sz w:val="24"/>
          <w:highlight w:val="none"/>
        </w:rPr>
      </w:pPr>
      <w:r>
        <w:rPr>
          <w:rFonts w:hint="eastAsia" w:ascii="宋体" w:hAnsi="宋体"/>
          <w:color w:val="auto"/>
          <w:sz w:val="24"/>
          <w:highlight w:val="none"/>
        </w:rPr>
        <w:t xml:space="preserve">甲    方:                    </w:t>
      </w:r>
    </w:p>
    <w:p w14:paraId="19E704DE">
      <w:pPr>
        <w:spacing w:line="600" w:lineRule="exact"/>
        <w:ind w:firstLine="1440" w:firstLineChars="600"/>
        <w:rPr>
          <w:rFonts w:hint="eastAsia" w:ascii="宋体" w:hAnsi="宋体"/>
          <w:color w:val="auto"/>
          <w:sz w:val="24"/>
          <w:highlight w:val="none"/>
        </w:rPr>
      </w:pPr>
      <w:r>
        <w:rPr>
          <w:rFonts w:hint="eastAsia" w:ascii="宋体" w:hAnsi="宋体"/>
          <w:color w:val="auto"/>
          <w:sz w:val="24"/>
          <w:highlight w:val="none"/>
        </w:rPr>
        <w:t xml:space="preserve">乙    方:                    </w:t>
      </w:r>
    </w:p>
    <w:p w14:paraId="570806FE">
      <w:pPr>
        <w:spacing w:line="600" w:lineRule="exact"/>
        <w:rPr>
          <w:rFonts w:ascii="宋体" w:hAnsi="宋体"/>
          <w:color w:val="auto"/>
          <w:sz w:val="24"/>
          <w:highlight w:val="none"/>
        </w:rPr>
      </w:pPr>
      <w:r>
        <w:rPr>
          <w:rFonts w:ascii="宋体" w:hAnsi="宋体"/>
          <w:color w:val="auto"/>
          <w:sz w:val="24"/>
          <w:highlight w:val="none"/>
        </w:rPr>
        <w:t xml:space="preserve"> </w:t>
      </w:r>
    </w:p>
    <w:p w14:paraId="69E10779">
      <w:pPr>
        <w:spacing w:line="600" w:lineRule="exact"/>
        <w:rPr>
          <w:rFonts w:hint="eastAsia" w:ascii="宋体" w:hAnsi="宋体"/>
          <w:color w:val="auto"/>
          <w:sz w:val="24"/>
          <w:highlight w:val="none"/>
        </w:rPr>
      </w:pPr>
      <w:r>
        <w:rPr>
          <w:rFonts w:ascii="宋体" w:hAnsi="宋体"/>
          <w:color w:val="auto"/>
          <w:sz w:val="24"/>
          <w:highlight w:val="none"/>
        </w:rPr>
        <w:t xml:space="preserve"> </w:t>
      </w:r>
    </w:p>
    <w:p w14:paraId="2A949B2B">
      <w:pPr>
        <w:spacing w:line="600" w:lineRule="exact"/>
        <w:jc w:val="center"/>
        <w:rPr>
          <w:rFonts w:hint="eastAsia" w:ascii="宋体" w:hAnsi="宋体"/>
          <w:color w:val="auto"/>
          <w:sz w:val="36"/>
          <w:szCs w:val="36"/>
          <w:highlight w:val="none"/>
        </w:rPr>
      </w:pPr>
      <w:r>
        <w:rPr>
          <w:rFonts w:ascii="宋体" w:hAnsi="宋体"/>
          <w:color w:val="auto"/>
          <w:sz w:val="36"/>
          <w:szCs w:val="36"/>
          <w:highlight w:val="none"/>
        </w:rPr>
        <w:br w:type="page"/>
      </w:r>
      <w:r>
        <w:rPr>
          <w:rFonts w:hint="eastAsia" w:ascii="宋体" w:hAnsi="宋体"/>
          <w:color w:val="auto"/>
          <w:sz w:val="36"/>
          <w:szCs w:val="36"/>
          <w:highlight w:val="none"/>
        </w:rPr>
        <w:t>合  同</w:t>
      </w:r>
    </w:p>
    <w:p w14:paraId="70001052">
      <w:pPr>
        <w:pageBreakBefore w:val="0"/>
        <w:widowControl/>
        <w:kinsoku/>
        <w:wordWrap/>
        <w:topLinePunct w:val="0"/>
        <w:bidi w:val="0"/>
        <w:spacing w:line="520" w:lineRule="exact"/>
        <w:ind w:firstLine="720" w:firstLineChars="300"/>
        <w:jc w:val="left"/>
        <w:textAlignment w:val="auto"/>
        <w:rPr>
          <w:rFonts w:ascii="宋体" w:hAnsi="宋体" w:cs="宋体"/>
          <w:color w:val="auto"/>
          <w:sz w:val="24"/>
          <w:szCs w:val="24"/>
          <w:highlight w:val="none"/>
        </w:rPr>
      </w:pPr>
      <w:r>
        <w:rPr>
          <w:rFonts w:hint="eastAsia" w:ascii="宋体" w:hAnsi="宋体"/>
          <w:color w:val="auto"/>
          <w:sz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（甲方）所需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（项目名称及项目编号）经</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（采购代理机构）以</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采购方式进行采购。经评审委员会评审，确定</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（乙方）为项目成交（中标）供应商。甲、乙双方根据《中华人民共和国政府采购法》及其实施条例、《中华人民共和国</w:t>
      </w:r>
      <w:r>
        <w:rPr>
          <w:rFonts w:hint="eastAsia" w:ascii="宋体" w:hAnsi="宋体" w:cs="宋体"/>
          <w:color w:val="auto"/>
          <w:sz w:val="24"/>
          <w:szCs w:val="24"/>
          <w:highlight w:val="none"/>
          <w:lang w:val="en-US" w:eastAsia="zh-CN"/>
        </w:rPr>
        <w:t>民法典</w:t>
      </w:r>
      <w:r>
        <w:rPr>
          <w:rFonts w:hint="eastAsia" w:ascii="宋体" w:hAnsi="宋体" w:cs="宋体"/>
          <w:color w:val="auto"/>
          <w:sz w:val="24"/>
          <w:szCs w:val="24"/>
          <w:highlight w:val="none"/>
        </w:rPr>
        <w:t>》等相关法律法规以及本项目采购文件的规定，经平等协商签订本合同。</w:t>
      </w:r>
    </w:p>
    <w:p w14:paraId="739F4D23">
      <w:pPr>
        <w:pageBreakBefore w:val="0"/>
        <w:kinsoku/>
        <w:wordWrap/>
        <w:topLinePunct w:val="0"/>
        <w:bidi w:val="0"/>
        <w:spacing w:line="52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第一条  合同组成文件</w:t>
      </w:r>
    </w:p>
    <w:p w14:paraId="203F7DD1">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本合同所附下列文件是构成本合同不可分割的部分：</w:t>
      </w:r>
    </w:p>
    <w:p w14:paraId="4C9D6EE7">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（一）本项目招标（采购）文件及附件（含答疑）</w:t>
      </w:r>
    </w:p>
    <w:p w14:paraId="617E223B">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（二）中标（成交）人的投标（响应）文件</w:t>
      </w:r>
    </w:p>
    <w:p w14:paraId="3663F86A">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（三）合同格式、合同条款</w:t>
      </w:r>
    </w:p>
    <w:p w14:paraId="18B2C5CC">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（四）中标（成交）人在评标（评审）过程中做出的有关澄清、说明或者补正文件</w:t>
      </w:r>
    </w:p>
    <w:p w14:paraId="4F8B7346">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（五）中标（成交）通知书</w:t>
      </w:r>
    </w:p>
    <w:p w14:paraId="350DA3DA">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（六）本合同附件</w:t>
      </w:r>
    </w:p>
    <w:p w14:paraId="24B1F219">
      <w:pPr>
        <w:pageBreakBefore w:val="0"/>
        <w:kinsoku/>
        <w:wordWrap/>
        <w:topLinePunct w:val="0"/>
        <w:bidi w:val="0"/>
        <w:spacing w:line="52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第二条  合同标的</w:t>
      </w:r>
    </w:p>
    <w:p w14:paraId="577620C0">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物业托管范围：</w:t>
      </w:r>
    </w:p>
    <w:p w14:paraId="79D6252A">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u w:val="single"/>
        </w:rPr>
      </w:pPr>
      <w:r>
        <w:rPr>
          <w:rFonts w:hint="eastAsia" w:ascii="宋体" w:hAnsi="宋体" w:cs="宋体"/>
          <w:color w:val="auto"/>
          <w:sz w:val="24"/>
          <w:szCs w:val="24"/>
          <w:highlight w:val="none"/>
        </w:rPr>
        <w:t>物业名称：</w:t>
      </w:r>
    </w:p>
    <w:p w14:paraId="23EA51C4">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物业类型：</w:t>
      </w:r>
    </w:p>
    <w:p w14:paraId="0C924229">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坐落位置：</w:t>
      </w:r>
    </w:p>
    <w:p w14:paraId="309ABE11">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建筑面积：</w:t>
      </w:r>
    </w:p>
    <w:p w14:paraId="32B57938">
      <w:pPr>
        <w:pageBreakBefore w:val="0"/>
        <w:kinsoku/>
        <w:wordWrap/>
        <w:topLinePunct w:val="0"/>
        <w:autoSpaceDE w:val="0"/>
        <w:autoSpaceDN w:val="0"/>
        <w:bidi w:val="0"/>
        <w:adjustRightInd w:val="0"/>
        <w:snapToGrid w:val="0"/>
        <w:spacing w:line="520" w:lineRule="exact"/>
        <w:ind w:firstLine="480" w:firstLineChars="200"/>
        <w:jc w:val="left"/>
        <w:textAlignment w:val="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w:t>
      </w:r>
    </w:p>
    <w:p w14:paraId="400D0478">
      <w:pPr>
        <w:pageBreakBefore w:val="0"/>
        <w:kinsoku/>
        <w:wordWrap/>
        <w:topLinePunct w:val="0"/>
        <w:bidi w:val="0"/>
        <w:spacing w:line="52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第三条  合同内容及服务标准</w:t>
      </w:r>
    </w:p>
    <w:p w14:paraId="7728CB67">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物业服务内容及服务标准</w:t>
      </w:r>
      <w:r>
        <w:rPr>
          <w:rFonts w:hint="eastAsia" w:ascii="宋体" w:hAnsi="宋体" w:cs="宋体"/>
          <w:bCs/>
          <w:color w:val="auto"/>
          <w:sz w:val="24"/>
          <w:szCs w:val="24"/>
          <w:highlight w:val="none"/>
        </w:rPr>
        <w:t>（可另附明细附件）</w:t>
      </w:r>
    </w:p>
    <w:p w14:paraId="1BCA78A6">
      <w:pPr>
        <w:pageBreakBefore w:val="0"/>
        <w:kinsoku/>
        <w:wordWrap/>
        <w:topLinePunct w:val="0"/>
        <w:bidi w:val="0"/>
        <w:spacing w:line="52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第四条  服务要求</w:t>
      </w:r>
    </w:p>
    <w:p w14:paraId="60D9D612">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乙方须按下列约定，实现管理目标</w:t>
      </w:r>
    </w:p>
    <w:p w14:paraId="751D57DC">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1.按ISO9001系列质量管理体系运作，为甲方提供高标准的服务。</w:t>
      </w:r>
    </w:p>
    <w:p w14:paraId="0D617966">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2.甲方对乙方每月进行服务质量考核评价，需达到90分以上；如未达标，则必须接受限期整改并做出相应的经济赔偿，乙方连续3个月考核不达标，甲方有权单方解除合同并要求乙方赔偿由此给甲方造成的损失。</w:t>
      </w:r>
    </w:p>
    <w:p w14:paraId="6D8FCE18">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zh-CN"/>
        </w:rPr>
        <w:t>……</w:t>
      </w:r>
    </w:p>
    <w:p w14:paraId="2D335001">
      <w:pPr>
        <w:pageBreakBefore w:val="0"/>
        <w:kinsoku/>
        <w:wordWrap/>
        <w:topLinePunct w:val="0"/>
        <w:bidi w:val="0"/>
        <w:spacing w:line="52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第五条  合同金额</w:t>
      </w:r>
    </w:p>
    <w:p w14:paraId="41201F6C">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1.物业管理服务费合计为：</w:t>
      </w:r>
      <w:r>
        <w:rPr>
          <w:rFonts w:hint="eastAsia" w:ascii="宋体" w:hAnsi="宋体" w:cs="宋体"/>
          <w:color w:val="auto"/>
          <w:sz w:val="24"/>
          <w:szCs w:val="24"/>
          <w:highlight w:val="none"/>
          <w:u w:val="single"/>
        </w:rPr>
        <w:t xml:space="preserve">       元，大写人民币：           ；合同托管建筑面积为           平方米。</w:t>
      </w:r>
    </w:p>
    <w:p w14:paraId="5DF79E0A">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lang w:val="zh-CN"/>
        </w:rPr>
      </w:pPr>
      <w:r>
        <w:rPr>
          <w:rFonts w:hint="eastAsia" w:ascii="宋体" w:hAnsi="宋体" w:cs="宋体"/>
          <w:color w:val="auto"/>
          <w:sz w:val="24"/>
          <w:szCs w:val="24"/>
          <w:highlight w:val="none"/>
        </w:rPr>
        <w:t>2.此费用包括：</w:t>
      </w:r>
      <w:r>
        <w:rPr>
          <w:rFonts w:hint="eastAsia" w:ascii="宋体" w:hAnsi="宋体" w:cs="宋体"/>
          <w:color w:val="auto"/>
          <w:sz w:val="24"/>
          <w:szCs w:val="24"/>
          <w:highlight w:val="none"/>
          <w:lang w:val="zh-CN"/>
        </w:rPr>
        <w:t>……</w:t>
      </w:r>
    </w:p>
    <w:p w14:paraId="23A4BF59">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3.付款途径：</w:t>
      </w:r>
    </w:p>
    <w:p w14:paraId="4CDC3B64">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4.付款方式：</w:t>
      </w:r>
    </w:p>
    <w:p w14:paraId="260F0360">
      <w:pPr>
        <w:pageBreakBefore w:val="0"/>
        <w:kinsoku/>
        <w:wordWrap/>
        <w:overflowPunct w:val="0"/>
        <w:topLinePunct w:val="0"/>
        <w:bidi w:val="0"/>
        <w:snapToGrid w:val="0"/>
        <w:spacing w:line="52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lang w:val="zh-CN"/>
        </w:rPr>
        <w:t>5.履约保证金：</w:t>
      </w:r>
    </w:p>
    <w:p w14:paraId="17F60913">
      <w:pPr>
        <w:pageBreakBefore w:val="0"/>
        <w:kinsoku/>
        <w:wordWrap/>
        <w:overflowPunct w:val="0"/>
        <w:topLinePunct w:val="0"/>
        <w:bidi w:val="0"/>
        <w:snapToGrid w:val="0"/>
        <w:spacing w:line="520" w:lineRule="exact"/>
        <w:ind w:firstLine="547" w:firstLineChars="228"/>
        <w:textAlignment w:val="auto"/>
        <w:rPr>
          <w:rFonts w:ascii="宋体" w:hAnsi="宋体" w:cs="宋体"/>
          <w:color w:val="auto"/>
          <w:sz w:val="24"/>
          <w:szCs w:val="24"/>
          <w:highlight w:val="none"/>
        </w:rPr>
      </w:pPr>
      <w:r>
        <w:rPr>
          <w:rFonts w:hint="eastAsia" w:ascii="宋体" w:hAnsi="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 xml:space="preserve">乙方开户名称： </w:t>
      </w:r>
    </w:p>
    <w:p w14:paraId="3D996C62">
      <w:pPr>
        <w:pageBreakBefore w:val="0"/>
        <w:kinsoku/>
        <w:wordWrap/>
        <w:overflowPunct w:val="0"/>
        <w:topLinePunct w:val="0"/>
        <w:bidi w:val="0"/>
        <w:snapToGrid w:val="0"/>
        <w:spacing w:line="520" w:lineRule="exact"/>
        <w:ind w:firstLine="1022" w:firstLineChars="426"/>
        <w:textAlignment w:val="auto"/>
        <w:rPr>
          <w:rFonts w:ascii="宋体" w:hAnsi="宋体" w:cs="宋体"/>
          <w:color w:val="auto"/>
          <w:sz w:val="24"/>
          <w:szCs w:val="24"/>
          <w:highlight w:val="none"/>
        </w:rPr>
      </w:pPr>
      <w:r>
        <w:rPr>
          <w:rFonts w:hint="eastAsia" w:ascii="宋体" w:hAnsi="宋体" w:cs="宋体"/>
          <w:color w:val="auto"/>
          <w:sz w:val="24"/>
          <w:szCs w:val="24"/>
          <w:highlight w:val="none"/>
        </w:rPr>
        <w:t>开户银行：</w:t>
      </w:r>
    </w:p>
    <w:p w14:paraId="76CD1C22">
      <w:pPr>
        <w:pageBreakBefore w:val="0"/>
        <w:kinsoku/>
        <w:wordWrap/>
        <w:overflowPunct w:val="0"/>
        <w:topLinePunct w:val="0"/>
        <w:bidi w:val="0"/>
        <w:snapToGrid w:val="0"/>
        <w:spacing w:line="520" w:lineRule="exact"/>
        <w:ind w:firstLine="1022" w:firstLineChars="426"/>
        <w:textAlignment w:val="auto"/>
        <w:rPr>
          <w:rFonts w:ascii="宋体" w:hAnsi="宋体" w:cs="宋体"/>
          <w:color w:val="auto"/>
          <w:sz w:val="24"/>
          <w:szCs w:val="24"/>
          <w:highlight w:val="none"/>
        </w:rPr>
      </w:pPr>
      <w:r>
        <w:rPr>
          <w:rFonts w:hint="eastAsia" w:ascii="宋体" w:hAnsi="宋体" w:cs="宋体"/>
          <w:color w:val="auto"/>
          <w:sz w:val="24"/>
          <w:szCs w:val="24"/>
          <w:highlight w:val="none"/>
        </w:rPr>
        <w:t>银行帐号：</w:t>
      </w:r>
    </w:p>
    <w:p w14:paraId="4D805BE5">
      <w:pPr>
        <w:pageBreakBefore w:val="0"/>
        <w:kinsoku/>
        <w:wordWrap/>
        <w:topLinePunct w:val="0"/>
        <w:bidi w:val="0"/>
        <w:adjustRightInd w:val="0"/>
        <w:snapToGrid w:val="0"/>
        <w:spacing w:line="52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属政府采购预算的资金，甲方应按合同约定的付款期限，通过《山东省政府采购管理系统》及时向财政部门报送资金付款计划，财政部门对支付申请审核无误后，由甲方在15个工作日内将款项支付至乙方账户;非政府采购预算资金，按甲方财务管理规定办理报销事宜。</w:t>
      </w:r>
    </w:p>
    <w:p w14:paraId="54E6D81D">
      <w:pPr>
        <w:pageBreakBefore w:val="0"/>
        <w:numPr>
          <w:ilvl w:val="0"/>
          <w:numId w:val="3"/>
        </w:numPr>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 xml:space="preserve"> 履行期限</w:t>
      </w:r>
    </w:p>
    <w:p w14:paraId="466A470B">
      <w:pPr>
        <w:pageBreakBefore w:val="0"/>
        <w:kinsoku/>
        <w:wordWrap/>
        <w:overflowPunct w:val="0"/>
        <w:topLinePunct w:val="0"/>
        <w:bidi w:val="0"/>
        <w:snapToGrid w:val="0"/>
        <w:spacing w:line="520" w:lineRule="exact"/>
        <w:ind w:firstLine="540" w:firstLineChars="225"/>
        <w:textAlignment w:val="auto"/>
        <w:rPr>
          <w:rFonts w:ascii="宋体" w:hAnsi="宋体" w:cs="宋体"/>
          <w:bCs/>
          <w:color w:val="auto"/>
          <w:sz w:val="24"/>
          <w:szCs w:val="24"/>
          <w:highlight w:val="none"/>
        </w:rPr>
      </w:pPr>
      <w:r>
        <w:rPr>
          <w:rFonts w:hint="eastAsia" w:ascii="宋体" w:hAnsi="宋体" w:cs="宋体"/>
          <w:bCs/>
          <w:color w:val="auto"/>
          <w:sz w:val="24"/>
          <w:szCs w:val="24"/>
          <w:highlight w:val="none"/>
        </w:rPr>
        <w:t>服务期限：自   年   月  日至   年   月   日。</w:t>
      </w:r>
    </w:p>
    <w:p w14:paraId="6513C651">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第七条  验收要求</w:t>
      </w:r>
    </w:p>
    <w:p w14:paraId="0514C850">
      <w:pPr>
        <w:pageBreakBefore w:val="0"/>
        <w:kinsoku/>
        <w:wordWrap/>
        <w:overflowPunct w:val="0"/>
        <w:topLinePunct w:val="0"/>
        <w:bidi w:val="0"/>
        <w:snapToGrid w:val="0"/>
        <w:spacing w:line="520" w:lineRule="exact"/>
        <w:ind w:firstLine="540" w:firstLineChars="225"/>
        <w:textAlignment w:val="auto"/>
        <w:rPr>
          <w:rFonts w:hint="eastAsia"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按照目标管理进行验收。</w:t>
      </w:r>
    </w:p>
    <w:p w14:paraId="3D0EE9E6">
      <w:pPr>
        <w:pageBreakBefore w:val="0"/>
        <w:kinsoku/>
        <w:wordWrap/>
        <w:overflowPunct w:val="0"/>
        <w:topLinePunct w:val="0"/>
        <w:bidi w:val="0"/>
        <w:snapToGrid w:val="0"/>
        <w:spacing w:line="520" w:lineRule="exact"/>
        <w:ind w:firstLine="540" w:firstLineChars="225"/>
        <w:textAlignment w:val="auto"/>
        <w:rPr>
          <w:rFonts w:hint="default" w:ascii="宋体" w:hAnsi="宋体" w:cs="宋体"/>
          <w:bCs/>
          <w:color w:val="auto"/>
          <w:sz w:val="24"/>
          <w:szCs w:val="24"/>
          <w:highlight w:val="none"/>
          <w:lang w:val="en-US" w:eastAsia="zh-CN"/>
        </w:rPr>
      </w:pPr>
      <w:r>
        <w:rPr>
          <w:rFonts w:hint="default" w:ascii="Arial" w:hAnsi="Arial" w:cs="Arial"/>
          <w:bCs/>
          <w:color w:val="auto"/>
          <w:sz w:val="24"/>
          <w:szCs w:val="24"/>
          <w:highlight w:val="none"/>
          <w:lang w:val="en-US" w:eastAsia="zh-CN"/>
        </w:rPr>
        <w:t>……</w:t>
      </w:r>
    </w:p>
    <w:p w14:paraId="38583CB6">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第八条  甲方的权利和义务</w:t>
      </w:r>
    </w:p>
    <w:p w14:paraId="23687E6B">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（一）甲方的权利</w:t>
      </w:r>
    </w:p>
    <w:p w14:paraId="24B4A396">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甲方有权随时向乙方了解项目进度，并要求乙方提供项目相关资料。</w:t>
      </w:r>
    </w:p>
    <w:p w14:paraId="1B56DF06">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甲方有权对项目资金使用情况进行监督、检查，并要求乙方提供相关资料。</w:t>
      </w:r>
    </w:p>
    <w:p w14:paraId="5DD0C51A">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有权按照本合同约定或有关法律法规、政府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53B79B20">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甲方有权在乙方履行合同过程中出现损害或可能损害公共利益、公共安全情形时终止本合同。</w:t>
      </w:r>
    </w:p>
    <w:p w14:paraId="27AAD00E">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甲方有权根据国家政策或法律法规的变动对服务项目的需求标准和质量要求作出相应变动或者取消项目。</w:t>
      </w:r>
    </w:p>
    <w:p w14:paraId="5667283B">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rPr>
      </w:pPr>
      <w:r>
        <w:rPr>
          <w:rFonts w:hint="eastAsia" w:ascii="宋体" w:hAnsi="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甲方有权将乙方履行合同情况及不符合政府购买服务管理规定情况，向有关部门报告并纳入不良信用记录、年检（报）、评估、执法等监管体系中。</w:t>
      </w:r>
    </w:p>
    <w:p w14:paraId="6D67D120">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rPr>
      </w:pPr>
      <w:r>
        <w:rPr>
          <w:rFonts w:hint="eastAsia" w:ascii="宋体" w:hAnsi="宋体" w:cs="宋体"/>
          <w:color w:val="auto"/>
          <w:sz w:val="24"/>
          <w:szCs w:val="24"/>
          <w:highlight w:val="none"/>
        </w:rPr>
        <w:t>（二）甲方的义务</w:t>
      </w:r>
    </w:p>
    <w:p w14:paraId="1F37D83F">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甲方应及时向乙方提供与履行本合同相关的所有必须的文件、资料。</w:t>
      </w:r>
    </w:p>
    <w:p w14:paraId="3F9408F2">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甲方应为乙方履行本合同过程中与相关政府部门及其他第三方的沟通、协调提供必要的协助。</w:t>
      </w:r>
    </w:p>
    <w:p w14:paraId="6A5DB1F8">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甲方应按照合同约定支付服务费用。</w:t>
      </w:r>
    </w:p>
    <w:p w14:paraId="61FBD4F9">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第九条  乙方的权利和义务</w:t>
      </w:r>
    </w:p>
    <w:p w14:paraId="4909C5F9">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（一）乙方的权利</w:t>
      </w:r>
    </w:p>
    <w:p w14:paraId="570ADA0F">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乙方有权按照本合同约定向甲方收取服务费用。</w:t>
      </w:r>
    </w:p>
    <w:p w14:paraId="5786EE8A">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乙方有权自甲方处获得与提供本合同项下服务相关的所有必须的文件、资料。</w:t>
      </w:r>
    </w:p>
    <w:p w14:paraId="23542E4C">
      <w:pPr>
        <w:pageBreakBefore w:val="0"/>
        <w:kinsoku/>
        <w:wordWrap/>
        <w:overflowPunct w:val="0"/>
        <w:topLinePunct w:val="0"/>
        <w:bidi w:val="0"/>
        <w:snapToGrid w:val="0"/>
        <w:spacing w:line="520" w:lineRule="exact"/>
        <w:ind w:firstLine="537" w:firstLineChars="224"/>
        <w:textAlignment w:val="auto"/>
        <w:rPr>
          <w:rFonts w:ascii="宋体" w:hAnsi="宋体" w:cs="宋体"/>
          <w:bCs/>
          <w:color w:val="auto"/>
          <w:sz w:val="24"/>
          <w:szCs w:val="24"/>
          <w:highlight w:val="none"/>
        </w:rPr>
      </w:pPr>
      <w:r>
        <w:rPr>
          <w:rFonts w:hint="eastAsia" w:ascii="宋体" w:hAnsi="宋体" w:cs="宋体"/>
          <w:bCs/>
          <w:color w:val="auto"/>
          <w:sz w:val="24"/>
          <w:szCs w:val="24"/>
          <w:highlight w:val="none"/>
        </w:rPr>
        <w:t>（二）乙方的义务</w:t>
      </w:r>
    </w:p>
    <w:p w14:paraId="71A03A63">
      <w:pPr>
        <w:pageBreakBefore w:val="0"/>
        <w:kinsoku/>
        <w:wordWrap/>
        <w:overflowPunct w:val="0"/>
        <w:topLinePunct w:val="0"/>
        <w:bidi w:val="0"/>
        <w:snapToGrid w:val="0"/>
        <w:spacing w:line="520" w:lineRule="exact"/>
        <w:ind w:firstLine="537" w:firstLineChars="224"/>
        <w:textAlignment w:val="auto"/>
        <w:rPr>
          <w:rFonts w:ascii="宋体" w:hAnsi="宋体" w:cs="宋体"/>
          <w:bCs/>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乙方应配备具有相应资质、特定经验的工作人员负责项目实施，按照本合同约定的标准、要求和时间完成项目。</w:t>
      </w:r>
    </w:p>
    <w:p w14:paraId="6E343681">
      <w:pPr>
        <w:pageBreakBefore w:val="0"/>
        <w:kinsoku/>
        <w:wordWrap/>
        <w:overflowPunct w:val="0"/>
        <w:topLinePunct w:val="0"/>
        <w:bidi w:val="0"/>
        <w:snapToGrid w:val="0"/>
        <w:spacing w:line="520" w:lineRule="exact"/>
        <w:ind w:firstLine="537" w:firstLineChars="224"/>
        <w:textAlignment w:val="auto"/>
        <w:rPr>
          <w:rFonts w:ascii="宋体" w:hAnsi="宋体" w:cs="宋体"/>
          <w:bCs/>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乙方不得以任何理由将本合同项下的服务项目转包给第三方承担。</w:t>
      </w:r>
    </w:p>
    <w:p w14:paraId="4DEF4783">
      <w:pPr>
        <w:pageBreakBefore w:val="0"/>
        <w:kinsoku/>
        <w:wordWrap/>
        <w:overflowPunct w:val="0"/>
        <w:topLinePunct w:val="0"/>
        <w:bidi w:val="0"/>
        <w:snapToGrid w:val="0"/>
        <w:spacing w:line="520" w:lineRule="exact"/>
        <w:ind w:firstLine="537" w:firstLineChars="224"/>
        <w:textAlignment w:val="auto"/>
        <w:rPr>
          <w:rFonts w:ascii="宋体" w:hAnsi="宋体" w:cs="宋体"/>
          <w:bCs/>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乙方应全面履行本项目实施过程中的相关安全管理职责，因乙方未尽管理职责发生安全事故的，由乙方承担相应的法律责任。</w:t>
      </w:r>
    </w:p>
    <w:p w14:paraId="322EBAF8">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乙方承诺根据本合同提供的服务及相关的软件和技术资料，均已取得有关知识产权的权利人的合法授权。如发生</w:t>
      </w:r>
      <w:r>
        <w:rPr>
          <w:rFonts w:hint="eastAsia" w:ascii="宋体" w:hAnsi="宋体" w:cs="宋体"/>
          <w:color w:val="auto"/>
          <w:sz w:val="24"/>
          <w:szCs w:val="24"/>
          <w:highlight w:val="none"/>
          <w:lang w:eastAsia="zh-CN"/>
        </w:rPr>
        <w:t>涉及</w:t>
      </w:r>
      <w:r>
        <w:rPr>
          <w:rFonts w:hint="eastAsia" w:ascii="宋体" w:hAnsi="宋体" w:cs="宋体"/>
          <w:color w:val="auto"/>
          <w:sz w:val="24"/>
          <w:szCs w:val="24"/>
          <w:highlight w:val="none"/>
        </w:rPr>
        <w:t>专利权、著作权、商标权等争议，乙方负责处理并承担由此引起的全部法律及经济责任。</w:t>
      </w:r>
    </w:p>
    <w:p w14:paraId="3B0A7D6C">
      <w:pPr>
        <w:pageBreakBefore w:val="0"/>
        <w:tabs>
          <w:tab w:val="left" w:pos="426"/>
          <w:tab w:val="left" w:pos="1701"/>
        </w:tabs>
        <w:kinsoku/>
        <w:wordWrap/>
        <w:overflowPunct w:val="0"/>
        <w:topLinePunct w:val="0"/>
        <w:autoSpaceDE w:val="0"/>
        <w:autoSpaceDN w:val="0"/>
        <w:bidi w:val="0"/>
        <w:adjustRightInd w:val="0"/>
        <w:snapToGrid w:val="0"/>
        <w:spacing w:line="52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乙方应接受并配合甲方或甲方组织的对本合同履行情况的监督与检查，对于甲方指出的问题，应及时作出合理解释或予以纠正。</w:t>
      </w:r>
    </w:p>
    <w:p w14:paraId="1FF2A9A6">
      <w:pPr>
        <w:pageBreakBefore w:val="0"/>
        <w:tabs>
          <w:tab w:val="left" w:pos="426"/>
          <w:tab w:val="left" w:pos="1701"/>
        </w:tabs>
        <w:kinsoku/>
        <w:wordWrap/>
        <w:overflowPunct w:val="0"/>
        <w:topLinePunct w:val="0"/>
        <w:autoSpaceDE w:val="0"/>
        <w:autoSpaceDN w:val="0"/>
        <w:bidi w:val="0"/>
        <w:adjustRightInd w:val="0"/>
        <w:snapToGrid w:val="0"/>
        <w:spacing w:line="52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乙方应对项目资金进行规范的财务管理和会计核算，加强自身监督，确保资金规范管理和使用。</w:t>
      </w:r>
    </w:p>
    <w:p w14:paraId="2F9FE1FC">
      <w:pPr>
        <w:pageBreakBefore w:val="0"/>
        <w:tabs>
          <w:tab w:val="left" w:pos="426"/>
          <w:tab w:val="left" w:pos="1701"/>
        </w:tabs>
        <w:kinsoku/>
        <w:wordWrap/>
        <w:overflowPunct w:val="0"/>
        <w:topLinePunct w:val="0"/>
        <w:autoSpaceDE w:val="0"/>
        <w:autoSpaceDN w:val="0"/>
        <w:bidi w:val="0"/>
        <w:adjustRightInd w:val="0"/>
        <w:snapToGrid w:val="0"/>
        <w:spacing w:line="52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乙方应建立健全财务管理与报告制度，按要求向甲方提供资金的使用情况、项目执行情况、成果总结等材料，并配合甲方及甲方组织的监督检查或绩效评价。</w:t>
      </w:r>
    </w:p>
    <w:p w14:paraId="250F191C">
      <w:pPr>
        <w:pageBreakBefore w:val="0"/>
        <w:tabs>
          <w:tab w:val="left" w:pos="426"/>
          <w:tab w:val="left" w:pos="1701"/>
        </w:tabs>
        <w:kinsoku/>
        <w:wordWrap/>
        <w:overflowPunct w:val="0"/>
        <w:topLinePunct w:val="0"/>
        <w:autoSpaceDE w:val="0"/>
        <w:autoSpaceDN w:val="0"/>
        <w:bidi w:val="0"/>
        <w:adjustRightInd w:val="0"/>
        <w:snapToGrid w:val="0"/>
        <w:spacing w:line="52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10CA25D5">
      <w:pPr>
        <w:pageBreakBefore w:val="0"/>
        <w:tabs>
          <w:tab w:val="left" w:pos="426"/>
          <w:tab w:val="left" w:pos="1701"/>
        </w:tabs>
        <w:kinsoku/>
        <w:wordWrap/>
        <w:overflowPunct w:val="0"/>
        <w:topLinePunct w:val="0"/>
        <w:autoSpaceDE w:val="0"/>
        <w:autoSpaceDN w:val="0"/>
        <w:bidi w:val="0"/>
        <w:adjustRightInd w:val="0"/>
        <w:snapToGrid w:val="0"/>
        <w:spacing w:line="52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项目交付后，乙方应无条件返还甲方向其提供的文件、资料并向甲方移交项目资料，同时乙方应当自留一份完整的项目档案并予以妥善保管。</w:t>
      </w:r>
    </w:p>
    <w:p w14:paraId="1B0A4621">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第十条  违约责任</w:t>
      </w:r>
    </w:p>
    <w:p w14:paraId="1D67787B">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在本合同履行过程中，双方因违约或重大过失造成对方经济、社会效益等损失的应当赔偿。</w:t>
      </w:r>
    </w:p>
    <w:p w14:paraId="0FDBB1B1">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甲方无正当理由拒绝接收服务，到期拒付服务费的，甲方向乙方偿付本合同总服务费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%的违约金。甲方逾期付款的，则每日按逾期金额的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%向乙方偿付违约金。</w:t>
      </w:r>
    </w:p>
    <w:p w14:paraId="3B521364">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乙方提供的服务不符合本项目相关文件和本合同规定的，甲方有权拒收，并且乙方须向甲方支付本合同总服务费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%的违约金。</w:t>
      </w:r>
    </w:p>
    <w:p w14:paraId="7F84BCEA">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乙方未能按照本合同约定时间提供服务或完成约定的项目服务内容的，从逾期之日起每日按本合同总服务费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%的数额向甲方支付违约金；逾期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日以上的，甲方有权终止合同，由此造成的甲方经济损失由乙方承担。</w:t>
      </w:r>
    </w:p>
    <w:p w14:paraId="4FE03BE5">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未经甲方同意，乙方不得擅自将本合同服务转包第三方承担。如擅自转包，则乙方应支付给甲方本合同总服务费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%的违约金。</w:t>
      </w:r>
    </w:p>
    <w:p w14:paraId="5C0B9698">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其他违约责任按《中华人民共和国</w:t>
      </w:r>
      <w:r>
        <w:rPr>
          <w:rFonts w:hint="eastAsia" w:ascii="宋体" w:hAnsi="宋体" w:cs="宋体"/>
          <w:color w:val="auto"/>
          <w:sz w:val="24"/>
          <w:szCs w:val="24"/>
          <w:highlight w:val="none"/>
          <w:lang w:val="en-US" w:eastAsia="zh-CN"/>
        </w:rPr>
        <w:t>民法典</w:t>
      </w:r>
      <w:r>
        <w:rPr>
          <w:rFonts w:hint="eastAsia" w:ascii="宋体" w:hAnsi="宋体" w:cs="宋体"/>
          <w:color w:val="auto"/>
          <w:sz w:val="24"/>
          <w:szCs w:val="24"/>
          <w:highlight w:val="none"/>
        </w:rPr>
        <w:t>》处理。</w:t>
      </w:r>
    </w:p>
    <w:p w14:paraId="435052A0">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第十一条  保密条款</w:t>
      </w:r>
    </w:p>
    <w:p w14:paraId="10674240">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应遵守国家有关保密的法律法规和行业规定，并对甲方提供的资料负有保密义务。未经甲方同意，不得将承接政府采购项目获得的政府、公民个人等各种信息和资料提供给其他单位和个人。如发生以上情况，甲方有权索赔。</w:t>
      </w:r>
    </w:p>
    <w:p w14:paraId="109E179B">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5668D73B">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第十二条  解决争议方式</w:t>
      </w:r>
    </w:p>
    <w:p w14:paraId="1FABC884">
      <w:pPr>
        <w:pageBreakBefore w:val="0"/>
        <w:kinsoku/>
        <w:wordWrap/>
        <w:topLinePunct w:val="0"/>
        <w:bidi w:val="0"/>
        <w:spacing w:line="520" w:lineRule="exact"/>
        <w:ind w:firstLine="480" w:firstLineChars="200"/>
        <w:textAlignment w:val="auto"/>
        <w:rPr>
          <w:rFonts w:ascii="宋体" w:hAnsi="宋体" w:cs="宋体"/>
          <w:color w:val="auto"/>
          <w:sz w:val="24"/>
          <w:szCs w:val="24"/>
          <w:highlight w:val="none"/>
        </w:rPr>
      </w:pPr>
      <w:r>
        <w:rPr>
          <w:rFonts w:hint="eastAsia" w:ascii="宋体" w:hAnsi="宋体" w:cs="宋体"/>
          <w:bCs/>
          <w:color w:val="auto"/>
          <w:sz w:val="24"/>
          <w:szCs w:val="24"/>
          <w:highlight w:val="none"/>
        </w:rPr>
        <w:t>合同发生纠纷时，双方应协商解决，协商不成可以采用下列方式解决：</w:t>
      </w:r>
    </w:p>
    <w:p w14:paraId="27936D20">
      <w:pPr>
        <w:pageBreakBefore w:val="0"/>
        <w:kinsoku/>
        <w:wordWrap/>
        <w:topLinePunct w:val="0"/>
        <w:bidi w:val="0"/>
        <w:spacing w:line="520" w:lineRule="exact"/>
        <w:ind w:firstLine="480" w:firstLineChars="200"/>
        <w:textAlignment w:val="auto"/>
        <w:rPr>
          <w:rFonts w:ascii="宋体" w:hAnsi="宋体" w:cs="宋体"/>
          <w:bCs/>
          <w:color w:val="auto"/>
          <w:sz w:val="24"/>
          <w:szCs w:val="24"/>
          <w:highlight w:val="none"/>
        </w:rPr>
      </w:pPr>
      <w:r>
        <w:rPr>
          <w:rFonts w:hint="eastAsia" w:ascii="宋体" w:hAnsi="宋体" w:cs="宋体"/>
          <w:bCs/>
          <w:color w:val="auto"/>
          <w:sz w:val="24"/>
          <w:szCs w:val="24"/>
          <w:highlight w:val="none"/>
        </w:rPr>
        <w:t>（1）提交</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仲裁委员会仲裁；（2）向甲方所在地人民法院起诉。</w:t>
      </w:r>
    </w:p>
    <w:p w14:paraId="7B8987C5">
      <w:pPr>
        <w:pageBreakBefore w:val="0"/>
        <w:kinsoku/>
        <w:wordWrap/>
        <w:overflowPunct w:val="0"/>
        <w:topLinePunct w:val="0"/>
        <w:bidi w:val="0"/>
        <w:snapToGrid w:val="0"/>
        <w:spacing w:line="520" w:lineRule="exact"/>
        <w:ind w:firstLine="537" w:firstLineChars="224"/>
        <w:textAlignment w:val="auto"/>
        <w:rPr>
          <w:rFonts w:ascii="宋体" w:hAnsi="宋体" w:cs="宋体"/>
          <w:bCs/>
          <w:color w:val="auto"/>
          <w:sz w:val="24"/>
          <w:szCs w:val="24"/>
          <w:highlight w:val="none"/>
        </w:rPr>
      </w:pPr>
      <w:r>
        <w:rPr>
          <w:rFonts w:hint="eastAsia" w:ascii="宋体" w:hAnsi="宋体" w:cs="宋体"/>
          <w:bCs/>
          <w:color w:val="auto"/>
          <w:sz w:val="24"/>
          <w:szCs w:val="24"/>
          <w:highlight w:val="none"/>
        </w:rPr>
        <w:t>本合同发生纠纷，经双方协商不能解决时，采用第（2）种方式予以解决。</w:t>
      </w:r>
    </w:p>
    <w:p w14:paraId="31A1C6BD">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第十三条  不可抗力</w:t>
      </w:r>
    </w:p>
    <w:p w14:paraId="7C08D7E9">
      <w:pPr>
        <w:pageBreakBefore w:val="0"/>
        <w:kinsoku/>
        <w:wordWrap/>
        <w:overflowPunct w:val="0"/>
        <w:topLinePunct w:val="0"/>
        <w:bidi w:val="0"/>
        <w:snapToGrid w:val="0"/>
        <w:spacing w:line="520" w:lineRule="exact"/>
        <w:ind w:firstLine="537" w:firstLineChars="224"/>
        <w:textAlignment w:val="auto"/>
        <w:rPr>
          <w:rFonts w:ascii="宋体" w:hAnsi="宋体" w:cs="宋体"/>
          <w:bCs/>
          <w:color w:val="auto"/>
          <w:sz w:val="24"/>
          <w:szCs w:val="24"/>
          <w:highlight w:val="none"/>
        </w:rPr>
      </w:pPr>
      <w:r>
        <w:rPr>
          <w:rFonts w:hint="eastAsia" w:ascii="宋体" w:hAnsi="宋体" w:cs="宋体"/>
          <w:bCs/>
          <w:color w:val="auto"/>
          <w:sz w:val="24"/>
          <w:szCs w:val="24"/>
          <w:highlight w:val="none"/>
        </w:rPr>
        <w:t>任何一方由于不可抗力原因不能履行合同时，应在不可抗力事件发生后1日内向对方通报，以减轻可能给对方造成的损失，在取得有关机构的不可抗力证明或双方谅解确认后，允许延期履行或修订合同，并可根据具体情况部分或全部免于承担违约责任。</w:t>
      </w:r>
    </w:p>
    <w:p w14:paraId="24FE7DD5">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第十四条  合同的终止</w:t>
      </w:r>
    </w:p>
    <w:p w14:paraId="06C6EB12">
      <w:pPr>
        <w:pageBreakBefore w:val="0"/>
        <w:kinsoku/>
        <w:wordWrap/>
        <w:overflowPunct w:val="0"/>
        <w:topLinePunct w:val="0"/>
        <w:bidi w:val="0"/>
        <w:snapToGrid w:val="0"/>
        <w:spacing w:line="520" w:lineRule="exact"/>
        <w:ind w:firstLine="540" w:firstLineChars="225"/>
        <w:textAlignment w:val="auto"/>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本合同期满，双方未续签合同的；</w:t>
      </w:r>
    </w:p>
    <w:p w14:paraId="6F6A0CF6">
      <w:pPr>
        <w:pageBreakBefore w:val="0"/>
        <w:kinsoku/>
        <w:wordWrap/>
        <w:overflowPunct w:val="0"/>
        <w:topLinePunct w:val="0"/>
        <w:bidi w:val="0"/>
        <w:snapToGrid w:val="0"/>
        <w:spacing w:line="520" w:lineRule="exact"/>
        <w:ind w:firstLine="540" w:firstLineChars="225"/>
        <w:textAlignment w:val="auto"/>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乙方服务能力丧失，致使本合同服务无法正常提供的；</w:t>
      </w:r>
    </w:p>
    <w:p w14:paraId="7A7A2D4A">
      <w:pPr>
        <w:pageBreakBefore w:val="0"/>
        <w:kinsoku/>
        <w:wordWrap/>
        <w:overflowPunct w:val="0"/>
        <w:topLinePunct w:val="0"/>
        <w:bidi w:val="0"/>
        <w:snapToGrid w:val="0"/>
        <w:spacing w:line="520" w:lineRule="exact"/>
        <w:ind w:firstLine="540" w:firstLineChars="225"/>
        <w:textAlignment w:val="auto"/>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受国家政策或法律法规变动影响，经双方协商终止本合同的。</w:t>
      </w:r>
    </w:p>
    <w:p w14:paraId="2576AB9E">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第十五条  其他</w:t>
      </w:r>
    </w:p>
    <w:p w14:paraId="4EDB0467">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本合同所有附件及相关购买文件均为本合同的有效组成部分，与本合同具有同等法律效力。若合同附件与本合同存在不一致的，则以本合同为准。</w:t>
      </w:r>
    </w:p>
    <w:p w14:paraId="28111AFB">
      <w:pPr>
        <w:pageBreakBefore w:val="0"/>
        <w:kinsoku/>
        <w:wordWrap/>
        <w:overflowPunct w:val="0"/>
        <w:topLinePunct w:val="0"/>
        <w:bidi w:val="0"/>
        <w:snapToGrid w:val="0"/>
        <w:spacing w:line="520" w:lineRule="exact"/>
        <w:ind w:firstLine="537" w:firstLineChars="224"/>
        <w:textAlignment w:val="auto"/>
        <w:rPr>
          <w:rFonts w:ascii="宋体" w:hAnsi="宋体" w:cs="宋体"/>
          <w:bCs/>
          <w:color w:val="auto"/>
          <w:sz w:val="24"/>
          <w:szCs w:val="24"/>
          <w:highlight w:val="none"/>
        </w:rPr>
      </w:pPr>
      <w:r>
        <w:rPr>
          <w:rFonts w:hint="eastAsia" w:ascii="宋体" w:hAnsi="宋体" w:cs="宋体"/>
          <w:bCs/>
          <w:color w:val="auto"/>
          <w:sz w:val="24"/>
          <w:szCs w:val="24"/>
          <w:highlight w:val="none"/>
        </w:rPr>
        <w:t>2</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rPr>
        <w:t>在履行本合同过程中，所有经双方签署确认的文件（包括会议纪要、补充协议、往来信函）即成为本合同的有效组成部分。</w:t>
      </w:r>
    </w:p>
    <w:p w14:paraId="4D90A6AE">
      <w:pPr>
        <w:pageBreakBefore w:val="0"/>
        <w:kinsoku/>
        <w:wordWrap/>
        <w:overflowPunct w:val="0"/>
        <w:topLinePunct w:val="0"/>
        <w:bidi w:val="0"/>
        <w:snapToGrid w:val="0"/>
        <w:spacing w:line="520" w:lineRule="exact"/>
        <w:ind w:firstLine="537" w:firstLineChars="224"/>
        <w:textAlignment w:val="auto"/>
        <w:rPr>
          <w:rFonts w:ascii="宋体" w:hAnsi="宋体" w:cs="宋体"/>
          <w:bCs/>
          <w:color w:val="auto"/>
          <w:sz w:val="24"/>
          <w:szCs w:val="24"/>
          <w:highlight w:val="none"/>
        </w:rPr>
      </w:pPr>
      <w:r>
        <w:rPr>
          <w:rFonts w:hint="eastAsia" w:ascii="宋体" w:hAnsi="宋体" w:cs="宋体"/>
          <w:bCs/>
          <w:color w:val="auto"/>
          <w:sz w:val="24"/>
          <w:szCs w:val="24"/>
          <w:highlight w:val="none"/>
        </w:rPr>
        <w:t>3</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rPr>
        <w:t>如一方地址、电话、传真号码及乙方银行账户信息有变更，应在变更当日书面通知对方，否则，应承担相应责任。</w:t>
      </w:r>
    </w:p>
    <w:p w14:paraId="31FCC391">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第十六条  补充条款</w:t>
      </w:r>
    </w:p>
    <w:p w14:paraId="6B69B6FC">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谅解与备忘条款：</w:t>
      </w:r>
    </w:p>
    <w:p w14:paraId="4A8828E8">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双方不可撤销的责任与义务：</w:t>
      </w:r>
    </w:p>
    <w:p w14:paraId="31CBEECE">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双方约定以下补充条款：</w:t>
      </w:r>
    </w:p>
    <w:p w14:paraId="38CCCF1A">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第十七条  合同生效</w:t>
      </w:r>
    </w:p>
    <w:p w14:paraId="336D1983">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本合同订立时间：      年    月    日</w:t>
      </w:r>
    </w:p>
    <w:p w14:paraId="24B19024">
      <w:pPr>
        <w:pageBreakBefore w:val="0"/>
        <w:kinsoku/>
        <w:wordWrap/>
        <w:overflowPunct w:val="0"/>
        <w:topLinePunct w:val="0"/>
        <w:bidi w:val="0"/>
        <w:snapToGrid w:val="0"/>
        <w:spacing w:line="520" w:lineRule="exact"/>
        <w:ind w:firstLine="537" w:firstLineChars="224"/>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本合同订立地点：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079C1B12">
      <w:pPr>
        <w:pageBreakBefore w:val="0"/>
        <w:kinsoku/>
        <w:wordWrap/>
        <w:overflowPunct w:val="0"/>
        <w:topLinePunct w:val="0"/>
        <w:bidi w:val="0"/>
        <w:snapToGrid w:val="0"/>
        <w:spacing w:line="520" w:lineRule="exact"/>
        <w:ind w:firstLine="537" w:firstLineChars="224"/>
        <w:textAlignment w:val="auto"/>
        <w:rPr>
          <w:rFonts w:ascii="宋体" w:hAnsi="宋体" w:cs="宋体"/>
          <w:color w:val="auto"/>
          <w:sz w:val="24"/>
          <w:szCs w:val="24"/>
          <w:highlight w:val="none"/>
          <w:u w:val="single"/>
        </w:rPr>
      </w:pPr>
      <w:r>
        <w:rPr>
          <w:rFonts w:hint="eastAsia" w:ascii="宋体" w:hAnsi="宋体" w:cs="宋体"/>
          <w:color w:val="auto"/>
          <w:sz w:val="24"/>
          <w:szCs w:val="24"/>
          <w:highlight w:val="none"/>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本合同在甲、乙双方法人代表或其授权代表签章之日起生效。</w:t>
      </w:r>
    </w:p>
    <w:p w14:paraId="419FA60A">
      <w:pPr>
        <w:pageBreakBefore w:val="0"/>
        <w:kinsoku/>
        <w:wordWrap/>
        <w:overflowPunct w:val="0"/>
        <w:topLinePunct w:val="0"/>
        <w:bidi w:val="0"/>
        <w:snapToGrid w:val="0"/>
        <w:spacing w:line="520" w:lineRule="exact"/>
        <w:ind w:firstLine="537" w:firstLineChars="224"/>
        <w:textAlignment w:val="auto"/>
        <w:rPr>
          <w:rFonts w:ascii="宋体" w:hAnsi="宋体" w:cs="宋体"/>
          <w:b/>
          <w:color w:val="auto"/>
          <w:sz w:val="24"/>
          <w:szCs w:val="24"/>
          <w:highlight w:val="none"/>
        </w:rPr>
      </w:pPr>
      <w:r>
        <w:rPr>
          <w:rFonts w:hint="eastAsia" w:ascii="宋体" w:hAnsi="宋体" w:cs="宋体"/>
          <w:color w:val="auto"/>
          <w:sz w:val="24"/>
          <w:szCs w:val="24"/>
          <w:highlight w:val="none"/>
        </w:rPr>
        <w:t>4</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本合同一式  份，具有同等法律效力，甲乙双方各执  份。</w:t>
      </w:r>
    </w:p>
    <w:p w14:paraId="452FD5B6">
      <w:pPr>
        <w:pageBreakBefore w:val="0"/>
        <w:kinsoku/>
        <w:wordWrap/>
        <w:overflowPunct w:val="0"/>
        <w:topLinePunct w:val="0"/>
        <w:bidi w:val="0"/>
        <w:snapToGrid w:val="0"/>
        <w:spacing w:line="520" w:lineRule="exact"/>
        <w:ind w:firstLine="540" w:firstLineChars="224"/>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第十八条  合同附件（若有附件应注明附件名称）</w:t>
      </w:r>
    </w:p>
    <w:p w14:paraId="03D68D2D">
      <w:pPr>
        <w:pageBreakBefore w:val="0"/>
        <w:kinsoku/>
        <w:wordWrap/>
        <w:overflowPunct w:val="0"/>
        <w:topLinePunct w:val="0"/>
        <w:bidi w:val="0"/>
        <w:snapToGrid w:val="0"/>
        <w:spacing w:line="520" w:lineRule="exact"/>
        <w:textAlignment w:val="auto"/>
        <w:rPr>
          <w:rFonts w:ascii="宋体" w:hAnsi="宋体" w:cs="宋体"/>
          <w:color w:val="auto"/>
          <w:sz w:val="24"/>
          <w:szCs w:val="24"/>
          <w:highlight w:val="none"/>
        </w:rPr>
      </w:pPr>
    </w:p>
    <w:p w14:paraId="6A4E355F">
      <w:pPr>
        <w:pageBreakBefore w:val="0"/>
        <w:kinsoku/>
        <w:wordWrap/>
        <w:overflowPunct w:val="0"/>
        <w:topLinePunct w:val="0"/>
        <w:bidi w:val="0"/>
        <w:snapToGrid w:val="0"/>
        <w:spacing w:line="520" w:lineRule="exact"/>
        <w:ind w:firstLine="460" w:firstLineChars="192"/>
        <w:textAlignment w:val="auto"/>
        <w:rPr>
          <w:rFonts w:ascii="宋体" w:hAnsi="宋体" w:cs="宋体"/>
          <w:color w:val="auto"/>
          <w:sz w:val="24"/>
          <w:szCs w:val="24"/>
          <w:highlight w:val="none"/>
        </w:rPr>
      </w:pPr>
      <w:r>
        <w:rPr>
          <w:rFonts w:hint="eastAsia" w:ascii="宋体" w:hAnsi="宋体" w:cs="宋体"/>
          <w:color w:val="auto"/>
          <w:sz w:val="24"/>
          <w:szCs w:val="24"/>
          <w:highlight w:val="none"/>
        </w:rPr>
        <w:t>甲方（盖章）                  乙方（盖章）</w:t>
      </w:r>
    </w:p>
    <w:p w14:paraId="332534B8">
      <w:pPr>
        <w:pageBreakBefore w:val="0"/>
        <w:kinsoku/>
        <w:wordWrap/>
        <w:overflowPunct w:val="0"/>
        <w:topLinePunct w:val="0"/>
        <w:bidi w:val="0"/>
        <w:snapToGrid w:val="0"/>
        <w:spacing w:line="520" w:lineRule="exact"/>
        <w:ind w:firstLine="460" w:firstLineChars="192"/>
        <w:textAlignment w:val="auto"/>
        <w:rPr>
          <w:rFonts w:ascii="宋体" w:hAnsi="宋体" w:cs="宋体"/>
          <w:color w:val="auto"/>
          <w:sz w:val="24"/>
          <w:szCs w:val="24"/>
          <w:highlight w:val="none"/>
        </w:rPr>
      </w:pPr>
      <w:r>
        <w:rPr>
          <w:rFonts w:hint="eastAsia" w:ascii="宋体" w:hAnsi="宋体" w:cs="宋体"/>
          <w:color w:val="auto"/>
          <w:sz w:val="24"/>
          <w:szCs w:val="24"/>
          <w:highlight w:val="none"/>
        </w:rPr>
        <w:t>单位名称：                    单位名称：</w:t>
      </w:r>
    </w:p>
    <w:p w14:paraId="0039483E">
      <w:pPr>
        <w:pageBreakBefore w:val="0"/>
        <w:kinsoku/>
        <w:wordWrap/>
        <w:overflowPunct w:val="0"/>
        <w:topLinePunct w:val="0"/>
        <w:bidi w:val="0"/>
        <w:snapToGrid w:val="0"/>
        <w:spacing w:line="520" w:lineRule="exact"/>
        <w:ind w:firstLine="460" w:firstLineChars="192"/>
        <w:textAlignment w:val="auto"/>
        <w:rPr>
          <w:rFonts w:ascii="宋体" w:hAnsi="宋体" w:cs="宋体"/>
          <w:color w:val="auto"/>
          <w:sz w:val="24"/>
          <w:szCs w:val="24"/>
          <w:highlight w:val="none"/>
        </w:rPr>
      </w:pPr>
      <w:r>
        <w:rPr>
          <w:rFonts w:hint="eastAsia" w:ascii="宋体" w:hAnsi="宋体" w:cs="宋体"/>
          <w:color w:val="auto"/>
          <w:sz w:val="24"/>
          <w:szCs w:val="24"/>
          <w:highlight w:val="none"/>
        </w:rPr>
        <w:t>法定代表人（盖章或签字）：     法定代表人（盖章或签字）：</w:t>
      </w:r>
    </w:p>
    <w:p w14:paraId="50887C23">
      <w:pPr>
        <w:pageBreakBefore w:val="0"/>
        <w:kinsoku/>
        <w:wordWrap/>
        <w:overflowPunct w:val="0"/>
        <w:topLinePunct w:val="0"/>
        <w:bidi w:val="0"/>
        <w:snapToGrid w:val="0"/>
        <w:spacing w:line="520" w:lineRule="exact"/>
        <w:ind w:firstLine="460" w:firstLineChars="192"/>
        <w:textAlignment w:val="auto"/>
        <w:rPr>
          <w:rFonts w:ascii="宋体" w:hAnsi="宋体" w:cs="宋体"/>
          <w:color w:val="auto"/>
          <w:sz w:val="24"/>
          <w:szCs w:val="24"/>
          <w:highlight w:val="none"/>
        </w:rPr>
      </w:pPr>
      <w:r>
        <w:rPr>
          <w:rFonts w:hint="eastAsia" w:ascii="宋体" w:hAnsi="宋体" w:cs="宋体"/>
          <w:color w:val="auto"/>
          <w:sz w:val="24"/>
          <w:szCs w:val="24"/>
          <w:highlight w:val="none"/>
        </w:rPr>
        <w:t>委托代理人（签字）：           委托代理人（签字）：</w:t>
      </w:r>
    </w:p>
    <w:p w14:paraId="6CDA1CF9">
      <w:pPr>
        <w:pageBreakBefore w:val="0"/>
        <w:kinsoku/>
        <w:wordWrap/>
        <w:overflowPunct w:val="0"/>
        <w:topLinePunct w:val="0"/>
        <w:bidi w:val="0"/>
        <w:snapToGrid w:val="0"/>
        <w:spacing w:line="520" w:lineRule="exact"/>
        <w:ind w:firstLine="460" w:firstLineChars="192"/>
        <w:textAlignment w:val="auto"/>
        <w:rPr>
          <w:rFonts w:ascii="宋体" w:hAnsi="宋体" w:cs="宋体"/>
          <w:color w:val="auto"/>
          <w:sz w:val="24"/>
          <w:szCs w:val="24"/>
          <w:highlight w:val="none"/>
        </w:rPr>
      </w:pPr>
      <w:r>
        <w:rPr>
          <w:rFonts w:hint="eastAsia" w:ascii="宋体" w:hAnsi="宋体" w:cs="宋体"/>
          <w:color w:val="auto"/>
          <w:sz w:val="24"/>
          <w:szCs w:val="24"/>
          <w:highlight w:val="none"/>
        </w:rPr>
        <w:t>地址：                        地址：</w:t>
      </w:r>
    </w:p>
    <w:p w14:paraId="73D85D34">
      <w:pPr>
        <w:pageBreakBefore w:val="0"/>
        <w:kinsoku/>
        <w:wordWrap/>
        <w:overflowPunct w:val="0"/>
        <w:topLinePunct w:val="0"/>
        <w:bidi w:val="0"/>
        <w:snapToGrid w:val="0"/>
        <w:spacing w:line="520" w:lineRule="exact"/>
        <w:ind w:firstLine="460" w:firstLineChars="192"/>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电话：                        电话： </w:t>
      </w:r>
    </w:p>
    <w:p w14:paraId="291BF66F">
      <w:pPr>
        <w:pageBreakBefore w:val="0"/>
        <w:kinsoku/>
        <w:wordWrap/>
        <w:overflowPunct/>
        <w:topLinePunct w:val="0"/>
        <w:bidi w:val="0"/>
        <w:snapToGrid/>
        <w:spacing w:line="520" w:lineRule="exact"/>
        <w:ind w:firstLine="480" w:firstLineChars="200"/>
        <w:textAlignment w:val="auto"/>
        <w:rPr>
          <w:rFonts w:hint="eastAsia" w:ascii="宋体" w:hAnsi="宋体"/>
          <w:color w:val="auto"/>
          <w:sz w:val="24"/>
          <w:highlight w:val="none"/>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        日期：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月</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日</w:t>
      </w:r>
    </w:p>
    <w:sectPr>
      <w:footerReference r:id="rId4"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PMingLiU">
    <w:altName w:val="PMingLiU-ExtB"/>
    <w:panose1 w:val="02020500000000000000"/>
    <w:charset w:val="88"/>
    <w:family w:val="auto"/>
    <w:pitch w:val="default"/>
    <w:sig w:usb0="00000000" w:usb1="00000000" w:usb2="00000016" w:usb3="00000000" w:csb0="0010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Wingdings 2">
    <w:panose1 w:val="05020102010507070707"/>
    <w:charset w:val="00"/>
    <w:family w:val="auto"/>
    <w:pitch w:val="default"/>
    <w:sig w:usb0="00000000" w:usb1="00000000" w:usb2="00000000" w:usb3="00000000" w:csb0="80000000" w:csb1="00000000"/>
  </w:font>
  <w:font w:name="DFKai-SB">
    <w:altName w:val="Microsoft JhengHei Light"/>
    <w:panose1 w:val="03000509000000000000"/>
    <w:charset w:val="88"/>
    <w:family w:val="script"/>
    <w:pitch w:val="default"/>
    <w:sig w:usb0="00000000" w:usb1="00000000" w:usb2="00000016" w:usb3="00000000" w:csb0="00100001" w:csb1="00000000"/>
  </w:font>
  <w:font w:name="方正姚体">
    <w:panose1 w:val="02010601030101010101"/>
    <w:charset w:val="86"/>
    <w:family w:val="auto"/>
    <w:pitch w:val="default"/>
    <w:sig w:usb0="00000003" w:usb1="080E0000" w:usb2="0000000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 w:name="Microsoft JhengHei Light">
    <w:panose1 w:val="020B0304030504040204"/>
    <w:charset w:val="88"/>
    <w:family w:val="auto"/>
    <w:pitch w:val="default"/>
    <w:sig w:usb0="8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DEEAA">
    <w:pPr>
      <w:pStyle w:val="19"/>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ADA8B5">
                          <w:pPr>
                            <w:pStyle w:val="19"/>
                            <w:jc w:val="center"/>
                          </w:pPr>
                          <w:r>
                            <w:fldChar w:fldCharType="begin"/>
                          </w:r>
                          <w:r>
                            <w:instrText xml:space="preserve">PAGE   \* MERGEFORMAT</w:instrText>
                          </w:r>
                          <w:r>
                            <w:fldChar w:fldCharType="separate"/>
                          </w:r>
                          <w:r>
                            <w:rPr>
                              <w:lang w:val="zh-CN"/>
                            </w:rPr>
                            <w:t>32</w:t>
                          </w:r>
                          <w: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14:paraId="71ADA8B5">
                    <w:pPr>
                      <w:pStyle w:val="19"/>
                      <w:jc w:val="center"/>
                    </w:pPr>
                    <w:r>
                      <w:fldChar w:fldCharType="begin"/>
                    </w:r>
                    <w:r>
                      <w:instrText xml:space="preserve">PAGE   \* MERGEFORMAT</w:instrText>
                    </w:r>
                    <w:r>
                      <w:fldChar w:fldCharType="separate"/>
                    </w:r>
                    <w:r>
                      <w:rPr>
                        <w:lang w:val="zh-CN"/>
                      </w:rPr>
                      <w:t>32</w:t>
                    </w:r>
                    <w:r>
                      <w:fldChar w:fldCharType="end"/>
                    </w:r>
                  </w:p>
                </w:txbxContent>
              </v:textbox>
            </v:shape>
          </w:pict>
        </mc:Fallback>
      </mc:AlternateContent>
    </w:r>
  </w:p>
  <w:p w14:paraId="7F4EC7BC">
    <w:pPr>
      <w:pStyle w:val="19"/>
      <w:ind w:right="360"/>
      <w:jc w:val="right"/>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CA106">
    <w:pPr>
      <w:pStyle w:val="19"/>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9C7AE7">
                          <w:pPr>
                            <w:pStyle w:val="19"/>
                            <w:jc w:val="center"/>
                          </w:pPr>
                          <w:r>
                            <w:fldChar w:fldCharType="begin"/>
                          </w:r>
                          <w:r>
                            <w:instrText xml:space="preserve">PAGE   \* MERGEFORMAT</w:instrText>
                          </w:r>
                          <w:r>
                            <w:fldChar w:fldCharType="separate"/>
                          </w:r>
                          <w:r>
                            <w:rPr>
                              <w:lang w:val="zh-CN"/>
                            </w:rPr>
                            <w:t>67</w:t>
                          </w:r>
                          <w:r>
                            <w:fldChar w:fldCharType="end"/>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9Kf18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z0p/XyQEAAJkDAAAOAAAAAAAAAAEAIAAAAB4BAABkcnMvZTJvRG9j&#10;LnhtbFBLBQYAAAAABgAGAFkBAABZBQAAAAA=&#10;">
              <v:fill on="f" focussize="0,0"/>
              <v:stroke on="f"/>
              <v:imagedata o:title=""/>
              <o:lock v:ext="edit" aspectratio="f"/>
              <v:textbox inset="0mm,0mm,0mm,0mm" style="mso-fit-shape-to-text:t;">
                <w:txbxContent>
                  <w:p w14:paraId="569C7AE7">
                    <w:pPr>
                      <w:pStyle w:val="19"/>
                      <w:jc w:val="center"/>
                    </w:pPr>
                    <w:r>
                      <w:fldChar w:fldCharType="begin"/>
                    </w:r>
                    <w:r>
                      <w:instrText xml:space="preserve">PAGE   \* MERGEFORMAT</w:instrText>
                    </w:r>
                    <w:r>
                      <w:fldChar w:fldCharType="separate"/>
                    </w:r>
                    <w:r>
                      <w:rPr>
                        <w:lang w:val="zh-CN"/>
                      </w:rPr>
                      <w:t>67</w:t>
                    </w:r>
                    <w:r>
                      <w:fldChar w:fldCharType="end"/>
                    </w:r>
                  </w:p>
                </w:txbxContent>
              </v:textbox>
            </v:shape>
          </w:pict>
        </mc:Fallback>
      </mc:AlternateContent>
    </w:r>
  </w:p>
  <w:p w14:paraId="4795A3E2">
    <w:pPr>
      <w:pStyle w:val="19"/>
      <w:ind w:right="360"/>
      <w:jc w:val="right"/>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37FE6B"/>
    <w:multiLevelType w:val="singleLevel"/>
    <w:tmpl w:val="B937FE6B"/>
    <w:lvl w:ilvl="0" w:tentative="0">
      <w:start w:val="2"/>
      <w:numFmt w:val="chineseCounting"/>
      <w:suff w:val="nothing"/>
      <w:lvlText w:val="（%1）"/>
      <w:lvlJc w:val="left"/>
      <w:rPr>
        <w:rFonts w:hint="eastAsia"/>
      </w:rPr>
    </w:lvl>
  </w:abstractNum>
  <w:abstractNum w:abstractNumId="1">
    <w:nsid w:val="25E9131D"/>
    <w:multiLevelType w:val="multilevel"/>
    <w:tmpl w:val="25E9131D"/>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2">
    <w:nsid w:val="5D845426"/>
    <w:multiLevelType w:val="singleLevel"/>
    <w:tmpl w:val="5D845426"/>
    <w:lvl w:ilvl="0" w:tentative="0">
      <w:start w:val="6"/>
      <w:numFmt w:val="chineseCounting"/>
      <w:suff w:val="space"/>
      <w:lvlText w:val="第%1条"/>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commondata" w:val="eyJoZGlkIjoiNmU2YmE5NDQ2MDFhZmU0ZTI1NTg1YjAxNjcyYTFkNWYifQ=="/>
    <w:docVar w:name="KSO_WPS_MARK_KEY" w:val="8a3dd505-af4b-4572-ad4b-cb7f26cd17fb"/>
    <w:docVar w:name="VTCASE" w:val="4"/>
    <w:docVar w:name="VTCommandPending" w:val="NONE"/>
  </w:docVars>
  <w:rsids>
    <w:rsidRoot w:val="00887D93"/>
    <w:rsid w:val="000004CD"/>
    <w:rsid w:val="00001783"/>
    <w:rsid w:val="00001797"/>
    <w:rsid w:val="0000273B"/>
    <w:rsid w:val="000041A8"/>
    <w:rsid w:val="000055D7"/>
    <w:rsid w:val="00010025"/>
    <w:rsid w:val="00012E72"/>
    <w:rsid w:val="00013885"/>
    <w:rsid w:val="0001529F"/>
    <w:rsid w:val="000157E2"/>
    <w:rsid w:val="0001697A"/>
    <w:rsid w:val="000169E1"/>
    <w:rsid w:val="00020D78"/>
    <w:rsid w:val="00021486"/>
    <w:rsid w:val="00021AE8"/>
    <w:rsid w:val="00021C04"/>
    <w:rsid w:val="00022E94"/>
    <w:rsid w:val="000313B5"/>
    <w:rsid w:val="00032B95"/>
    <w:rsid w:val="000333A8"/>
    <w:rsid w:val="000434F9"/>
    <w:rsid w:val="00043533"/>
    <w:rsid w:val="00045D67"/>
    <w:rsid w:val="0004677C"/>
    <w:rsid w:val="00047C22"/>
    <w:rsid w:val="000538CC"/>
    <w:rsid w:val="000541C7"/>
    <w:rsid w:val="00054A8E"/>
    <w:rsid w:val="000557CA"/>
    <w:rsid w:val="00055A71"/>
    <w:rsid w:val="00055DE6"/>
    <w:rsid w:val="00056583"/>
    <w:rsid w:val="00056932"/>
    <w:rsid w:val="00057BB2"/>
    <w:rsid w:val="0006019D"/>
    <w:rsid w:val="00060D8A"/>
    <w:rsid w:val="000612B3"/>
    <w:rsid w:val="00061B68"/>
    <w:rsid w:val="00062728"/>
    <w:rsid w:val="00063750"/>
    <w:rsid w:val="00065379"/>
    <w:rsid w:val="000673C5"/>
    <w:rsid w:val="00070907"/>
    <w:rsid w:val="000719AB"/>
    <w:rsid w:val="00073852"/>
    <w:rsid w:val="00076670"/>
    <w:rsid w:val="00077CBB"/>
    <w:rsid w:val="00080B56"/>
    <w:rsid w:val="00080FC7"/>
    <w:rsid w:val="00081D11"/>
    <w:rsid w:val="00083115"/>
    <w:rsid w:val="000837AA"/>
    <w:rsid w:val="00093645"/>
    <w:rsid w:val="00096150"/>
    <w:rsid w:val="00096F54"/>
    <w:rsid w:val="000A0829"/>
    <w:rsid w:val="000A0B04"/>
    <w:rsid w:val="000A128C"/>
    <w:rsid w:val="000A31C4"/>
    <w:rsid w:val="000A3727"/>
    <w:rsid w:val="000A49C1"/>
    <w:rsid w:val="000A77DE"/>
    <w:rsid w:val="000A799B"/>
    <w:rsid w:val="000B2BCB"/>
    <w:rsid w:val="000B3242"/>
    <w:rsid w:val="000B3392"/>
    <w:rsid w:val="000B362F"/>
    <w:rsid w:val="000B366A"/>
    <w:rsid w:val="000B6C50"/>
    <w:rsid w:val="000B7EDF"/>
    <w:rsid w:val="000C0FDF"/>
    <w:rsid w:val="000C15AF"/>
    <w:rsid w:val="000C15E3"/>
    <w:rsid w:val="000C3524"/>
    <w:rsid w:val="000C5071"/>
    <w:rsid w:val="000C55ED"/>
    <w:rsid w:val="000C6F86"/>
    <w:rsid w:val="000C71AD"/>
    <w:rsid w:val="000D10E4"/>
    <w:rsid w:val="000D1613"/>
    <w:rsid w:val="000D19C1"/>
    <w:rsid w:val="000D4E69"/>
    <w:rsid w:val="000D5125"/>
    <w:rsid w:val="000D5D4A"/>
    <w:rsid w:val="000D7812"/>
    <w:rsid w:val="000E1288"/>
    <w:rsid w:val="000E3784"/>
    <w:rsid w:val="000E37E0"/>
    <w:rsid w:val="000E47A0"/>
    <w:rsid w:val="000E597F"/>
    <w:rsid w:val="000E5BFC"/>
    <w:rsid w:val="000E694F"/>
    <w:rsid w:val="000E7158"/>
    <w:rsid w:val="000E74D4"/>
    <w:rsid w:val="000F2B89"/>
    <w:rsid w:val="000F2D05"/>
    <w:rsid w:val="000F2EEE"/>
    <w:rsid w:val="000F4234"/>
    <w:rsid w:val="000F6215"/>
    <w:rsid w:val="000F63C8"/>
    <w:rsid w:val="000F6581"/>
    <w:rsid w:val="00101638"/>
    <w:rsid w:val="00102417"/>
    <w:rsid w:val="00102CAB"/>
    <w:rsid w:val="001032CC"/>
    <w:rsid w:val="00105B0B"/>
    <w:rsid w:val="00107505"/>
    <w:rsid w:val="0011024E"/>
    <w:rsid w:val="00112163"/>
    <w:rsid w:val="0011292C"/>
    <w:rsid w:val="00114579"/>
    <w:rsid w:val="0011538C"/>
    <w:rsid w:val="00115BF1"/>
    <w:rsid w:val="0012032C"/>
    <w:rsid w:val="0012244B"/>
    <w:rsid w:val="001224B5"/>
    <w:rsid w:val="00122643"/>
    <w:rsid w:val="00122B90"/>
    <w:rsid w:val="0012425B"/>
    <w:rsid w:val="001244F8"/>
    <w:rsid w:val="001247F0"/>
    <w:rsid w:val="001252D8"/>
    <w:rsid w:val="001257D4"/>
    <w:rsid w:val="00131E0D"/>
    <w:rsid w:val="0013359E"/>
    <w:rsid w:val="001338A2"/>
    <w:rsid w:val="001375F2"/>
    <w:rsid w:val="00137694"/>
    <w:rsid w:val="00137E1F"/>
    <w:rsid w:val="00140F84"/>
    <w:rsid w:val="00141EAC"/>
    <w:rsid w:val="00143652"/>
    <w:rsid w:val="0014627C"/>
    <w:rsid w:val="0015142E"/>
    <w:rsid w:val="0015494E"/>
    <w:rsid w:val="00157C74"/>
    <w:rsid w:val="00157D8E"/>
    <w:rsid w:val="00161678"/>
    <w:rsid w:val="00161D71"/>
    <w:rsid w:val="00162805"/>
    <w:rsid w:val="00165014"/>
    <w:rsid w:val="0017180F"/>
    <w:rsid w:val="001733C3"/>
    <w:rsid w:val="00173BFF"/>
    <w:rsid w:val="00174749"/>
    <w:rsid w:val="00174FCA"/>
    <w:rsid w:val="00175AFB"/>
    <w:rsid w:val="00176F12"/>
    <w:rsid w:val="001770BE"/>
    <w:rsid w:val="00177A3E"/>
    <w:rsid w:val="00183BC4"/>
    <w:rsid w:val="00183E4B"/>
    <w:rsid w:val="00187B13"/>
    <w:rsid w:val="00187EB4"/>
    <w:rsid w:val="0019373E"/>
    <w:rsid w:val="0019618B"/>
    <w:rsid w:val="00196FA0"/>
    <w:rsid w:val="001A34A6"/>
    <w:rsid w:val="001A3810"/>
    <w:rsid w:val="001A3B44"/>
    <w:rsid w:val="001A5EEB"/>
    <w:rsid w:val="001A62A5"/>
    <w:rsid w:val="001B4216"/>
    <w:rsid w:val="001B49A4"/>
    <w:rsid w:val="001B521B"/>
    <w:rsid w:val="001B5543"/>
    <w:rsid w:val="001B5CC8"/>
    <w:rsid w:val="001B6587"/>
    <w:rsid w:val="001C0582"/>
    <w:rsid w:val="001C058D"/>
    <w:rsid w:val="001C20BC"/>
    <w:rsid w:val="001C54C3"/>
    <w:rsid w:val="001C577E"/>
    <w:rsid w:val="001D027D"/>
    <w:rsid w:val="001D4A1E"/>
    <w:rsid w:val="001D5F7D"/>
    <w:rsid w:val="001D70E9"/>
    <w:rsid w:val="001E181E"/>
    <w:rsid w:val="001E1DCD"/>
    <w:rsid w:val="001E4481"/>
    <w:rsid w:val="001E44EF"/>
    <w:rsid w:val="001E4C8A"/>
    <w:rsid w:val="001E6C1A"/>
    <w:rsid w:val="001E7629"/>
    <w:rsid w:val="001E7846"/>
    <w:rsid w:val="001E7E8B"/>
    <w:rsid w:val="001F010B"/>
    <w:rsid w:val="001F2F0B"/>
    <w:rsid w:val="001F3130"/>
    <w:rsid w:val="001F3B1C"/>
    <w:rsid w:val="001F5903"/>
    <w:rsid w:val="001F7292"/>
    <w:rsid w:val="002001DC"/>
    <w:rsid w:val="002032B0"/>
    <w:rsid w:val="00203778"/>
    <w:rsid w:val="0020407A"/>
    <w:rsid w:val="00204B1F"/>
    <w:rsid w:val="00210AE7"/>
    <w:rsid w:val="002123C7"/>
    <w:rsid w:val="002124BD"/>
    <w:rsid w:val="00213411"/>
    <w:rsid w:val="00216D4F"/>
    <w:rsid w:val="00216E43"/>
    <w:rsid w:val="00220866"/>
    <w:rsid w:val="00222AB6"/>
    <w:rsid w:val="002231A4"/>
    <w:rsid w:val="00223245"/>
    <w:rsid w:val="00223BD3"/>
    <w:rsid w:val="00224447"/>
    <w:rsid w:val="00224A77"/>
    <w:rsid w:val="0022671D"/>
    <w:rsid w:val="0023090E"/>
    <w:rsid w:val="00231C64"/>
    <w:rsid w:val="00232C22"/>
    <w:rsid w:val="0023318A"/>
    <w:rsid w:val="00234C18"/>
    <w:rsid w:val="00236A9B"/>
    <w:rsid w:val="0023715B"/>
    <w:rsid w:val="00237592"/>
    <w:rsid w:val="0024439D"/>
    <w:rsid w:val="00244A0E"/>
    <w:rsid w:val="00244F73"/>
    <w:rsid w:val="002501BB"/>
    <w:rsid w:val="002502D1"/>
    <w:rsid w:val="002509CA"/>
    <w:rsid w:val="00250C1D"/>
    <w:rsid w:val="00251A29"/>
    <w:rsid w:val="00251B89"/>
    <w:rsid w:val="0025328E"/>
    <w:rsid w:val="00253615"/>
    <w:rsid w:val="00253950"/>
    <w:rsid w:val="00254F7E"/>
    <w:rsid w:val="002552A4"/>
    <w:rsid w:val="0025569E"/>
    <w:rsid w:val="002564FE"/>
    <w:rsid w:val="002576C7"/>
    <w:rsid w:val="002603EB"/>
    <w:rsid w:val="00261FEB"/>
    <w:rsid w:val="00264327"/>
    <w:rsid w:val="002650F1"/>
    <w:rsid w:val="00266352"/>
    <w:rsid w:val="00266403"/>
    <w:rsid w:val="00266406"/>
    <w:rsid w:val="00266575"/>
    <w:rsid w:val="002679CA"/>
    <w:rsid w:val="00272722"/>
    <w:rsid w:val="002730FE"/>
    <w:rsid w:val="002745E7"/>
    <w:rsid w:val="002748DD"/>
    <w:rsid w:val="002760AC"/>
    <w:rsid w:val="00277935"/>
    <w:rsid w:val="00277E8E"/>
    <w:rsid w:val="00280DD6"/>
    <w:rsid w:val="00282496"/>
    <w:rsid w:val="002828CD"/>
    <w:rsid w:val="002829B8"/>
    <w:rsid w:val="00283033"/>
    <w:rsid w:val="002854DC"/>
    <w:rsid w:val="0028616B"/>
    <w:rsid w:val="00290CDE"/>
    <w:rsid w:val="00290DE2"/>
    <w:rsid w:val="002959CC"/>
    <w:rsid w:val="002A0C27"/>
    <w:rsid w:val="002A2315"/>
    <w:rsid w:val="002A2732"/>
    <w:rsid w:val="002A2BF3"/>
    <w:rsid w:val="002A3153"/>
    <w:rsid w:val="002A5512"/>
    <w:rsid w:val="002A6C9C"/>
    <w:rsid w:val="002B4498"/>
    <w:rsid w:val="002B4688"/>
    <w:rsid w:val="002C10AC"/>
    <w:rsid w:val="002C2AE8"/>
    <w:rsid w:val="002C2FF3"/>
    <w:rsid w:val="002C3224"/>
    <w:rsid w:val="002C3A5A"/>
    <w:rsid w:val="002C4ABE"/>
    <w:rsid w:val="002C71EC"/>
    <w:rsid w:val="002C7548"/>
    <w:rsid w:val="002C780B"/>
    <w:rsid w:val="002C7E47"/>
    <w:rsid w:val="002D1A36"/>
    <w:rsid w:val="002D2677"/>
    <w:rsid w:val="002D2AD0"/>
    <w:rsid w:val="002D2C13"/>
    <w:rsid w:val="002D2FFB"/>
    <w:rsid w:val="002D36E7"/>
    <w:rsid w:val="002D4E0A"/>
    <w:rsid w:val="002D4E16"/>
    <w:rsid w:val="002D505C"/>
    <w:rsid w:val="002D5DF8"/>
    <w:rsid w:val="002E3057"/>
    <w:rsid w:val="002E334D"/>
    <w:rsid w:val="002E486A"/>
    <w:rsid w:val="002E510A"/>
    <w:rsid w:val="002E53C0"/>
    <w:rsid w:val="002E766C"/>
    <w:rsid w:val="002F02C8"/>
    <w:rsid w:val="002F0A07"/>
    <w:rsid w:val="002F2D5F"/>
    <w:rsid w:val="002F46DC"/>
    <w:rsid w:val="002F5145"/>
    <w:rsid w:val="002F5CB9"/>
    <w:rsid w:val="002F683C"/>
    <w:rsid w:val="00310C52"/>
    <w:rsid w:val="0031140B"/>
    <w:rsid w:val="00311E54"/>
    <w:rsid w:val="00314E3D"/>
    <w:rsid w:val="00317120"/>
    <w:rsid w:val="003171BB"/>
    <w:rsid w:val="0032100C"/>
    <w:rsid w:val="003212C2"/>
    <w:rsid w:val="00321921"/>
    <w:rsid w:val="00321926"/>
    <w:rsid w:val="0032313F"/>
    <w:rsid w:val="0032495C"/>
    <w:rsid w:val="00327707"/>
    <w:rsid w:val="0033060D"/>
    <w:rsid w:val="003318F3"/>
    <w:rsid w:val="00331ECA"/>
    <w:rsid w:val="00333661"/>
    <w:rsid w:val="00333919"/>
    <w:rsid w:val="00334F3E"/>
    <w:rsid w:val="0033767B"/>
    <w:rsid w:val="003379AF"/>
    <w:rsid w:val="00337C5C"/>
    <w:rsid w:val="00343E4C"/>
    <w:rsid w:val="00352BC8"/>
    <w:rsid w:val="00355D82"/>
    <w:rsid w:val="00356412"/>
    <w:rsid w:val="00356CAF"/>
    <w:rsid w:val="003612A6"/>
    <w:rsid w:val="00364F16"/>
    <w:rsid w:val="00365B8D"/>
    <w:rsid w:val="003671F3"/>
    <w:rsid w:val="00367712"/>
    <w:rsid w:val="00367C88"/>
    <w:rsid w:val="00367DB2"/>
    <w:rsid w:val="0037013F"/>
    <w:rsid w:val="00370B19"/>
    <w:rsid w:val="00371C8C"/>
    <w:rsid w:val="003720CD"/>
    <w:rsid w:val="00373408"/>
    <w:rsid w:val="003748EB"/>
    <w:rsid w:val="00375DCD"/>
    <w:rsid w:val="00376F36"/>
    <w:rsid w:val="003800A6"/>
    <w:rsid w:val="0038151E"/>
    <w:rsid w:val="00382FFA"/>
    <w:rsid w:val="00383B0A"/>
    <w:rsid w:val="0038491D"/>
    <w:rsid w:val="00387606"/>
    <w:rsid w:val="00391DD2"/>
    <w:rsid w:val="003925E1"/>
    <w:rsid w:val="00393D74"/>
    <w:rsid w:val="003943A7"/>
    <w:rsid w:val="00396A66"/>
    <w:rsid w:val="003A0E06"/>
    <w:rsid w:val="003A1A69"/>
    <w:rsid w:val="003A35AB"/>
    <w:rsid w:val="003A37B8"/>
    <w:rsid w:val="003A582F"/>
    <w:rsid w:val="003A6B72"/>
    <w:rsid w:val="003B020F"/>
    <w:rsid w:val="003B3917"/>
    <w:rsid w:val="003B41D9"/>
    <w:rsid w:val="003B4356"/>
    <w:rsid w:val="003B5422"/>
    <w:rsid w:val="003B70CB"/>
    <w:rsid w:val="003B7293"/>
    <w:rsid w:val="003B75A5"/>
    <w:rsid w:val="003C0059"/>
    <w:rsid w:val="003C3D69"/>
    <w:rsid w:val="003C53B2"/>
    <w:rsid w:val="003C6422"/>
    <w:rsid w:val="003C6C9A"/>
    <w:rsid w:val="003D015D"/>
    <w:rsid w:val="003D146C"/>
    <w:rsid w:val="003D3840"/>
    <w:rsid w:val="003D6961"/>
    <w:rsid w:val="003D7B12"/>
    <w:rsid w:val="003E2C77"/>
    <w:rsid w:val="003E2C89"/>
    <w:rsid w:val="003E3C14"/>
    <w:rsid w:val="003E6516"/>
    <w:rsid w:val="003E747A"/>
    <w:rsid w:val="003E7B6D"/>
    <w:rsid w:val="003E7EAB"/>
    <w:rsid w:val="003F0149"/>
    <w:rsid w:val="003F0270"/>
    <w:rsid w:val="003F0E2B"/>
    <w:rsid w:val="003F11BD"/>
    <w:rsid w:val="003F1A00"/>
    <w:rsid w:val="003F3C92"/>
    <w:rsid w:val="003F4748"/>
    <w:rsid w:val="003F4960"/>
    <w:rsid w:val="003F61AC"/>
    <w:rsid w:val="00401267"/>
    <w:rsid w:val="00401B70"/>
    <w:rsid w:val="00402836"/>
    <w:rsid w:val="0040298F"/>
    <w:rsid w:val="0040367C"/>
    <w:rsid w:val="00404B23"/>
    <w:rsid w:val="00405154"/>
    <w:rsid w:val="004109B8"/>
    <w:rsid w:val="0041238C"/>
    <w:rsid w:val="00412829"/>
    <w:rsid w:val="0041314E"/>
    <w:rsid w:val="00414EDB"/>
    <w:rsid w:val="004164DF"/>
    <w:rsid w:val="0042141B"/>
    <w:rsid w:val="00425FB2"/>
    <w:rsid w:val="004261AF"/>
    <w:rsid w:val="00426BB0"/>
    <w:rsid w:val="004321A3"/>
    <w:rsid w:val="00433EEA"/>
    <w:rsid w:val="004408B0"/>
    <w:rsid w:val="004408EE"/>
    <w:rsid w:val="00441C7F"/>
    <w:rsid w:val="00441E5E"/>
    <w:rsid w:val="00442196"/>
    <w:rsid w:val="0044524F"/>
    <w:rsid w:val="0044584A"/>
    <w:rsid w:val="0044654E"/>
    <w:rsid w:val="00447D50"/>
    <w:rsid w:val="004504F2"/>
    <w:rsid w:val="00450C1F"/>
    <w:rsid w:val="00453BCE"/>
    <w:rsid w:val="0045413A"/>
    <w:rsid w:val="00455240"/>
    <w:rsid w:val="0045705D"/>
    <w:rsid w:val="00457AEF"/>
    <w:rsid w:val="0046046C"/>
    <w:rsid w:val="004663F3"/>
    <w:rsid w:val="00467553"/>
    <w:rsid w:val="00471F78"/>
    <w:rsid w:val="00473B94"/>
    <w:rsid w:val="00473DC2"/>
    <w:rsid w:val="0047556E"/>
    <w:rsid w:val="00475991"/>
    <w:rsid w:val="00475B13"/>
    <w:rsid w:val="00480D8D"/>
    <w:rsid w:val="004814E5"/>
    <w:rsid w:val="00483D2D"/>
    <w:rsid w:val="00484641"/>
    <w:rsid w:val="004846F8"/>
    <w:rsid w:val="00485AB6"/>
    <w:rsid w:val="00485EFC"/>
    <w:rsid w:val="00490A94"/>
    <w:rsid w:val="004911E4"/>
    <w:rsid w:val="004912F4"/>
    <w:rsid w:val="004922BC"/>
    <w:rsid w:val="00492CE8"/>
    <w:rsid w:val="00493558"/>
    <w:rsid w:val="00493EC9"/>
    <w:rsid w:val="00494ECE"/>
    <w:rsid w:val="00495251"/>
    <w:rsid w:val="00495B0C"/>
    <w:rsid w:val="004963A5"/>
    <w:rsid w:val="00496AC8"/>
    <w:rsid w:val="00497FDA"/>
    <w:rsid w:val="004A1759"/>
    <w:rsid w:val="004A2275"/>
    <w:rsid w:val="004A3872"/>
    <w:rsid w:val="004A3AC0"/>
    <w:rsid w:val="004A42D0"/>
    <w:rsid w:val="004A4ED0"/>
    <w:rsid w:val="004A6F61"/>
    <w:rsid w:val="004B0706"/>
    <w:rsid w:val="004B22B1"/>
    <w:rsid w:val="004B46E5"/>
    <w:rsid w:val="004B6542"/>
    <w:rsid w:val="004B72A3"/>
    <w:rsid w:val="004C1E33"/>
    <w:rsid w:val="004C2D15"/>
    <w:rsid w:val="004C6870"/>
    <w:rsid w:val="004D29A3"/>
    <w:rsid w:val="004D4285"/>
    <w:rsid w:val="004D4D48"/>
    <w:rsid w:val="004D5250"/>
    <w:rsid w:val="004D6AD9"/>
    <w:rsid w:val="004E0517"/>
    <w:rsid w:val="004E0C12"/>
    <w:rsid w:val="004E0CC9"/>
    <w:rsid w:val="004E13F0"/>
    <w:rsid w:val="004E4386"/>
    <w:rsid w:val="004E4854"/>
    <w:rsid w:val="004E5FCE"/>
    <w:rsid w:val="004F036B"/>
    <w:rsid w:val="004F052D"/>
    <w:rsid w:val="004F0E54"/>
    <w:rsid w:val="004F3963"/>
    <w:rsid w:val="004F6E98"/>
    <w:rsid w:val="004F7B7E"/>
    <w:rsid w:val="00501785"/>
    <w:rsid w:val="00503724"/>
    <w:rsid w:val="00504E3C"/>
    <w:rsid w:val="0050528E"/>
    <w:rsid w:val="00507AD5"/>
    <w:rsid w:val="00507C6A"/>
    <w:rsid w:val="00513F7C"/>
    <w:rsid w:val="005149B8"/>
    <w:rsid w:val="005168FA"/>
    <w:rsid w:val="005175C0"/>
    <w:rsid w:val="00520001"/>
    <w:rsid w:val="00521717"/>
    <w:rsid w:val="00522A44"/>
    <w:rsid w:val="0052331B"/>
    <w:rsid w:val="0052391C"/>
    <w:rsid w:val="0052393A"/>
    <w:rsid w:val="00530C3F"/>
    <w:rsid w:val="00532B1D"/>
    <w:rsid w:val="00533524"/>
    <w:rsid w:val="00534347"/>
    <w:rsid w:val="00540C55"/>
    <w:rsid w:val="00542227"/>
    <w:rsid w:val="005422EB"/>
    <w:rsid w:val="005426F8"/>
    <w:rsid w:val="0054426F"/>
    <w:rsid w:val="0054508F"/>
    <w:rsid w:val="00546F3A"/>
    <w:rsid w:val="005475C6"/>
    <w:rsid w:val="00550C61"/>
    <w:rsid w:val="0055287B"/>
    <w:rsid w:val="00552FBA"/>
    <w:rsid w:val="00554D9D"/>
    <w:rsid w:val="00555A82"/>
    <w:rsid w:val="00556C52"/>
    <w:rsid w:val="0056008C"/>
    <w:rsid w:val="005639B3"/>
    <w:rsid w:val="00566E19"/>
    <w:rsid w:val="005704E8"/>
    <w:rsid w:val="00570A8A"/>
    <w:rsid w:val="00571BE1"/>
    <w:rsid w:val="0057268E"/>
    <w:rsid w:val="00573C95"/>
    <w:rsid w:val="005750B7"/>
    <w:rsid w:val="005759F6"/>
    <w:rsid w:val="00575BA3"/>
    <w:rsid w:val="005769F2"/>
    <w:rsid w:val="005806C7"/>
    <w:rsid w:val="005826FD"/>
    <w:rsid w:val="00582CA5"/>
    <w:rsid w:val="00582FE9"/>
    <w:rsid w:val="0058511B"/>
    <w:rsid w:val="005852AF"/>
    <w:rsid w:val="00586372"/>
    <w:rsid w:val="00586FF5"/>
    <w:rsid w:val="0059162A"/>
    <w:rsid w:val="0059491C"/>
    <w:rsid w:val="005A0332"/>
    <w:rsid w:val="005A1737"/>
    <w:rsid w:val="005A1914"/>
    <w:rsid w:val="005A1D6F"/>
    <w:rsid w:val="005A378B"/>
    <w:rsid w:val="005A3804"/>
    <w:rsid w:val="005A40B3"/>
    <w:rsid w:val="005B1361"/>
    <w:rsid w:val="005B177D"/>
    <w:rsid w:val="005B3331"/>
    <w:rsid w:val="005B3B4A"/>
    <w:rsid w:val="005B4C4C"/>
    <w:rsid w:val="005B7966"/>
    <w:rsid w:val="005C0341"/>
    <w:rsid w:val="005C143C"/>
    <w:rsid w:val="005C3CDD"/>
    <w:rsid w:val="005D09DA"/>
    <w:rsid w:val="005D2B33"/>
    <w:rsid w:val="005D4B36"/>
    <w:rsid w:val="005D5740"/>
    <w:rsid w:val="005D5B37"/>
    <w:rsid w:val="005D6D35"/>
    <w:rsid w:val="005E1062"/>
    <w:rsid w:val="005E12BD"/>
    <w:rsid w:val="005E132E"/>
    <w:rsid w:val="005E1F41"/>
    <w:rsid w:val="005E305E"/>
    <w:rsid w:val="005E3ECC"/>
    <w:rsid w:val="005E47B9"/>
    <w:rsid w:val="005E4D7C"/>
    <w:rsid w:val="005E53A4"/>
    <w:rsid w:val="005F1F63"/>
    <w:rsid w:val="005F324D"/>
    <w:rsid w:val="005F4C0F"/>
    <w:rsid w:val="005F673C"/>
    <w:rsid w:val="006011F9"/>
    <w:rsid w:val="006016B0"/>
    <w:rsid w:val="00602247"/>
    <w:rsid w:val="006054AE"/>
    <w:rsid w:val="00606661"/>
    <w:rsid w:val="00612A91"/>
    <w:rsid w:val="00615BD4"/>
    <w:rsid w:val="006176D9"/>
    <w:rsid w:val="0062063C"/>
    <w:rsid w:val="00621EEA"/>
    <w:rsid w:val="00622049"/>
    <w:rsid w:val="006267AC"/>
    <w:rsid w:val="006275F8"/>
    <w:rsid w:val="00630C8F"/>
    <w:rsid w:val="00630F89"/>
    <w:rsid w:val="0063126C"/>
    <w:rsid w:val="006321D9"/>
    <w:rsid w:val="00632895"/>
    <w:rsid w:val="00635ACD"/>
    <w:rsid w:val="00645F9B"/>
    <w:rsid w:val="006462F4"/>
    <w:rsid w:val="00646C7B"/>
    <w:rsid w:val="00650B95"/>
    <w:rsid w:val="00653EEF"/>
    <w:rsid w:val="0065646B"/>
    <w:rsid w:val="00656DB1"/>
    <w:rsid w:val="0065706C"/>
    <w:rsid w:val="006570F3"/>
    <w:rsid w:val="0065710E"/>
    <w:rsid w:val="006574CA"/>
    <w:rsid w:val="00663087"/>
    <w:rsid w:val="00666E6E"/>
    <w:rsid w:val="00667175"/>
    <w:rsid w:val="006675C0"/>
    <w:rsid w:val="00667926"/>
    <w:rsid w:val="006719B8"/>
    <w:rsid w:val="00672A07"/>
    <w:rsid w:val="00672A3D"/>
    <w:rsid w:val="00673284"/>
    <w:rsid w:val="00673C56"/>
    <w:rsid w:val="00674E3C"/>
    <w:rsid w:val="006802C2"/>
    <w:rsid w:val="00684218"/>
    <w:rsid w:val="00684A17"/>
    <w:rsid w:val="0068548A"/>
    <w:rsid w:val="00686ACA"/>
    <w:rsid w:val="006904AF"/>
    <w:rsid w:val="006925DF"/>
    <w:rsid w:val="00695821"/>
    <w:rsid w:val="0069607D"/>
    <w:rsid w:val="006960C5"/>
    <w:rsid w:val="006A05F8"/>
    <w:rsid w:val="006A0897"/>
    <w:rsid w:val="006A27B1"/>
    <w:rsid w:val="006A4246"/>
    <w:rsid w:val="006A5097"/>
    <w:rsid w:val="006A56B9"/>
    <w:rsid w:val="006A64EB"/>
    <w:rsid w:val="006A6EA6"/>
    <w:rsid w:val="006A7750"/>
    <w:rsid w:val="006A7FD4"/>
    <w:rsid w:val="006B0E91"/>
    <w:rsid w:val="006B1891"/>
    <w:rsid w:val="006B25BC"/>
    <w:rsid w:val="006B37AE"/>
    <w:rsid w:val="006B3C07"/>
    <w:rsid w:val="006B476E"/>
    <w:rsid w:val="006B7254"/>
    <w:rsid w:val="006B73B9"/>
    <w:rsid w:val="006C0F43"/>
    <w:rsid w:val="006C2D51"/>
    <w:rsid w:val="006C4B81"/>
    <w:rsid w:val="006C517C"/>
    <w:rsid w:val="006C5CAA"/>
    <w:rsid w:val="006C5EA9"/>
    <w:rsid w:val="006C6855"/>
    <w:rsid w:val="006C7F43"/>
    <w:rsid w:val="006D16F3"/>
    <w:rsid w:val="006D24F8"/>
    <w:rsid w:val="006D49E3"/>
    <w:rsid w:val="006D4C2C"/>
    <w:rsid w:val="006D5EA6"/>
    <w:rsid w:val="006D62FF"/>
    <w:rsid w:val="006E019F"/>
    <w:rsid w:val="006E18C4"/>
    <w:rsid w:val="006E3E50"/>
    <w:rsid w:val="006E402A"/>
    <w:rsid w:val="006E525F"/>
    <w:rsid w:val="006E6276"/>
    <w:rsid w:val="006E74F5"/>
    <w:rsid w:val="006E7DCA"/>
    <w:rsid w:val="006F2035"/>
    <w:rsid w:val="006F28EE"/>
    <w:rsid w:val="006F3AAF"/>
    <w:rsid w:val="006F42C2"/>
    <w:rsid w:val="006F5B2C"/>
    <w:rsid w:val="006F602A"/>
    <w:rsid w:val="006F7412"/>
    <w:rsid w:val="00704E65"/>
    <w:rsid w:val="00707DE9"/>
    <w:rsid w:val="0071025E"/>
    <w:rsid w:val="007105A5"/>
    <w:rsid w:val="00710B8D"/>
    <w:rsid w:val="00712CF9"/>
    <w:rsid w:val="00712F66"/>
    <w:rsid w:val="00713024"/>
    <w:rsid w:val="00713EA1"/>
    <w:rsid w:val="00715D6B"/>
    <w:rsid w:val="00717F6B"/>
    <w:rsid w:val="007212F0"/>
    <w:rsid w:val="0072241B"/>
    <w:rsid w:val="00722EC6"/>
    <w:rsid w:val="00723FF6"/>
    <w:rsid w:val="0072460B"/>
    <w:rsid w:val="00724A4D"/>
    <w:rsid w:val="00726422"/>
    <w:rsid w:val="00726876"/>
    <w:rsid w:val="007269B1"/>
    <w:rsid w:val="00726F51"/>
    <w:rsid w:val="00730DF7"/>
    <w:rsid w:val="00730EB3"/>
    <w:rsid w:val="00730EE4"/>
    <w:rsid w:val="0073123A"/>
    <w:rsid w:val="007331F6"/>
    <w:rsid w:val="0073362F"/>
    <w:rsid w:val="00733A3E"/>
    <w:rsid w:val="00736B54"/>
    <w:rsid w:val="00740605"/>
    <w:rsid w:val="00740FA5"/>
    <w:rsid w:val="00742BC5"/>
    <w:rsid w:val="007440A8"/>
    <w:rsid w:val="00746CC4"/>
    <w:rsid w:val="00747B97"/>
    <w:rsid w:val="00747DD4"/>
    <w:rsid w:val="00750473"/>
    <w:rsid w:val="00751820"/>
    <w:rsid w:val="00751B7E"/>
    <w:rsid w:val="00752AB2"/>
    <w:rsid w:val="00754193"/>
    <w:rsid w:val="007556C8"/>
    <w:rsid w:val="007562B1"/>
    <w:rsid w:val="00756FA1"/>
    <w:rsid w:val="00760562"/>
    <w:rsid w:val="007605DF"/>
    <w:rsid w:val="0076244A"/>
    <w:rsid w:val="00762D9D"/>
    <w:rsid w:val="00763FD6"/>
    <w:rsid w:val="0076431D"/>
    <w:rsid w:val="00766DE9"/>
    <w:rsid w:val="0076739F"/>
    <w:rsid w:val="007678A5"/>
    <w:rsid w:val="00770841"/>
    <w:rsid w:val="00771F67"/>
    <w:rsid w:val="00772012"/>
    <w:rsid w:val="0077418F"/>
    <w:rsid w:val="00774C01"/>
    <w:rsid w:val="00774EE9"/>
    <w:rsid w:val="00776410"/>
    <w:rsid w:val="007823C9"/>
    <w:rsid w:val="007835B7"/>
    <w:rsid w:val="007863E1"/>
    <w:rsid w:val="007910D3"/>
    <w:rsid w:val="0079336E"/>
    <w:rsid w:val="00794193"/>
    <w:rsid w:val="007A5BD0"/>
    <w:rsid w:val="007A7AEB"/>
    <w:rsid w:val="007B3C7B"/>
    <w:rsid w:val="007B4B46"/>
    <w:rsid w:val="007B5E5F"/>
    <w:rsid w:val="007B6CA0"/>
    <w:rsid w:val="007B6F71"/>
    <w:rsid w:val="007B6FDD"/>
    <w:rsid w:val="007C06F8"/>
    <w:rsid w:val="007C27E5"/>
    <w:rsid w:val="007C2E24"/>
    <w:rsid w:val="007C3F78"/>
    <w:rsid w:val="007C4B09"/>
    <w:rsid w:val="007C6167"/>
    <w:rsid w:val="007C6EB8"/>
    <w:rsid w:val="007C7809"/>
    <w:rsid w:val="007D0A7A"/>
    <w:rsid w:val="007D13B9"/>
    <w:rsid w:val="007D1BF0"/>
    <w:rsid w:val="007D2774"/>
    <w:rsid w:val="007D5333"/>
    <w:rsid w:val="007D71F7"/>
    <w:rsid w:val="007E024C"/>
    <w:rsid w:val="007E160E"/>
    <w:rsid w:val="007E1BDD"/>
    <w:rsid w:val="007E1D64"/>
    <w:rsid w:val="007E65AF"/>
    <w:rsid w:val="007E700C"/>
    <w:rsid w:val="007E7388"/>
    <w:rsid w:val="007E760C"/>
    <w:rsid w:val="007F0010"/>
    <w:rsid w:val="007F1BAF"/>
    <w:rsid w:val="007F1F1C"/>
    <w:rsid w:val="007F2277"/>
    <w:rsid w:val="007F3C01"/>
    <w:rsid w:val="007F433C"/>
    <w:rsid w:val="007F4428"/>
    <w:rsid w:val="008004B0"/>
    <w:rsid w:val="00802531"/>
    <w:rsid w:val="008045D9"/>
    <w:rsid w:val="00806C8A"/>
    <w:rsid w:val="0080702C"/>
    <w:rsid w:val="00807165"/>
    <w:rsid w:val="00812094"/>
    <w:rsid w:val="00812F10"/>
    <w:rsid w:val="0081333B"/>
    <w:rsid w:val="008140D7"/>
    <w:rsid w:val="0081653B"/>
    <w:rsid w:val="00821DF6"/>
    <w:rsid w:val="00823CCC"/>
    <w:rsid w:val="00827179"/>
    <w:rsid w:val="0083029A"/>
    <w:rsid w:val="00830426"/>
    <w:rsid w:val="00830E02"/>
    <w:rsid w:val="008313BD"/>
    <w:rsid w:val="00831C83"/>
    <w:rsid w:val="00831E0A"/>
    <w:rsid w:val="008336A6"/>
    <w:rsid w:val="008343C4"/>
    <w:rsid w:val="00835847"/>
    <w:rsid w:val="00835C6F"/>
    <w:rsid w:val="00836A9B"/>
    <w:rsid w:val="00837429"/>
    <w:rsid w:val="0083745B"/>
    <w:rsid w:val="00840252"/>
    <w:rsid w:val="00840420"/>
    <w:rsid w:val="00842DE3"/>
    <w:rsid w:val="00843F38"/>
    <w:rsid w:val="00844F5E"/>
    <w:rsid w:val="00846701"/>
    <w:rsid w:val="00851154"/>
    <w:rsid w:val="0085204A"/>
    <w:rsid w:val="0085232F"/>
    <w:rsid w:val="00854E2A"/>
    <w:rsid w:val="008550CD"/>
    <w:rsid w:val="00857E3A"/>
    <w:rsid w:val="00861135"/>
    <w:rsid w:val="008616E9"/>
    <w:rsid w:val="008628E4"/>
    <w:rsid w:val="00864492"/>
    <w:rsid w:val="00864495"/>
    <w:rsid w:val="0086449D"/>
    <w:rsid w:val="008651BC"/>
    <w:rsid w:val="00867059"/>
    <w:rsid w:val="008676B4"/>
    <w:rsid w:val="00867A5A"/>
    <w:rsid w:val="008711B1"/>
    <w:rsid w:val="00871FBA"/>
    <w:rsid w:val="00872119"/>
    <w:rsid w:val="008722FB"/>
    <w:rsid w:val="0087425E"/>
    <w:rsid w:val="00877EA2"/>
    <w:rsid w:val="008808CA"/>
    <w:rsid w:val="00886623"/>
    <w:rsid w:val="00887D93"/>
    <w:rsid w:val="00890912"/>
    <w:rsid w:val="00890D7D"/>
    <w:rsid w:val="008917B4"/>
    <w:rsid w:val="008933C7"/>
    <w:rsid w:val="008941B9"/>
    <w:rsid w:val="00894216"/>
    <w:rsid w:val="008959F9"/>
    <w:rsid w:val="00896786"/>
    <w:rsid w:val="00897413"/>
    <w:rsid w:val="008A118C"/>
    <w:rsid w:val="008A46DC"/>
    <w:rsid w:val="008A4806"/>
    <w:rsid w:val="008A4BF4"/>
    <w:rsid w:val="008A510D"/>
    <w:rsid w:val="008A5EDE"/>
    <w:rsid w:val="008A7A4E"/>
    <w:rsid w:val="008A7C4F"/>
    <w:rsid w:val="008B2647"/>
    <w:rsid w:val="008B2FA8"/>
    <w:rsid w:val="008B3253"/>
    <w:rsid w:val="008B3615"/>
    <w:rsid w:val="008C020E"/>
    <w:rsid w:val="008C0319"/>
    <w:rsid w:val="008C2F9E"/>
    <w:rsid w:val="008D03EA"/>
    <w:rsid w:val="008D16BD"/>
    <w:rsid w:val="008D17A7"/>
    <w:rsid w:val="008D2E91"/>
    <w:rsid w:val="008D58E2"/>
    <w:rsid w:val="008D6283"/>
    <w:rsid w:val="008D7FB0"/>
    <w:rsid w:val="008E050B"/>
    <w:rsid w:val="008E1010"/>
    <w:rsid w:val="008E2C2E"/>
    <w:rsid w:val="008E72A8"/>
    <w:rsid w:val="008F0627"/>
    <w:rsid w:val="008F0A24"/>
    <w:rsid w:val="008F1FF1"/>
    <w:rsid w:val="008F2498"/>
    <w:rsid w:val="008F393D"/>
    <w:rsid w:val="008F41FB"/>
    <w:rsid w:val="008F4B49"/>
    <w:rsid w:val="008F5977"/>
    <w:rsid w:val="008F5C9B"/>
    <w:rsid w:val="008F6235"/>
    <w:rsid w:val="00900CD2"/>
    <w:rsid w:val="009039C8"/>
    <w:rsid w:val="00904BCF"/>
    <w:rsid w:val="00905B77"/>
    <w:rsid w:val="00906FD6"/>
    <w:rsid w:val="009079D0"/>
    <w:rsid w:val="00907DCD"/>
    <w:rsid w:val="009104AA"/>
    <w:rsid w:val="00914466"/>
    <w:rsid w:val="0091516B"/>
    <w:rsid w:val="00915D8A"/>
    <w:rsid w:val="00917746"/>
    <w:rsid w:val="009209A5"/>
    <w:rsid w:val="00920EBC"/>
    <w:rsid w:val="00920F98"/>
    <w:rsid w:val="00922448"/>
    <w:rsid w:val="009228BB"/>
    <w:rsid w:val="00922FDA"/>
    <w:rsid w:val="009244DF"/>
    <w:rsid w:val="00927CC7"/>
    <w:rsid w:val="00927EF6"/>
    <w:rsid w:val="00930D45"/>
    <w:rsid w:val="00930E14"/>
    <w:rsid w:val="00933885"/>
    <w:rsid w:val="009338DA"/>
    <w:rsid w:val="00936E93"/>
    <w:rsid w:val="00937FDA"/>
    <w:rsid w:val="00943D71"/>
    <w:rsid w:val="00946ED4"/>
    <w:rsid w:val="00947632"/>
    <w:rsid w:val="0094786C"/>
    <w:rsid w:val="00947B9F"/>
    <w:rsid w:val="00947ECB"/>
    <w:rsid w:val="00947FB4"/>
    <w:rsid w:val="00952B0F"/>
    <w:rsid w:val="00952D2F"/>
    <w:rsid w:val="00952D60"/>
    <w:rsid w:val="00952E44"/>
    <w:rsid w:val="00955447"/>
    <w:rsid w:val="00955A17"/>
    <w:rsid w:val="00957C50"/>
    <w:rsid w:val="00960A0C"/>
    <w:rsid w:val="00960E12"/>
    <w:rsid w:val="0096331F"/>
    <w:rsid w:val="009636AC"/>
    <w:rsid w:val="00963914"/>
    <w:rsid w:val="00963A90"/>
    <w:rsid w:val="00970B08"/>
    <w:rsid w:val="00970C5A"/>
    <w:rsid w:val="0097249F"/>
    <w:rsid w:val="009729D8"/>
    <w:rsid w:val="0097453F"/>
    <w:rsid w:val="00974577"/>
    <w:rsid w:val="00975045"/>
    <w:rsid w:val="00976670"/>
    <w:rsid w:val="00976BC3"/>
    <w:rsid w:val="00976E64"/>
    <w:rsid w:val="00977929"/>
    <w:rsid w:val="0098426D"/>
    <w:rsid w:val="00984A22"/>
    <w:rsid w:val="0099293C"/>
    <w:rsid w:val="00993B1F"/>
    <w:rsid w:val="00993F70"/>
    <w:rsid w:val="0099428D"/>
    <w:rsid w:val="00995932"/>
    <w:rsid w:val="00996D49"/>
    <w:rsid w:val="009A0C88"/>
    <w:rsid w:val="009A1C77"/>
    <w:rsid w:val="009A51E6"/>
    <w:rsid w:val="009A5BC5"/>
    <w:rsid w:val="009A61AA"/>
    <w:rsid w:val="009A6E7A"/>
    <w:rsid w:val="009A747C"/>
    <w:rsid w:val="009A7DAC"/>
    <w:rsid w:val="009B2B6E"/>
    <w:rsid w:val="009B3C1F"/>
    <w:rsid w:val="009B7D7E"/>
    <w:rsid w:val="009C10F7"/>
    <w:rsid w:val="009C11B1"/>
    <w:rsid w:val="009C1722"/>
    <w:rsid w:val="009C6235"/>
    <w:rsid w:val="009C6E76"/>
    <w:rsid w:val="009D00B8"/>
    <w:rsid w:val="009D3E42"/>
    <w:rsid w:val="009D682E"/>
    <w:rsid w:val="009D70D1"/>
    <w:rsid w:val="009E33FB"/>
    <w:rsid w:val="009E40F9"/>
    <w:rsid w:val="009E5844"/>
    <w:rsid w:val="009E653F"/>
    <w:rsid w:val="009E7C9A"/>
    <w:rsid w:val="009F22DE"/>
    <w:rsid w:val="009F4C6D"/>
    <w:rsid w:val="009F5062"/>
    <w:rsid w:val="00A01D25"/>
    <w:rsid w:val="00A059D1"/>
    <w:rsid w:val="00A05E81"/>
    <w:rsid w:val="00A0624A"/>
    <w:rsid w:val="00A06830"/>
    <w:rsid w:val="00A12892"/>
    <w:rsid w:val="00A149DF"/>
    <w:rsid w:val="00A1634D"/>
    <w:rsid w:val="00A16C53"/>
    <w:rsid w:val="00A1707B"/>
    <w:rsid w:val="00A20DD3"/>
    <w:rsid w:val="00A276CB"/>
    <w:rsid w:val="00A32694"/>
    <w:rsid w:val="00A33A18"/>
    <w:rsid w:val="00A350BE"/>
    <w:rsid w:val="00A35C8A"/>
    <w:rsid w:val="00A36343"/>
    <w:rsid w:val="00A36638"/>
    <w:rsid w:val="00A36B9A"/>
    <w:rsid w:val="00A4149B"/>
    <w:rsid w:val="00A425A3"/>
    <w:rsid w:val="00A42B08"/>
    <w:rsid w:val="00A43F5D"/>
    <w:rsid w:val="00A45255"/>
    <w:rsid w:val="00A50CA3"/>
    <w:rsid w:val="00A51ECF"/>
    <w:rsid w:val="00A5335D"/>
    <w:rsid w:val="00A56524"/>
    <w:rsid w:val="00A610B8"/>
    <w:rsid w:val="00A61208"/>
    <w:rsid w:val="00A62660"/>
    <w:rsid w:val="00A62D2C"/>
    <w:rsid w:val="00A64D6A"/>
    <w:rsid w:val="00A66A0F"/>
    <w:rsid w:val="00A67FB0"/>
    <w:rsid w:val="00A700BE"/>
    <w:rsid w:val="00A7038D"/>
    <w:rsid w:val="00A73440"/>
    <w:rsid w:val="00A73EE6"/>
    <w:rsid w:val="00A75908"/>
    <w:rsid w:val="00A75D01"/>
    <w:rsid w:val="00A76B01"/>
    <w:rsid w:val="00A813D7"/>
    <w:rsid w:val="00A83BB1"/>
    <w:rsid w:val="00A87195"/>
    <w:rsid w:val="00A87807"/>
    <w:rsid w:val="00A90332"/>
    <w:rsid w:val="00A94426"/>
    <w:rsid w:val="00A9734B"/>
    <w:rsid w:val="00A975DD"/>
    <w:rsid w:val="00A97D26"/>
    <w:rsid w:val="00AA06C5"/>
    <w:rsid w:val="00AA1669"/>
    <w:rsid w:val="00AA2DEB"/>
    <w:rsid w:val="00AA34AB"/>
    <w:rsid w:val="00AA3A8E"/>
    <w:rsid w:val="00AA5BB8"/>
    <w:rsid w:val="00AA5D50"/>
    <w:rsid w:val="00AA6487"/>
    <w:rsid w:val="00AB001E"/>
    <w:rsid w:val="00AB08F3"/>
    <w:rsid w:val="00AB2884"/>
    <w:rsid w:val="00AB2D04"/>
    <w:rsid w:val="00AB318B"/>
    <w:rsid w:val="00AB4495"/>
    <w:rsid w:val="00AB7D6A"/>
    <w:rsid w:val="00AC0A22"/>
    <w:rsid w:val="00AC260A"/>
    <w:rsid w:val="00AC3A3F"/>
    <w:rsid w:val="00AC3BD2"/>
    <w:rsid w:val="00AC3F23"/>
    <w:rsid w:val="00AD190D"/>
    <w:rsid w:val="00AD1C45"/>
    <w:rsid w:val="00AD2DAB"/>
    <w:rsid w:val="00AE05F4"/>
    <w:rsid w:val="00AE1BBB"/>
    <w:rsid w:val="00AE2C41"/>
    <w:rsid w:val="00AE2F4C"/>
    <w:rsid w:val="00AE3B4A"/>
    <w:rsid w:val="00AE4A87"/>
    <w:rsid w:val="00AE673D"/>
    <w:rsid w:val="00AE749B"/>
    <w:rsid w:val="00AF0629"/>
    <w:rsid w:val="00AF1BF1"/>
    <w:rsid w:val="00AF32B8"/>
    <w:rsid w:val="00AF3CB3"/>
    <w:rsid w:val="00AF4E88"/>
    <w:rsid w:val="00AF531B"/>
    <w:rsid w:val="00AF5337"/>
    <w:rsid w:val="00AF53C2"/>
    <w:rsid w:val="00AF71F6"/>
    <w:rsid w:val="00AF7C60"/>
    <w:rsid w:val="00B005C5"/>
    <w:rsid w:val="00B02305"/>
    <w:rsid w:val="00B02E23"/>
    <w:rsid w:val="00B056DE"/>
    <w:rsid w:val="00B060D5"/>
    <w:rsid w:val="00B06A13"/>
    <w:rsid w:val="00B1175D"/>
    <w:rsid w:val="00B12731"/>
    <w:rsid w:val="00B12AA5"/>
    <w:rsid w:val="00B1414C"/>
    <w:rsid w:val="00B146BC"/>
    <w:rsid w:val="00B14DF1"/>
    <w:rsid w:val="00B153B3"/>
    <w:rsid w:val="00B17757"/>
    <w:rsid w:val="00B17CBB"/>
    <w:rsid w:val="00B206E7"/>
    <w:rsid w:val="00B20BBF"/>
    <w:rsid w:val="00B217CC"/>
    <w:rsid w:val="00B25447"/>
    <w:rsid w:val="00B25C6A"/>
    <w:rsid w:val="00B25C7D"/>
    <w:rsid w:val="00B271C9"/>
    <w:rsid w:val="00B31C57"/>
    <w:rsid w:val="00B32F09"/>
    <w:rsid w:val="00B33D96"/>
    <w:rsid w:val="00B33E36"/>
    <w:rsid w:val="00B34F0E"/>
    <w:rsid w:val="00B352A4"/>
    <w:rsid w:val="00B35F5F"/>
    <w:rsid w:val="00B36F78"/>
    <w:rsid w:val="00B3755E"/>
    <w:rsid w:val="00B37FF0"/>
    <w:rsid w:val="00B404A6"/>
    <w:rsid w:val="00B40A63"/>
    <w:rsid w:val="00B454B7"/>
    <w:rsid w:val="00B45C45"/>
    <w:rsid w:val="00B47277"/>
    <w:rsid w:val="00B56FB7"/>
    <w:rsid w:val="00B577A6"/>
    <w:rsid w:val="00B607BE"/>
    <w:rsid w:val="00B61E09"/>
    <w:rsid w:val="00B6274D"/>
    <w:rsid w:val="00B62B63"/>
    <w:rsid w:val="00B64D41"/>
    <w:rsid w:val="00B66CB3"/>
    <w:rsid w:val="00B66D6E"/>
    <w:rsid w:val="00B67351"/>
    <w:rsid w:val="00B67775"/>
    <w:rsid w:val="00B706C6"/>
    <w:rsid w:val="00B72605"/>
    <w:rsid w:val="00B739CF"/>
    <w:rsid w:val="00B7475F"/>
    <w:rsid w:val="00B80B07"/>
    <w:rsid w:val="00B8178C"/>
    <w:rsid w:val="00B81BF0"/>
    <w:rsid w:val="00B82E33"/>
    <w:rsid w:val="00B82ECB"/>
    <w:rsid w:val="00B8310B"/>
    <w:rsid w:val="00B83C8B"/>
    <w:rsid w:val="00B85BAF"/>
    <w:rsid w:val="00B90874"/>
    <w:rsid w:val="00B90BFA"/>
    <w:rsid w:val="00B93044"/>
    <w:rsid w:val="00B931B0"/>
    <w:rsid w:val="00B93ED9"/>
    <w:rsid w:val="00B95E2C"/>
    <w:rsid w:val="00B97E63"/>
    <w:rsid w:val="00BA0426"/>
    <w:rsid w:val="00BA2C17"/>
    <w:rsid w:val="00BA40F3"/>
    <w:rsid w:val="00BA5F6B"/>
    <w:rsid w:val="00BA6228"/>
    <w:rsid w:val="00BA6BD0"/>
    <w:rsid w:val="00BB0589"/>
    <w:rsid w:val="00BB1AF8"/>
    <w:rsid w:val="00BB2774"/>
    <w:rsid w:val="00BB2E2A"/>
    <w:rsid w:val="00BB4B39"/>
    <w:rsid w:val="00BC2BA9"/>
    <w:rsid w:val="00BC3515"/>
    <w:rsid w:val="00BC59C2"/>
    <w:rsid w:val="00BC63B8"/>
    <w:rsid w:val="00BC78E7"/>
    <w:rsid w:val="00BD02CC"/>
    <w:rsid w:val="00BD22C7"/>
    <w:rsid w:val="00BD277B"/>
    <w:rsid w:val="00BD42CB"/>
    <w:rsid w:val="00BD522A"/>
    <w:rsid w:val="00BD530D"/>
    <w:rsid w:val="00BE205B"/>
    <w:rsid w:val="00BE264E"/>
    <w:rsid w:val="00BE35ED"/>
    <w:rsid w:val="00BE4E80"/>
    <w:rsid w:val="00BE68B4"/>
    <w:rsid w:val="00BF5D9B"/>
    <w:rsid w:val="00C02859"/>
    <w:rsid w:val="00C029B6"/>
    <w:rsid w:val="00C03B0F"/>
    <w:rsid w:val="00C03E68"/>
    <w:rsid w:val="00C05139"/>
    <w:rsid w:val="00C118D6"/>
    <w:rsid w:val="00C124B7"/>
    <w:rsid w:val="00C16AB3"/>
    <w:rsid w:val="00C17224"/>
    <w:rsid w:val="00C17685"/>
    <w:rsid w:val="00C20CBD"/>
    <w:rsid w:val="00C223A5"/>
    <w:rsid w:val="00C23A93"/>
    <w:rsid w:val="00C23BCF"/>
    <w:rsid w:val="00C2546E"/>
    <w:rsid w:val="00C2648A"/>
    <w:rsid w:val="00C2711D"/>
    <w:rsid w:val="00C275B4"/>
    <w:rsid w:val="00C30B80"/>
    <w:rsid w:val="00C310A0"/>
    <w:rsid w:val="00C3247F"/>
    <w:rsid w:val="00C32C77"/>
    <w:rsid w:val="00C351DB"/>
    <w:rsid w:val="00C36A88"/>
    <w:rsid w:val="00C44141"/>
    <w:rsid w:val="00C464B1"/>
    <w:rsid w:val="00C53EEF"/>
    <w:rsid w:val="00C55A01"/>
    <w:rsid w:val="00C56A39"/>
    <w:rsid w:val="00C57DD6"/>
    <w:rsid w:val="00C607D5"/>
    <w:rsid w:val="00C60CAC"/>
    <w:rsid w:val="00C62A8F"/>
    <w:rsid w:val="00C634E0"/>
    <w:rsid w:val="00C671BC"/>
    <w:rsid w:val="00C67A71"/>
    <w:rsid w:val="00C70919"/>
    <w:rsid w:val="00C759E4"/>
    <w:rsid w:val="00C75BEC"/>
    <w:rsid w:val="00C774FB"/>
    <w:rsid w:val="00C80D96"/>
    <w:rsid w:val="00C83560"/>
    <w:rsid w:val="00C836E3"/>
    <w:rsid w:val="00C83A19"/>
    <w:rsid w:val="00C8527E"/>
    <w:rsid w:val="00C855D2"/>
    <w:rsid w:val="00C85E96"/>
    <w:rsid w:val="00C86FBD"/>
    <w:rsid w:val="00C9128F"/>
    <w:rsid w:val="00C91666"/>
    <w:rsid w:val="00C9219D"/>
    <w:rsid w:val="00C923D5"/>
    <w:rsid w:val="00C92ED3"/>
    <w:rsid w:val="00C94A53"/>
    <w:rsid w:val="00C94E84"/>
    <w:rsid w:val="00CA0D9F"/>
    <w:rsid w:val="00CA18FB"/>
    <w:rsid w:val="00CA19E1"/>
    <w:rsid w:val="00CA1BD1"/>
    <w:rsid w:val="00CA1CEF"/>
    <w:rsid w:val="00CA3EAF"/>
    <w:rsid w:val="00CA7CBB"/>
    <w:rsid w:val="00CB030A"/>
    <w:rsid w:val="00CB07CC"/>
    <w:rsid w:val="00CB125C"/>
    <w:rsid w:val="00CB352B"/>
    <w:rsid w:val="00CB455B"/>
    <w:rsid w:val="00CB4D87"/>
    <w:rsid w:val="00CC4E6E"/>
    <w:rsid w:val="00CC54F5"/>
    <w:rsid w:val="00CC6A03"/>
    <w:rsid w:val="00CC6E0A"/>
    <w:rsid w:val="00CC7429"/>
    <w:rsid w:val="00CC7617"/>
    <w:rsid w:val="00CC7935"/>
    <w:rsid w:val="00CD17D1"/>
    <w:rsid w:val="00CD20F9"/>
    <w:rsid w:val="00CD447F"/>
    <w:rsid w:val="00CD66FB"/>
    <w:rsid w:val="00CD67D5"/>
    <w:rsid w:val="00CE0C8E"/>
    <w:rsid w:val="00CE6D2A"/>
    <w:rsid w:val="00CE70E4"/>
    <w:rsid w:val="00CF0889"/>
    <w:rsid w:val="00CF2156"/>
    <w:rsid w:val="00CF41C5"/>
    <w:rsid w:val="00CF4D7B"/>
    <w:rsid w:val="00CF6914"/>
    <w:rsid w:val="00CF7F30"/>
    <w:rsid w:val="00D003AF"/>
    <w:rsid w:val="00D00D85"/>
    <w:rsid w:val="00D049C3"/>
    <w:rsid w:val="00D07715"/>
    <w:rsid w:val="00D106FE"/>
    <w:rsid w:val="00D10ED3"/>
    <w:rsid w:val="00D125E8"/>
    <w:rsid w:val="00D12D3B"/>
    <w:rsid w:val="00D14535"/>
    <w:rsid w:val="00D15FDA"/>
    <w:rsid w:val="00D161B7"/>
    <w:rsid w:val="00D21ED8"/>
    <w:rsid w:val="00D22A32"/>
    <w:rsid w:val="00D23012"/>
    <w:rsid w:val="00D24A83"/>
    <w:rsid w:val="00D26EC1"/>
    <w:rsid w:val="00D2709A"/>
    <w:rsid w:val="00D274CF"/>
    <w:rsid w:val="00D27938"/>
    <w:rsid w:val="00D30569"/>
    <w:rsid w:val="00D3058A"/>
    <w:rsid w:val="00D31F30"/>
    <w:rsid w:val="00D31F45"/>
    <w:rsid w:val="00D334C5"/>
    <w:rsid w:val="00D335BB"/>
    <w:rsid w:val="00D34B05"/>
    <w:rsid w:val="00D37504"/>
    <w:rsid w:val="00D37996"/>
    <w:rsid w:val="00D41A07"/>
    <w:rsid w:val="00D41E02"/>
    <w:rsid w:val="00D45675"/>
    <w:rsid w:val="00D4725F"/>
    <w:rsid w:val="00D539FE"/>
    <w:rsid w:val="00D53FFC"/>
    <w:rsid w:val="00D54091"/>
    <w:rsid w:val="00D54B9A"/>
    <w:rsid w:val="00D54F2F"/>
    <w:rsid w:val="00D55100"/>
    <w:rsid w:val="00D557F5"/>
    <w:rsid w:val="00D61100"/>
    <w:rsid w:val="00D61C45"/>
    <w:rsid w:val="00D62535"/>
    <w:rsid w:val="00D628E4"/>
    <w:rsid w:val="00D62AEF"/>
    <w:rsid w:val="00D62CE1"/>
    <w:rsid w:val="00D64DD6"/>
    <w:rsid w:val="00D6587C"/>
    <w:rsid w:val="00D70B2A"/>
    <w:rsid w:val="00D72C4E"/>
    <w:rsid w:val="00D746D2"/>
    <w:rsid w:val="00D756CA"/>
    <w:rsid w:val="00D77713"/>
    <w:rsid w:val="00D7798A"/>
    <w:rsid w:val="00D81636"/>
    <w:rsid w:val="00D82505"/>
    <w:rsid w:val="00D82857"/>
    <w:rsid w:val="00D8307B"/>
    <w:rsid w:val="00D8327C"/>
    <w:rsid w:val="00D836F7"/>
    <w:rsid w:val="00D84645"/>
    <w:rsid w:val="00D864F8"/>
    <w:rsid w:val="00D879A3"/>
    <w:rsid w:val="00D90878"/>
    <w:rsid w:val="00D91B2A"/>
    <w:rsid w:val="00D93123"/>
    <w:rsid w:val="00D95B8A"/>
    <w:rsid w:val="00D96828"/>
    <w:rsid w:val="00DA1F2E"/>
    <w:rsid w:val="00DA527C"/>
    <w:rsid w:val="00DA5B6B"/>
    <w:rsid w:val="00DA700C"/>
    <w:rsid w:val="00DA749F"/>
    <w:rsid w:val="00DB0F4F"/>
    <w:rsid w:val="00DB2EF0"/>
    <w:rsid w:val="00DB4640"/>
    <w:rsid w:val="00DB72D0"/>
    <w:rsid w:val="00DC44F4"/>
    <w:rsid w:val="00DC656E"/>
    <w:rsid w:val="00DD027E"/>
    <w:rsid w:val="00DD0447"/>
    <w:rsid w:val="00DD688C"/>
    <w:rsid w:val="00DE2783"/>
    <w:rsid w:val="00DE27B8"/>
    <w:rsid w:val="00DE3D55"/>
    <w:rsid w:val="00DE5707"/>
    <w:rsid w:val="00DE70C6"/>
    <w:rsid w:val="00DF0DB1"/>
    <w:rsid w:val="00DF10ED"/>
    <w:rsid w:val="00DF21A8"/>
    <w:rsid w:val="00DF3A84"/>
    <w:rsid w:val="00DF7C6E"/>
    <w:rsid w:val="00E01663"/>
    <w:rsid w:val="00E01A46"/>
    <w:rsid w:val="00E03D45"/>
    <w:rsid w:val="00E04FDE"/>
    <w:rsid w:val="00E07A39"/>
    <w:rsid w:val="00E1009A"/>
    <w:rsid w:val="00E104EF"/>
    <w:rsid w:val="00E125CB"/>
    <w:rsid w:val="00E13C7D"/>
    <w:rsid w:val="00E13EDF"/>
    <w:rsid w:val="00E146EE"/>
    <w:rsid w:val="00E165C9"/>
    <w:rsid w:val="00E17165"/>
    <w:rsid w:val="00E202E6"/>
    <w:rsid w:val="00E21B3E"/>
    <w:rsid w:val="00E21F7E"/>
    <w:rsid w:val="00E224C3"/>
    <w:rsid w:val="00E22CA1"/>
    <w:rsid w:val="00E23B83"/>
    <w:rsid w:val="00E23CB2"/>
    <w:rsid w:val="00E23FD1"/>
    <w:rsid w:val="00E25228"/>
    <w:rsid w:val="00E25D87"/>
    <w:rsid w:val="00E260CB"/>
    <w:rsid w:val="00E27377"/>
    <w:rsid w:val="00E27836"/>
    <w:rsid w:val="00E300EC"/>
    <w:rsid w:val="00E31E46"/>
    <w:rsid w:val="00E332F5"/>
    <w:rsid w:val="00E34AE2"/>
    <w:rsid w:val="00E37601"/>
    <w:rsid w:val="00E42235"/>
    <w:rsid w:val="00E43B3E"/>
    <w:rsid w:val="00E4414C"/>
    <w:rsid w:val="00E443BA"/>
    <w:rsid w:val="00E45FB7"/>
    <w:rsid w:val="00E470CE"/>
    <w:rsid w:val="00E504DA"/>
    <w:rsid w:val="00E50F94"/>
    <w:rsid w:val="00E528C9"/>
    <w:rsid w:val="00E5462E"/>
    <w:rsid w:val="00E5606B"/>
    <w:rsid w:val="00E56385"/>
    <w:rsid w:val="00E566B5"/>
    <w:rsid w:val="00E60954"/>
    <w:rsid w:val="00E61E57"/>
    <w:rsid w:val="00E62479"/>
    <w:rsid w:val="00E636D7"/>
    <w:rsid w:val="00E65605"/>
    <w:rsid w:val="00E65AFF"/>
    <w:rsid w:val="00E66F0F"/>
    <w:rsid w:val="00E6767D"/>
    <w:rsid w:val="00E7411A"/>
    <w:rsid w:val="00E7423E"/>
    <w:rsid w:val="00E76B67"/>
    <w:rsid w:val="00E77A83"/>
    <w:rsid w:val="00E82E9B"/>
    <w:rsid w:val="00E85972"/>
    <w:rsid w:val="00E90E9C"/>
    <w:rsid w:val="00E9512C"/>
    <w:rsid w:val="00EA0077"/>
    <w:rsid w:val="00EA0E38"/>
    <w:rsid w:val="00EA1872"/>
    <w:rsid w:val="00EA58A8"/>
    <w:rsid w:val="00EA59D3"/>
    <w:rsid w:val="00EA604E"/>
    <w:rsid w:val="00EA6536"/>
    <w:rsid w:val="00EA7167"/>
    <w:rsid w:val="00EA7F4F"/>
    <w:rsid w:val="00EB0026"/>
    <w:rsid w:val="00EB0384"/>
    <w:rsid w:val="00EB39F8"/>
    <w:rsid w:val="00EB3AE8"/>
    <w:rsid w:val="00EB3FFE"/>
    <w:rsid w:val="00EB6196"/>
    <w:rsid w:val="00EB67F0"/>
    <w:rsid w:val="00EB6B0C"/>
    <w:rsid w:val="00EB6F46"/>
    <w:rsid w:val="00EC058C"/>
    <w:rsid w:val="00EC1BDE"/>
    <w:rsid w:val="00EC1F4B"/>
    <w:rsid w:val="00EC7FB1"/>
    <w:rsid w:val="00ED1413"/>
    <w:rsid w:val="00ED1663"/>
    <w:rsid w:val="00ED50F5"/>
    <w:rsid w:val="00ED6BE1"/>
    <w:rsid w:val="00ED7099"/>
    <w:rsid w:val="00ED7757"/>
    <w:rsid w:val="00EE027B"/>
    <w:rsid w:val="00EE112F"/>
    <w:rsid w:val="00EE1E9C"/>
    <w:rsid w:val="00EE31DF"/>
    <w:rsid w:val="00EE763C"/>
    <w:rsid w:val="00EE7916"/>
    <w:rsid w:val="00EE7962"/>
    <w:rsid w:val="00EE7D50"/>
    <w:rsid w:val="00EF1C6E"/>
    <w:rsid w:val="00EF2C80"/>
    <w:rsid w:val="00EF36EE"/>
    <w:rsid w:val="00EF4D3B"/>
    <w:rsid w:val="00EF6A34"/>
    <w:rsid w:val="00EF6DF8"/>
    <w:rsid w:val="00EF7579"/>
    <w:rsid w:val="00F00BE0"/>
    <w:rsid w:val="00F016BD"/>
    <w:rsid w:val="00F026F0"/>
    <w:rsid w:val="00F03BDF"/>
    <w:rsid w:val="00F0680A"/>
    <w:rsid w:val="00F06ED0"/>
    <w:rsid w:val="00F0716D"/>
    <w:rsid w:val="00F10EDC"/>
    <w:rsid w:val="00F112ED"/>
    <w:rsid w:val="00F11C16"/>
    <w:rsid w:val="00F12013"/>
    <w:rsid w:val="00F12999"/>
    <w:rsid w:val="00F13822"/>
    <w:rsid w:val="00F14565"/>
    <w:rsid w:val="00F14A70"/>
    <w:rsid w:val="00F175A5"/>
    <w:rsid w:val="00F201B5"/>
    <w:rsid w:val="00F21D43"/>
    <w:rsid w:val="00F230F1"/>
    <w:rsid w:val="00F23CC2"/>
    <w:rsid w:val="00F2548D"/>
    <w:rsid w:val="00F27B8D"/>
    <w:rsid w:val="00F304FB"/>
    <w:rsid w:val="00F313F8"/>
    <w:rsid w:val="00F315AB"/>
    <w:rsid w:val="00F33F07"/>
    <w:rsid w:val="00F35871"/>
    <w:rsid w:val="00F35D52"/>
    <w:rsid w:val="00F35F8C"/>
    <w:rsid w:val="00F36C93"/>
    <w:rsid w:val="00F373E1"/>
    <w:rsid w:val="00F42574"/>
    <w:rsid w:val="00F45257"/>
    <w:rsid w:val="00F45CA2"/>
    <w:rsid w:val="00F45D78"/>
    <w:rsid w:val="00F46154"/>
    <w:rsid w:val="00F46AD5"/>
    <w:rsid w:val="00F47DCD"/>
    <w:rsid w:val="00F47F3F"/>
    <w:rsid w:val="00F50CA4"/>
    <w:rsid w:val="00F50CE7"/>
    <w:rsid w:val="00F51438"/>
    <w:rsid w:val="00F52AD4"/>
    <w:rsid w:val="00F52D18"/>
    <w:rsid w:val="00F5301A"/>
    <w:rsid w:val="00F549E7"/>
    <w:rsid w:val="00F5550D"/>
    <w:rsid w:val="00F618BB"/>
    <w:rsid w:val="00F6302F"/>
    <w:rsid w:val="00F649F3"/>
    <w:rsid w:val="00F67625"/>
    <w:rsid w:val="00F7252F"/>
    <w:rsid w:val="00F73377"/>
    <w:rsid w:val="00F76B14"/>
    <w:rsid w:val="00F81487"/>
    <w:rsid w:val="00F83966"/>
    <w:rsid w:val="00F85F21"/>
    <w:rsid w:val="00F90CF5"/>
    <w:rsid w:val="00F91AD8"/>
    <w:rsid w:val="00F922B1"/>
    <w:rsid w:val="00FA1CBD"/>
    <w:rsid w:val="00FA2B95"/>
    <w:rsid w:val="00FA4DE3"/>
    <w:rsid w:val="00FA56EF"/>
    <w:rsid w:val="00FA5D99"/>
    <w:rsid w:val="00FA6505"/>
    <w:rsid w:val="00FA6541"/>
    <w:rsid w:val="00FA72F6"/>
    <w:rsid w:val="00FA7B9B"/>
    <w:rsid w:val="00FB10A3"/>
    <w:rsid w:val="00FB36D4"/>
    <w:rsid w:val="00FB3B0F"/>
    <w:rsid w:val="00FB510B"/>
    <w:rsid w:val="00FB5D1B"/>
    <w:rsid w:val="00FB75F9"/>
    <w:rsid w:val="00FB7C5A"/>
    <w:rsid w:val="00FC1C97"/>
    <w:rsid w:val="00FC26BF"/>
    <w:rsid w:val="00FC423E"/>
    <w:rsid w:val="00FC523E"/>
    <w:rsid w:val="00FC6CE0"/>
    <w:rsid w:val="00FC7232"/>
    <w:rsid w:val="00FC7525"/>
    <w:rsid w:val="00FD1A30"/>
    <w:rsid w:val="00FD418F"/>
    <w:rsid w:val="00FD4365"/>
    <w:rsid w:val="00FD4D39"/>
    <w:rsid w:val="00FD4F52"/>
    <w:rsid w:val="00FD4F7D"/>
    <w:rsid w:val="00FD520C"/>
    <w:rsid w:val="00FD532F"/>
    <w:rsid w:val="00FE1EF3"/>
    <w:rsid w:val="00FE315D"/>
    <w:rsid w:val="00FE3182"/>
    <w:rsid w:val="00FE41E1"/>
    <w:rsid w:val="00FE55F1"/>
    <w:rsid w:val="00FE6FCD"/>
    <w:rsid w:val="00FF0170"/>
    <w:rsid w:val="00FF213C"/>
    <w:rsid w:val="00FF4D81"/>
    <w:rsid w:val="00FF75F5"/>
    <w:rsid w:val="0124272A"/>
    <w:rsid w:val="012F5B6F"/>
    <w:rsid w:val="01592D24"/>
    <w:rsid w:val="01775986"/>
    <w:rsid w:val="018E7ABF"/>
    <w:rsid w:val="0198796C"/>
    <w:rsid w:val="01C133B8"/>
    <w:rsid w:val="020F2171"/>
    <w:rsid w:val="02446F41"/>
    <w:rsid w:val="02A3645B"/>
    <w:rsid w:val="02F778BD"/>
    <w:rsid w:val="03121468"/>
    <w:rsid w:val="034F07D8"/>
    <w:rsid w:val="03822C68"/>
    <w:rsid w:val="039F2BBC"/>
    <w:rsid w:val="03C348DA"/>
    <w:rsid w:val="03D96AC5"/>
    <w:rsid w:val="05071955"/>
    <w:rsid w:val="050B36B6"/>
    <w:rsid w:val="051E3875"/>
    <w:rsid w:val="0533125B"/>
    <w:rsid w:val="054F4EE9"/>
    <w:rsid w:val="05D7545D"/>
    <w:rsid w:val="0610142D"/>
    <w:rsid w:val="06AB5586"/>
    <w:rsid w:val="06CB44B7"/>
    <w:rsid w:val="06EE20B1"/>
    <w:rsid w:val="075B63E2"/>
    <w:rsid w:val="07B1625B"/>
    <w:rsid w:val="07C7772D"/>
    <w:rsid w:val="07D96E9C"/>
    <w:rsid w:val="080D43FC"/>
    <w:rsid w:val="08386081"/>
    <w:rsid w:val="08534B88"/>
    <w:rsid w:val="085F0CCD"/>
    <w:rsid w:val="08F062C2"/>
    <w:rsid w:val="090B19E1"/>
    <w:rsid w:val="0910646C"/>
    <w:rsid w:val="09923981"/>
    <w:rsid w:val="09AC6517"/>
    <w:rsid w:val="09E15530"/>
    <w:rsid w:val="09FD25BC"/>
    <w:rsid w:val="0A1B58FF"/>
    <w:rsid w:val="0A5A07F0"/>
    <w:rsid w:val="0A6D7B49"/>
    <w:rsid w:val="0AD11D45"/>
    <w:rsid w:val="0AE903B8"/>
    <w:rsid w:val="0B1873A5"/>
    <w:rsid w:val="0B1D48CB"/>
    <w:rsid w:val="0B271072"/>
    <w:rsid w:val="0B7462A1"/>
    <w:rsid w:val="0BA16641"/>
    <w:rsid w:val="0BBE31F5"/>
    <w:rsid w:val="0BE1433A"/>
    <w:rsid w:val="0BF30FFB"/>
    <w:rsid w:val="0C0A04F6"/>
    <w:rsid w:val="0C4F4925"/>
    <w:rsid w:val="0C8622D0"/>
    <w:rsid w:val="0CAC6BB6"/>
    <w:rsid w:val="0CC34F37"/>
    <w:rsid w:val="0CEA1C84"/>
    <w:rsid w:val="0D7336B7"/>
    <w:rsid w:val="0D864353"/>
    <w:rsid w:val="0DD505F0"/>
    <w:rsid w:val="0DEA5E6A"/>
    <w:rsid w:val="0DFC36FB"/>
    <w:rsid w:val="0DFF2829"/>
    <w:rsid w:val="0E2668F0"/>
    <w:rsid w:val="0EB37705"/>
    <w:rsid w:val="0ECE7B96"/>
    <w:rsid w:val="0F0D26CC"/>
    <w:rsid w:val="0F184ADA"/>
    <w:rsid w:val="0FA1669B"/>
    <w:rsid w:val="0FE32D76"/>
    <w:rsid w:val="101E706A"/>
    <w:rsid w:val="109F5B8D"/>
    <w:rsid w:val="10EF538B"/>
    <w:rsid w:val="112F2406"/>
    <w:rsid w:val="11312DC0"/>
    <w:rsid w:val="114701EB"/>
    <w:rsid w:val="118848CF"/>
    <w:rsid w:val="11C11380"/>
    <w:rsid w:val="11F75C4D"/>
    <w:rsid w:val="12092462"/>
    <w:rsid w:val="120F2891"/>
    <w:rsid w:val="121D403F"/>
    <w:rsid w:val="129F7C67"/>
    <w:rsid w:val="12B7554E"/>
    <w:rsid w:val="13380DD8"/>
    <w:rsid w:val="1344521A"/>
    <w:rsid w:val="13645ACB"/>
    <w:rsid w:val="13693328"/>
    <w:rsid w:val="13E957B5"/>
    <w:rsid w:val="13F54664"/>
    <w:rsid w:val="14412BB2"/>
    <w:rsid w:val="146F2D0E"/>
    <w:rsid w:val="15A078BC"/>
    <w:rsid w:val="15AE733A"/>
    <w:rsid w:val="15D849FF"/>
    <w:rsid w:val="161F7F66"/>
    <w:rsid w:val="168029F0"/>
    <w:rsid w:val="168E738F"/>
    <w:rsid w:val="168E7FD5"/>
    <w:rsid w:val="16F93153"/>
    <w:rsid w:val="172A1253"/>
    <w:rsid w:val="179D29E3"/>
    <w:rsid w:val="17AB596C"/>
    <w:rsid w:val="17C606CD"/>
    <w:rsid w:val="180D2A92"/>
    <w:rsid w:val="182166DD"/>
    <w:rsid w:val="183A7BCF"/>
    <w:rsid w:val="18904498"/>
    <w:rsid w:val="18A3471E"/>
    <w:rsid w:val="18C8628A"/>
    <w:rsid w:val="192669BF"/>
    <w:rsid w:val="192B4DF7"/>
    <w:rsid w:val="19BA6371"/>
    <w:rsid w:val="19F90D7B"/>
    <w:rsid w:val="19FD75EF"/>
    <w:rsid w:val="1A3C40CB"/>
    <w:rsid w:val="1A4964D8"/>
    <w:rsid w:val="1A8B027A"/>
    <w:rsid w:val="1A9510BC"/>
    <w:rsid w:val="1AF6583C"/>
    <w:rsid w:val="1B6B1F6E"/>
    <w:rsid w:val="1B7B66B5"/>
    <w:rsid w:val="1B9A62B3"/>
    <w:rsid w:val="1BFB4E45"/>
    <w:rsid w:val="1C225F98"/>
    <w:rsid w:val="1C272EF4"/>
    <w:rsid w:val="1D320A97"/>
    <w:rsid w:val="1D3541D9"/>
    <w:rsid w:val="1D3E6FE0"/>
    <w:rsid w:val="1D4F2685"/>
    <w:rsid w:val="1E006E02"/>
    <w:rsid w:val="1E1A6F96"/>
    <w:rsid w:val="1E3E2D25"/>
    <w:rsid w:val="1E4507E4"/>
    <w:rsid w:val="1E6210B8"/>
    <w:rsid w:val="1EA0669C"/>
    <w:rsid w:val="1EC014EF"/>
    <w:rsid w:val="1EC664F8"/>
    <w:rsid w:val="1EDA6951"/>
    <w:rsid w:val="1F036299"/>
    <w:rsid w:val="1F8E148B"/>
    <w:rsid w:val="1FEA27D3"/>
    <w:rsid w:val="1FF91559"/>
    <w:rsid w:val="201B64C8"/>
    <w:rsid w:val="20325605"/>
    <w:rsid w:val="214D0B0C"/>
    <w:rsid w:val="2151404E"/>
    <w:rsid w:val="21A3266E"/>
    <w:rsid w:val="22155EFF"/>
    <w:rsid w:val="226006F6"/>
    <w:rsid w:val="230C201A"/>
    <w:rsid w:val="23207452"/>
    <w:rsid w:val="2364528E"/>
    <w:rsid w:val="2395665B"/>
    <w:rsid w:val="23D762F6"/>
    <w:rsid w:val="24F36825"/>
    <w:rsid w:val="25445D9E"/>
    <w:rsid w:val="2598519D"/>
    <w:rsid w:val="25E062EB"/>
    <w:rsid w:val="263D4A6F"/>
    <w:rsid w:val="26560EA3"/>
    <w:rsid w:val="26CF57CC"/>
    <w:rsid w:val="27022042"/>
    <w:rsid w:val="274C1A1F"/>
    <w:rsid w:val="276C29FF"/>
    <w:rsid w:val="27B13177"/>
    <w:rsid w:val="27F76F67"/>
    <w:rsid w:val="28014803"/>
    <w:rsid w:val="282B6C11"/>
    <w:rsid w:val="282F380E"/>
    <w:rsid w:val="28855A7D"/>
    <w:rsid w:val="29EB624B"/>
    <w:rsid w:val="29F22C53"/>
    <w:rsid w:val="2A224D53"/>
    <w:rsid w:val="2A472991"/>
    <w:rsid w:val="2A4E308A"/>
    <w:rsid w:val="2ABF25ED"/>
    <w:rsid w:val="2AEA4B61"/>
    <w:rsid w:val="2B2A3917"/>
    <w:rsid w:val="2B822FEC"/>
    <w:rsid w:val="2BE95450"/>
    <w:rsid w:val="2C0440A1"/>
    <w:rsid w:val="2C2643AF"/>
    <w:rsid w:val="2CC76232"/>
    <w:rsid w:val="2CF271A5"/>
    <w:rsid w:val="2D395076"/>
    <w:rsid w:val="2D426A09"/>
    <w:rsid w:val="2D666D38"/>
    <w:rsid w:val="2D69305E"/>
    <w:rsid w:val="2D8400D7"/>
    <w:rsid w:val="2D851D9A"/>
    <w:rsid w:val="2ED172A1"/>
    <w:rsid w:val="2EDE0726"/>
    <w:rsid w:val="2F5F53F2"/>
    <w:rsid w:val="2F7B10A8"/>
    <w:rsid w:val="2FE7396B"/>
    <w:rsid w:val="300D7D4A"/>
    <w:rsid w:val="31232B7B"/>
    <w:rsid w:val="31E9183E"/>
    <w:rsid w:val="31FE7C49"/>
    <w:rsid w:val="322D57A6"/>
    <w:rsid w:val="32364B30"/>
    <w:rsid w:val="324463DD"/>
    <w:rsid w:val="329E0858"/>
    <w:rsid w:val="33C1667B"/>
    <w:rsid w:val="342B78DC"/>
    <w:rsid w:val="346644D8"/>
    <w:rsid w:val="34D84DA0"/>
    <w:rsid w:val="353A4AFE"/>
    <w:rsid w:val="35B6520A"/>
    <w:rsid w:val="360607D9"/>
    <w:rsid w:val="36190C5C"/>
    <w:rsid w:val="363D616D"/>
    <w:rsid w:val="367F26D4"/>
    <w:rsid w:val="3680580C"/>
    <w:rsid w:val="3692250F"/>
    <w:rsid w:val="36B93C2D"/>
    <w:rsid w:val="36E4252C"/>
    <w:rsid w:val="37362EDC"/>
    <w:rsid w:val="37FA36DA"/>
    <w:rsid w:val="38190834"/>
    <w:rsid w:val="38341B11"/>
    <w:rsid w:val="38463368"/>
    <w:rsid w:val="385A07E5"/>
    <w:rsid w:val="387B2CBB"/>
    <w:rsid w:val="389E008F"/>
    <w:rsid w:val="38A94C99"/>
    <w:rsid w:val="38D6246F"/>
    <w:rsid w:val="38F00189"/>
    <w:rsid w:val="39806DB9"/>
    <w:rsid w:val="3A3C70DA"/>
    <w:rsid w:val="3A4449B3"/>
    <w:rsid w:val="3A8E5D10"/>
    <w:rsid w:val="3AE11A4E"/>
    <w:rsid w:val="3B10495E"/>
    <w:rsid w:val="3B2A4FB6"/>
    <w:rsid w:val="3B344858"/>
    <w:rsid w:val="3B932D9C"/>
    <w:rsid w:val="3BD26834"/>
    <w:rsid w:val="3C033CD5"/>
    <w:rsid w:val="3C19288C"/>
    <w:rsid w:val="3CA732F7"/>
    <w:rsid w:val="3CBA43FC"/>
    <w:rsid w:val="3CCE5FE8"/>
    <w:rsid w:val="3D021FC0"/>
    <w:rsid w:val="3D573AAE"/>
    <w:rsid w:val="3DDB658B"/>
    <w:rsid w:val="3DDC6AF7"/>
    <w:rsid w:val="3E595E2E"/>
    <w:rsid w:val="3E5F1E94"/>
    <w:rsid w:val="3ECF60F0"/>
    <w:rsid w:val="3EFE0737"/>
    <w:rsid w:val="3F022944"/>
    <w:rsid w:val="3F125943"/>
    <w:rsid w:val="3F817D6A"/>
    <w:rsid w:val="3FAF4912"/>
    <w:rsid w:val="3FEA64F9"/>
    <w:rsid w:val="400B3158"/>
    <w:rsid w:val="406A72FF"/>
    <w:rsid w:val="40A24161"/>
    <w:rsid w:val="40CD787E"/>
    <w:rsid w:val="41670862"/>
    <w:rsid w:val="41E83257"/>
    <w:rsid w:val="421B7832"/>
    <w:rsid w:val="42254A34"/>
    <w:rsid w:val="42694D5B"/>
    <w:rsid w:val="429462ED"/>
    <w:rsid w:val="42BC7DDF"/>
    <w:rsid w:val="43076C51"/>
    <w:rsid w:val="437E2698"/>
    <w:rsid w:val="43AD43B9"/>
    <w:rsid w:val="43C84302"/>
    <w:rsid w:val="44201AAB"/>
    <w:rsid w:val="448A72D9"/>
    <w:rsid w:val="44EF1B82"/>
    <w:rsid w:val="45797C51"/>
    <w:rsid w:val="45843D4B"/>
    <w:rsid w:val="45A168B6"/>
    <w:rsid w:val="45EE4E64"/>
    <w:rsid w:val="461B2714"/>
    <w:rsid w:val="46F41301"/>
    <w:rsid w:val="46FC6C97"/>
    <w:rsid w:val="473D2DF8"/>
    <w:rsid w:val="474653BD"/>
    <w:rsid w:val="47910CF8"/>
    <w:rsid w:val="47BD32C8"/>
    <w:rsid w:val="47C3256A"/>
    <w:rsid w:val="47F41481"/>
    <w:rsid w:val="47F66832"/>
    <w:rsid w:val="480C6036"/>
    <w:rsid w:val="48EE2A11"/>
    <w:rsid w:val="48FC1779"/>
    <w:rsid w:val="49085996"/>
    <w:rsid w:val="494D7089"/>
    <w:rsid w:val="49A0035B"/>
    <w:rsid w:val="49C36CF7"/>
    <w:rsid w:val="4A261A67"/>
    <w:rsid w:val="4AC539D4"/>
    <w:rsid w:val="4AD179EA"/>
    <w:rsid w:val="4B7D7B6A"/>
    <w:rsid w:val="4B807D59"/>
    <w:rsid w:val="4BA72EF2"/>
    <w:rsid w:val="4BE60F1D"/>
    <w:rsid w:val="4C3E203F"/>
    <w:rsid w:val="4C4A2448"/>
    <w:rsid w:val="4CF6285E"/>
    <w:rsid w:val="4D295477"/>
    <w:rsid w:val="4DED52D5"/>
    <w:rsid w:val="4E3B2540"/>
    <w:rsid w:val="4E3C1C4A"/>
    <w:rsid w:val="4E8011B5"/>
    <w:rsid w:val="4EAB563D"/>
    <w:rsid w:val="4EC512BE"/>
    <w:rsid w:val="4ECF17A1"/>
    <w:rsid w:val="4F474239"/>
    <w:rsid w:val="4F73779A"/>
    <w:rsid w:val="4FB97DFA"/>
    <w:rsid w:val="4FFF2FD6"/>
    <w:rsid w:val="506D50B9"/>
    <w:rsid w:val="50902684"/>
    <w:rsid w:val="50940BFA"/>
    <w:rsid w:val="50BB3FE2"/>
    <w:rsid w:val="50DF56DA"/>
    <w:rsid w:val="510B7F1B"/>
    <w:rsid w:val="511609E6"/>
    <w:rsid w:val="513916E5"/>
    <w:rsid w:val="516A1F01"/>
    <w:rsid w:val="5171502B"/>
    <w:rsid w:val="522448A6"/>
    <w:rsid w:val="52693681"/>
    <w:rsid w:val="527103FC"/>
    <w:rsid w:val="527C7DEC"/>
    <w:rsid w:val="529A792F"/>
    <w:rsid w:val="52A4759B"/>
    <w:rsid w:val="52A5753F"/>
    <w:rsid w:val="52B23907"/>
    <w:rsid w:val="52B35629"/>
    <w:rsid w:val="52D32AFD"/>
    <w:rsid w:val="52D36FAC"/>
    <w:rsid w:val="53481136"/>
    <w:rsid w:val="534C561F"/>
    <w:rsid w:val="539F3171"/>
    <w:rsid w:val="53EA12A3"/>
    <w:rsid w:val="541D0BDD"/>
    <w:rsid w:val="54397383"/>
    <w:rsid w:val="545F04D7"/>
    <w:rsid w:val="54AD2F2C"/>
    <w:rsid w:val="55992337"/>
    <w:rsid w:val="559B0682"/>
    <w:rsid w:val="55E7431E"/>
    <w:rsid w:val="5607651F"/>
    <w:rsid w:val="561F1F50"/>
    <w:rsid w:val="56262AA1"/>
    <w:rsid w:val="562E2336"/>
    <w:rsid w:val="565F1615"/>
    <w:rsid w:val="5749020C"/>
    <w:rsid w:val="579718F6"/>
    <w:rsid w:val="58DF6CF4"/>
    <w:rsid w:val="5904132B"/>
    <w:rsid w:val="59157827"/>
    <w:rsid w:val="594400A5"/>
    <w:rsid w:val="59460EC7"/>
    <w:rsid w:val="59C90F05"/>
    <w:rsid w:val="59DA2E19"/>
    <w:rsid w:val="5A2D52AC"/>
    <w:rsid w:val="5A9410D3"/>
    <w:rsid w:val="5AA9129F"/>
    <w:rsid w:val="5AB23A35"/>
    <w:rsid w:val="5ACC6B75"/>
    <w:rsid w:val="5AF413B3"/>
    <w:rsid w:val="5B4D4E8F"/>
    <w:rsid w:val="5B4F7AA0"/>
    <w:rsid w:val="5B501540"/>
    <w:rsid w:val="5BB96674"/>
    <w:rsid w:val="5BC84C8B"/>
    <w:rsid w:val="5C3914B8"/>
    <w:rsid w:val="5C6848F8"/>
    <w:rsid w:val="5C6D68F5"/>
    <w:rsid w:val="5C85755D"/>
    <w:rsid w:val="5CB20ABA"/>
    <w:rsid w:val="5D131DD2"/>
    <w:rsid w:val="5D2F0214"/>
    <w:rsid w:val="5D5B0139"/>
    <w:rsid w:val="5D7647EC"/>
    <w:rsid w:val="5D780DCA"/>
    <w:rsid w:val="5DBA1FF8"/>
    <w:rsid w:val="5E060B2D"/>
    <w:rsid w:val="5E1D3725"/>
    <w:rsid w:val="5E37668B"/>
    <w:rsid w:val="5E5B5FBE"/>
    <w:rsid w:val="5E9C51FA"/>
    <w:rsid w:val="5EC42D73"/>
    <w:rsid w:val="5ED54C52"/>
    <w:rsid w:val="5F7861FB"/>
    <w:rsid w:val="5F92436A"/>
    <w:rsid w:val="6062674F"/>
    <w:rsid w:val="60B42F40"/>
    <w:rsid w:val="60B5353D"/>
    <w:rsid w:val="60C346C6"/>
    <w:rsid w:val="60C73328"/>
    <w:rsid w:val="60F95FB4"/>
    <w:rsid w:val="61141727"/>
    <w:rsid w:val="616E7593"/>
    <w:rsid w:val="61B95595"/>
    <w:rsid w:val="61C45958"/>
    <w:rsid w:val="61C62F2B"/>
    <w:rsid w:val="61D41829"/>
    <w:rsid w:val="61F90FC4"/>
    <w:rsid w:val="61FA0CCC"/>
    <w:rsid w:val="622F2937"/>
    <w:rsid w:val="625B00C9"/>
    <w:rsid w:val="625E1FC6"/>
    <w:rsid w:val="630048F7"/>
    <w:rsid w:val="63215DB8"/>
    <w:rsid w:val="632757F0"/>
    <w:rsid w:val="638D1F52"/>
    <w:rsid w:val="63911447"/>
    <w:rsid w:val="63B77B8E"/>
    <w:rsid w:val="641937E6"/>
    <w:rsid w:val="643C6775"/>
    <w:rsid w:val="645079A9"/>
    <w:rsid w:val="64872860"/>
    <w:rsid w:val="64BE130D"/>
    <w:rsid w:val="650A4AEB"/>
    <w:rsid w:val="65136487"/>
    <w:rsid w:val="654E0547"/>
    <w:rsid w:val="660A2ACF"/>
    <w:rsid w:val="666E595E"/>
    <w:rsid w:val="66740D3A"/>
    <w:rsid w:val="668F7750"/>
    <w:rsid w:val="67EC0938"/>
    <w:rsid w:val="67FA2386"/>
    <w:rsid w:val="680A607E"/>
    <w:rsid w:val="6878082B"/>
    <w:rsid w:val="688A198A"/>
    <w:rsid w:val="68F10571"/>
    <w:rsid w:val="690757FD"/>
    <w:rsid w:val="692B0CE1"/>
    <w:rsid w:val="69833957"/>
    <w:rsid w:val="6A160FCF"/>
    <w:rsid w:val="6A296146"/>
    <w:rsid w:val="6A607D6B"/>
    <w:rsid w:val="6A85738C"/>
    <w:rsid w:val="6A8F72B9"/>
    <w:rsid w:val="6AAB7F50"/>
    <w:rsid w:val="6AF20FCD"/>
    <w:rsid w:val="6B1449BE"/>
    <w:rsid w:val="6B144D07"/>
    <w:rsid w:val="6B634F63"/>
    <w:rsid w:val="6BB46349"/>
    <w:rsid w:val="6BD859FE"/>
    <w:rsid w:val="6C114684"/>
    <w:rsid w:val="6C2932FF"/>
    <w:rsid w:val="6C310293"/>
    <w:rsid w:val="6C5D7FE5"/>
    <w:rsid w:val="6CC90D79"/>
    <w:rsid w:val="6CD5256D"/>
    <w:rsid w:val="6D9956BA"/>
    <w:rsid w:val="6DC34433"/>
    <w:rsid w:val="6DD328F0"/>
    <w:rsid w:val="6DFC351E"/>
    <w:rsid w:val="6E625129"/>
    <w:rsid w:val="6E786CC3"/>
    <w:rsid w:val="6EA16987"/>
    <w:rsid w:val="6EAA139E"/>
    <w:rsid w:val="6EE325FF"/>
    <w:rsid w:val="6F381424"/>
    <w:rsid w:val="6F484143"/>
    <w:rsid w:val="6F574271"/>
    <w:rsid w:val="6F750F26"/>
    <w:rsid w:val="6F7B72E9"/>
    <w:rsid w:val="6F8445D4"/>
    <w:rsid w:val="6F8D5C1A"/>
    <w:rsid w:val="6F8E342E"/>
    <w:rsid w:val="6FA8133A"/>
    <w:rsid w:val="6FD27139"/>
    <w:rsid w:val="70AA69F6"/>
    <w:rsid w:val="70CD2B48"/>
    <w:rsid w:val="71126EE7"/>
    <w:rsid w:val="71654E27"/>
    <w:rsid w:val="717E7D84"/>
    <w:rsid w:val="719E73CE"/>
    <w:rsid w:val="71F6500C"/>
    <w:rsid w:val="72084E9A"/>
    <w:rsid w:val="7265409A"/>
    <w:rsid w:val="729E6109"/>
    <w:rsid w:val="72AB1549"/>
    <w:rsid w:val="731F3FE7"/>
    <w:rsid w:val="737E24ED"/>
    <w:rsid w:val="73BA4606"/>
    <w:rsid w:val="74203020"/>
    <w:rsid w:val="74CB7795"/>
    <w:rsid w:val="74DC387C"/>
    <w:rsid w:val="757C043C"/>
    <w:rsid w:val="75883DD7"/>
    <w:rsid w:val="76134845"/>
    <w:rsid w:val="763922F4"/>
    <w:rsid w:val="774B075C"/>
    <w:rsid w:val="777D56F6"/>
    <w:rsid w:val="777E5B62"/>
    <w:rsid w:val="77896DD2"/>
    <w:rsid w:val="77C801D0"/>
    <w:rsid w:val="78067E72"/>
    <w:rsid w:val="782A7F03"/>
    <w:rsid w:val="79494CE7"/>
    <w:rsid w:val="79616DC4"/>
    <w:rsid w:val="79E820BE"/>
    <w:rsid w:val="79FE6360"/>
    <w:rsid w:val="7A3414F8"/>
    <w:rsid w:val="7A6672C0"/>
    <w:rsid w:val="7A862644"/>
    <w:rsid w:val="7B4128F5"/>
    <w:rsid w:val="7B681A01"/>
    <w:rsid w:val="7B86410F"/>
    <w:rsid w:val="7BD3539E"/>
    <w:rsid w:val="7BDE0F2D"/>
    <w:rsid w:val="7BE3408C"/>
    <w:rsid w:val="7C47478B"/>
    <w:rsid w:val="7CB42860"/>
    <w:rsid w:val="7D021F92"/>
    <w:rsid w:val="7E492149"/>
    <w:rsid w:val="7E573440"/>
    <w:rsid w:val="7E6E2E4D"/>
    <w:rsid w:val="7E97572C"/>
    <w:rsid w:val="7E9C5F6F"/>
    <w:rsid w:val="7EA146AC"/>
    <w:rsid w:val="7EBE6F11"/>
    <w:rsid w:val="7EC40A46"/>
    <w:rsid w:val="7EE30DF1"/>
    <w:rsid w:val="7F08697B"/>
    <w:rsid w:val="7F833D8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62"/>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link w:val="55"/>
    <w:qFormat/>
    <w:uiPriority w:val="0"/>
    <w:pPr>
      <w:keepNext/>
      <w:keepLines/>
      <w:autoSpaceDE w:val="0"/>
      <w:autoSpaceDN w:val="0"/>
      <w:adjustRightInd w:val="0"/>
      <w:spacing w:before="120" w:line="300" w:lineRule="auto"/>
      <w:ind w:left="722" w:hanging="722" w:hangingChars="257"/>
      <w:jc w:val="center"/>
      <w:outlineLvl w:val="1"/>
    </w:pPr>
    <w:rPr>
      <w:rFonts w:ascii="Arial" w:hAnsi="Arial"/>
      <w:b/>
      <w:kern w:val="0"/>
      <w:sz w:val="28"/>
      <w:szCs w:val="20"/>
    </w:rPr>
  </w:style>
  <w:style w:type="paragraph" w:styleId="4">
    <w:name w:val="heading 3"/>
    <w:basedOn w:val="1"/>
    <w:next w:val="1"/>
    <w:link w:val="49"/>
    <w:qFormat/>
    <w:uiPriority w:val="0"/>
    <w:pPr>
      <w:keepNext/>
      <w:keepLines/>
      <w:autoSpaceDE w:val="0"/>
      <w:autoSpaceDN w:val="0"/>
      <w:adjustRightInd w:val="0"/>
      <w:spacing w:before="360" w:after="120"/>
      <w:jc w:val="left"/>
      <w:outlineLvl w:val="2"/>
    </w:pPr>
    <w:rPr>
      <w:rFonts w:ascii="宋体"/>
      <w:b/>
      <w:kern w:val="0"/>
      <w:sz w:val="24"/>
      <w:szCs w:val="20"/>
    </w:rPr>
  </w:style>
  <w:style w:type="paragraph" w:styleId="5">
    <w:name w:val="heading 4"/>
    <w:basedOn w:val="1"/>
    <w:next w:val="1"/>
    <w:link w:val="72"/>
    <w:qFormat/>
    <w:uiPriority w:val="99"/>
    <w:pPr>
      <w:keepNext/>
      <w:keepLines/>
      <w:spacing w:before="280" w:after="290" w:line="376" w:lineRule="auto"/>
      <w:outlineLvl w:val="3"/>
    </w:pPr>
    <w:rPr>
      <w:rFonts w:ascii="Cambria" w:hAnsi="Cambria"/>
      <w:b/>
      <w:bCs/>
      <w:sz w:val="28"/>
      <w:szCs w:val="28"/>
    </w:rPr>
  </w:style>
  <w:style w:type="character" w:default="1" w:styleId="35">
    <w:name w:val="Default Paragraph Font"/>
    <w:semiHidden/>
    <w:qFormat/>
    <w:uiPriority w:val="0"/>
  </w:style>
  <w:style w:type="table" w:default="1" w:styleId="33">
    <w:name w:val="Normal Table"/>
    <w:semiHidden/>
    <w:qFormat/>
    <w:uiPriority w:val="0"/>
    <w:tblPr>
      <w:tblCellMar>
        <w:top w:w="0" w:type="dxa"/>
        <w:left w:w="108" w:type="dxa"/>
        <w:bottom w:w="0" w:type="dxa"/>
        <w:right w:w="108" w:type="dxa"/>
      </w:tblCellMar>
    </w:tblPr>
  </w:style>
  <w:style w:type="paragraph" w:styleId="6">
    <w:name w:val="toc 7"/>
    <w:basedOn w:val="1"/>
    <w:next w:val="1"/>
    <w:qFormat/>
    <w:uiPriority w:val="39"/>
    <w:pPr>
      <w:ind w:left="2520" w:leftChars="1200"/>
    </w:pPr>
  </w:style>
  <w:style w:type="paragraph" w:styleId="7">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8">
    <w:name w:val="annotation text"/>
    <w:basedOn w:val="1"/>
    <w:link w:val="69"/>
    <w:qFormat/>
    <w:uiPriority w:val="99"/>
    <w:pPr>
      <w:jc w:val="left"/>
    </w:pPr>
  </w:style>
  <w:style w:type="paragraph" w:styleId="9">
    <w:name w:val="Body Text"/>
    <w:basedOn w:val="1"/>
    <w:next w:val="1"/>
    <w:link w:val="58"/>
    <w:qFormat/>
    <w:uiPriority w:val="0"/>
    <w:pPr>
      <w:tabs>
        <w:tab w:val="left" w:pos="567"/>
      </w:tabs>
      <w:spacing w:before="120" w:line="22" w:lineRule="atLeast"/>
    </w:pPr>
    <w:rPr>
      <w:rFonts w:ascii="宋体" w:hAnsi="宋体"/>
      <w:sz w:val="24"/>
    </w:rPr>
  </w:style>
  <w:style w:type="paragraph" w:styleId="10">
    <w:name w:val="Body Text Indent"/>
    <w:basedOn w:val="1"/>
    <w:qFormat/>
    <w:uiPriority w:val="0"/>
    <w:pPr>
      <w:spacing w:line="360" w:lineRule="auto"/>
      <w:ind w:firstLine="570"/>
    </w:pPr>
    <w:rPr>
      <w:sz w:val="24"/>
    </w:rPr>
  </w:style>
  <w:style w:type="paragraph" w:styleId="11">
    <w:name w:val="index 4"/>
    <w:basedOn w:val="1"/>
    <w:next w:val="1"/>
    <w:qFormat/>
    <w:uiPriority w:val="0"/>
    <w:pPr>
      <w:adjustRightInd w:val="0"/>
      <w:spacing w:line="360" w:lineRule="auto"/>
      <w:ind w:left="960" w:hanging="240"/>
      <w:jc w:val="left"/>
      <w:textAlignment w:val="baseline"/>
    </w:pPr>
    <w:rPr>
      <w:sz w:val="20"/>
    </w:rPr>
  </w:style>
  <w:style w:type="paragraph" w:styleId="12">
    <w:name w:val="toc 5"/>
    <w:basedOn w:val="1"/>
    <w:next w:val="1"/>
    <w:qFormat/>
    <w:uiPriority w:val="39"/>
    <w:pPr>
      <w:ind w:left="1680" w:leftChars="800"/>
    </w:pPr>
  </w:style>
  <w:style w:type="paragraph" w:styleId="13">
    <w:name w:val="toc 3"/>
    <w:basedOn w:val="1"/>
    <w:next w:val="1"/>
    <w:qFormat/>
    <w:uiPriority w:val="39"/>
    <w:pPr>
      <w:tabs>
        <w:tab w:val="left" w:pos="1260"/>
        <w:tab w:val="right" w:leader="dot" w:pos="8630"/>
      </w:tabs>
      <w:ind w:left="840" w:leftChars="400"/>
    </w:pPr>
  </w:style>
  <w:style w:type="paragraph" w:styleId="14">
    <w:name w:val="Plain Text"/>
    <w:basedOn w:val="1"/>
    <w:next w:val="1"/>
    <w:link w:val="59"/>
    <w:qFormat/>
    <w:uiPriority w:val="0"/>
    <w:rPr>
      <w:rFonts w:ascii="宋体" w:hAnsi="Courier New"/>
      <w:szCs w:val="20"/>
    </w:rPr>
  </w:style>
  <w:style w:type="paragraph" w:styleId="15">
    <w:name w:val="toc 8"/>
    <w:basedOn w:val="1"/>
    <w:next w:val="1"/>
    <w:qFormat/>
    <w:uiPriority w:val="39"/>
    <w:pPr>
      <w:ind w:left="2940" w:leftChars="1400"/>
    </w:pPr>
  </w:style>
  <w:style w:type="paragraph" w:styleId="16">
    <w:name w:val="Date"/>
    <w:basedOn w:val="1"/>
    <w:next w:val="1"/>
    <w:link w:val="61"/>
    <w:qFormat/>
    <w:uiPriority w:val="0"/>
    <w:pPr>
      <w:ind w:left="100" w:leftChars="2500"/>
    </w:pPr>
    <w:rPr>
      <w:rFonts w:ascii="仿宋_GB2312" w:hAnsi="宋体" w:eastAsia="仿宋_GB2312"/>
      <w:color w:val="000000"/>
      <w:sz w:val="24"/>
    </w:rPr>
  </w:style>
  <w:style w:type="paragraph" w:styleId="17">
    <w:name w:val="Body Text Indent 2"/>
    <w:basedOn w:val="1"/>
    <w:qFormat/>
    <w:uiPriority w:val="0"/>
    <w:pPr>
      <w:ind w:firstLine="480" w:firstLineChars="200"/>
    </w:pPr>
    <w:rPr>
      <w:rFonts w:ascii="仿宋_GB2312" w:eastAsia="仿宋_GB2312"/>
      <w:sz w:val="24"/>
    </w:rPr>
  </w:style>
  <w:style w:type="paragraph" w:styleId="18">
    <w:name w:val="Balloon Text"/>
    <w:basedOn w:val="1"/>
    <w:link w:val="66"/>
    <w:qFormat/>
    <w:uiPriority w:val="0"/>
    <w:rPr>
      <w:sz w:val="18"/>
      <w:szCs w:val="18"/>
    </w:rPr>
  </w:style>
  <w:style w:type="paragraph" w:styleId="19">
    <w:name w:val="footer"/>
    <w:basedOn w:val="1"/>
    <w:link w:val="68"/>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0">
    <w:name w:val="envelope return"/>
    <w:basedOn w:val="1"/>
    <w:qFormat/>
    <w:uiPriority w:val="0"/>
    <w:pPr>
      <w:snapToGrid w:val="0"/>
      <w:spacing w:line="360" w:lineRule="auto"/>
    </w:pPr>
    <w:rPr>
      <w:rFonts w:ascii="Arial" w:hAnsi="Arial"/>
      <w:sz w:val="24"/>
    </w:rPr>
  </w:style>
  <w:style w:type="paragraph" w:styleId="21">
    <w:name w:val="header"/>
    <w:basedOn w:val="1"/>
    <w:link w:val="65"/>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style>
  <w:style w:type="paragraph" w:styleId="23">
    <w:name w:val="toc 4"/>
    <w:basedOn w:val="1"/>
    <w:next w:val="1"/>
    <w:qFormat/>
    <w:uiPriority w:val="39"/>
    <w:pPr>
      <w:ind w:left="1260" w:leftChars="600"/>
    </w:pPr>
  </w:style>
  <w:style w:type="paragraph" w:styleId="24">
    <w:name w:val="toc 6"/>
    <w:basedOn w:val="1"/>
    <w:next w:val="1"/>
    <w:qFormat/>
    <w:uiPriority w:val="39"/>
    <w:pPr>
      <w:ind w:left="2100" w:leftChars="1000"/>
    </w:pPr>
  </w:style>
  <w:style w:type="paragraph" w:styleId="25">
    <w:name w:val="Body Text Indent 3"/>
    <w:basedOn w:val="1"/>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26">
    <w:name w:val="toc 2"/>
    <w:basedOn w:val="1"/>
    <w:next w:val="1"/>
    <w:qFormat/>
    <w:uiPriority w:val="39"/>
    <w:pPr>
      <w:ind w:left="420" w:leftChars="200"/>
    </w:pPr>
  </w:style>
  <w:style w:type="paragraph" w:styleId="27">
    <w:name w:val="toc 9"/>
    <w:basedOn w:val="1"/>
    <w:next w:val="1"/>
    <w:qFormat/>
    <w:uiPriority w:val="39"/>
    <w:pPr>
      <w:ind w:left="3360" w:leftChars="1600"/>
    </w:pPr>
  </w:style>
  <w:style w:type="paragraph" w:styleId="2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29">
    <w:name w:val="index 1"/>
    <w:basedOn w:val="1"/>
    <w:next w:val="1"/>
    <w:semiHidden/>
    <w:qFormat/>
    <w:uiPriority w:val="0"/>
    <w:rPr>
      <w:szCs w:val="20"/>
    </w:rPr>
  </w:style>
  <w:style w:type="paragraph" w:styleId="30">
    <w:name w:val="Title"/>
    <w:basedOn w:val="1"/>
    <w:next w:val="1"/>
    <w:link w:val="45"/>
    <w:qFormat/>
    <w:uiPriority w:val="0"/>
    <w:pPr>
      <w:spacing w:before="240" w:after="60"/>
      <w:jc w:val="center"/>
      <w:outlineLvl w:val="0"/>
    </w:pPr>
    <w:rPr>
      <w:rFonts w:ascii="Arial" w:hAnsi="Arial" w:eastAsia="PMingLiU"/>
      <w:b/>
      <w:bCs/>
      <w:sz w:val="32"/>
      <w:szCs w:val="32"/>
      <w:lang w:eastAsia="zh-TW"/>
    </w:rPr>
  </w:style>
  <w:style w:type="paragraph" w:styleId="31">
    <w:name w:val="annotation subject"/>
    <w:basedOn w:val="8"/>
    <w:next w:val="8"/>
    <w:link w:val="57"/>
    <w:qFormat/>
    <w:uiPriority w:val="0"/>
    <w:rPr>
      <w:b/>
      <w:bCs/>
    </w:rPr>
  </w:style>
  <w:style w:type="paragraph" w:styleId="32">
    <w:name w:val="Body Text First Indent 2"/>
    <w:basedOn w:val="10"/>
    <w:next w:val="1"/>
    <w:qFormat/>
    <w:uiPriority w:val="0"/>
    <w:pPr>
      <w:ind w:firstLine="420" w:firstLineChars="200"/>
    </w:pPr>
    <w:rPr>
      <w:rFonts w:eastAsia="宋体"/>
    </w:rPr>
  </w:style>
  <w:style w:type="table" w:styleId="34">
    <w:name w:val="Table Grid"/>
    <w:basedOn w:val="3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page number"/>
    <w:basedOn w:val="35"/>
    <w:qFormat/>
    <w:uiPriority w:val="0"/>
  </w:style>
  <w:style w:type="character" w:styleId="37">
    <w:name w:val="FollowedHyperlink"/>
    <w:qFormat/>
    <w:uiPriority w:val="0"/>
    <w:rPr>
      <w:color w:val="000000"/>
      <w:u w:val="none"/>
    </w:rPr>
  </w:style>
  <w:style w:type="character" w:styleId="38">
    <w:name w:val="Emphasis"/>
    <w:qFormat/>
    <w:uiPriority w:val="0"/>
    <w:rPr>
      <w:i/>
    </w:rPr>
  </w:style>
  <w:style w:type="character" w:styleId="39">
    <w:name w:val="Hyperlink"/>
    <w:qFormat/>
    <w:uiPriority w:val="99"/>
    <w:rPr>
      <w:color w:val="000000"/>
      <w:u w:val="none"/>
    </w:rPr>
  </w:style>
  <w:style w:type="character" w:styleId="40">
    <w:name w:val="annotation reference"/>
    <w:qFormat/>
    <w:uiPriority w:val="99"/>
    <w:rPr>
      <w:sz w:val="21"/>
      <w:szCs w:val="21"/>
    </w:rPr>
  </w:style>
  <w:style w:type="paragraph" w:styleId="41">
    <w:name w:val="List Paragraph"/>
    <w:basedOn w:val="1"/>
    <w:next w:val="1"/>
    <w:qFormat/>
    <w:uiPriority w:val="34"/>
    <w:pPr>
      <w:widowControl/>
      <w:ind w:firstLine="420" w:firstLineChars="200"/>
      <w:jc w:val="left"/>
    </w:pPr>
    <w:rPr>
      <w:kern w:val="0"/>
      <w:sz w:val="24"/>
    </w:rPr>
  </w:style>
  <w:style w:type="paragraph" w:customStyle="1" w:styleId="42">
    <w:name w:val="Fließtext"/>
    <w:basedOn w:val="1"/>
    <w:qFormat/>
    <w:uiPriority w:val="0"/>
    <w:pPr>
      <w:overflowPunct w:val="0"/>
      <w:autoSpaceDE w:val="0"/>
      <w:autoSpaceDN w:val="0"/>
      <w:adjustRightInd w:val="0"/>
      <w:textAlignment w:val="baseline"/>
    </w:pPr>
    <w:rPr>
      <w:kern w:val="28"/>
      <w:szCs w:val="20"/>
    </w:rPr>
  </w:style>
  <w:style w:type="character" w:customStyle="1" w:styleId="43">
    <w:name w:val="fontstyle01"/>
    <w:qFormat/>
    <w:uiPriority w:val="0"/>
    <w:rPr>
      <w:rFonts w:hint="eastAsia" w:ascii="宋体" w:hAnsi="宋体" w:eastAsia="宋体"/>
      <w:color w:val="000000"/>
      <w:sz w:val="22"/>
      <w:szCs w:val="22"/>
    </w:rPr>
  </w:style>
  <w:style w:type="character" w:customStyle="1" w:styleId="44">
    <w:name w:val="_Style 41"/>
    <w:qFormat/>
    <w:uiPriority w:val="19"/>
    <w:rPr>
      <w:i/>
      <w:iCs/>
      <w:color w:val="808080"/>
    </w:rPr>
  </w:style>
  <w:style w:type="character" w:customStyle="1" w:styleId="45">
    <w:name w:val="标题 Char"/>
    <w:link w:val="30"/>
    <w:qFormat/>
    <w:uiPriority w:val="0"/>
    <w:rPr>
      <w:rFonts w:ascii="Arial" w:hAnsi="Arial" w:eastAsia="PMingLiU" w:cs="Arial"/>
      <w:b/>
      <w:bCs/>
      <w:kern w:val="2"/>
      <w:sz w:val="32"/>
      <w:szCs w:val="32"/>
      <w:lang w:eastAsia="zh-TW"/>
    </w:rPr>
  </w:style>
  <w:style w:type="character" w:customStyle="1" w:styleId="46">
    <w:name w:val="批注主题 Char1"/>
    <w:semiHidden/>
    <w:qFormat/>
    <w:uiPriority w:val="99"/>
    <w:rPr>
      <w:b/>
      <w:bCs/>
      <w:kern w:val="2"/>
      <w:sz w:val="21"/>
      <w:szCs w:val="24"/>
    </w:rPr>
  </w:style>
  <w:style w:type="character" w:customStyle="1" w:styleId="47">
    <w:name w:val="font41"/>
    <w:qFormat/>
    <w:uiPriority w:val="0"/>
    <w:rPr>
      <w:rFonts w:hint="eastAsia" w:ascii="宋体" w:hAnsi="宋体" w:eastAsia="宋体" w:cs="宋体"/>
      <w:b/>
      <w:color w:val="000000"/>
      <w:sz w:val="20"/>
      <w:szCs w:val="20"/>
      <w:u w:val="none"/>
    </w:rPr>
  </w:style>
  <w:style w:type="character" w:customStyle="1" w:styleId="48">
    <w:name w:val="font61"/>
    <w:qFormat/>
    <w:uiPriority w:val="0"/>
    <w:rPr>
      <w:rFonts w:hint="eastAsia" w:ascii="宋体" w:hAnsi="宋体" w:eastAsia="宋体" w:cs="宋体"/>
      <w:b/>
      <w:color w:val="000000"/>
      <w:sz w:val="20"/>
      <w:szCs w:val="20"/>
      <w:u w:val="none"/>
    </w:rPr>
  </w:style>
  <w:style w:type="character" w:customStyle="1" w:styleId="49">
    <w:name w:val="标题 3 Char"/>
    <w:link w:val="4"/>
    <w:qFormat/>
    <w:uiPriority w:val="0"/>
    <w:rPr>
      <w:rFonts w:ascii="宋体"/>
      <w:b/>
      <w:sz w:val="24"/>
    </w:rPr>
  </w:style>
  <w:style w:type="character" w:customStyle="1" w:styleId="50">
    <w:name w:val="批注框文本 Char1"/>
    <w:semiHidden/>
    <w:qFormat/>
    <w:uiPriority w:val="99"/>
    <w:rPr>
      <w:kern w:val="2"/>
      <w:sz w:val="18"/>
      <w:szCs w:val="18"/>
    </w:rPr>
  </w:style>
  <w:style w:type="character" w:customStyle="1" w:styleId="51">
    <w:name w:val="font31"/>
    <w:qFormat/>
    <w:uiPriority w:val="0"/>
    <w:rPr>
      <w:rFonts w:hint="eastAsia" w:ascii="宋体" w:hAnsi="宋体" w:eastAsia="宋体" w:cs="宋体"/>
      <w:color w:val="000000"/>
      <w:sz w:val="20"/>
      <w:szCs w:val="20"/>
      <w:u w:val="none"/>
    </w:rPr>
  </w:style>
  <w:style w:type="character" w:customStyle="1" w:styleId="52">
    <w:name w:val="标题 Char1"/>
    <w:qFormat/>
    <w:uiPriority w:val="0"/>
    <w:rPr>
      <w:rFonts w:ascii="Cambria" w:hAnsi="Cambria" w:cs="Times New Roman"/>
      <w:b/>
      <w:bCs/>
      <w:kern w:val="2"/>
      <w:sz w:val="32"/>
      <w:szCs w:val="32"/>
    </w:rPr>
  </w:style>
  <w:style w:type="character" w:customStyle="1" w:styleId="53">
    <w:name w:val="纯文本 字符"/>
    <w:qFormat/>
    <w:uiPriority w:val="0"/>
    <w:rPr>
      <w:rFonts w:ascii="宋体" w:hAnsi="Courier New"/>
      <w:kern w:val="2"/>
      <w:sz w:val="21"/>
    </w:rPr>
  </w:style>
  <w:style w:type="character" w:customStyle="1" w:styleId="54">
    <w:name w:val="批注文字 Char1"/>
    <w:semiHidden/>
    <w:qFormat/>
    <w:uiPriority w:val="99"/>
    <w:rPr>
      <w:kern w:val="2"/>
      <w:sz w:val="21"/>
      <w:szCs w:val="24"/>
    </w:rPr>
  </w:style>
  <w:style w:type="character" w:customStyle="1" w:styleId="55">
    <w:name w:val="标题 2 Char"/>
    <w:link w:val="3"/>
    <w:qFormat/>
    <w:uiPriority w:val="0"/>
    <w:rPr>
      <w:rFonts w:ascii="Arial" w:hAnsi="Arial" w:eastAsia="宋体"/>
      <w:b/>
      <w:sz w:val="28"/>
    </w:rPr>
  </w:style>
  <w:style w:type="character" w:customStyle="1" w:styleId="56">
    <w:name w:val="font51"/>
    <w:qFormat/>
    <w:uiPriority w:val="0"/>
    <w:rPr>
      <w:rFonts w:hint="eastAsia" w:ascii="宋体" w:hAnsi="宋体" w:eastAsia="宋体" w:cs="宋体"/>
      <w:color w:val="000000"/>
      <w:sz w:val="20"/>
      <w:szCs w:val="20"/>
      <w:u w:val="none"/>
    </w:rPr>
  </w:style>
  <w:style w:type="character" w:customStyle="1" w:styleId="57">
    <w:name w:val="批注主题 Char"/>
    <w:link w:val="31"/>
    <w:qFormat/>
    <w:uiPriority w:val="0"/>
    <w:rPr>
      <w:b/>
      <w:bCs/>
      <w:kern w:val="2"/>
      <w:sz w:val="21"/>
      <w:szCs w:val="24"/>
    </w:rPr>
  </w:style>
  <w:style w:type="character" w:customStyle="1" w:styleId="58">
    <w:name w:val="正文文本 Char"/>
    <w:link w:val="9"/>
    <w:qFormat/>
    <w:uiPriority w:val="0"/>
    <w:rPr>
      <w:rFonts w:ascii="宋体" w:hAnsi="宋体"/>
      <w:kern w:val="2"/>
      <w:sz w:val="24"/>
      <w:szCs w:val="24"/>
    </w:rPr>
  </w:style>
  <w:style w:type="character" w:customStyle="1" w:styleId="59">
    <w:name w:val="纯文本 Char"/>
    <w:link w:val="14"/>
    <w:qFormat/>
    <w:uiPriority w:val="0"/>
    <w:rPr>
      <w:rFonts w:ascii="宋体" w:hAnsi="Courier New"/>
      <w:kern w:val="2"/>
      <w:sz w:val="21"/>
    </w:rPr>
  </w:style>
  <w:style w:type="character" w:customStyle="1" w:styleId="60">
    <w:name w:val="正文文本 字符"/>
    <w:qFormat/>
    <w:uiPriority w:val="0"/>
    <w:rPr>
      <w:rFonts w:ascii="宋体" w:hAnsi="宋体"/>
      <w:kern w:val="2"/>
      <w:sz w:val="24"/>
      <w:szCs w:val="24"/>
    </w:rPr>
  </w:style>
  <w:style w:type="character" w:customStyle="1" w:styleId="61">
    <w:name w:val="日期 Char"/>
    <w:link w:val="16"/>
    <w:qFormat/>
    <w:uiPriority w:val="0"/>
    <w:rPr>
      <w:rFonts w:ascii="仿宋_GB2312" w:hAnsi="宋体" w:eastAsia="仿宋_GB2312"/>
      <w:color w:val="000000"/>
      <w:kern w:val="2"/>
      <w:sz w:val="24"/>
      <w:szCs w:val="24"/>
    </w:rPr>
  </w:style>
  <w:style w:type="character" w:customStyle="1" w:styleId="62">
    <w:name w:val="标题 1 Char"/>
    <w:link w:val="2"/>
    <w:qFormat/>
    <w:uiPriority w:val="0"/>
    <w:rPr>
      <w:rFonts w:ascii="宋体"/>
      <w:b/>
      <w:kern w:val="44"/>
      <w:sz w:val="32"/>
    </w:rPr>
  </w:style>
  <w:style w:type="character" w:customStyle="1" w:styleId="63">
    <w:name w:val="纯文本 Char1"/>
    <w:link w:val="64"/>
    <w:qFormat/>
    <w:uiPriority w:val="0"/>
    <w:rPr>
      <w:rFonts w:ascii="宋体" w:hAnsi="Courier New"/>
    </w:rPr>
  </w:style>
  <w:style w:type="paragraph" w:customStyle="1" w:styleId="64">
    <w:name w:val="纯文本1"/>
    <w:basedOn w:val="1"/>
    <w:link w:val="63"/>
    <w:qFormat/>
    <w:uiPriority w:val="0"/>
    <w:rPr>
      <w:rFonts w:ascii="宋体" w:hAnsi="Courier New"/>
      <w:kern w:val="0"/>
      <w:sz w:val="20"/>
      <w:szCs w:val="20"/>
    </w:rPr>
  </w:style>
  <w:style w:type="character" w:customStyle="1" w:styleId="65">
    <w:name w:val="页眉 Char"/>
    <w:link w:val="21"/>
    <w:qFormat/>
    <w:uiPriority w:val="0"/>
    <w:rPr>
      <w:kern w:val="2"/>
      <w:sz w:val="18"/>
      <w:szCs w:val="18"/>
    </w:rPr>
  </w:style>
  <w:style w:type="character" w:customStyle="1" w:styleId="66">
    <w:name w:val="批注框文本 Char"/>
    <w:link w:val="18"/>
    <w:qFormat/>
    <w:uiPriority w:val="0"/>
    <w:rPr>
      <w:kern w:val="2"/>
      <w:sz w:val="18"/>
      <w:szCs w:val="18"/>
    </w:rPr>
  </w:style>
  <w:style w:type="character" w:customStyle="1" w:styleId="67">
    <w:name w:val="页眉 Char1"/>
    <w:semiHidden/>
    <w:qFormat/>
    <w:uiPriority w:val="99"/>
    <w:rPr>
      <w:kern w:val="2"/>
      <w:sz w:val="18"/>
      <w:szCs w:val="18"/>
    </w:rPr>
  </w:style>
  <w:style w:type="character" w:customStyle="1" w:styleId="68">
    <w:name w:val="页脚 Char"/>
    <w:link w:val="19"/>
    <w:qFormat/>
    <w:uiPriority w:val="99"/>
    <w:rPr>
      <w:rFonts w:ascii="宋体"/>
      <w:sz w:val="18"/>
    </w:rPr>
  </w:style>
  <w:style w:type="character" w:customStyle="1" w:styleId="69">
    <w:name w:val="批注文字 Char"/>
    <w:link w:val="8"/>
    <w:qFormat/>
    <w:uiPriority w:val="99"/>
    <w:rPr>
      <w:kern w:val="2"/>
      <w:sz w:val="21"/>
      <w:szCs w:val="24"/>
    </w:rPr>
  </w:style>
  <w:style w:type="character" w:customStyle="1" w:styleId="70">
    <w:name w:val="正文缩进 Char1"/>
    <w:link w:val="71"/>
    <w:qFormat/>
    <w:uiPriority w:val="0"/>
    <w:rPr>
      <w:rFonts w:ascii="宋体"/>
      <w:sz w:val="24"/>
    </w:rPr>
  </w:style>
  <w:style w:type="paragraph" w:customStyle="1" w:styleId="71">
    <w:name w:val="正文缩进1"/>
    <w:basedOn w:val="1"/>
    <w:link w:val="70"/>
    <w:qFormat/>
    <w:uiPriority w:val="0"/>
    <w:pPr>
      <w:autoSpaceDE w:val="0"/>
      <w:autoSpaceDN w:val="0"/>
      <w:adjustRightInd w:val="0"/>
      <w:ind w:firstLine="420"/>
      <w:jc w:val="left"/>
    </w:pPr>
    <w:rPr>
      <w:rFonts w:ascii="宋体"/>
      <w:kern w:val="0"/>
      <w:sz w:val="24"/>
      <w:szCs w:val="20"/>
    </w:rPr>
  </w:style>
  <w:style w:type="character" w:customStyle="1" w:styleId="72">
    <w:name w:val="标题 4 Char"/>
    <w:link w:val="5"/>
    <w:qFormat/>
    <w:uiPriority w:val="99"/>
    <w:rPr>
      <w:rFonts w:ascii="Cambria" w:hAnsi="Cambria" w:cs="Cambria"/>
      <w:b/>
      <w:bCs/>
      <w:kern w:val="2"/>
      <w:sz w:val="28"/>
      <w:szCs w:val="28"/>
    </w:rPr>
  </w:style>
  <w:style w:type="paragraph" w:customStyle="1" w:styleId="73">
    <w:name w:val="索引 11"/>
    <w:basedOn w:val="1"/>
    <w:next w:val="1"/>
    <w:qFormat/>
    <w:uiPriority w:val="0"/>
    <w:pPr>
      <w:spacing w:line="360" w:lineRule="auto"/>
    </w:pPr>
    <w:rPr>
      <w:rFonts w:ascii="仿宋_GB2312" w:eastAsia="仿宋_GB2312"/>
      <w:sz w:val="24"/>
      <w:szCs w:val="20"/>
    </w:rPr>
  </w:style>
  <w:style w:type="paragraph" w:customStyle="1" w:styleId="74">
    <w:name w:val="列表段落1"/>
    <w:basedOn w:val="1"/>
    <w:qFormat/>
    <w:uiPriority w:val="34"/>
    <w:pPr>
      <w:ind w:firstLine="420" w:firstLineChars="200"/>
    </w:pPr>
  </w:style>
  <w:style w:type="paragraph" w:customStyle="1" w:styleId="75">
    <w:name w:val="Char"/>
    <w:basedOn w:val="1"/>
    <w:qFormat/>
    <w:uiPriority w:val="0"/>
    <w:pPr>
      <w:tabs>
        <w:tab w:val="left" w:pos="360"/>
      </w:tabs>
    </w:pPr>
    <w:rPr>
      <w:sz w:val="24"/>
    </w:rPr>
  </w:style>
  <w:style w:type="paragraph" w:customStyle="1" w:styleId="76">
    <w:name w:val="Default"/>
    <w:qFormat/>
    <w:uiPriority w:val="0"/>
    <w:pPr>
      <w:widowControl w:val="0"/>
    </w:pPr>
    <w:rPr>
      <w:rFonts w:ascii="Times New Roman" w:hAnsi="Times New Roman" w:eastAsia="Times New Roman" w:cs="Times New Roman"/>
      <w:color w:val="000000"/>
      <w:sz w:val="24"/>
      <w:lang w:val="en-US" w:eastAsia="en-US" w:bidi="ar-SA"/>
    </w:rPr>
  </w:style>
  <w:style w:type="paragraph" w:customStyle="1" w:styleId="77">
    <w:name w:val="_Style 35"/>
    <w:basedOn w:val="1"/>
    <w:next w:val="41"/>
    <w:qFormat/>
    <w:uiPriority w:val="34"/>
    <w:pPr>
      <w:widowControl/>
      <w:ind w:firstLine="420" w:firstLineChars="200"/>
      <w:jc w:val="left"/>
    </w:pPr>
    <w:rPr>
      <w:rFonts w:ascii="Times New Roman" w:hAnsi="Times New Roman"/>
      <w:kern w:val="0"/>
      <w:sz w:val="24"/>
    </w:rPr>
  </w:style>
  <w:style w:type="paragraph" w:customStyle="1" w:styleId="78">
    <w:name w:val="_Style 34"/>
    <w:basedOn w:val="1"/>
    <w:next w:val="41"/>
    <w:qFormat/>
    <w:uiPriority w:val="34"/>
    <w:pPr>
      <w:widowControl/>
      <w:ind w:firstLine="420" w:firstLineChars="200"/>
      <w:jc w:val="left"/>
    </w:pPr>
    <w:rPr>
      <w:rFonts w:ascii="Times New Roman" w:hAnsi="Times New Roman"/>
      <w:kern w:val="0"/>
      <w:sz w:val="24"/>
    </w:rPr>
  </w:style>
  <w:style w:type="paragraph" w:customStyle="1" w:styleId="79">
    <w:name w:val=" Char Char"/>
    <w:basedOn w:val="1"/>
    <w:qFormat/>
    <w:uiPriority w:val="0"/>
    <w:rPr>
      <w:rFonts w:ascii="Tahoma" w:hAnsi="Tahoma"/>
      <w:sz w:val="24"/>
      <w:szCs w:val="20"/>
    </w:rPr>
  </w:style>
  <w:style w:type="paragraph" w:customStyle="1" w:styleId="80">
    <w:name w:val="编辑正文"/>
    <w:basedOn w:val="1"/>
    <w:qFormat/>
    <w:uiPriority w:val="0"/>
    <w:pPr>
      <w:adjustRightInd w:val="0"/>
      <w:snapToGrid w:val="0"/>
      <w:spacing w:before="62" w:beforeLines="20" w:line="360" w:lineRule="auto"/>
      <w:ind w:firstLine="480" w:firstLineChars="200"/>
    </w:pPr>
    <w:rPr>
      <w:rFonts w:ascii="Times New Roman" w:hAnsi="Times New Roman" w:eastAsia="宋体"/>
      <w:bCs/>
      <w:sz w:val="24"/>
    </w:rPr>
  </w:style>
  <w:style w:type="paragraph" w:customStyle="1" w:styleId="81">
    <w:name w:val="Table Paragraph"/>
    <w:basedOn w:val="1"/>
    <w:qFormat/>
    <w:uiPriority w:val="1"/>
  </w:style>
  <w:style w:type="character" w:customStyle="1" w:styleId="82">
    <w:name w:val="font11"/>
    <w:basedOn w:val="35"/>
    <w:qFormat/>
    <w:uiPriority w:val="0"/>
    <w:rPr>
      <w:rFonts w:hint="eastAsia" w:ascii="微软雅黑" w:hAnsi="微软雅黑" w:eastAsia="微软雅黑" w:cs="微软雅黑"/>
      <w:color w:val="000000"/>
      <w:sz w:val="24"/>
      <w:szCs w:val="24"/>
      <w:u w:val="none"/>
    </w:rPr>
  </w:style>
  <w:style w:type="character" w:customStyle="1" w:styleId="83">
    <w:name w:val="font21"/>
    <w:basedOn w:val="35"/>
    <w:qFormat/>
    <w:uiPriority w:val="0"/>
    <w:rPr>
      <w:rFonts w:hint="eastAsia" w:ascii="微软雅黑" w:hAnsi="微软雅黑" w:eastAsia="微软雅黑" w:cs="微软雅黑"/>
      <w:b/>
      <w:bCs/>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81</Pages>
  <Words>14547</Words>
  <Characters>15583</Characters>
  <Lines>286</Lines>
  <Paragraphs>80</Paragraphs>
  <TotalTime>18</TotalTime>
  <ScaleCrop>false</ScaleCrop>
  <LinksUpToDate>false</LinksUpToDate>
  <CharactersWithSpaces>16033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2021-06-02T12:18:00Z</dcterms:created>
  <dc:creator>USER-</dc:creator>
  <cp:lastModifiedBy>NTKO</cp:lastModifiedBy>
  <cp:lastPrinted>2021-06-02T12:39:00Z</cp:lastPrinted>
  <dcterms:modified xsi:type="dcterms:W3CDTF">2025-06-19T07:32:08Z</dcterms:modified>
  <dc:title>02年杜范本稿</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05EF82136BFB4E1993F01E29A300C263_13</vt:lpwstr>
  </property>
  <property fmtid="{D5CDD505-2E9C-101B-9397-08002B2CF9AE}" pid="4" name="KSOTemplateDocerSaveRecord">
    <vt:lpwstr>eyJoZGlkIjoiNDliMjc5NWMwYzQ4N2QyNmYwNTgzZmYzOWIxZDAwZDUifQ==</vt:lpwstr>
  </property>
</Properties>
</file>