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9EC01">
      <w:pPr>
        <w:spacing w:line="240" w:lineRule="atLeast"/>
        <w:ind w:left="1080" w:leftChars="257" w:hanging="540"/>
        <w:jc w:val="righ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本项目为</w:t>
      </w:r>
      <w:r>
        <w:rPr>
          <w:rFonts w:hint="eastAsia" w:ascii="宋体" w:hAnsi="宋体" w:eastAsia="宋体" w:cs="宋体"/>
          <w:b/>
          <w:color w:val="auto"/>
          <w:sz w:val="28"/>
          <w:szCs w:val="28"/>
          <w:highlight w:val="none"/>
        </w:rPr>
        <w:t>预采购项目有取消和终止的可能</w:t>
      </w:r>
    </w:p>
    <w:p w14:paraId="375DE927">
      <w:pPr>
        <w:pStyle w:val="46"/>
        <w:rPr>
          <w:rFonts w:hint="eastAsia" w:ascii="宋体" w:hAnsi="宋体" w:eastAsia="宋体" w:cs="宋体"/>
          <w:color w:val="auto"/>
          <w:highlight w:val="none"/>
        </w:rPr>
      </w:pPr>
    </w:p>
    <w:p w14:paraId="4CAC594A">
      <w:pPr>
        <w:spacing w:line="240" w:lineRule="atLeast"/>
        <w:ind w:left="1080" w:leftChars="257" w:hanging="540"/>
        <w:jc w:val="center"/>
        <w:rPr>
          <w:rFonts w:hint="eastAsia" w:ascii="宋体" w:hAnsi="宋体" w:eastAsia="宋体" w:cs="宋体"/>
          <w:b/>
          <w:color w:val="auto"/>
          <w:sz w:val="52"/>
          <w:szCs w:val="52"/>
          <w:highlight w:val="none"/>
        </w:rPr>
      </w:pPr>
    </w:p>
    <w:p w14:paraId="0355B1E8">
      <w:pPr>
        <w:spacing w:line="240" w:lineRule="atLeast"/>
        <w:ind w:left="1080" w:leftChars="257" w:hanging="540"/>
        <w:jc w:val="center"/>
        <w:rPr>
          <w:rFonts w:hint="eastAsia" w:ascii="宋体" w:hAnsi="宋体" w:eastAsia="宋体" w:cs="宋体"/>
          <w:b/>
          <w:color w:val="auto"/>
          <w:sz w:val="52"/>
          <w:szCs w:val="52"/>
          <w:highlight w:val="none"/>
        </w:rPr>
      </w:pPr>
    </w:p>
    <w:p w14:paraId="595E3069">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14:paraId="225F64BF">
      <w:pPr>
        <w:spacing w:line="240" w:lineRule="atLeast"/>
        <w:ind w:left="1080" w:leftChars="257" w:hanging="540"/>
        <w:jc w:val="center"/>
        <w:rPr>
          <w:rFonts w:hint="eastAsia" w:ascii="宋体" w:hAnsi="宋体" w:eastAsia="宋体" w:cs="宋体"/>
          <w:bCs/>
          <w:color w:val="auto"/>
          <w:sz w:val="32"/>
          <w:szCs w:val="32"/>
          <w:highlight w:val="none"/>
        </w:rPr>
      </w:pPr>
    </w:p>
    <w:p w14:paraId="40FFE34B">
      <w:pPr>
        <w:spacing w:line="240" w:lineRule="atLeast"/>
        <w:ind w:left="1080" w:leftChars="257" w:hanging="540"/>
        <w:jc w:val="center"/>
        <w:rPr>
          <w:rFonts w:hint="eastAsia" w:ascii="宋体" w:hAnsi="宋体" w:eastAsia="宋体" w:cs="宋体"/>
          <w:b/>
          <w:color w:val="auto"/>
          <w:sz w:val="32"/>
          <w:szCs w:val="32"/>
          <w:highlight w:val="none"/>
        </w:rPr>
      </w:pPr>
    </w:p>
    <w:p w14:paraId="152477A3">
      <w:pPr>
        <w:spacing w:line="240" w:lineRule="atLeast"/>
        <w:ind w:left="1080" w:leftChars="257" w:hanging="540"/>
        <w:rPr>
          <w:rFonts w:hint="eastAsia" w:ascii="宋体" w:hAnsi="宋体" w:eastAsia="宋体" w:cs="宋体"/>
          <w:b/>
          <w:color w:val="auto"/>
          <w:sz w:val="28"/>
          <w:highlight w:val="none"/>
        </w:rPr>
      </w:pPr>
    </w:p>
    <w:p w14:paraId="65808FC6">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第一册</w:t>
      </w:r>
    </w:p>
    <w:p w14:paraId="0A6F6846">
      <w:pPr>
        <w:spacing w:line="240" w:lineRule="atLeast"/>
        <w:ind w:left="1080" w:leftChars="257" w:hanging="540"/>
        <w:jc w:val="center"/>
        <w:rPr>
          <w:rFonts w:hint="eastAsia" w:ascii="宋体" w:hAnsi="宋体" w:eastAsia="宋体" w:cs="宋体"/>
          <w:b/>
          <w:color w:val="auto"/>
          <w:sz w:val="52"/>
          <w:highlight w:val="none"/>
        </w:rPr>
      </w:pPr>
    </w:p>
    <w:p w14:paraId="329CC7B6">
      <w:pPr>
        <w:spacing w:line="360" w:lineRule="auto"/>
        <w:ind w:left="646" w:leftChars="200" w:hanging="226" w:hangingChars="75"/>
        <w:jc w:val="left"/>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SDGP370000000202402006789</w:t>
      </w:r>
    </w:p>
    <w:p w14:paraId="4345062A">
      <w:pPr>
        <w:spacing w:line="360" w:lineRule="auto"/>
        <w:ind w:left="1794" w:leftChars="200" w:hanging="1374" w:hangingChars="475"/>
        <w:jc w:val="left"/>
        <w:rPr>
          <w:rFonts w:hint="eastAsia" w:ascii="宋体" w:hAnsi="宋体" w:eastAsia="宋体" w:cs="宋体"/>
          <w:b/>
          <w:color w:val="auto"/>
          <w:spacing w:val="-11"/>
          <w:sz w:val="30"/>
          <w:szCs w:val="30"/>
          <w:highlight w:val="none"/>
          <w:u w:val="single"/>
          <w:lang w:eastAsia="zh-CN"/>
        </w:rPr>
      </w:pPr>
      <w:r>
        <w:rPr>
          <w:rFonts w:hint="eastAsia" w:ascii="宋体" w:hAnsi="宋体" w:eastAsia="宋体" w:cs="宋体"/>
          <w:b/>
          <w:color w:val="auto"/>
          <w:spacing w:val="-6"/>
          <w:sz w:val="30"/>
          <w:szCs w:val="30"/>
          <w:highlight w:val="none"/>
        </w:rPr>
        <w:t>项目名称</w:t>
      </w:r>
      <w:r>
        <w:rPr>
          <w:rFonts w:hint="eastAsia" w:ascii="宋体" w:hAnsi="宋体" w:eastAsia="宋体" w:cs="宋体"/>
          <w:b/>
          <w:color w:val="auto"/>
          <w:spacing w:val="-6"/>
          <w:sz w:val="30"/>
          <w:szCs w:val="30"/>
          <w:highlight w:val="none"/>
          <w:lang w:eastAsia="zh-CN"/>
        </w:rPr>
        <w:t>：</w:t>
      </w:r>
      <w:r>
        <w:rPr>
          <w:rFonts w:hint="eastAsia" w:ascii="宋体" w:hAnsi="宋体" w:cs="宋体"/>
          <w:b/>
          <w:color w:val="auto"/>
          <w:spacing w:val="-11"/>
          <w:sz w:val="30"/>
          <w:szCs w:val="30"/>
          <w:highlight w:val="none"/>
          <w:lang w:eastAsia="zh-CN"/>
        </w:rPr>
        <w:t>临沂大学2024年国际生物资源应用学院致远3号楼教室、休息室设备购置</w:t>
      </w:r>
      <w:r>
        <w:rPr>
          <w:rFonts w:hint="eastAsia" w:ascii="宋体" w:hAnsi="宋体" w:cs="宋体"/>
          <w:b/>
          <w:color w:val="auto"/>
          <w:spacing w:val="-11"/>
          <w:sz w:val="30"/>
          <w:szCs w:val="30"/>
          <w:highlight w:val="none"/>
          <w:lang w:val="en-US" w:eastAsia="zh-CN"/>
        </w:rPr>
        <w:t>预采购</w:t>
      </w:r>
      <w:r>
        <w:rPr>
          <w:rFonts w:hint="eastAsia" w:ascii="宋体" w:hAnsi="宋体" w:cs="宋体"/>
          <w:b/>
          <w:color w:val="auto"/>
          <w:spacing w:val="-11"/>
          <w:sz w:val="30"/>
          <w:szCs w:val="30"/>
          <w:highlight w:val="none"/>
          <w:lang w:eastAsia="zh-CN"/>
        </w:rPr>
        <w:t>项目</w:t>
      </w:r>
    </w:p>
    <w:p w14:paraId="3B79C90C">
      <w:pPr>
        <w:tabs>
          <w:tab w:val="left" w:pos="6156"/>
        </w:tabs>
        <w:spacing w:line="240" w:lineRule="atLeast"/>
        <w:ind w:left="1080" w:leftChars="257" w:hanging="540"/>
        <w:jc w:val="left"/>
        <w:rPr>
          <w:rFonts w:hint="eastAsia" w:ascii="宋体" w:hAnsi="宋体" w:eastAsia="宋体" w:cs="宋体"/>
          <w:b/>
          <w:color w:val="auto"/>
          <w:sz w:val="52"/>
          <w:highlight w:val="none"/>
        </w:rPr>
      </w:pPr>
      <w:r>
        <w:rPr>
          <w:rFonts w:hint="eastAsia" w:ascii="宋体" w:hAnsi="宋体" w:eastAsia="宋体" w:cs="宋体"/>
          <w:b/>
          <w:color w:val="auto"/>
          <w:sz w:val="52"/>
          <w:highlight w:val="none"/>
        </w:rPr>
        <w:tab/>
      </w:r>
    </w:p>
    <w:p w14:paraId="2B41B1DC">
      <w:pPr>
        <w:spacing w:line="240" w:lineRule="atLeast"/>
        <w:ind w:left="1080" w:leftChars="257" w:hanging="540"/>
        <w:jc w:val="center"/>
        <w:rPr>
          <w:rFonts w:hint="eastAsia" w:ascii="宋体" w:hAnsi="宋体" w:eastAsia="宋体" w:cs="宋体"/>
          <w:b/>
          <w:color w:val="auto"/>
          <w:sz w:val="52"/>
          <w:highlight w:val="none"/>
        </w:rPr>
      </w:pPr>
    </w:p>
    <w:p w14:paraId="144BCFDC">
      <w:pPr>
        <w:spacing w:line="240" w:lineRule="atLeast"/>
        <w:ind w:left="1080" w:leftChars="257" w:hanging="540"/>
        <w:jc w:val="center"/>
        <w:rPr>
          <w:rFonts w:hint="eastAsia" w:ascii="宋体" w:hAnsi="宋体" w:eastAsia="宋体" w:cs="宋体"/>
          <w:b/>
          <w:color w:val="auto"/>
          <w:sz w:val="52"/>
          <w:highlight w:val="none"/>
        </w:rPr>
      </w:pPr>
    </w:p>
    <w:p w14:paraId="24A399FC">
      <w:pPr>
        <w:spacing w:line="240" w:lineRule="atLeast"/>
        <w:ind w:left="1080" w:leftChars="257" w:hanging="540"/>
        <w:jc w:val="center"/>
        <w:rPr>
          <w:rFonts w:hint="eastAsia" w:ascii="宋体" w:hAnsi="宋体" w:eastAsia="宋体" w:cs="宋体"/>
          <w:b/>
          <w:color w:val="auto"/>
          <w:sz w:val="52"/>
          <w:highlight w:val="none"/>
        </w:rPr>
      </w:pPr>
    </w:p>
    <w:p w14:paraId="5D047F39">
      <w:pPr>
        <w:spacing w:line="240" w:lineRule="atLeast"/>
        <w:ind w:left="1080" w:leftChars="257" w:hanging="540"/>
        <w:jc w:val="center"/>
        <w:rPr>
          <w:rFonts w:hint="eastAsia" w:ascii="宋体" w:hAnsi="宋体" w:eastAsia="宋体" w:cs="宋体"/>
          <w:b/>
          <w:color w:val="auto"/>
          <w:sz w:val="52"/>
          <w:highlight w:val="none"/>
        </w:rPr>
      </w:pPr>
    </w:p>
    <w:p w14:paraId="02FC6FC9">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   购   人: 临沂大学</w:t>
      </w:r>
    </w:p>
    <w:p w14:paraId="2BCF43EF">
      <w:pPr>
        <w:spacing w:line="360" w:lineRule="auto"/>
        <w:ind w:left="645" w:leftChars="307"/>
        <w:jc w:val="both"/>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采购代理机构：临沂市沂蒙国际招标有限公司</w:t>
      </w:r>
    </w:p>
    <w:p w14:paraId="0725E47C">
      <w:pPr>
        <w:spacing w:line="240" w:lineRule="atLeast"/>
        <w:ind w:left="1080" w:leftChars="257" w:hanging="540"/>
        <w:rPr>
          <w:rFonts w:hint="eastAsia" w:ascii="宋体" w:hAnsi="宋体" w:eastAsia="宋体" w:cs="宋体"/>
          <w:b/>
          <w:color w:val="auto"/>
          <w:szCs w:val="21"/>
          <w:highlight w:val="none"/>
        </w:rPr>
      </w:pPr>
    </w:p>
    <w:p w14:paraId="2405BCF0">
      <w:pPr>
        <w:spacing w:line="240" w:lineRule="atLeast"/>
        <w:ind w:left="1080" w:leftChars="257" w:hanging="540"/>
        <w:rPr>
          <w:rFonts w:hint="eastAsia" w:ascii="宋体" w:hAnsi="宋体" w:eastAsia="宋体" w:cs="宋体"/>
          <w:b/>
          <w:color w:val="auto"/>
          <w:szCs w:val="21"/>
          <w:highlight w:val="none"/>
        </w:rPr>
      </w:pPr>
    </w:p>
    <w:p w14:paraId="736603AF">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二〇二四年八月二十七日</w:t>
      </w:r>
    </w:p>
    <w:p w14:paraId="7C1F57DE">
      <w:pPr>
        <w:pStyle w:val="46"/>
        <w:ind w:left="0" w:firstLine="0"/>
        <w:jc w:val="center"/>
        <w:rPr>
          <w:rFonts w:hint="eastAsia" w:ascii="宋体" w:hAnsi="宋体" w:eastAsia="宋体" w:cs="宋体"/>
          <w:b/>
          <w:bCs/>
          <w:color w:val="auto"/>
          <w:sz w:val="40"/>
          <w:szCs w:val="40"/>
          <w:highlight w:val="none"/>
        </w:rPr>
      </w:pPr>
      <w:r>
        <w:rPr>
          <w:rFonts w:hint="eastAsia" w:ascii="宋体" w:hAnsi="宋体" w:eastAsia="宋体" w:cs="宋体"/>
          <w:b/>
          <w:color w:val="auto"/>
          <w:sz w:val="52"/>
          <w:highlight w:val="none"/>
        </w:rPr>
        <w:br w:type="page"/>
      </w:r>
      <w:r>
        <w:rPr>
          <w:rFonts w:hint="eastAsia" w:ascii="宋体" w:hAnsi="宋体" w:eastAsia="宋体" w:cs="宋体"/>
          <w:b/>
          <w:color w:val="auto"/>
          <w:sz w:val="32"/>
          <w:highlight w:val="none"/>
        </w:rPr>
        <w:t>临沂大学特别公告</w:t>
      </w:r>
    </w:p>
    <w:p w14:paraId="69F6BEE4">
      <w:pPr>
        <w:pStyle w:val="46"/>
        <w:tabs>
          <w:tab w:val="left" w:pos="840"/>
        </w:tabs>
        <w:spacing w:line="480" w:lineRule="exact"/>
        <w:ind w:left="0" w:firstLine="0"/>
        <w:rPr>
          <w:rFonts w:hint="eastAsia" w:ascii="宋体" w:hAnsi="宋体" w:eastAsia="宋体" w:cs="宋体"/>
          <w:color w:val="auto"/>
          <w:sz w:val="28"/>
          <w:szCs w:val="28"/>
          <w:highlight w:val="none"/>
        </w:rPr>
      </w:pPr>
    </w:p>
    <w:p w14:paraId="5BD7C726">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各供应商： </w:t>
      </w:r>
    </w:p>
    <w:p w14:paraId="5713B5BA">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热忱欢迎大家投标竞标，响应</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招标项目！</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承诺该项目在公正公开的原则下公平竞争，客观评审。 </w:t>
      </w:r>
    </w:p>
    <w:p w14:paraId="796C9FF8">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本采购文件已经多位专家审核修订，若仍存在涉及指向性、排他性参数指标，请及时与代理机构或</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采购部门反映。</w:t>
      </w:r>
    </w:p>
    <w:p w14:paraId="487A2508">
      <w:pPr>
        <w:pStyle w:val="46"/>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所有项目严格执行“回避”制度，对可能影响评标结果的潜在因素及人员关系（含代理机构、评标专家、工作人员、其他类人员等），请及时与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采购科反映（临沂大学采购科 蔺老师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w:t>
      </w:r>
    </w:p>
    <w:p w14:paraId="11505FA7">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若报名过程中存在差别性待遇或排他性暗示，请做好取证。及时与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纪委联系（0539-7258030）进行举报查处。 </w:t>
      </w:r>
    </w:p>
    <w:p w14:paraId="47792B99">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临沂大学采购部门联系方式： </w:t>
      </w:r>
    </w:p>
    <w:p w14:paraId="18BF8097">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邮箱：lyuzbb@126.com </w:t>
      </w:r>
    </w:p>
    <w:p w14:paraId="406B7230">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p>
    <w:p w14:paraId="75370704">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打造风清气正的招投标环境，让我们一起努力…</w:t>
      </w:r>
    </w:p>
    <w:p w14:paraId="46BC5E8C">
      <w:pPr>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30DBD062">
      <w:pPr>
        <w:pStyle w:val="46"/>
        <w:ind w:left="0"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附表：</w:t>
      </w:r>
    </w:p>
    <w:p w14:paraId="21DD25D8">
      <w:pPr>
        <w:pStyle w:val="46"/>
        <w:ind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致各报名供应商，如发现采购文件存在不合理问题，请填写该表。</w:t>
      </w:r>
    </w:p>
    <w:p w14:paraId="5BAB6A36">
      <w:pPr>
        <w:pStyle w:val="46"/>
        <w:ind w:firstLine="0"/>
        <w:jc w:val="center"/>
        <w:rPr>
          <w:rFonts w:hint="eastAsia" w:ascii="宋体" w:hAnsi="宋体" w:eastAsia="宋体" w:cs="宋体"/>
          <w:b/>
          <w:bCs/>
          <w:color w:val="auto"/>
          <w:sz w:val="32"/>
          <w:szCs w:val="32"/>
          <w:highlight w:val="none"/>
        </w:rPr>
      </w:pPr>
    </w:p>
    <w:p w14:paraId="6A59BB62">
      <w:pPr>
        <w:pStyle w:val="46"/>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本项目采购文件存在不合理性问题反馈单</w:t>
      </w:r>
    </w:p>
    <w:p w14:paraId="20C01135">
      <w:pPr>
        <w:pStyle w:val="46"/>
        <w:ind w:firstLine="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（已报名供应商使用）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15C53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0CD59945">
            <w:pPr>
              <w:pStyle w:val="46"/>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2031" w:type="dxa"/>
            <w:noWrap w:val="0"/>
            <w:vAlign w:val="center"/>
          </w:tcPr>
          <w:p w14:paraId="1E41ED41">
            <w:pPr>
              <w:pStyle w:val="46"/>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服务</w:t>
            </w:r>
            <w:r>
              <w:rPr>
                <w:rFonts w:hint="eastAsia" w:ascii="宋体" w:hAnsi="宋体" w:eastAsia="宋体" w:cs="宋体"/>
                <w:b/>
                <w:bCs/>
                <w:color w:val="auto"/>
                <w:sz w:val="24"/>
                <w:highlight w:val="none"/>
              </w:rPr>
              <w:t>名称</w:t>
            </w:r>
          </w:p>
        </w:tc>
        <w:tc>
          <w:tcPr>
            <w:tcW w:w="3448" w:type="dxa"/>
            <w:noWrap w:val="0"/>
            <w:vAlign w:val="center"/>
          </w:tcPr>
          <w:p w14:paraId="2551884B">
            <w:pPr>
              <w:pStyle w:val="46"/>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相关参数</w:t>
            </w:r>
          </w:p>
        </w:tc>
        <w:tc>
          <w:tcPr>
            <w:tcW w:w="2992" w:type="dxa"/>
            <w:noWrap w:val="0"/>
            <w:vAlign w:val="center"/>
          </w:tcPr>
          <w:p w14:paraId="3E987450">
            <w:pPr>
              <w:pStyle w:val="46"/>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存在问题说明</w:t>
            </w:r>
          </w:p>
        </w:tc>
      </w:tr>
      <w:tr w14:paraId="4037A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137A6E43">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1</w:t>
            </w:r>
          </w:p>
        </w:tc>
        <w:tc>
          <w:tcPr>
            <w:tcW w:w="2031" w:type="dxa"/>
            <w:noWrap w:val="0"/>
            <w:vAlign w:val="center"/>
          </w:tcPr>
          <w:p w14:paraId="3DF399F9">
            <w:pPr>
              <w:pStyle w:val="46"/>
              <w:ind w:left="0" w:leftChars="0" w:firstLine="0" w:firstLineChars="0"/>
              <w:rPr>
                <w:rFonts w:hint="eastAsia" w:ascii="宋体" w:hAnsi="宋体" w:eastAsia="宋体" w:cs="宋体"/>
                <w:b/>
                <w:bCs/>
                <w:color w:val="auto"/>
                <w:sz w:val="32"/>
                <w:szCs w:val="32"/>
                <w:highlight w:val="none"/>
              </w:rPr>
            </w:pPr>
          </w:p>
          <w:p w14:paraId="5EEA6C61">
            <w:pPr>
              <w:pStyle w:val="46"/>
              <w:ind w:left="0" w:leftChars="0" w:firstLine="0" w:firstLineChars="0"/>
              <w:rPr>
                <w:rFonts w:hint="eastAsia" w:ascii="宋体" w:hAnsi="宋体" w:eastAsia="宋体" w:cs="宋体"/>
                <w:b/>
                <w:bCs/>
                <w:color w:val="auto"/>
                <w:sz w:val="32"/>
                <w:szCs w:val="32"/>
                <w:highlight w:val="none"/>
              </w:rPr>
            </w:pPr>
          </w:p>
          <w:p w14:paraId="2D284D4E">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632AE2B5">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42A6351B">
            <w:pPr>
              <w:pStyle w:val="46"/>
              <w:ind w:left="0" w:leftChars="0" w:firstLine="0" w:firstLineChars="0"/>
              <w:rPr>
                <w:rFonts w:hint="eastAsia" w:ascii="宋体" w:hAnsi="宋体" w:eastAsia="宋体" w:cs="宋体"/>
                <w:b/>
                <w:bCs/>
                <w:color w:val="auto"/>
                <w:sz w:val="32"/>
                <w:szCs w:val="32"/>
                <w:highlight w:val="none"/>
              </w:rPr>
            </w:pPr>
          </w:p>
        </w:tc>
      </w:tr>
      <w:tr w14:paraId="6F9EE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3B94C1FA">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w:t>
            </w:r>
          </w:p>
        </w:tc>
        <w:tc>
          <w:tcPr>
            <w:tcW w:w="2031" w:type="dxa"/>
            <w:noWrap w:val="0"/>
            <w:vAlign w:val="center"/>
          </w:tcPr>
          <w:p w14:paraId="533749F8">
            <w:pPr>
              <w:pStyle w:val="46"/>
              <w:ind w:left="0" w:leftChars="0" w:firstLine="0" w:firstLineChars="0"/>
              <w:rPr>
                <w:rFonts w:hint="eastAsia" w:ascii="宋体" w:hAnsi="宋体" w:eastAsia="宋体" w:cs="宋体"/>
                <w:b/>
                <w:bCs/>
                <w:color w:val="auto"/>
                <w:sz w:val="32"/>
                <w:szCs w:val="32"/>
                <w:highlight w:val="none"/>
              </w:rPr>
            </w:pPr>
          </w:p>
          <w:p w14:paraId="5CE72DC3">
            <w:pPr>
              <w:pStyle w:val="46"/>
              <w:ind w:left="0" w:leftChars="0" w:firstLine="0" w:firstLineChars="0"/>
              <w:rPr>
                <w:rFonts w:hint="eastAsia" w:ascii="宋体" w:hAnsi="宋体" w:eastAsia="宋体" w:cs="宋体"/>
                <w:b/>
                <w:bCs/>
                <w:color w:val="auto"/>
                <w:sz w:val="32"/>
                <w:szCs w:val="32"/>
                <w:highlight w:val="none"/>
              </w:rPr>
            </w:pPr>
          </w:p>
          <w:p w14:paraId="7AF4F4F0">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39B01ADA">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53576417">
            <w:pPr>
              <w:pStyle w:val="46"/>
              <w:ind w:left="0" w:leftChars="0" w:firstLine="0" w:firstLineChars="0"/>
              <w:rPr>
                <w:rFonts w:hint="eastAsia" w:ascii="宋体" w:hAnsi="宋体" w:eastAsia="宋体" w:cs="宋体"/>
                <w:b/>
                <w:bCs/>
                <w:color w:val="auto"/>
                <w:sz w:val="32"/>
                <w:szCs w:val="32"/>
                <w:highlight w:val="none"/>
              </w:rPr>
            </w:pPr>
          </w:p>
        </w:tc>
      </w:tr>
      <w:tr w14:paraId="253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3433B8C8">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3</w:t>
            </w:r>
          </w:p>
        </w:tc>
        <w:tc>
          <w:tcPr>
            <w:tcW w:w="2031" w:type="dxa"/>
            <w:noWrap w:val="0"/>
            <w:vAlign w:val="center"/>
          </w:tcPr>
          <w:p w14:paraId="6AC00173">
            <w:pPr>
              <w:pStyle w:val="46"/>
              <w:ind w:left="0" w:leftChars="0" w:firstLine="0" w:firstLineChars="0"/>
              <w:rPr>
                <w:rFonts w:hint="eastAsia" w:ascii="宋体" w:hAnsi="宋体" w:eastAsia="宋体" w:cs="宋体"/>
                <w:b/>
                <w:bCs/>
                <w:color w:val="auto"/>
                <w:sz w:val="32"/>
                <w:szCs w:val="32"/>
                <w:highlight w:val="none"/>
              </w:rPr>
            </w:pPr>
          </w:p>
          <w:p w14:paraId="0F712EFB">
            <w:pPr>
              <w:pStyle w:val="46"/>
              <w:ind w:left="0" w:leftChars="0" w:firstLine="0" w:firstLineChars="0"/>
              <w:rPr>
                <w:rFonts w:hint="eastAsia" w:ascii="宋体" w:hAnsi="宋体" w:eastAsia="宋体" w:cs="宋体"/>
                <w:b/>
                <w:bCs/>
                <w:color w:val="auto"/>
                <w:sz w:val="32"/>
                <w:szCs w:val="32"/>
                <w:highlight w:val="none"/>
              </w:rPr>
            </w:pPr>
          </w:p>
          <w:p w14:paraId="036F8836">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56778AD6">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772D1D8C">
            <w:pPr>
              <w:pStyle w:val="46"/>
              <w:ind w:left="0" w:leftChars="0" w:firstLine="0" w:firstLineChars="0"/>
              <w:rPr>
                <w:rFonts w:hint="eastAsia" w:ascii="宋体" w:hAnsi="宋体" w:eastAsia="宋体" w:cs="宋体"/>
                <w:b/>
                <w:bCs/>
                <w:color w:val="auto"/>
                <w:sz w:val="32"/>
                <w:szCs w:val="32"/>
                <w:highlight w:val="none"/>
              </w:rPr>
            </w:pPr>
          </w:p>
        </w:tc>
      </w:tr>
      <w:tr w14:paraId="5F1B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67BF4ACE">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其他问题</w:t>
            </w:r>
          </w:p>
        </w:tc>
        <w:tc>
          <w:tcPr>
            <w:tcW w:w="8471" w:type="dxa"/>
            <w:gridSpan w:val="3"/>
            <w:noWrap w:val="0"/>
            <w:vAlign w:val="center"/>
          </w:tcPr>
          <w:p w14:paraId="68431C57">
            <w:pPr>
              <w:pStyle w:val="46"/>
              <w:ind w:left="0" w:leftChars="0" w:firstLine="0" w:firstLineChars="0"/>
              <w:jc w:val="center"/>
              <w:rPr>
                <w:rFonts w:hint="eastAsia" w:ascii="宋体" w:hAnsi="宋体" w:eastAsia="宋体" w:cs="宋体"/>
                <w:b/>
                <w:bCs/>
                <w:color w:val="auto"/>
                <w:sz w:val="32"/>
                <w:szCs w:val="32"/>
                <w:highlight w:val="none"/>
              </w:rPr>
            </w:pPr>
          </w:p>
          <w:p w14:paraId="4D6821BE">
            <w:pPr>
              <w:pStyle w:val="46"/>
              <w:ind w:left="0" w:leftChars="0" w:firstLine="0" w:firstLineChars="0"/>
              <w:jc w:val="center"/>
              <w:rPr>
                <w:rFonts w:hint="eastAsia" w:ascii="宋体" w:hAnsi="宋体" w:eastAsia="宋体" w:cs="宋体"/>
                <w:b/>
                <w:bCs/>
                <w:color w:val="auto"/>
                <w:sz w:val="32"/>
                <w:szCs w:val="32"/>
                <w:highlight w:val="none"/>
              </w:rPr>
            </w:pPr>
          </w:p>
          <w:p w14:paraId="5836CCF3">
            <w:pPr>
              <w:pStyle w:val="46"/>
              <w:ind w:left="0" w:leftChars="0" w:firstLine="0" w:firstLineChars="0"/>
              <w:jc w:val="center"/>
              <w:rPr>
                <w:rFonts w:hint="eastAsia" w:ascii="宋体" w:hAnsi="宋体" w:eastAsia="宋体" w:cs="宋体"/>
                <w:b/>
                <w:bCs/>
                <w:color w:val="auto"/>
                <w:sz w:val="32"/>
                <w:szCs w:val="32"/>
                <w:highlight w:val="none"/>
              </w:rPr>
            </w:pPr>
          </w:p>
          <w:p w14:paraId="48A54CD6">
            <w:pPr>
              <w:pStyle w:val="46"/>
              <w:ind w:left="0" w:leftChars="0" w:firstLine="0" w:firstLineChars="0"/>
              <w:jc w:val="center"/>
              <w:rPr>
                <w:rFonts w:hint="eastAsia" w:ascii="宋体" w:hAnsi="宋体" w:eastAsia="宋体" w:cs="宋体"/>
                <w:b/>
                <w:bCs/>
                <w:color w:val="auto"/>
                <w:sz w:val="32"/>
                <w:szCs w:val="32"/>
                <w:highlight w:val="none"/>
              </w:rPr>
            </w:pPr>
          </w:p>
          <w:p w14:paraId="2E84AE67">
            <w:pPr>
              <w:pStyle w:val="46"/>
              <w:ind w:left="0" w:leftChars="0" w:firstLine="0" w:firstLineChars="0"/>
              <w:jc w:val="center"/>
              <w:rPr>
                <w:rFonts w:hint="eastAsia" w:ascii="宋体" w:hAnsi="宋体" w:eastAsia="宋体" w:cs="宋体"/>
                <w:b/>
                <w:bCs/>
                <w:color w:val="auto"/>
                <w:sz w:val="32"/>
                <w:szCs w:val="32"/>
                <w:highlight w:val="none"/>
              </w:rPr>
            </w:pPr>
          </w:p>
          <w:p w14:paraId="05E1F91B">
            <w:pPr>
              <w:pStyle w:val="46"/>
              <w:ind w:left="0" w:leftChars="0" w:firstLine="0" w:firstLineChars="0"/>
              <w:jc w:val="center"/>
              <w:rPr>
                <w:rFonts w:hint="eastAsia" w:ascii="宋体" w:hAnsi="宋体" w:eastAsia="宋体" w:cs="宋体"/>
                <w:b/>
                <w:bCs/>
                <w:color w:val="auto"/>
                <w:sz w:val="32"/>
                <w:szCs w:val="32"/>
                <w:highlight w:val="none"/>
              </w:rPr>
            </w:pPr>
          </w:p>
          <w:p w14:paraId="6FDB4E34">
            <w:pPr>
              <w:pStyle w:val="46"/>
              <w:ind w:left="0" w:leftChars="0" w:firstLine="0" w:firstLineChars="0"/>
              <w:jc w:val="center"/>
              <w:rPr>
                <w:rFonts w:hint="eastAsia" w:ascii="宋体" w:hAnsi="宋体" w:eastAsia="宋体" w:cs="宋体"/>
                <w:b/>
                <w:bCs/>
                <w:color w:val="auto"/>
                <w:sz w:val="32"/>
                <w:szCs w:val="32"/>
                <w:highlight w:val="none"/>
              </w:rPr>
            </w:pPr>
          </w:p>
          <w:p w14:paraId="1E7E5354">
            <w:pPr>
              <w:pStyle w:val="46"/>
              <w:ind w:left="0" w:leftChars="0" w:firstLine="0" w:firstLineChars="0"/>
              <w:jc w:val="center"/>
              <w:rPr>
                <w:rFonts w:hint="eastAsia" w:ascii="宋体" w:hAnsi="宋体" w:eastAsia="宋体" w:cs="宋体"/>
                <w:b/>
                <w:bCs/>
                <w:color w:val="auto"/>
                <w:sz w:val="32"/>
                <w:szCs w:val="32"/>
                <w:highlight w:val="none"/>
              </w:rPr>
            </w:pPr>
          </w:p>
          <w:p w14:paraId="5A39EDBF">
            <w:pPr>
              <w:pStyle w:val="46"/>
              <w:ind w:left="0" w:leftChars="0" w:firstLine="0" w:firstLineChars="0"/>
              <w:jc w:val="center"/>
              <w:rPr>
                <w:rFonts w:hint="eastAsia" w:ascii="宋体" w:hAnsi="宋体" w:eastAsia="宋体" w:cs="宋体"/>
                <w:b/>
                <w:bCs/>
                <w:color w:val="auto"/>
                <w:sz w:val="32"/>
                <w:szCs w:val="32"/>
                <w:highlight w:val="none"/>
              </w:rPr>
            </w:pPr>
          </w:p>
        </w:tc>
      </w:tr>
    </w:tbl>
    <w:p w14:paraId="2192EE8A">
      <w:pPr>
        <w:pStyle w:val="46"/>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说明：</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"mailto:本表填写并盖章后，请发至邮箱lyuzbb@126.com。" </w:instrText>
      </w:r>
      <w:r>
        <w:rPr>
          <w:rFonts w:hint="eastAsia" w:ascii="宋体" w:hAnsi="宋体" w:eastAsia="宋体" w:cs="宋体"/>
          <w:b/>
          <w:bCs/>
          <w:color w:val="auto"/>
          <w:sz w:val="24"/>
          <w:highlight w:val="none"/>
        </w:rPr>
        <w:fldChar w:fldCharType="separate"/>
      </w:r>
      <w:r>
        <w:rPr>
          <w:rStyle w:val="35"/>
          <w:rFonts w:hint="eastAsia" w:ascii="宋体" w:hAnsi="宋体" w:eastAsia="宋体" w:cs="宋体"/>
          <w:b/>
          <w:bCs/>
          <w:color w:val="auto"/>
          <w:sz w:val="24"/>
          <w:highlight w:val="none"/>
        </w:rPr>
        <w:t>本表填写并盖章后，请发至邮箱lyuzbb@126.com。</w:t>
      </w:r>
      <w:r>
        <w:rPr>
          <w:rFonts w:hint="eastAsia" w:ascii="宋体" w:hAnsi="宋体" w:eastAsia="宋体" w:cs="宋体"/>
          <w:b/>
          <w:bCs/>
          <w:color w:val="auto"/>
          <w:sz w:val="24"/>
          <w:highlight w:val="none"/>
        </w:rPr>
        <w:fldChar w:fldCharType="end"/>
      </w:r>
      <w:r>
        <w:rPr>
          <w:rFonts w:hint="eastAsia" w:ascii="宋体" w:hAnsi="宋体" w:eastAsia="宋体" w:cs="宋体"/>
          <w:b/>
          <w:bCs/>
          <w:color w:val="auto"/>
          <w:sz w:val="24"/>
          <w:highlight w:val="none"/>
        </w:rPr>
        <w:t xml:space="preserve"> 并致电临沂大学采购科 蔺老师 0539-7258756。</w:t>
      </w:r>
    </w:p>
    <w:p w14:paraId="463BEC47">
      <w:pPr>
        <w:pStyle w:val="46"/>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非常感谢您的反馈问题！</w:t>
      </w:r>
    </w:p>
    <w:p w14:paraId="05BD3513">
      <w:pPr>
        <w:pStyle w:val="46"/>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单位名称（盖章）：</w:t>
      </w:r>
    </w:p>
    <w:p w14:paraId="7AAB8BA5">
      <w:pPr>
        <w:pStyle w:val="46"/>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联系人：        电话：</w:t>
      </w:r>
    </w:p>
    <w:p w14:paraId="035D7C25">
      <w:pPr>
        <w:rPr>
          <w:rFonts w:hint="eastAsia" w:ascii="宋体" w:hAnsi="宋体" w:eastAsia="宋体" w:cs="宋体"/>
          <w:b/>
          <w:color w:val="auto"/>
          <w:sz w:val="32"/>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
          <w:bCs/>
          <w:color w:val="auto"/>
          <w:sz w:val="24"/>
          <w:highlight w:val="none"/>
        </w:rPr>
        <w:t xml:space="preserve">                                   年   月   日          </w:t>
      </w:r>
    </w:p>
    <w:p w14:paraId="6EE869A7">
      <w:pPr>
        <w:jc w:val="center"/>
        <w:rPr>
          <w:rFonts w:hint="eastAsia" w:ascii="宋体" w:hAnsi="宋体" w:eastAsia="宋体" w:cs="宋体"/>
          <w:b/>
          <w:color w:val="auto"/>
          <w:sz w:val="32"/>
          <w:highlight w:val="none"/>
        </w:rPr>
      </w:pPr>
    </w:p>
    <w:p w14:paraId="1FA43856">
      <w:pPr>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目  录</w:t>
      </w:r>
    </w:p>
    <w:p w14:paraId="29C42BF9">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bookmarkStart w:id="0" w:name="_Toc216582804"/>
      <w:bookmarkStart w:id="1" w:name="_Toc17230"/>
      <w:bookmarkStart w:id="2" w:name="_Toc22782"/>
    </w:p>
    <w:p w14:paraId="018B30EB">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TOC \o "1-2" \h \z \u</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_Toc29532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lang w:val="en-US"/>
        </w:rPr>
        <w:t xml:space="preserve">第1章 </w:t>
      </w:r>
      <w:r>
        <w:rPr>
          <w:rFonts w:hint="eastAsia" w:ascii="宋体" w:hAnsi="宋体" w:eastAsia="宋体" w:cs="宋体"/>
          <w:color w:val="auto"/>
          <w:sz w:val="24"/>
          <w:szCs w:val="24"/>
          <w:highlight w:val="none"/>
        </w:rPr>
        <w:t>供应商须知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_Toc29532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3F440196">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_Toc13427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总 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_Toc13427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E7C4426">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_Toc32134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竞争性磋商文件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_Toc32134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460D8AB3">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_Toc2484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响应文件的编制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_Toc2484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24B6D2EC">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_Toc18853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响应文件的递交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_Toc18853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9C059EE">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_Toc19536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提交响应文件截止及磋商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_Toc19536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105B361C">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_Toc27908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确定成交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_Toc27908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2521C73F">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第2章 采购邀请</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_Toc57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429FB60F">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_Toc22616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第3章 供应商须知资料表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_Toc22616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6D3C0342">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_Toc1457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第4章 采购需求一览表及技术规格</w:t>
      </w:r>
      <w:r>
        <w:rPr>
          <w:rFonts w:hint="eastAsia" w:ascii="宋体" w:hAnsi="宋体" w:eastAsia="宋体" w:cs="宋体"/>
          <w:color w:val="auto"/>
          <w:sz w:val="24"/>
          <w:szCs w:val="24"/>
          <w:highlight w:val="none"/>
        </w:rPr>
        <w:tab/>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30</w:t>
      </w:r>
    </w:p>
    <w:p w14:paraId="0D8BD02E">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_Toc23476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第5章 评审方法和标准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_Toc23476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16A842E4">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_Toc499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rPr>
        <w:t>初步评审</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_Toc499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7DFF1660">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_Toc3860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kern w:val="0"/>
          <w:sz w:val="24"/>
          <w:szCs w:val="24"/>
          <w:highlight w:val="none"/>
          <w:lang w:val="en-US" w:eastAsia="zh-CN"/>
        </w:rPr>
        <w:t>二、</w:t>
      </w:r>
      <w:r>
        <w:rPr>
          <w:rFonts w:hint="eastAsia" w:ascii="宋体" w:hAnsi="宋体" w:eastAsia="宋体" w:cs="宋体"/>
          <w:color w:val="auto"/>
          <w:sz w:val="24"/>
          <w:szCs w:val="24"/>
          <w:highlight w:val="none"/>
        </w:rPr>
        <w:t>评分细则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_Toc3860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DF1DA6E">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_Toc15882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第6章 响应文件格式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_Toc15882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286DADA2">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_Toc27723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一、封面格式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_Toc27723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167F198B">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_Toc13711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二、评审因素索引表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_Toc13711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0773BA3E">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_Toc7206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rPr>
        <w:t>、报价一览表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_Toc7206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69</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4F2503EE">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_Toc23154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四、资格证明文件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_Toc23154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0E501190">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_Toc6115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五、商务及技术文件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_Toc6115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2ED29E47">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_Toc3391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第7章  政府采购合同格式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_Toc3391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41C31E69">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end"/>
      </w:r>
    </w:p>
    <w:p w14:paraId="06CC7F9E">
      <w:pPr>
        <w:widowControl/>
        <w:jc w:val="left"/>
        <w:rPr>
          <w:rFonts w:hint="eastAsia" w:ascii="宋体" w:hAnsi="宋体" w:eastAsia="宋体" w:cs="宋体"/>
          <w:color w:val="auto"/>
          <w:kern w:val="44"/>
          <w:szCs w:val="20"/>
          <w:highlight w:val="none"/>
        </w:rPr>
      </w:pPr>
      <w:r>
        <w:rPr>
          <w:rFonts w:hint="eastAsia" w:ascii="宋体" w:hAnsi="宋体" w:eastAsia="宋体" w:cs="宋体"/>
          <w:color w:val="auto"/>
          <w:kern w:val="44"/>
          <w:szCs w:val="20"/>
          <w:highlight w:val="none"/>
        </w:rPr>
        <w:br w:type="page"/>
      </w:r>
    </w:p>
    <w:p w14:paraId="4251870E">
      <w:pPr>
        <w:pStyle w:val="2"/>
        <w:numPr>
          <w:ilvl w:val="0"/>
          <w:numId w:val="1"/>
        </w:numPr>
        <w:tabs>
          <w:tab w:val="clear" w:pos="2850"/>
        </w:tabs>
        <w:spacing w:before="0" w:after="0" w:line="240" w:lineRule="atLeast"/>
        <w:ind w:left="1985" w:hanging="1007"/>
        <w:rPr>
          <w:rFonts w:hint="eastAsia" w:ascii="宋体" w:hAnsi="宋体" w:eastAsia="宋体" w:cs="宋体"/>
          <w:color w:val="auto"/>
          <w:highlight w:val="none"/>
        </w:rPr>
      </w:pPr>
      <w:bookmarkStart w:id="3" w:name="_Toc515647756"/>
      <w:bookmarkStart w:id="4" w:name="_Toc29532"/>
      <w:bookmarkStart w:id="5" w:name="_Toc68259613"/>
      <w:r>
        <w:rPr>
          <w:rFonts w:hint="eastAsia" w:ascii="宋体" w:hAnsi="宋体" w:eastAsia="宋体" w:cs="宋体"/>
          <w:color w:val="auto"/>
          <w:highlight w:val="none"/>
        </w:rPr>
        <w:t>供应商须知</w:t>
      </w:r>
      <w:bookmarkEnd w:id="0"/>
      <w:bookmarkEnd w:id="1"/>
      <w:bookmarkEnd w:id="2"/>
      <w:bookmarkEnd w:id="3"/>
      <w:bookmarkEnd w:id="4"/>
      <w:bookmarkEnd w:id="5"/>
    </w:p>
    <w:p w14:paraId="79743D62">
      <w:pPr>
        <w:rPr>
          <w:rFonts w:hint="eastAsia" w:ascii="宋体" w:hAnsi="宋体" w:eastAsia="宋体" w:cs="宋体"/>
          <w:color w:val="auto"/>
          <w:highlight w:val="none"/>
        </w:rPr>
      </w:pPr>
    </w:p>
    <w:p w14:paraId="1087D865">
      <w:pPr>
        <w:pStyle w:val="3"/>
        <w:spacing w:before="0" w:line="240" w:lineRule="atLeast"/>
        <w:ind w:left="565" w:leftChars="12" w:hanging="540"/>
        <w:rPr>
          <w:rFonts w:hint="eastAsia" w:ascii="宋体" w:hAnsi="宋体" w:eastAsia="宋体" w:cs="宋体"/>
          <w:color w:val="auto"/>
          <w:sz w:val="28"/>
          <w:highlight w:val="none"/>
        </w:rPr>
      </w:pPr>
      <w:bookmarkStart w:id="6" w:name="_Toc515647757"/>
      <w:bookmarkStart w:id="7" w:name="_Toc216582805"/>
      <w:bookmarkStart w:id="8" w:name="_Toc520356143"/>
      <w:bookmarkStart w:id="9" w:name="_Toc68259614"/>
      <w:bookmarkStart w:id="10" w:name="_Toc21015"/>
      <w:bookmarkStart w:id="11" w:name="_Toc13427"/>
      <w:bookmarkStart w:id="12" w:name="_Toc21215"/>
      <w:r>
        <w:rPr>
          <w:rFonts w:hint="eastAsia" w:ascii="宋体" w:hAnsi="宋体" w:eastAsia="宋体" w:cs="宋体"/>
          <w:color w:val="auto"/>
          <w:sz w:val="28"/>
          <w:highlight w:val="none"/>
        </w:rPr>
        <w:t xml:space="preserve">一   </w:t>
      </w:r>
      <w:bookmarkEnd w:id="6"/>
      <w:bookmarkEnd w:id="7"/>
      <w:bookmarkEnd w:id="8"/>
      <w:r>
        <w:rPr>
          <w:rFonts w:hint="eastAsia" w:ascii="宋体" w:hAnsi="宋体" w:eastAsia="宋体" w:cs="宋体"/>
          <w:color w:val="auto"/>
          <w:sz w:val="28"/>
          <w:highlight w:val="none"/>
        </w:rPr>
        <w:t>总 则</w:t>
      </w:r>
      <w:bookmarkEnd w:id="9"/>
      <w:bookmarkEnd w:id="10"/>
      <w:bookmarkEnd w:id="11"/>
      <w:bookmarkEnd w:id="12"/>
    </w:p>
    <w:p w14:paraId="1394B68A">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倡导及建议：</w:t>
      </w:r>
    </w:p>
    <w:p w14:paraId="4D89F00C">
      <w:pPr>
        <w:pStyle w:val="4"/>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color w:val="auto"/>
          <w:highlight w:val="none"/>
          <w:u w:val="none"/>
          <w:lang w:val="en-US" w:eastAsia="zh-CN"/>
        </w:rPr>
        <w:t xml:space="preserve">  </w:t>
      </w:r>
      <w:r>
        <w:rPr>
          <w:rFonts w:hint="eastAsia" w:ascii="宋体" w:hAnsi="宋体" w:eastAsia="宋体" w:cs="宋体"/>
          <w:b w:val="0"/>
          <w:color w:val="auto"/>
          <w:kern w:val="2"/>
          <w:sz w:val="24"/>
          <w:szCs w:val="24"/>
          <w:highlight w:val="none"/>
          <w:u w:val="none"/>
          <w:lang w:val="en-US" w:eastAsia="zh-CN" w:bidi="ar-SA"/>
        </w:rPr>
        <w:t xml:space="preserve">   响应文件的厚重，不是评定是否中标的因素，更不便于评审专家翻阅及评审。</w:t>
      </w:r>
    </w:p>
    <w:p w14:paraId="08F3F08A">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响应文件时，临沂大学倡导及建议如下:</w:t>
      </w:r>
    </w:p>
    <w:p w14:paraId="295350CE">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kern w:val="2"/>
          <w:sz w:val="24"/>
          <w:szCs w:val="24"/>
          <w:highlight w:val="none"/>
          <w:u w:val="single"/>
          <w:lang w:val="en-US" w:eastAsia="zh-CN" w:bidi="ar-SA"/>
        </w:rPr>
        <w:t>“除必要的商务文书或要求的证书复印件外，响应文件的正本和副本均须A4纸双面打印”，</w:t>
      </w:r>
      <w:r>
        <w:rPr>
          <w:rFonts w:hint="eastAsia" w:cs="宋体"/>
          <w:b/>
          <w:bCs/>
          <w:color w:val="auto"/>
          <w:kern w:val="2"/>
          <w:sz w:val="24"/>
          <w:szCs w:val="24"/>
          <w:highlight w:val="none"/>
          <w:u w:val="single"/>
          <w:lang w:val="en-US" w:eastAsia="zh-CN" w:bidi="ar-SA"/>
        </w:rPr>
        <w:t>因本项目包较多，同时参与多个包且有共同内容的，可合并装订，</w:t>
      </w:r>
      <w:r>
        <w:rPr>
          <w:rFonts w:hint="eastAsia" w:ascii="宋体" w:hAnsi="宋体" w:eastAsia="宋体" w:cs="宋体"/>
          <w:b/>
          <w:bCs/>
          <w:color w:val="auto"/>
          <w:kern w:val="2"/>
          <w:sz w:val="24"/>
          <w:szCs w:val="24"/>
          <w:highlight w:val="none"/>
          <w:u w:val="single"/>
          <w:lang w:val="en-US" w:eastAsia="zh-CN" w:bidi="ar-SA"/>
        </w:rPr>
        <w:t>感谢支持！！</w:t>
      </w:r>
    </w:p>
    <w:p w14:paraId="07FCF102">
      <w:pPr>
        <w:pStyle w:val="4"/>
        <w:pageBreakBefore w:val="0"/>
        <w:widowControl w:val="0"/>
        <w:kinsoku/>
        <w:wordWrap/>
        <w:overflowPunct/>
        <w:topLinePunct w:val="0"/>
        <w:bidi w:val="0"/>
        <w:spacing w:line="480" w:lineRule="exact"/>
        <w:textAlignment w:val="auto"/>
        <w:rPr>
          <w:rFonts w:hint="eastAsia" w:ascii="宋体" w:hAnsi="宋体" w:eastAsia="宋体" w:cs="宋体"/>
          <w:color w:val="auto"/>
          <w:highlight w:val="none"/>
        </w:rPr>
      </w:pPr>
      <w:bookmarkStart w:id="13" w:name="_Toc520356144"/>
      <w:bookmarkStart w:id="14" w:name="_Toc32623"/>
      <w:bookmarkStart w:id="15" w:name="_Toc32189"/>
      <w:bookmarkStart w:id="16" w:name="_Toc515647758"/>
      <w:r>
        <w:rPr>
          <w:rFonts w:hint="eastAsia" w:ascii="宋体" w:hAnsi="宋体" w:eastAsia="宋体" w:cs="宋体"/>
          <w:color w:val="auto"/>
          <w:highlight w:val="none"/>
        </w:rPr>
        <w:t>1.采购人、采购代理机构及</w:t>
      </w:r>
      <w:bookmarkEnd w:id="13"/>
      <w:r>
        <w:rPr>
          <w:rFonts w:hint="eastAsia" w:ascii="宋体" w:hAnsi="宋体" w:eastAsia="宋体" w:cs="宋体"/>
          <w:color w:val="auto"/>
          <w:highlight w:val="none"/>
        </w:rPr>
        <w:t>供应商</w:t>
      </w:r>
      <w:bookmarkEnd w:id="14"/>
      <w:bookmarkEnd w:id="15"/>
      <w:bookmarkEnd w:id="16"/>
    </w:p>
    <w:p w14:paraId="72F19114">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采购人：是指依法开展政府采购活动的国家机关、事业单位、团体组织。本项目的采购人见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14:paraId="7E18D71C">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采购代理机构：是指集中采购机构或从事采购代理业务的社会中介机构，本项目的采购代理机构见供应商须知资料表。</w:t>
      </w:r>
    </w:p>
    <w:p w14:paraId="5633CB94">
      <w:pPr>
        <w:numPr>
          <w:ilvl w:val="1"/>
          <w:numId w:val="2"/>
        </w:numPr>
        <w:tabs>
          <w:tab w:val="left" w:pos="0"/>
          <w:tab w:val="clear" w:pos="900"/>
        </w:tabs>
        <w:spacing w:line="480" w:lineRule="exact"/>
        <w:ind w:left="0" w:firstLine="424" w:firstLineChars="177"/>
        <w:rPr>
          <w:rFonts w:hint="eastAsia" w:ascii="宋体" w:hAnsi="宋体" w:eastAsia="宋体" w:cs="宋体"/>
          <w:color w:val="auto"/>
          <w:sz w:val="24"/>
          <w:highlight w:val="none"/>
        </w:rPr>
      </w:pPr>
      <w:bookmarkStart w:id="17" w:name="_Toc12139"/>
      <w:bookmarkStart w:id="18" w:name="_Toc5286"/>
      <w:bookmarkStart w:id="19" w:name="_Toc515647759"/>
      <w:r>
        <w:rPr>
          <w:rFonts w:hint="eastAsia" w:ascii="宋体" w:hAnsi="宋体" w:eastAsia="宋体" w:cs="宋体"/>
          <w:color w:val="auto"/>
          <w:sz w:val="24"/>
          <w:highlight w:val="none"/>
        </w:rPr>
        <w:t xml:space="preserve"> 供应商：是指响应磋商、参加报价竞争的法人、其他组织或者自然人。潜在供应商：以竞争性磋商文件规定的方式获取本项目竞争性磋商文件的法人、其他组织或者自然人。</w:t>
      </w:r>
    </w:p>
    <w:p w14:paraId="1B193BE6">
      <w:pPr>
        <w:spacing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本项目的供应商须满足以下条件：</w:t>
      </w:r>
    </w:p>
    <w:p w14:paraId="02EE7416">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1.3.1 在中华人民共和国境内注册，能够独立承担民事责任的本国供应商。</w:t>
      </w:r>
    </w:p>
    <w:p w14:paraId="4604F9B8">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1.3.2 具备《中华人民共和国政府采购法》第二十二条关于供应商条件的规定，遵守本项目采购人本级和上级财政部门政府采购的有关规定。</w:t>
      </w:r>
    </w:p>
    <w:p w14:paraId="1782B2D6">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1.3.3 以竞争性磋商文件规定的方式获得了本项目的竞争性磋商文件。</w:t>
      </w:r>
    </w:p>
    <w:p w14:paraId="2967C748">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1.3.4 符合供应商须知资料表中规定的其他资格要求。</w:t>
      </w:r>
    </w:p>
    <w:p w14:paraId="473C7879">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1.3.5 若供应商须知资料表中写明专门面向中小企业采购的，如供应商为非中小企业，其响应文件将被认定为响应文件无效。</w:t>
      </w:r>
    </w:p>
    <w:p w14:paraId="099A72D0">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 如供应商须知资料表中允许联合体进行响应，对联合体规定如下：</w:t>
      </w:r>
    </w:p>
    <w:p w14:paraId="55EC1B57">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1.4.1 两个以上供应商可以组成一个联合体，以一个供应商的身份响应。</w:t>
      </w:r>
    </w:p>
    <w:p w14:paraId="78E75146">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1.4.2 联合体各方均应符合1.3.2规定。</w:t>
      </w:r>
    </w:p>
    <w:p w14:paraId="3531D783">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1.4.3 采购人根据采购项目对供应商的特殊要求，联合体中至少应当有一方符合相关规定。</w:t>
      </w:r>
    </w:p>
    <w:p w14:paraId="3E8D2EF5">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1.4.4 联合体各方应签订共同响应协议，明确约定联合体各方承担的工作和相应的责任，并将共同响应协议连同响应文件一并提交，否则其响应文件将被认定为无效。</w:t>
      </w:r>
    </w:p>
    <w:p w14:paraId="4FB37473">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14:paraId="5FEBB6CF">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1.4.6 以联合体形式参加政府采购活动的，联合体各方不得再单独参加或者与其他供应商另外组成联合体参加本项目，否则其响应文件将被认定为无效。</w:t>
      </w:r>
    </w:p>
    <w:p w14:paraId="150D79B5">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1.4.7 对联合体响应的其他资格要求见供应商须知资料表。</w:t>
      </w:r>
    </w:p>
    <w:p w14:paraId="32FA775A">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1.5 单位负责人为同一人或者存在直接控股、管理关系的不同供应商，不得参加同一合同项下的政府采购活动，否则其相关响应文件均将被认定为响应文件无效。</w:t>
      </w:r>
    </w:p>
    <w:p w14:paraId="4CFC1038">
      <w:pPr>
        <w:tabs>
          <w:tab w:val="left" w:pos="0"/>
        </w:tabs>
        <w:spacing w:line="480" w:lineRule="exact"/>
        <w:ind w:firstLine="426" w:firstLineChars="177"/>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1.6 各供应商须对本项目指定一个项目负责人，对本项目所有事宜全程负责。未经采购人同意中途不得更换项目负责人。</w:t>
      </w:r>
    </w:p>
    <w:p w14:paraId="4F7EE758">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1.7 关于委托代理人及项目实施负责人的说明：</w:t>
      </w:r>
    </w:p>
    <w:p w14:paraId="0CCDFBAB">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为杜绝围标串标现象，营造良好的营商环境，投标委托代理人须为投标单位正式员工，并出具该员工投标前6个月内任意3个月的社保证明。若为新公司成立不足3个月，可提供成立以来的社保即可。</w:t>
      </w:r>
    </w:p>
    <w:p w14:paraId="31ECF41B">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若该项目有项目实施负责人或经理，也要求为单位正式员工，并出具该员工投标前6个月内任意3个月的社保证明。</w:t>
      </w:r>
    </w:p>
    <w:p w14:paraId="3C63253B">
      <w:pPr>
        <w:pStyle w:val="37"/>
        <w:rPr>
          <w:rFonts w:hint="eastAsia" w:ascii="宋体" w:hAnsi="宋体" w:eastAsia="宋体" w:cs="宋体"/>
          <w:color w:val="auto"/>
          <w:highlight w:val="none"/>
        </w:rPr>
      </w:pPr>
    </w:p>
    <w:p w14:paraId="4C4813B5">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2.资金来源</w:t>
      </w:r>
      <w:bookmarkEnd w:id="17"/>
      <w:bookmarkEnd w:id="18"/>
      <w:bookmarkEnd w:id="19"/>
    </w:p>
    <w:p w14:paraId="394FAE4A">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本项目的采购人已获得足以支付本次磋商后所签订的合同项下的资金（包括财政性资金和本项目采购中无法与财政性资金分割的非财政性资金，预采购项目除外。）。</w:t>
      </w:r>
    </w:p>
    <w:p w14:paraId="6167EE55">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2.2 项目预算金额和分项或分包最高限价见供应商须知资料表。</w:t>
      </w:r>
    </w:p>
    <w:p w14:paraId="51E24910">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供应商报价超过竞争性磋商文件规定的预算金额或者分项、分包最高限价的，其响应文件将被认定为无效。</w:t>
      </w:r>
    </w:p>
    <w:p w14:paraId="7991C040">
      <w:pPr>
        <w:pStyle w:val="4"/>
        <w:bidi w:val="0"/>
        <w:rPr>
          <w:rFonts w:hint="eastAsia" w:ascii="宋体" w:hAnsi="宋体" w:eastAsia="宋体" w:cs="宋体"/>
          <w:color w:val="auto"/>
          <w:highlight w:val="none"/>
        </w:rPr>
      </w:pPr>
      <w:bookmarkStart w:id="20" w:name="_Toc520356145"/>
      <w:bookmarkStart w:id="21" w:name="_Toc15936"/>
      <w:bookmarkStart w:id="22" w:name="_Toc515647760"/>
      <w:bookmarkStart w:id="23" w:name="_Toc20526"/>
      <w:r>
        <w:rPr>
          <w:rFonts w:hint="eastAsia" w:ascii="宋体" w:hAnsi="宋体" w:eastAsia="宋体" w:cs="宋体"/>
          <w:color w:val="auto"/>
          <w:highlight w:val="none"/>
        </w:rPr>
        <w:t>3.响应费用</w:t>
      </w:r>
      <w:bookmarkEnd w:id="20"/>
      <w:bookmarkEnd w:id="21"/>
      <w:bookmarkEnd w:id="22"/>
      <w:bookmarkEnd w:id="23"/>
    </w:p>
    <w:p w14:paraId="1D892283">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不论响应的结果如何，供应商应承担所有与准备和参加响应有关的费用。</w:t>
      </w:r>
    </w:p>
    <w:p w14:paraId="58684455">
      <w:pPr>
        <w:pStyle w:val="4"/>
        <w:bidi w:val="0"/>
        <w:rPr>
          <w:rFonts w:hint="eastAsia" w:ascii="宋体" w:hAnsi="宋体" w:eastAsia="宋体" w:cs="宋体"/>
          <w:color w:val="auto"/>
          <w:highlight w:val="none"/>
        </w:rPr>
      </w:pPr>
      <w:bookmarkStart w:id="24" w:name="_Toc515647761"/>
      <w:bookmarkStart w:id="25" w:name="_Toc4463"/>
      <w:bookmarkStart w:id="26" w:name="_Toc6116"/>
      <w:r>
        <w:rPr>
          <w:rFonts w:hint="eastAsia" w:ascii="宋体" w:hAnsi="宋体" w:eastAsia="宋体" w:cs="宋体"/>
          <w:color w:val="auto"/>
          <w:highlight w:val="none"/>
        </w:rPr>
        <w:t>4.适用法律</w:t>
      </w:r>
      <w:bookmarkEnd w:id="24"/>
      <w:bookmarkEnd w:id="25"/>
      <w:bookmarkEnd w:id="26"/>
    </w:p>
    <w:p w14:paraId="01195E0B">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本项目采购人、采购代理机构、供应商、磋商小组的相关行为均受《中华人民共和国政府采购法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中华人民共和国政府采购法实施条例》及本项目本级和上级财政部门政府采购有关规定的约束和保护。</w:t>
      </w:r>
    </w:p>
    <w:p w14:paraId="25D50E09">
      <w:pPr>
        <w:spacing w:line="480" w:lineRule="exact"/>
        <w:rPr>
          <w:rFonts w:hint="eastAsia" w:ascii="宋体" w:hAnsi="宋体" w:eastAsia="宋体" w:cs="宋体"/>
          <w:color w:val="auto"/>
          <w:sz w:val="24"/>
          <w:highlight w:val="none"/>
        </w:rPr>
      </w:pPr>
    </w:p>
    <w:p w14:paraId="08D6A2B6">
      <w:pPr>
        <w:pStyle w:val="3"/>
        <w:spacing w:before="0" w:line="480" w:lineRule="exact"/>
        <w:ind w:left="565" w:leftChars="12" w:hanging="540"/>
        <w:rPr>
          <w:rFonts w:hint="eastAsia" w:ascii="宋体" w:hAnsi="宋体" w:eastAsia="宋体" w:cs="宋体"/>
          <w:color w:val="auto"/>
          <w:sz w:val="28"/>
          <w:highlight w:val="none"/>
        </w:rPr>
      </w:pPr>
      <w:bookmarkStart w:id="27" w:name="_Toc32134"/>
      <w:bookmarkStart w:id="28" w:name="_Toc520356146"/>
      <w:bookmarkStart w:id="29" w:name="_Toc515647762"/>
      <w:bookmarkStart w:id="30" w:name="_Toc21566"/>
      <w:bookmarkStart w:id="31" w:name="_Toc216582806"/>
      <w:bookmarkStart w:id="32" w:name="_Toc4365"/>
      <w:bookmarkStart w:id="33" w:name="_Toc68259615"/>
      <w:r>
        <w:rPr>
          <w:rFonts w:hint="eastAsia" w:ascii="宋体" w:hAnsi="宋体" w:eastAsia="宋体" w:cs="宋体"/>
          <w:color w:val="auto"/>
          <w:sz w:val="28"/>
          <w:highlight w:val="none"/>
        </w:rPr>
        <w:t>二   竞争性磋商文件</w:t>
      </w:r>
      <w:bookmarkEnd w:id="27"/>
      <w:bookmarkEnd w:id="28"/>
      <w:bookmarkEnd w:id="29"/>
      <w:bookmarkEnd w:id="30"/>
      <w:bookmarkEnd w:id="31"/>
      <w:bookmarkEnd w:id="32"/>
      <w:bookmarkEnd w:id="33"/>
    </w:p>
    <w:p w14:paraId="17A2D43F">
      <w:pPr>
        <w:pStyle w:val="5"/>
        <w:spacing w:line="480" w:lineRule="exact"/>
        <w:rPr>
          <w:rFonts w:hint="eastAsia" w:ascii="宋体" w:hAnsi="宋体" w:eastAsia="宋体" w:cs="宋体"/>
          <w:color w:val="auto"/>
          <w:highlight w:val="none"/>
        </w:rPr>
      </w:pPr>
    </w:p>
    <w:p w14:paraId="054E21C6">
      <w:pPr>
        <w:pStyle w:val="4"/>
        <w:bidi w:val="0"/>
        <w:rPr>
          <w:rFonts w:hint="eastAsia" w:ascii="宋体" w:hAnsi="宋体" w:eastAsia="宋体" w:cs="宋体"/>
          <w:color w:val="auto"/>
          <w:highlight w:val="none"/>
        </w:rPr>
      </w:pPr>
      <w:bookmarkStart w:id="34" w:name="_Toc520356147"/>
      <w:bookmarkStart w:id="35" w:name="_Toc515647763"/>
      <w:bookmarkStart w:id="36" w:name="_Toc25743"/>
      <w:bookmarkStart w:id="37" w:name="_Toc14084"/>
      <w:r>
        <w:rPr>
          <w:rFonts w:hint="eastAsia" w:ascii="宋体" w:hAnsi="宋体" w:eastAsia="宋体" w:cs="宋体"/>
          <w:color w:val="auto"/>
          <w:highlight w:val="none"/>
        </w:rPr>
        <w:t>5.竞争性磋商文件构成</w:t>
      </w:r>
      <w:bookmarkEnd w:id="34"/>
      <w:bookmarkEnd w:id="35"/>
      <w:bookmarkEnd w:id="36"/>
      <w:bookmarkEnd w:id="37"/>
    </w:p>
    <w:p w14:paraId="3E47CD3D">
      <w:pPr>
        <w:spacing w:line="480" w:lineRule="exact"/>
        <w:ind w:left="900" w:hanging="900" w:hangingChars="375"/>
        <w:rPr>
          <w:rFonts w:hint="eastAsia" w:ascii="宋体" w:hAnsi="宋体" w:eastAsia="宋体" w:cs="宋体"/>
          <w:color w:val="auto"/>
          <w:sz w:val="24"/>
          <w:highlight w:val="none"/>
        </w:rPr>
      </w:pPr>
      <w:r>
        <w:rPr>
          <w:rFonts w:hint="eastAsia" w:ascii="宋体" w:hAnsi="宋体" w:eastAsia="宋体" w:cs="宋体"/>
          <w:color w:val="auto"/>
          <w:sz w:val="24"/>
          <w:highlight w:val="none"/>
        </w:rPr>
        <w:t>5.1 竞争性磋商文件分为2册共7章，内容如下：</w:t>
      </w:r>
    </w:p>
    <w:p w14:paraId="16AAEE71">
      <w:pPr>
        <w:spacing w:line="480" w:lineRule="exact"/>
        <w:ind w:left="1079" w:leftChars="428" w:hanging="180" w:hangingChars="75"/>
        <w:rPr>
          <w:rFonts w:hint="eastAsia" w:ascii="宋体" w:hAnsi="宋体" w:eastAsia="宋体" w:cs="宋体"/>
          <w:color w:val="auto"/>
          <w:sz w:val="24"/>
          <w:highlight w:val="none"/>
        </w:rPr>
      </w:pPr>
      <w:r>
        <w:rPr>
          <w:rFonts w:hint="eastAsia" w:ascii="宋体" w:hAnsi="宋体" w:eastAsia="宋体" w:cs="宋体"/>
          <w:color w:val="auto"/>
          <w:sz w:val="24"/>
          <w:highlight w:val="none"/>
        </w:rPr>
        <w:t>第一册</w:t>
      </w:r>
    </w:p>
    <w:p w14:paraId="74C58C2C">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供应商须知</w:t>
      </w:r>
    </w:p>
    <w:p w14:paraId="2FE5F581">
      <w:p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第二册</w:t>
      </w:r>
    </w:p>
    <w:p w14:paraId="672D25FA">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采购邀请</w:t>
      </w:r>
    </w:p>
    <w:p w14:paraId="163E4352">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供应商须知资料表</w:t>
      </w:r>
    </w:p>
    <w:p w14:paraId="3EE7B092">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服务需求</w:t>
      </w:r>
    </w:p>
    <w:p w14:paraId="779EB9BA">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评审方法和标准</w:t>
      </w:r>
      <w:r>
        <w:rPr>
          <w:rFonts w:hint="eastAsia" w:ascii="宋体" w:hAnsi="宋体" w:eastAsia="宋体" w:cs="宋体"/>
          <w:color w:val="auto"/>
          <w:sz w:val="24"/>
          <w:highlight w:val="none"/>
        </w:rPr>
        <w:tab/>
      </w:r>
    </w:p>
    <w:p w14:paraId="6D737B8E">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响应文件格式</w:t>
      </w:r>
    </w:p>
    <w:p w14:paraId="19878977">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政府采购合同格式</w:t>
      </w:r>
    </w:p>
    <w:p w14:paraId="622E8D32">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5.2 竞争性磋商文件中有不一致的，有澄清的部分以最终的澄清更正内容为准；未澄清的，以供应商须知资料表为准；供应商须知资料表不涉及的内容，以编排在后的描述为准。</w:t>
      </w:r>
    </w:p>
    <w:p w14:paraId="2429E3B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14:paraId="1DD391A7">
      <w:pPr>
        <w:tabs>
          <w:tab w:val="left" w:pos="0"/>
        </w:tabs>
        <w:spacing w:line="480" w:lineRule="exact"/>
        <w:ind w:firstLine="544" w:firstLineChars="227"/>
        <w:rPr>
          <w:rFonts w:hint="eastAsia" w:ascii="宋体" w:hAnsi="宋体" w:eastAsia="宋体" w:cs="宋体"/>
          <w:color w:val="auto"/>
          <w:sz w:val="24"/>
          <w:highlight w:val="none"/>
        </w:rPr>
      </w:pPr>
      <w:bookmarkStart w:id="38" w:name="_Toc515904805"/>
      <w:bookmarkStart w:id="39" w:name="_Toc520356148"/>
      <w:bookmarkStart w:id="40" w:name="_Toc26044"/>
      <w:bookmarkStart w:id="41" w:name="_Toc9232"/>
      <w:r>
        <w:rPr>
          <w:rFonts w:hint="eastAsia" w:ascii="宋体" w:hAnsi="宋体" w:eastAsia="宋体" w:cs="宋体"/>
          <w:color w:val="auto"/>
          <w:sz w:val="24"/>
          <w:highlight w:val="none"/>
        </w:rPr>
        <w:t>5.4 响应文件以中文编印，且以中文为准。</w:t>
      </w:r>
    </w:p>
    <w:p w14:paraId="4F6D735E">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5.5 响应文件第二册第三部分“供应商须知资料表”规定组织踏勘现场的，采购人按规定的时间、地点组织供应商踏勘项目现场，踏勘现场所发生的费用由供应商承担。</w:t>
      </w:r>
    </w:p>
    <w:p w14:paraId="311D7120">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5.6 采购人向供应商提供的有关现场的资料和数据，是采购人现有的能使供应商利用的资料，采购人对供应商由此而做出的推论、理解和结论概不负责。</w:t>
      </w:r>
    </w:p>
    <w:p w14:paraId="342B7718">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5.7 供应商经过采购人的允许，可进入项目现场踏勘，对服务现场及其范围环境进行考察，以获取有关编制响应</w:t>
      </w:r>
      <w:r>
        <w:rPr>
          <w:rFonts w:hint="eastAsia" w:ascii="宋体" w:hAnsi="宋体" w:eastAsia="宋体" w:cs="宋体"/>
          <w:color w:val="auto"/>
          <w:sz w:val="24"/>
          <w:highlight w:val="none"/>
          <w:lang w:eastAsia="zh-CN"/>
        </w:rPr>
        <w:t>文件</w:t>
      </w:r>
      <w:r>
        <w:rPr>
          <w:rFonts w:hint="eastAsia" w:ascii="宋体" w:hAnsi="宋体" w:eastAsia="宋体" w:cs="宋体"/>
          <w:color w:val="auto"/>
          <w:sz w:val="24"/>
          <w:highlight w:val="none"/>
        </w:rPr>
        <w:t>和签署实施合同所需的各项资料，但供应商及其人员不得因此使采购人及其人员承担有关的责任和蒙受损失。供应商并应对由此次踏勘现场而造成的死亡、人身伤害、财产损失、损害以及</w:t>
      </w:r>
      <w:r>
        <w:rPr>
          <w:rFonts w:hint="eastAsia" w:ascii="宋体" w:hAnsi="宋体" w:cs="宋体"/>
          <w:color w:val="auto"/>
          <w:sz w:val="24"/>
          <w:highlight w:val="none"/>
          <w:lang w:eastAsia="zh-CN"/>
        </w:rPr>
        <w:t>任何其他</w:t>
      </w:r>
      <w:r>
        <w:rPr>
          <w:rFonts w:hint="eastAsia" w:ascii="宋体" w:hAnsi="宋体" w:eastAsia="宋体" w:cs="宋体"/>
          <w:color w:val="auto"/>
          <w:sz w:val="24"/>
          <w:highlight w:val="none"/>
        </w:rPr>
        <w:t>损失、损害和引起的费用和开支承担责任。</w:t>
      </w:r>
    </w:p>
    <w:p w14:paraId="122C8D50">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5.8 不论响应过程和响应文件结果如何，供应商的响应文件（含电子版）均不退还。</w:t>
      </w:r>
    </w:p>
    <w:p w14:paraId="6340C9FA">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5.9 除响应文件中另有规定外，响应文件所使用的时间单位“天</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日”均指日历天，且所有时刻均为北京时间。</w:t>
      </w:r>
    </w:p>
    <w:p w14:paraId="2B1E2CDF">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5.10 参与</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活动的各方应对响应文件和响应文件中的商业和技术等秘密保密，违者应对由此造成的后果承担法律责任。</w:t>
      </w:r>
    </w:p>
    <w:p w14:paraId="781FE95B">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5.11 供应商应自行承担其准备和参加响应文件活动发生的所有费用。不论响应文件结果如何，采购人及采购代理机构在任何情况下无义务也无责任承担这些费用。</w:t>
      </w:r>
    </w:p>
    <w:p w14:paraId="380F9699">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6.竞争性磋商文件的澄清</w:t>
      </w:r>
      <w:bookmarkEnd w:id="38"/>
      <w:bookmarkEnd w:id="39"/>
      <w:r>
        <w:rPr>
          <w:rFonts w:hint="eastAsia" w:ascii="宋体" w:hAnsi="宋体" w:eastAsia="宋体" w:cs="宋体"/>
          <w:color w:val="auto"/>
          <w:highlight w:val="none"/>
        </w:rPr>
        <w:t>与修改</w:t>
      </w:r>
      <w:bookmarkEnd w:id="40"/>
      <w:bookmarkEnd w:id="41"/>
    </w:p>
    <w:p w14:paraId="4078A58F">
      <w:pPr>
        <w:tabs>
          <w:tab w:val="left" w:pos="0"/>
        </w:tabs>
        <w:spacing w:line="480" w:lineRule="exact"/>
        <w:ind w:firstLine="544" w:firstLineChars="227"/>
        <w:rPr>
          <w:rFonts w:hint="eastAsia" w:ascii="宋体" w:hAnsi="宋体" w:eastAsia="宋体" w:cs="宋体"/>
          <w:color w:val="auto"/>
          <w:sz w:val="24"/>
          <w:highlight w:val="none"/>
        </w:rPr>
      </w:pPr>
      <w:bookmarkStart w:id="42" w:name="_Toc515904806"/>
      <w:bookmarkStart w:id="43" w:name="_Ref467378678"/>
      <w:bookmarkStart w:id="44" w:name="_Toc520356149"/>
      <w:bookmarkStart w:id="45" w:name="_Toc25635"/>
      <w:bookmarkStart w:id="46" w:name="_Toc14569"/>
      <w:r>
        <w:rPr>
          <w:rFonts w:hint="eastAsia" w:ascii="宋体" w:hAnsi="宋体" w:eastAsia="宋体" w:cs="宋体"/>
          <w:color w:val="auto"/>
          <w:sz w:val="24"/>
          <w:highlight w:val="none"/>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707FAF3E">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14:paraId="7959987C">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因潜在供应商原因或通讯线路故障导致逾期送达或无法送达，采购代理机构不因此承担任何责任，有关的磋商采购活动可以继续有效进行。</w:t>
      </w:r>
    </w:p>
    <w:p w14:paraId="49CBC16D">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6.3 供应商认为响应文件存在歧视性条款或不合理要求等需要澄清的，应在规定时间内一次性全部提出。如在规定时间内，供应商对响应文件中的各项条款未提出异议，即</w:t>
      </w:r>
      <w:r>
        <w:rPr>
          <w:rFonts w:hint="eastAsia" w:ascii="宋体" w:hAnsi="宋体" w:cs="宋体"/>
          <w:color w:val="auto"/>
          <w:sz w:val="24"/>
          <w:highlight w:val="none"/>
          <w:lang w:eastAsia="zh-CN"/>
        </w:rPr>
        <w:t>视为</w:t>
      </w:r>
      <w:r>
        <w:rPr>
          <w:rFonts w:hint="eastAsia" w:ascii="宋体" w:hAnsi="宋体" w:eastAsia="宋体" w:cs="宋体"/>
          <w:color w:val="auto"/>
          <w:sz w:val="24"/>
          <w:highlight w:val="none"/>
        </w:rPr>
        <w:t>同意和接受响应文件。</w:t>
      </w:r>
    </w:p>
    <w:p w14:paraId="0F491C1F">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7</w:t>
      </w:r>
      <w:bookmarkEnd w:id="42"/>
      <w:bookmarkEnd w:id="43"/>
      <w:bookmarkEnd w:id="44"/>
      <w:r>
        <w:rPr>
          <w:rFonts w:hint="eastAsia" w:ascii="宋体" w:hAnsi="宋体" w:eastAsia="宋体" w:cs="宋体"/>
          <w:color w:val="auto"/>
          <w:highlight w:val="none"/>
        </w:rPr>
        <w:t>.提交响应文件截止时间的顺延</w:t>
      </w:r>
      <w:bookmarkEnd w:id="45"/>
      <w:bookmarkEnd w:id="46"/>
    </w:p>
    <w:p w14:paraId="654B4B7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为使供应商准备响应时有足够的时间对竞争性磋商文件的澄清或者修改部分进行研究，采购人将依法决定是否顺延提交响应文件截止时间。</w:t>
      </w:r>
    </w:p>
    <w:p w14:paraId="38043018">
      <w:pPr>
        <w:bidi w:val="0"/>
        <w:rPr>
          <w:rFonts w:hint="eastAsia" w:ascii="宋体" w:hAnsi="宋体" w:eastAsia="宋体" w:cs="宋体"/>
          <w:color w:val="auto"/>
          <w:highlight w:val="none"/>
        </w:rPr>
      </w:pPr>
    </w:p>
    <w:p w14:paraId="1253384D">
      <w:pPr>
        <w:pStyle w:val="3"/>
        <w:tabs>
          <w:tab w:val="left" w:pos="900"/>
        </w:tabs>
        <w:spacing w:before="0" w:line="480" w:lineRule="exact"/>
        <w:ind w:left="565" w:leftChars="12" w:hanging="540"/>
        <w:rPr>
          <w:rFonts w:hint="eastAsia" w:ascii="宋体" w:hAnsi="宋体" w:eastAsia="宋体" w:cs="宋体"/>
          <w:color w:val="auto"/>
          <w:sz w:val="28"/>
          <w:highlight w:val="none"/>
        </w:rPr>
      </w:pPr>
      <w:bookmarkStart w:id="47" w:name="_Toc516367020"/>
      <w:bookmarkStart w:id="48" w:name="_Toc216582807"/>
      <w:bookmarkStart w:id="49" w:name="_Toc68259616"/>
      <w:bookmarkStart w:id="50" w:name="_Toc515647766"/>
      <w:bookmarkStart w:id="51" w:name="_Toc2484"/>
      <w:bookmarkStart w:id="52" w:name="_Toc7636"/>
      <w:bookmarkStart w:id="53" w:name="_Toc30808"/>
      <w:bookmarkStart w:id="54" w:name="_Toc520356150"/>
      <w:r>
        <w:rPr>
          <w:rFonts w:hint="eastAsia" w:ascii="宋体" w:hAnsi="宋体" w:eastAsia="宋体" w:cs="宋体"/>
          <w:color w:val="auto"/>
          <w:sz w:val="28"/>
          <w:highlight w:val="none"/>
        </w:rPr>
        <w:t>三   响应文件</w:t>
      </w:r>
      <w:bookmarkEnd w:id="47"/>
      <w:r>
        <w:rPr>
          <w:rFonts w:hint="eastAsia" w:ascii="宋体" w:hAnsi="宋体" w:eastAsia="宋体" w:cs="宋体"/>
          <w:color w:val="auto"/>
          <w:sz w:val="28"/>
          <w:highlight w:val="none"/>
        </w:rPr>
        <w:t>的编制</w:t>
      </w:r>
      <w:bookmarkEnd w:id="48"/>
      <w:bookmarkEnd w:id="49"/>
      <w:bookmarkEnd w:id="50"/>
      <w:bookmarkEnd w:id="51"/>
      <w:bookmarkEnd w:id="52"/>
      <w:bookmarkEnd w:id="53"/>
      <w:bookmarkEnd w:id="54"/>
    </w:p>
    <w:p w14:paraId="2227CB30">
      <w:pPr>
        <w:pStyle w:val="4"/>
        <w:bidi w:val="0"/>
        <w:rPr>
          <w:rFonts w:hint="eastAsia" w:ascii="宋体" w:hAnsi="宋体" w:eastAsia="宋体" w:cs="宋体"/>
          <w:color w:val="auto"/>
          <w:highlight w:val="none"/>
        </w:rPr>
      </w:pPr>
      <w:bookmarkStart w:id="55" w:name="_Toc51176589"/>
      <w:r>
        <w:rPr>
          <w:rFonts w:hint="eastAsia" w:ascii="宋体" w:hAnsi="宋体" w:eastAsia="宋体" w:cs="宋体"/>
          <w:color w:val="auto"/>
          <w:highlight w:val="none"/>
        </w:rPr>
        <w:t>8.编制要求</w:t>
      </w:r>
      <w:bookmarkEnd w:id="55"/>
    </w:p>
    <w:p w14:paraId="0C6A934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6AABF0AA">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8.2 供应商对多个分包进行响应文件的，应以分包为单位编制响应文件，每一包响应文件均需满足本响应文件对响应文件的签署、盖章要求。</w:t>
      </w:r>
    </w:p>
    <w:p w14:paraId="6C663581">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8.3 封面设置</w:t>
      </w:r>
    </w:p>
    <w:p w14:paraId="2F02FF95">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响应文件材料封面设置包括：“响应文件”、项目名称、项目编号、所投包号、供应商名称。</w:t>
      </w:r>
    </w:p>
    <w:p w14:paraId="590CDBD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8.4 供应商应按响应文件的要求及格式编写其响应文件；不得缺少或留空任何响应文件要求填写的表格或资料。</w:t>
      </w:r>
    </w:p>
    <w:p w14:paraId="1D22F6F5">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8.5 供应商应编制响应文件目录、内容，标注连续页码。</w:t>
      </w:r>
    </w:p>
    <w:p w14:paraId="17F955D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8.6 关于兼投不兼中要求详见：供应商须知资料表。</w:t>
      </w:r>
    </w:p>
    <w:p w14:paraId="56363904">
      <w:pPr>
        <w:tabs>
          <w:tab w:val="left" w:pos="0"/>
        </w:tabs>
        <w:spacing w:line="480" w:lineRule="exact"/>
        <w:ind w:firstLine="547" w:firstLineChars="22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8.7</w:t>
      </w:r>
      <w:r>
        <w:rPr>
          <w:rFonts w:hint="eastAsia" w:ascii="宋体" w:hAnsi="宋体" w:cs="宋体"/>
          <w:b/>
          <w:bCs/>
          <w:color w:val="auto"/>
          <w:sz w:val="24"/>
          <w:highlight w:val="none"/>
          <w:lang w:val="en-US" w:eastAsia="zh-CN"/>
        </w:rPr>
        <w:t xml:space="preserve"> </w:t>
      </w:r>
      <w:r>
        <w:rPr>
          <w:rFonts w:hint="eastAsia" w:ascii="宋体" w:hAnsi="宋体" w:eastAsia="宋体" w:cs="宋体"/>
          <w:b/>
          <w:bCs/>
          <w:color w:val="auto"/>
          <w:kern w:val="2"/>
          <w:sz w:val="24"/>
          <w:szCs w:val="24"/>
          <w:highlight w:val="none"/>
          <w:u w:val="none"/>
          <w:lang w:val="en-US" w:eastAsia="zh-CN" w:bidi="ar-SA"/>
        </w:rPr>
        <w:t>“</w:t>
      </w:r>
      <w:r>
        <w:rPr>
          <w:rFonts w:hint="eastAsia" w:ascii="宋体" w:hAnsi="宋体" w:eastAsia="宋体" w:cs="宋体"/>
          <w:b/>
          <w:bCs/>
          <w:color w:val="auto"/>
          <w:sz w:val="24"/>
          <w:highlight w:val="none"/>
          <w:lang w:val="en-US" w:eastAsia="zh-CN"/>
        </w:rPr>
        <w:t>除必要的商务文书或要求的证书复印件外，响应文件的正本和副本均须A4纸双面打印”感谢支持！！</w:t>
      </w:r>
    </w:p>
    <w:p w14:paraId="4670ACB2">
      <w:pPr>
        <w:pStyle w:val="4"/>
        <w:bidi w:val="0"/>
        <w:rPr>
          <w:rFonts w:hint="eastAsia" w:ascii="宋体" w:hAnsi="宋体" w:eastAsia="宋体" w:cs="宋体"/>
          <w:color w:val="auto"/>
          <w:highlight w:val="none"/>
        </w:rPr>
      </w:pPr>
      <w:bookmarkStart w:id="56" w:name="_Toc520356151"/>
      <w:bookmarkStart w:id="57" w:name="_Toc7786"/>
      <w:bookmarkStart w:id="58" w:name="_Toc3553"/>
      <w:bookmarkStart w:id="59" w:name="_Toc515647767"/>
      <w:bookmarkStart w:id="60" w:name="_Toc516367021"/>
      <w:r>
        <w:rPr>
          <w:rFonts w:hint="eastAsia" w:ascii="宋体" w:hAnsi="宋体" w:eastAsia="宋体" w:cs="宋体"/>
          <w:color w:val="auto"/>
          <w:highlight w:val="none"/>
        </w:rPr>
        <w:t>9.响应范围及响应文件中标准和计量单位的使用</w:t>
      </w:r>
      <w:bookmarkEnd w:id="56"/>
      <w:bookmarkEnd w:id="57"/>
      <w:bookmarkEnd w:id="58"/>
      <w:bookmarkEnd w:id="59"/>
      <w:bookmarkEnd w:id="60"/>
    </w:p>
    <w:p w14:paraId="0EEBC531">
      <w:pPr>
        <w:tabs>
          <w:tab w:val="left" w:pos="0"/>
        </w:tabs>
        <w:spacing w:line="480" w:lineRule="exact"/>
        <w:ind w:firstLine="544" w:firstLineChars="227"/>
        <w:rPr>
          <w:rFonts w:hint="eastAsia" w:ascii="宋体" w:hAnsi="宋体" w:eastAsia="宋体" w:cs="宋体"/>
          <w:color w:val="auto"/>
          <w:sz w:val="24"/>
          <w:highlight w:val="none"/>
        </w:rPr>
      </w:pPr>
      <w:bookmarkStart w:id="61" w:name="_Toc516367022"/>
      <w:bookmarkStart w:id="62" w:name="_Ref467306195"/>
      <w:bookmarkStart w:id="63" w:name="_Ref467306676"/>
      <w:bookmarkStart w:id="64" w:name="_Toc520356152"/>
      <w:bookmarkStart w:id="65" w:name="_Toc515647768"/>
      <w:bookmarkStart w:id="66" w:name="_Toc10364"/>
      <w:bookmarkStart w:id="67" w:name="_Toc28307"/>
      <w:r>
        <w:rPr>
          <w:rFonts w:hint="eastAsia" w:ascii="宋体" w:hAnsi="宋体" w:eastAsia="宋体" w:cs="宋体"/>
          <w:color w:val="auto"/>
          <w:sz w:val="24"/>
          <w:highlight w:val="none"/>
        </w:rPr>
        <w:t>9.1 供应商可对竞争性磋商文件其中一个或几个分包进行响应。除非在供应商须知资料表中另有规定。</w:t>
      </w:r>
    </w:p>
    <w:p w14:paraId="4A1DDB40">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供应商应当对竞争性磋商文件中“服务需求”所列的所有内容进行响应，如仅响应某一包中的部分内容，其响应文件将被认定为无效。</w:t>
      </w:r>
    </w:p>
    <w:p w14:paraId="7A4211C2">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9.3 无论竞争性磋商文件第4章服务需求中是否要求，供应商所报服务均应符合国家强制性标准。</w:t>
      </w:r>
    </w:p>
    <w:p w14:paraId="37F249A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9.4 除竞争性磋商文件中有特殊要求外，响应文件中所使用的计量单位，应采用中华人民共和国法定计量单位。</w:t>
      </w:r>
    </w:p>
    <w:p w14:paraId="47DC8497">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10.响应文件</w:t>
      </w:r>
      <w:bookmarkEnd w:id="61"/>
      <w:bookmarkEnd w:id="62"/>
      <w:bookmarkEnd w:id="63"/>
      <w:r>
        <w:rPr>
          <w:rFonts w:hint="eastAsia" w:ascii="宋体" w:hAnsi="宋体" w:eastAsia="宋体" w:cs="宋体"/>
          <w:color w:val="auto"/>
          <w:highlight w:val="none"/>
        </w:rPr>
        <w:t>构成</w:t>
      </w:r>
      <w:bookmarkEnd w:id="64"/>
      <w:bookmarkEnd w:id="65"/>
      <w:bookmarkEnd w:id="66"/>
      <w:bookmarkEnd w:id="67"/>
    </w:p>
    <w:p w14:paraId="4255C312">
      <w:pPr>
        <w:tabs>
          <w:tab w:val="left" w:pos="0"/>
        </w:tabs>
        <w:spacing w:line="480" w:lineRule="exact"/>
        <w:ind w:firstLine="544" w:firstLineChars="227"/>
        <w:rPr>
          <w:rFonts w:hint="eastAsia" w:ascii="宋体" w:hAnsi="宋体" w:eastAsia="宋体" w:cs="宋体"/>
          <w:color w:val="auto"/>
          <w:sz w:val="24"/>
          <w:highlight w:val="none"/>
        </w:rPr>
      </w:pPr>
      <w:bookmarkStart w:id="68" w:name="_Ref467052588"/>
      <w:r>
        <w:rPr>
          <w:rFonts w:hint="eastAsia" w:ascii="宋体" w:hAnsi="宋体" w:eastAsia="宋体" w:cs="宋体"/>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6C9AE79E">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10.2 上述文件应按照竞争性磋商文件规定签署和盖公章或经公章授权的其他单位章（以下统称公章）。采用公章授权方式的，应当在响应文件第一部分附公章授权书（格式自定）。</w:t>
      </w:r>
    </w:p>
    <w:p w14:paraId="54B08AB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10.3 供应商应提交证明文件，证明其提供内容符合响应文件规定。该证明文件是响应文件的一部分。</w:t>
      </w:r>
    </w:p>
    <w:p w14:paraId="5297D142">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10.4 上款所述的证明文件，可以是文字资料、图纸和数据等。</w:t>
      </w:r>
    </w:p>
    <w:p w14:paraId="3C59418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10.5 本项目采用纸质版响应文件。</w:t>
      </w:r>
    </w:p>
    <w:p w14:paraId="2E200D75">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 供应商提交的响应文件应包含以下各个部分，具体组成内容见第6章响应文件格式。</w:t>
      </w:r>
    </w:p>
    <w:p w14:paraId="2D4311E4">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10.6.1 商务部分</w:t>
      </w:r>
    </w:p>
    <w:p w14:paraId="5F7A4907">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 资信部分</w:t>
      </w:r>
    </w:p>
    <w:p w14:paraId="034463CC">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10.6.2.1 供应商须对提交的资格证明真实性、有效性、完整性负责，并保证无不诚信记录。</w:t>
      </w:r>
    </w:p>
    <w:p w14:paraId="20B529A8">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10.6.2.2 资格证明的字迹、印章必须完整、清晰，否则其响应文件将会被拒绝。</w:t>
      </w:r>
    </w:p>
    <w:p w14:paraId="5743A1D7">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 技术部分</w:t>
      </w:r>
    </w:p>
    <w:p w14:paraId="117D6CB8">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10.6.3.1 针对本项目的服务方案及相关承诺</w:t>
      </w:r>
    </w:p>
    <w:p w14:paraId="08F41FDD">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10.6.3.2 用于评分的其它材料 </w:t>
      </w:r>
    </w:p>
    <w:bookmarkEnd w:id="68"/>
    <w:p w14:paraId="7D1C01FA">
      <w:pPr>
        <w:pStyle w:val="4"/>
        <w:bidi w:val="0"/>
        <w:rPr>
          <w:rFonts w:hint="eastAsia" w:ascii="宋体" w:hAnsi="宋体" w:eastAsia="宋体" w:cs="宋体"/>
          <w:color w:val="auto"/>
          <w:highlight w:val="none"/>
        </w:rPr>
      </w:pPr>
      <w:bookmarkStart w:id="69" w:name="_Toc520356155"/>
      <w:bookmarkStart w:id="70" w:name="_Toc515647770"/>
      <w:bookmarkStart w:id="71" w:name="_Toc2248"/>
      <w:bookmarkStart w:id="72" w:name="_Toc23231"/>
      <w:r>
        <w:rPr>
          <w:rFonts w:hint="eastAsia" w:ascii="宋体" w:hAnsi="宋体" w:eastAsia="宋体" w:cs="宋体"/>
          <w:color w:val="auto"/>
          <w:highlight w:val="none"/>
        </w:rPr>
        <w:t>11.</w:t>
      </w:r>
      <w:bookmarkEnd w:id="69"/>
      <w:bookmarkEnd w:id="70"/>
      <w:bookmarkEnd w:id="71"/>
      <w:bookmarkEnd w:id="72"/>
      <w:r>
        <w:rPr>
          <w:rFonts w:hint="eastAsia" w:ascii="宋体" w:hAnsi="宋体" w:eastAsia="宋体" w:cs="宋体"/>
          <w:color w:val="auto"/>
          <w:highlight w:val="none"/>
        </w:rPr>
        <w:t>报价</w:t>
      </w:r>
    </w:p>
    <w:p w14:paraId="165191D2">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11.1 供应商的报价应当包括满足本次磋商全部采购需求所应提供的服务，以及伴随的货物或工程。报价要求详见供应商须知资料表。供应商的报价应遵守《中华人民共和国价格法》。</w:t>
      </w:r>
    </w:p>
    <w:p w14:paraId="619210D0">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11.2 供应商应在分项报价表上标明响应服务单价和总价，并由法定代表人（非法人组织的负责人）或其委托代理人签署。</w:t>
      </w:r>
    </w:p>
    <w:p w14:paraId="017244EF">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11.3 分项报价表上的价格应包括：</w:t>
      </w:r>
      <w:r>
        <w:rPr>
          <w:rFonts w:hint="eastAsia" w:ascii="宋体" w:hAnsi="宋体" w:eastAsia="宋体" w:cs="宋体"/>
          <w:color w:val="auto"/>
          <w:sz w:val="24"/>
          <w:highlight w:val="none"/>
          <w:lang w:val="en-US" w:eastAsia="zh-CN"/>
        </w:rPr>
        <w:t>服务人员</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税金、</w:t>
      </w:r>
      <w:r>
        <w:rPr>
          <w:rFonts w:hint="eastAsia" w:ascii="宋体" w:hAnsi="宋体" w:eastAsia="宋体" w:cs="宋体"/>
          <w:color w:val="auto"/>
          <w:sz w:val="24"/>
          <w:highlight w:val="none"/>
        </w:rPr>
        <w:t>管理和竞争性磋商文件要求提供的所有伴随费用。</w:t>
      </w:r>
    </w:p>
    <w:p w14:paraId="6D7223A2">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11.4</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供应商所报的各分项单价在合同履行过程中是固定不变的，不得以任何理由予以变更。任何包含价格调整要求的响应文件，其响应文件将被认定为无效。</w:t>
      </w:r>
    </w:p>
    <w:p w14:paraId="6B35777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11.5</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采购人不接受具有附加条件的报价或多个方案的报价。</w:t>
      </w:r>
    </w:p>
    <w:p w14:paraId="61DB0CA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11.6 通过资格性审查和符合性审查的供应商有再次报价的机会，但每一次报价均应以书面形式确认。价格的评审以最后报价为准。</w:t>
      </w:r>
    </w:p>
    <w:p w14:paraId="1B9865B3">
      <w:pPr>
        <w:pStyle w:val="4"/>
        <w:bidi w:val="0"/>
        <w:rPr>
          <w:rFonts w:hint="eastAsia" w:ascii="宋体" w:hAnsi="宋体" w:eastAsia="宋体" w:cs="宋体"/>
          <w:color w:val="auto"/>
          <w:highlight w:val="none"/>
        </w:rPr>
      </w:pPr>
      <w:bookmarkStart w:id="73" w:name="_Ref467306513"/>
      <w:bookmarkStart w:id="74" w:name="_Toc515647771"/>
      <w:bookmarkStart w:id="75" w:name="_Toc11514"/>
      <w:bookmarkStart w:id="76" w:name="_Toc520356156"/>
      <w:bookmarkStart w:id="77" w:name="_Toc17788"/>
      <w:r>
        <w:rPr>
          <w:rFonts w:hint="eastAsia" w:ascii="宋体" w:hAnsi="宋体" w:eastAsia="宋体" w:cs="宋体"/>
          <w:color w:val="auto"/>
          <w:highlight w:val="none"/>
        </w:rPr>
        <w:t>12.磋商保证金</w:t>
      </w:r>
      <w:bookmarkEnd w:id="73"/>
      <w:bookmarkEnd w:id="74"/>
      <w:bookmarkEnd w:id="75"/>
      <w:bookmarkEnd w:id="76"/>
      <w:bookmarkEnd w:id="77"/>
    </w:p>
    <w:p w14:paraId="6C62E5B6">
      <w:pPr>
        <w:tabs>
          <w:tab w:val="left" w:pos="0"/>
        </w:tabs>
        <w:spacing w:line="480" w:lineRule="exact"/>
        <w:ind w:firstLine="544" w:firstLineChars="227"/>
        <w:rPr>
          <w:rFonts w:hint="eastAsia" w:ascii="宋体" w:hAnsi="宋体" w:eastAsia="宋体" w:cs="宋体"/>
          <w:color w:val="auto"/>
          <w:sz w:val="24"/>
          <w:highlight w:val="none"/>
        </w:rPr>
      </w:pPr>
      <w:bookmarkStart w:id="78" w:name="_Ref467306302"/>
      <w:bookmarkStart w:id="79" w:name="_Toc32569"/>
      <w:bookmarkStart w:id="80" w:name="_Toc520356157"/>
      <w:bookmarkStart w:id="81" w:name="_Toc23590"/>
      <w:bookmarkStart w:id="82" w:name="_Toc515647772"/>
      <w:r>
        <w:rPr>
          <w:rFonts w:hint="eastAsia" w:ascii="宋体" w:hAnsi="宋体" w:eastAsia="宋体" w:cs="宋体"/>
          <w:color w:val="auto"/>
          <w:sz w:val="24"/>
          <w:highlight w:val="none"/>
        </w:rPr>
        <w:t>12.1</w:t>
      </w:r>
      <w:bookmarkEnd w:id="78"/>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根据鲁财采【2019】40号的规定，本项目不向诚信记录良好的供应商收取磋商保证金。</w:t>
      </w:r>
    </w:p>
    <w:p w14:paraId="2B6888A4">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12.2 供应商在磋商过程及成交后如有违反法律法规的情形，采购代理机构将如实上报政府采购监管部门。</w:t>
      </w:r>
    </w:p>
    <w:p w14:paraId="0C064187">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13.响应有效期</w:t>
      </w:r>
      <w:bookmarkEnd w:id="79"/>
      <w:bookmarkEnd w:id="80"/>
      <w:bookmarkEnd w:id="81"/>
      <w:bookmarkEnd w:id="82"/>
    </w:p>
    <w:p w14:paraId="3815050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13.1 响应应在供应商须知资料表中规定时间内保持有效。响应有效期不满足要求的响应，其响应文件将被认定为无效。</w:t>
      </w:r>
    </w:p>
    <w:p w14:paraId="02F6970C">
      <w:pPr>
        <w:tabs>
          <w:tab w:val="left" w:pos="0"/>
        </w:tabs>
        <w:spacing w:line="480" w:lineRule="exact"/>
        <w:ind w:firstLine="544" w:firstLineChars="227"/>
        <w:rPr>
          <w:rFonts w:hint="eastAsia" w:ascii="宋体" w:hAnsi="宋体" w:eastAsia="宋体" w:cs="宋体"/>
          <w:color w:val="auto"/>
          <w:sz w:val="24"/>
          <w:highlight w:val="none"/>
        </w:rPr>
      </w:pPr>
      <w:bookmarkStart w:id="83" w:name="_Toc17074"/>
      <w:bookmarkStart w:id="84" w:name="_Toc493"/>
      <w:bookmarkStart w:id="85" w:name="_Toc515647773"/>
      <w:bookmarkStart w:id="86" w:name="_Toc520356158"/>
      <w:r>
        <w:rPr>
          <w:rFonts w:hint="eastAsia" w:ascii="宋体" w:hAnsi="宋体" w:eastAsia="宋体" w:cs="宋体"/>
          <w:color w:val="auto"/>
          <w:sz w:val="24"/>
          <w:highlight w:val="none"/>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14:paraId="3C32D713">
      <w:pPr>
        <w:pStyle w:val="4"/>
        <w:bidi w:val="0"/>
        <w:rPr>
          <w:rFonts w:hint="eastAsia" w:ascii="宋体" w:hAnsi="宋体" w:eastAsia="宋体" w:cs="宋体"/>
          <w:color w:val="auto"/>
          <w:highlight w:val="none"/>
        </w:rPr>
      </w:pPr>
      <w:bookmarkStart w:id="87" w:name="_Toc19087083"/>
      <w:bookmarkStart w:id="88" w:name="_Toc518923077"/>
      <w:r>
        <w:rPr>
          <w:rFonts w:hint="eastAsia" w:ascii="宋体" w:hAnsi="宋体" w:eastAsia="宋体" w:cs="宋体"/>
          <w:color w:val="auto"/>
          <w:highlight w:val="none"/>
        </w:rPr>
        <w:t>14.响应文件的</w:t>
      </w:r>
      <w:bookmarkEnd w:id="87"/>
      <w:bookmarkEnd w:id="88"/>
      <w:r>
        <w:rPr>
          <w:rFonts w:hint="eastAsia" w:ascii="宋体" w:hAnsi="宋体" w:eastAsia="宋体" w:cs="宋体"/>
          <w:color w:val="auto"/>
          <w:highlight w:val="none"/>
        </w:rPr>
        <w:t>签署及规定</w:t>
      </w:r>
    </w:p>
    <w:p w14:paraId="2B7AE398">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14.1 按商务、资信、技术及报价四部分装订成一册响应文件，每册文件正本一份，副本份数见供应商须知资料表。正本和副本的封面上应清楚地标记“正本”或“副本”的字样。当副本和正本不一致时，以正本为准。</w:t>
      </w:r>
    </w:p>
    <w:p w14:paraId="370FCCC8">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2075A46C">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14.3 供应商在响应文件及相关文件的签订、履行、通知等事项书面文件中的单位盖章、印章、公章等处均仅指与当事人名称全称相一致的标准公章，不得使用其他形式（如带有“专用章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合同章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财务章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业务章”等字样）的印章；否则，磋商小组有权据此对其响应作无效报价处理。</w:t>
      </w:r>
    </w:p>
    <w:p w14:paraId="37C3C5C6">
      <w:pPr>
        <w:spacing w:line="480" w:lineRule="exact"/>
        <w:rPr>
          <w:rFonts w:hint="eastAsia" w:ascii="宋体" w:hAnsi="宋体" w:eastAsia="宋体" w:cs="宋体"/>
          <w:color w:val="auto"/>
          <w:sz w:val="24"/>
          <w:highlight w:val="none"/>
          <w:lang w:val="en-GB"/>
        </w:rPr>
      </w:pPr>
    </w:p>
    <w:p w14:paraId="56C15D58">
      <w:pPr>
        <w:pStyle w:val="3"/>
        <w:spacing w:before="0" w:line="480" w:lineRule="exact"/>
        <w:ind w:left="565" w:leftChars="12" w:hanging="540"/>
        <w:rPr>
          <w:rFonts w:hint="eastAsia" w:ascii="宋体" w:hAnsi="宋体" w:eastAsia="宋体" w:cs="宋体"/>
          <w:color w:val="auto"/>
          <w:sz w:val="28"/>
          <w:szCs w:val="28"/>
          <w:highlight w:val="none"/>
        </w:rPr>
      </w:pPr>
      <w:bookmarkStart w:id="89" w:name="_Toc515647774"/>
      <w:bookmarkStart w:id="90" w:name="_Toc11179"/>
      <w:bookmarkStart w:id="91" w:name="_Toc520356159"/>
      <w:bookmarkStart w:id="92" w:name="_Toc18853"/>
      <w:bookmarkStart w:id="93" w:name="_Toc16865"/>
      <w:bookmarkStart w:id="94" w:name="_Toc216582808"/>
      <w:bookmarkStart w:id="95" w:name="_Toc68259617"/>
      <w:r>
        <w:rPr>
          <w:rFonts w:hint="eastAsia" w:ascii="宋体" w:hAnsi="宋体" w:eastAsia="宋体" w:cs="宋体"/>
          <w:color w:val="auto"/>
          <w:sz w:val="28"/>
          <w:szCs w:val="28"/>
          <w:highlight w:val="none"/>
        </w:rPr>
        <w:t>四   响应文件的递交</w:t>
      </w:r>
      <w:bookmarkEnd w:id="89"/>
      <w:bookmarkEnd w:id="90"/>
      <w:bookmarkEnd w:id="91"/>
      <w:bookmarkEnd w:id="92"/>
      <w:bookmarkEnd w:id="93"/>
      <w:bookmarkEnd w:id="94"/>
      <w:bookmarkEnd w:id="95"/>
    </w:p>
    <w:p w14:paraId="3A3D61EF">
      <w:pPr>
        <w:pStyle w:val="4"/>
        <w:bidi w:val="0"/>
        <w:rPr>
          <w:rFonts w:hint="eastAsia" w:ascii="宋体" w:hAnsi="宋体" w:eastAsia="宋体" w:cs="宋体"/>
          <w:color w:val="auto"/>
          <w:highlight w:val="none"/>
        </w:rPr>
      </w:pPr>
      <w:bookmarkStart w:id="96" w:name="_Toc520356160"/>
      <w:bookmarkStart w:id="97" w:name="_Toc515647775"/>
      <w:bookmarkStart w:id="98" w:name="_Toc32337"/>
      <w:bookmarkStart w:id="99" w:name="_Toc21645"/>
      <w:r>
        <w:rPr>
          <w:rFonts w:hint="eastAsia" w:ascii="宋体" w:hAnsi="宋体" w:eastAsia="宋体" w:cs="宋体"/>
          <w:color w:val="auto"/>
          <w:highlight w:val="none"/>
        </w:rPr>
        <w:t>15.响应文件的密封和标记</w:t>
      </w:r>
      <w:bookmarkEnd w:id="96"/>
      <w:bookmarkEnd w:id="97"/>
      <w:bookmarkEnd w:id="98"/>
      <w:bookmarkEnd w:id="99"/>
    </w:p>
    <w:p w14:paraId="4F623AED">
      <w:pPr>
        <w:spacing w:line="480" w:lineRule="exact"/>
        <w:ind w:left="1" w:firstLine="283" w:firstLineChars="118"/>
        <w:rPr>
          <w:rFonts w:hint="eastAsia" w:ascii="宋体" w:hAnsi="宋体" w:eastAsia="宋体" w:cs="宋体"/>
          <w:color w:val="auto"/>
          <w:sz w:val="24"/>
          <w:highlight w:val="none"/>
        </w:rPr>
      </w:pPr>
      <w:bookmarkStart w:id="100" w:name="_Toc520356161"/>
      <w:bookmarkStart w:id="101" w:name="_Toc46238229"/>
      <w:bookmarkStart w:id="102" w:name="_Toc9840"/>
      <w:bookmarkStart w:id="103" w:name="_Toc12751"/>
      <w:bookmarkStart w:id="104" w:name="_Toc515647776"/>
      <w:r>
        <w:rPr>
          <w:rFonts w:hint="eastAsia" w:ascii="宋体" w:hAnsi="宋体" w:eastAsia="宋体" w:cs="宋体"/>
          <w:color w:val="auto"/>
          <w:sz w:val="24"/>
          <w:highlight w:val="none"/>
        </w:rPr>
        <w:t xml:space="preserve">15.1供应商应将响应文件以正本、副本、报价一览表（一式三份）、电子版为单位分别密封，并在密封件上标明密封件内容、项目编号、项目名称、供应商名称、包号等。 </w:t>
      </w:r>
    </w:p>
    <w:p w14:paraId="7B80C62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供应商将每部分响应文件装入信袋内加以密封后，并在封签处加盖公章或授权代表签字，如无公章或授权代表签字，响应文件将会被拒收。</w:t>
      </w:r>
    </w:p>
    <w:p w14:paraId="194CB78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15.3 因供应商对其响应文件密封不当或签署不当而造成响应文件被拒收，由供应商自行负责。</w:t>
      </w:r>
    </w:p>
    <w:p w14:paraId="5C756D82">
      <w:pPr>
        <w:pStyle w:val="4"/>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16.响应文件截止</w:t>
      </w:r>
      <w:bookmarkEnd w:id="100"/>
      <w:bookmarkEnd w:id="101"/>
      <w:bookmarkEnd w:id="102"/>
      <w:bookmarkEnd w:id="103"/>
      <w:bookmarkEnd w:id="104"/>
    </w:p>
    <w:p w14:paraId="1378000D">
      <w:pPr>
        <w:spacing w:line="480" w:lineRule="exact"/>
        <w:ind w:firstLine="480"/>
        <w:rPr>
          <w:rFonts w:hint="eastAsia" w:ascii="宋体" w:hAnsi="宋体" w:eastAsia="宋体" w:cs="宋体"/>
          <w:color w:val="auto"/>
          <w:sz w:val="24"/>
          <w:highlight w:val="none"/>
        </w:rPr>
      </w:pPr>
      <w:bookmarkStart w:id="105" w:name="_Toc518923081"/>
      <w:bookmarkStart w:id="106" w:name="_Toc520356162"/>
      <w:bookmarkStart w:id="107" w:name="_Toc46235089"/>
      <w:r>
        <w:rPr>
          <w:rFonts w:hint="eastAsia" w:ascii="宋体" w:hAnsi="宋体" w:eastAsia="宋体" w:cs="宋体"/>
          <w:color w:val="auto"/>
          <w:sz w:val="24"/>
          <w:highlight w:val="none"/>
        </w:rPr>
        <w:t>16.1 供应商递交响应文件的时间和地点：见供应商须知资料表。</w:t>
      </w:r>
    </w:p>
    <w:p w14:paraId="2D593C2F">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16.2</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采购人和采购代理机构将拒绝接收在提交响应文件截止时间后递交的响应文件。</w:t>
      </w:r>
    </w:p>
    <w:p w14:paraId="42EE0F7F">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16.3</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供应商所递交的响应文件不予退还。</w:t>
      </w:r>
    </w:p>
    <w:p w14:paraId="5B027BEC">
      <w:pPr>
        <w:pStyle w:val="4"/>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17.响应文件的接收、修改与撤回</w:t>
      </w:r>
      <w:bookmarkEnd w:id="105"/>
      <w:bookmarkEnd w:id="106"/>
      <w:bookmarkEnd w:id="107"/>
    </w:p>
    <w:p w14:paraId="59737875">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17.1 供应商在磋商文件要求提交响应文件的截止时间前，可以修改或者撤回已提交的响应文件，并书面形式通知代理机构。</w:t>
      </w:r>
    </w:p>
    <w:p w14:paraId="3FADBE36">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17.2 任何修改内容必须由供应商的法定代表人或其委托代理人签字，不得涂抹。经法定代表人或其委托代理人正式签署的修改文件组成响应文件的一部分，份数和密封要求同响应文件一致。</w:t>
      </w:r>
    </w:p>
    <w:p w14:paraId="08F60B6D">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17.3 磋商有效期内不得撤回，否则其磋商保证金不予退还（若有）。</w:t>
      </w:r>
    </w:p>
    <w:p w14:paraId="2427B199">
      <w:pPr>
        <w:spacing w:line="480" w:lineRule="exact"/>
        <w:rPr>
          <w:rFonts w:hint="eastAsia" w:ascii="宋体" w:hAnsi="宋体" w:eastAsia="宋体" w:cs="宋体"/>
          <w:color w:val="auto"/>
          <w:sz w:val="24"/>
          <w:highlight w:val="none"/>
        </w:rPr>
      </w:pPr>
    </w:p>
    <w:p w14:paraId="45608A16">
      <w:pPr>
        <w:pStyle w:val="3"/>
        <w:spacing w:before="0" w:line="480" w:lineRule="exact"/>
        <w:ind w:left="565" w:leftChars="12" w:hanging="540"/>
        <w:rPr>
          <w:rFonts w:hint="eastAsia" w:ascii="宋体" w:hAnsi="宋体" w:eastAsia="宋体" w:cs="宋体"/>
          <w:color w:val="auto"/>
          <w:sz w:val="28"/>
          <w:szCs w:val="28"/>
          <w:highlight w:val="none"/>
        </w:rPr>
      </w:pPr>
      <w:bookmarkStart w:id="108" w:name="_Toc515647778"/>
      <w:bookmarkStart w:id="109" w:name="_Toc19536"/>
      <w:bookmarkStart w:id="110" w:name="_Toc216582809"/>
      <w:bookmarkStart w:id="111" w:name="_Toc12436"/>
      <w:bookmarkStart w:id="112" w:name="_Toc68259618"/>
      <w:bookmarkStart w:id="113" w:name="_Toc520356163"/>
      <w:bookmarkStart w:id="114" w:name="_Toc28398"/>
      <w:r>
        <w:rPr>
          <w:rFonts w:hint="eastAsia" w:ascii="宋体" w:hAnsi="宋体" w:eastAsia="宋体" w:cs="宋体"/>
          <w:color w:val="auto"/>
          <w:sz w:val="28"/>
          <w:szCs w:val="28"/>
          <w:highlight w:val="none"/>
        </w:rPr>
        <w:t>五   提交响应文件截止及磋商</w:t>
      </w:r>
      <w:bookmarkEnd w:id="108"/>
      <w:bookmarkEnd w:id="109"/>
      <w:bookmarkEnd w:id="110"/>
      <w:bookmarkEnd w:id="111"/>
      <w:bookmarkEnd w:id="112"/>
      <w:bookmarkEnd w:id="113"/>
      <w:bookmarkEnd w:id="114"/>
    </w:p>
    <w:p w14:paraId="54413C33">
      <w:pPr>
        <w:pStyle w:val="4"/>
        <w:bidi w:val="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18.</w:t>
      </w:r>
      <w:r>
        <w:rPr>
          <w:rFonts w:hint="eastAsia" w:ascii="宋体" w:hAnsi="宋体" w:eastAsia="宋体" w:cs="宋体"/>
          <w:color w:val="auto"/>
          <w:highlight w:val="none"/>
        </w:rPr>
        <w:t>提交响应文件截止</w:t>
      </w:r>
    </w:p>
    <w:p w14:paraId="71F527F6">
      <w:pPr>
        <w:spacing w:line="480" w:lineRule="exact"/>
        <w:ind w:firstLine="480"/>
        <w:rPr>
          <w:rFonts w:hint="eastAsia" w:ascii="宋体" w:hAnsi="宋体" w:eastAsia="宋体" w:cs="宋体"/>
          <w:b/>
          <w:color w:val="auto"/>
          <w:sz w:val="24"/>
          <w:highlight w:val="none"/>
        </w:rPr>
      </w:pPr>
      <w:bookmarkStart w:id="115" w:name="_Toc520356165"/>
      <w:bookmarkStart w:id="116" w:name="_Toc21372"/>
      <w:bookmarkStart w:id="117" w:name="_Toc515647780"/>
      <w:bookmarkStart w:id="118" w:name="_Toc19296"/>
      <w:r>
        <w:rPr>
          <w:rFonts w:hint="eastAsia" w:ascii="宋体" w:hAnsi="宋体" w:eastAsia="宋体" w:cs="宋体"/>
          <w:b/>
          <w:color w:val="auto"/>
          <w:sz w:val="24"/>
          <w:highlight w:val="none"/>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5366B22D">
      <w:pPr>
        <w:spacing w:line="480" w:lineRule="exact"/>
        <w:ind w:firstLine="48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18.2 磋商截止时间后，不允许对响应文件做实质性修改，同时采购人和采购代理机构对所接收响应文件概不退回。</w:t>
      </w:r>
    </w:p>
    <w:p w14:paraId="13D3EB09">
      <w:pPr>
        <w:pStyle w:val="4"/>
        <w:bidi w:val="0"/>
        <w:rPr>
          <w:rFonts w:hint="eastAsia" w:ascii="宋体" w:hAnsi="宋体" w:eastAsia="宋体" w:cs="宋体"/>
          <w:color w:val="auto"/>
          <w:highlight w:val="none"/>
        </w:rPr>
      </w:pPr>
      <w:bookmarkStart w:id="119" w:name="_Toc411637993"/>
      <w:r>
        <w:rPr>
          <w:rFonts w:hint="eastAsia" w:ascii="宋体" w:hAnsi="宋体" w:eastAsia="宋体" w:cs="宋体"/>
          <w:color w:val="auto"/>
          <w:highlight w:val="none"/>
        </w:rPr>
        <w:t>19.磋商小组</w:t>
      </w:r>
      <w:bookmarkEnd w:id="119"/>
    </w:p>
    <w:p w14:paraId="1F89461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19.1 采购代理机构将按照《中华人民共和国政府采购法》及有关规定组建磋商小组。磋商小组由采购人代表及有关经济、技术等方面的专家</w:t>
      </w:r>
      <w:r>
        <w:rPr>
          <w:rFonts w:hint="eastAsia" w:ascii="宋体" w:hAnsi="宋体" w:eastAsia="宋体" w:cs="宋体"/>
          <w:b/>
          <w:bCs/>
          <w:color w:val="auto"/>
          <w:sz w:val="24"/>
          <w:highlight w:val="none"/>
          <w:u w:val="single"/>
        </w:rPr>
        <w:t>3</w:t>
      </w:r>
      <w:r>
        <w:rPr>
          <w:rFonts w:hint="eastAsia" w:ascii="宋体" w:hAnsi="宋体" w:eastAsia="宋体" w:cs="宋体"/>
          <w:color w:val="auto"/>
          <w:sz w:val="24"/>
          <w:highlight w:val="none"/>
        </w:rPr>
        <w:t>人组成。</w:t>
      </w:r>
    </w:p>
    <w:p w14:paraId="6321139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6A82F44A">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19.3 磋商小组的职责：</w:t>
      </w:r>
    </w:p>
    <w:p w14:paraId="028ACA6E">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（1）审查响应文件是否符合磋商文件要求；</w:t>
      </w:r>
    </w:p>
    <w:p w14:paraId="692AFA99">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（2）要求供应商对响应文件有关事项做出解释或者澄清；</w:t>
      </w:r>
    </w:p>
    <w:p w14:paraId="1BFFB8C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（3）按照磋商文件规定的评分标准进行评比和打分；</w:t>
      </w:r>
    </w:p>
    <w:p w14:paraId="14256E8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（4）推荐成交候选供应商名单，或者受采购人委托按照事先确定的办法直接确定成交供应商；</w:t>
      </w:r>
    </w:p>
    <w:p w14:paraId="2A6337E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（5）向采购单位或者有关部门报告非法干预评审工作的行为。</w:t>
      </w:r>
    </w:p>
    <w:p w14:paraId="6ACD9ED9">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19.4 磋商小组的义务：</w:t>
      </w:r>
    </w:p>
    <w:p w14:paraId="23B9E30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（1）遵纪守法，客观、公正、廉洁地履行职责；</w:t>
      </w:r>
    </w:p>
    <w:p w14:paraId="6B023D1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（2）根据采购文件的规定独立进行评审，对个人的评审意见承担法律责任；</w:t>
      </w:r>
    </w:p>
    <w:p w14:paraId="48983E1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（3）参与评审报告的起草；</w:t>
      </w:r>
    </w:p>
    <w:p w14:paraId="2450556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（4）配合采购人、采购代理机构答复供应商提出的质疑；</w:t>
      </w:r>
    </w:p>
    <w:p w14:paraId="083818B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（5）配合财政部门的投诉处理和监督检查工作。</w:t>
      </w:r>
    </w:p>
    <w:p w14:paraId="4A57CF74">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20.</w:t>
      </w:r>
      <w:bookmarkEnd w:id="115"/>
      <w:r>
        <w:rPr>
          <w:rFonts w:hint="eastAsia" w:ascii="宋体" w:hAnsi="宋体" w:eastAsia="宋体" w:cs="宋体"/>
          <w:color w:val="auto"/>
          <w:highlight w:val="none"/>
        </w:rPr>
        <w:t>资格审查</w:t>
      </w:r>
      <w:bookmarkEnd w:id="116"/>
      <w:bookmarkEnd w:id="117"/>
      <w:bookmarkEnd w:id="118"/>
    </w:p>
    <w:p w14:paraId="488A1413">
      <w:pPr>
        <w:spacing w:line="480" w:lineRule="exact"/>
        <w:ind w:firstLine="480"/>
        <w:rPr>
          <w:rFonts w:hint="eastAsia" w:ascii="宋体" w:hAnsi="宋体" w:eastAsia="宋体" w:cs="宋体"/>
          <w:color w:val="auto"/>
          <w:sz w:val="24"/>
          <w:highlight w:val="none"/>
        </w:rPr>
      </w:pPr>
      <w:bookmarkStart w:id="120" w:name="_Toc520356166"/>
      <w:bookmarkStart w:id="121" w:name="_Toc515647781"/>
      <w:bookmarkStart w:id="122" w:name="_Toc19949"/>
      <w:bookmarkStart w:id="123" w:name="_Toc28479"/>
      <w:r>
        <w:rPr>
          <w:rFonts w:hint="eastAsia" w:ascii="宋体" w:hAnsi="宋体" w:eastAsia="宋体" w:cs="宋体"/>
          <w:color w:val="auto"/>
          <w:sz w:val="24"/>
          <w:highlight w:val="none"/>
        </w:rPr>
        <w:t>20.1 磋商小组依据法律法规和竞争性磋商文件中规定的内容，对供应商的资格进行审查。未通过资格审查的供应商不进入磋商；通过资格审查的供应商不足3家的，不得磋商。</w:t>
      </w:r>
    </w:p>
    <w:p w14:paraId="2943A21E">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 采购人或采购代理机构将按供应商须知资料表查询供应商的信用记录。</w:t>
      </w:r>
    </w:p>
    <w:p w14:paraId="201602A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供应商在中国政府采购网（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www.ccgp.gov.cn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）被列入政府采购严重违法失信行为记录名单，或在“信用中国”网站（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www.creditchina.gov.cn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或</w:t>
      </w:r>
      <w:r>
        <w:rPr>
          <w:rFonts w:hint="eastAsia" w:ascii="宋体" w:hAnsi="宋体" w:eastAsia="宋体" w:cs="宋体"/>
          <w:color w:val="auto"/>
          <w:sz w:val="24"/>
          <w:highlight w:val="none"/>
        </w:rPr>
        <w:t>“信用山东”网站（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"http://www.creditsd.gov.cn"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www.creditsd.gov.cn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，以及存在《中华人民共和国政府采购法实施条例》第十九条规定的行政处罚记录。</w:t>
      </w:r>
    </w:p>
    <w:p w14:paraId="7F7A8D8A">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以联合体形式进行响应的，联合体任何成员存在以上不良信用记录的，联合体其响应文件将被认定为无效</w:t>
      </w:r>
    </w:p>
    <w:p w14:paraId="677AC6B2">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20.2.2 采购人或采购代理机构将信用记录查询网页打印并存档备查。供应商信用记录以采购人或采购代理机构查询结果为准。供应商自行提供的与网站信息不一致的其他证明材料亦不作为资格审查的依据。</w:t>
      </w:r>
    </w:p>
    <w:p w14:paraId="3028C221">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在本竞争性磋商文件规定的查询时间之后，网站信息发生的任何变更均不再作为磋商依据。</w:t>
      </w:r>
    </w:p>
    <w:p w14:paraId="47AB7140">
      <w:pPr>
        <w:spacing w:line="44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0</w:t>
      </w:r>
      <w:r>
        <w:rPr>
          <w:rFonts w:hint="eastAsia" w:ascii="宋体" w:hAnsi="宋体" w:eastAsia="宋体" w:cs="宋体"/>
          <w:color w:val="auto"/>
          <w:sz w:val="24"/>
          <w:highlight w:val="none"/>
        </w:rPr>
        <w:t xml:space="preserve">.3 </w:t>
      </w:r>
      <w:r>
        <w:rPr>
          <w:rFonts w:hint="eastAsia" w:ascii="宋体" w:hAnsi="宋体" w:eastAsia="宋体" w:cs="宋体"/>
          <w:b w:val="0"/>
          <w:bCs w:val="0"/>
          <w:color w:val="auto"/>
          <w:sz w:val="24"/>
          <w:highlight w:val="none"/>
        </w:rPr>
        <w:t>根据《政府采购促进中小企业发展管理办法》（财库〔2020〕46号）、《财政部司法部关于政府采购支持监狱企业发展有关问题的通知》（财库〔2014〕68号）和《三部门联合发布关于促进残疾人就业政府采购政策的通知》（</w:t>
      </w:r>
      <w:bookmarkStart w:id="124" w:name="sendNo"/>
      <w:r>
        <w:rPr>
          <w:rFonts w:hint="eastAsia" w:ascii="宋体" w:hAnsi="宋体" w:eastAsia="宋体" w:cs="宋体"/>
          <w:b w:val="0"/>
          <w:bCs w:val="0"/>
          <w:color w:val="auto"/>
          <w:sz w:val="24"/>
          <w:highlight w:val="none"/>
        </w:rPr>
        <w:t>财库〔</w:t>
      </w:r>
      <w:bookmarkEnd w:id="124"/>
      <w:r>
        <w:rPr>
          <w:rFonts w:hint="eastAsia" w:ascii="宋体" w:hAnsi="宋体" w:eastAsia="宋体" w:cs="宋体"/>
          <w:b w:val="0"/>
          <w:bCs w:val="0"/>
          <w:color w:val="auto"/>
          <w:sz w:val="24"/>
          <w:highlight w:val="none"/>
        </w:rPr>
        <w:t>2017〕141号）的规定，对满足中小微企业条件且在响应文件中提交了相关声明函</w:t>
      </w:r>
      <w:r>
        <w:rPr>
          <w:rFonts w:hint="eastAsia" w:ascii="宋体" w:hAnsi="宋体" w:eastAsia="宋体" w:cs="宋体"/>
          <w:b w:val="0"/>
          <w:bCs w:val="0"/>
          <w:color w:val="auto"/>
          <w:sz w:val="24"/>
          <w:highlight w:val="none"/>
          <w:lang w:val="en-US" w:eastAsia="zh-CN"/>
        </w:rPr>
        <w:t>的残疾人企业</w:t>
      </w:r>
      <w:r>
        <w:rPr>
          <w:rFonts w:hint="eastAsia" w:ascii="宋体" w:hAnsi="宋体" w:eastAsia="宋体" w:cs="宋体"/>
          <w:b w:val="0"/>
          <w:bCs w:val="0"/>
          <w:color w:val="auto"/>
          <w:sz w:val="24"/>
          <w:highlight w:val="none"/>
        </w:rPr>
        <w:t>或省级以上监狱管理局、戒毒管理局（含新疆生产建设兵团）出具的属于监狱企业的证明文件的供应商</w:t>
      </w:r>
      <w:r>
        <w:rPr>
          <w:rFonts w:hint="eastAsia" w:ascii="宋体" w:hAnsi="宋体" w:cs="宋体"/>
          <w:b w:val="0"/>
          <w:bCs w:val="0"/>
          <w:color w:val="auto"/>
          <w:sz w:val="24"/>
          <w:highlight w:val="none"/>
          <w:lang w:val="en-US" w:eastAsia="zh-CN"/>
        </w:rPr>
        <w:t>均符合</w:t>
      </w:r>
      <w:r>
        <w:rPr>
          <w:rFonts w:hint="eastAsia" w:ascii="宋体" w:hAnsi="宋体" w:eastAsia="宋体" w:cs="宋体"/>
          <w:b w:val="0"/>
          <w:bCs w:val="0"/>
          <w:color w:val="auto"/>
          <w:sz w:val="24"/>
          <w:highlight w:val="none"/>
        </w:rPr>
        <w:t>投标报价扣除要求。</w:t>
      </w:r>
    </w:p>
    <w:p w14:paraId="6C622CDC">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21.响应文件</w:t>
      </w:r>
      <w:bookmarkEnd w:id="120"/>
      <w:r>
        <w:rPr>
          <w:rFonts w:hint="eastAsia" w:ascii="宋体" w:hAnsi="宋体" w:eastAsia="宋体" w:cs="宋体"/>
          <w:color w:val="auto"/>
          <w:highlight w:val="none"/>
        </w:rPr>
        <w:t>符合性审查与澄清</w:t>
      </w:r>
      <w:bookmarkEnd w:id="121"/>
      <w:bookmarkEnd w:id="122"/>
      <w:bookmarkEnd w:id="123"/>
    </w:p>
    <w:p w14:paraId="11B08E2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25" w:name="_Hlt522424701"/>
      <w:bookmarkEnd w:id="125"/>
      <w:bookmarkStart w:id="126" w:name="_Toc520356167"/>
    </w:p>
    <w:p w14:paraId="72D5760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21.2  经磋商小组集体审核通过，对于不符合条件的供应商要说明其不符合要求的原因，由其法定代表人或授权代表签字确认，供应商代表拒不签字的，并不影响磋商小组所做出的结论。</w:t>
      </w:r>
    </w:p>
    <w:p w14:paraId="636762B9">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响应文件的澄清</w:t>
      </w:r>
    </w:p>
    <w:p w14:paraId="59C6133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72221BE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21.3.2 供应商的澄清、说明或补正将作为响应文件的一部分。</w:t>
      </w:r>
    </w:p>
    <w:p w14:paraId="6048094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5863639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21.4  已提交响应文件的供应商，在提交最后报价之前，可以根据磋商情况退出磋商。</w:t>
      </w:r>
    </w:p>
    <w:p w14:paraId="00ED6A3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21.5 磋商小组可以接受响应文件中不构成实质性偏离的不正规或不一致。</w:t>
      </w:r>
    </w:p>
    <w:p w14:paraId="10B45956">
      <w:pPr>
        <w:pStyle w:val="4"/>
        <w:bidi w:val="0"/>
        <w:rPr>
          <w:rFonts w:hint="eastAsia" w:ascii="宋体" w:hAnsi="宋体" w:eastAsia="宋体" w:cs="宋体"/>
          <w:color w:val="auto"/>
          <w:highlight w:val="none"/>
        </w:rPr>
      </w:pPr>
      <w:bookmarkStart w:id="127" w:name="_Toc515647783"/>
      <w:bookmarkStart w:id="128" w:name="_Toc4950"/>
      <w:bookmarkStart w:id="129" w:name="_Toc6092"/>
      <w:r>
        <w:rPr>
          <w:rFonts w:hint="eastAsia" w:ascii="宋体" w:hAnsi="宋体" w:eastAsia="宋体" w:cs="宋体"/>
          <w:color w:val="auto"/>
          <w:highlight w:val="none"/>
        </w:rPr>
        <w:t>22.</w:t>
      </w:r>
      <w:bookmarkEnd w:id="127"/>
      <w:r>
        <w:rPr>
          <w:rFonts w:hint="eastAsia" w:ascii="宋体" w:hAnsi="宋体" w:eastAsia="宋体" w:cs="宋体"/>
          <w:color w:val="auto"/>
          <w:highlight w:val="none"/>
        </w:rPr>
        <w:t>无效</w:t>
      </w:r>
      <w:bookmarkEnd w:id="128"/>
      <w:bookmarkEnd w:id="129"/>
      <w:r>
        <w:rPr>
          <w:rFonts w:hint="eastAsia" w:ascii="宋体" w:hAnsi="宋体" w:eastAsia="宋体" w:cs="宋体"/>
          <w:color w:val="auto"/>
          <w:highlight w:val="none"/>
        </w:rPr>
        <w:t>响应</w:t>
      </w:r>
    </w:p>
    <w:p w14:paraId="727E43CF">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22.1在比较与评价之前，根据本须知的规定，磋商小组要审查每份响应文件是否实质上响应了竞争性磋商文件的要求，未实质性响应磋商文件的响应文件按无效响应处理。</w:t>
      </w:r>
    </w:p>
    <w:p w14:paraId="4121BFD2">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22.2</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如发现下列情况之一的，其响应将被认定为无效响应：</w:t>
      </w:r>
    </w:p>
    <w:p w14:paraId="21B5E29C">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（1）未按照竞争性磋商文件规定要求签署、盖章的；</w:t>
      </w:r>
    </w:p>
    <w:p w14:paraId="2316D67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（2）未满足竞争性磋商文件商务和技术条款的实质性要求的；</w:t>
      </w:r>
    </w:p>
    <w:p w14:paraId="14AF4312">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（3）违反竞争性磋商文件规定不符合政府采购政策资格要求的；</w:t>
      </w:r>
    </w:p>
    <w:p w14:paraId="6FFCC04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（4）报价超过项目预算或最高限价的；</w:t>
      </w:r>
    </w:p>
    <w:p w14:paraId="5F15737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（5）响应有效期不足的；</w:t>
      </w:r>
    </w:p>
    <w:p w14:paraId="7D75E3C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（6）联合体响应文件未附联合体响应协议书的；</w:t>
      </w:r>
    </w:p>
    <w:p w14:paraId="1D90698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（7）不符合竞争性磋商文件中有关分包规定的；</w:t>
      </w:r>
    </w:p>
    <w:p w14:paraId="5803015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（8）属于串通响应，或者依法被视为串通响应；</w:t>
      </w:r>
    </w:p>
    <w:p w14:paraId="419A801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（9）响应文件含有采购人不能接受的附加条件的；</w:t>
      </w:r>
    </w:p>
    <w:p w14:paraId="7B4D010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（10）属于竞争性磋商文件规定的其他无效响应情形的；</w:t>
      </w:r>
    </w:p>
    <w:p w14:paraId="0461598E">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（11）不符合法规和竞争性磋商文件中规定的其他实质性要求的。</w:t>
      </w:r>
    </w:p>
    <w:p w14:paraId="7B7BF643">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23.磋商</w:t>
      </w:r>
    </w:p>
    <w:p w14:paraId="1E3103B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23.1 磋商小组所有成员集中与供应商分别单独进行磋商。</w:t>
      </w:r>
    </w:p>
    <w:p w14:paraId="05DED1A2">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14:paraId="25BF0632">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23.3 对磋商文件作出的实质性变动是磋商文件的有效组成部分，磋商小组应当及时以书面形式同时通知所有参加磋商的供应商。</w:t>
      </w:r>
    </w:p>
    <w:p w14:paraId="4388C3C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23.4 供应商应当按照磋商文件的变动情况和磋商小组的要求重新提交响应文件，并由其法定代表人/负责人或委托代理人签字。供应商为自然人的，应当由本人签字并附身份证明。</w:t>
      </w:r>
    </w:p>
    <w:p w14:paraId="16F1E31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eastAsia="宋体" w:cs="宋体"/>
          <w:b/>
          <w:bCs/>
          <w:color w:val="auto"/>
          <w:sz w:val="24"/>
          <w:highlight w:val="none"/>
        </w:rPr>
        <w:t>分项报价按总价下浮比例同比例下调。</w:t>
      </w:r>
    </w:p>
    <w:p w14:paraId="090A603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23.6 最后报价是供应商响应文件的有效组成部分，供应商法定代表人/负责人或委托代理人对最后报价书面签字确认。</w:t>
      </w:r>
    </w:p>
    <w:p w14:paraId="62AA668E">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23.7已提交响应文件的供应商，在提交最后报价之前，可以根据磋商情况退出磋商。该退出申请由供应商法定代表人/负责人或委托代理人书面签字确认。</w:t>
      </w:r>
    </w:p>
    <w:p w14:paraId="4A4707DE">
      <w:pPr>
        <w:pStyle w:val="4"/>
        <w:bidi w:val="0"/>
        <w:rPr>
          <w:rFonts w:hint="eastAsia" w:ascii="宋体" w:hAnsi="宋体" w:eastAsia="宋体" w:cs="宋体"/>
          <w:color w:val="auto"/>
          <w:highlight w:val="none"/>
        </w:rPr>
      </w:pPr>
      <w:bookmarkStart w:id="130" w:name="_Toc22941"/>
      <w:bookmarkStart w:id="131" w:name="_Toc515647784"/>
      <w:bookmarkStart w:id="132" w:name="_Toc13652"/>
      <w:r>
        <w:rPr>
          <w:rFonts w:hint="eastAsia" w:ascii="宋体" w:hAnsi="宋体" w:eastAsia="宋体" w:cs="宋体"/>
          <w:color w:val="auto"/>
          <w:highlight w:val="none"/>
        </w:rPr>
        <w:t>24.</w:t>
      </w:r>
      <w:bookmarkEnd w:id="126"/>
      <w:bookmarkEnd w:id="130"/>
      <w:bookmarkEnd w:id="131"/>
      <w:bookmarkEnd w:id="132"/>
      <w:r>
        <w:rPr>
          <w:rFonts w:hint="eastAsia" w:ascii="宋体" w:hAnsi="宋体" w:eastAsia="宋体" w:cs="宋体"/>
          <w:color w:val="auto"/>
          <w:highlight w:val="none"/>
        </w:rPr>
        <w:t>比较和评价</w:t>
      </w:r>
    </w:p>
    <w:p w14:paraId="31911E8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24.1 经磋商确定最终采购需求和提交最后报价的供应商后，磋商小组将根据竞争性磋商文件确定的评审方法和标准，对其技术部分和商务部分作进一步的比较和评价。</w:t>
      </w:r>
    </w:p>
    <w:p w14:paraId="44C6A50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24.2 磋商严格按照竞争性磋商文件的要求和条件进行。详细评审标准见竞争性磋商文件第5章。</w:t>
      </w:r>
    </w:p>
    <w:p w14:paraId="78195FEC">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综合评分法，是指响应文件满足竞争性磋商文件全部要求，且按照评审因素的量化指标评审得分最高的供应商为成交候选供应商的评审方法。</w:t>
      </w:r>
    </w:p>
    <w:p w14:paraId="30A82A78">
      <w:pPr>
        <w:pStyle w:val="4"/>
        <w:bidi w:val="0"/>
        <w:rPr>
          <w:rFonts w:hint="eastAsia" w:ascii="宋体" w:hAnsi="宋体" w:eastAsia="宋体" w:cs="宋体"/>
          <w:color w:val="auto"/>
          <w:highlight w:val="none"/>
        </w:rPr>
      </w:pPr>
      <w:bookmarkStart w:id="133" w:name="_Toc520356168"/>
      <w:bookmarkStart w:id="134" w:name="_Toc9378"/>
      <w:bookmarkStart w:id="135" w:name="_Toc515647785"/>
      <w:bookmarkStart w:id="136" w:name="_Toc20227"/>
      <w:r>
        <w:rPr>
          <w:rFonts w:hint="eastAsia" w:ascii="宋体" w:hAnsi="宋体" w:eastAsia="宋体" w:cs="宋体"/>
          <w:color w:val="auto"/>
          <w:highlight w:val="none"/>
        </w:rPr>
        <w:t>2</w:t>
      </w:r>
      <w:bookmarkEnd w:id="133"/>
      <w:r>
        <w:rPr>
          <w:rFonts w:hint="eastAsia" w:ascii="宋体" w:hAnsi="宋体" w:eastAsia="宋体" w:cs="宋体"/>
          <w:color w:val="auto"/>
          <w:highlight w:val="none"/>
        </w:rPr>
        <w:t>5.</w:t>
      </w:r>
      <w:bookmarkEnd w:id="134"/>
      <w:bookmarkEnd w:id="135"/>
      <w:bookmarkEnd w:id="136"/>
      <w:r>
        <w:rPr>
          <w:rFonts w:hint="eastAsia" w:ascii="宋体" w:hAnsi="宋体" w:eastAsia="宋体" w:cs="宋体"/>
          <w:color w:val="auto"/>
          <w:highlight w:val="none"/>
        </w:rPr>
        <w:t xml:space="preserve"> 采购项目终止</w:t>
      </w:r>
    </w:p>
    <w:p w14:paraId="109CEC4C">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出现下列情形之一的，采购人应当终止竞争性磋商采购活动，发布项目终止公告并说明原因，重新开展采购活动：</w:t>
      </w:r>
    </w:p>
    <w:p w14:paraId="5CB4B7A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（1）因情况变化，不再符合规定的竞争性磋商采购方式适用情形的；</w:t>
      </w:r>
    </w:p>
    <w:p w14:paraId="68CECB9F">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（2）出现影响采购公正的违法、违规行为的；</w:t>
      </w:r>
    </w:p>
    <w:p w14:paraId="006771C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（3）除《政府采购竞争性磋商采购方式管理暂行办法》第三条第四项规定的情形外，在采购过程中符合要求的供应商或者报价未超过采购预算的供应商不足3家的。</w:t>
      </w:r>
    </w:p>
    <w:p w14:paraId="0AC0AC7C">
      <w:pPr>
        <w:pStyle w:val="4"/>
        <w:bidi w:val="0"/>
        <w:rPr>
          <w:rFonts w:hint="eastAsia" w:ascii="宋体" w:hAnsi="宋体" w:eastAsia="宋体" w:cs="宋体"/>
          <w:color w:val="auto"/>
          <w:highlight w:val="none"/>
        </w:rPr>
      </w:pPr>
      <w:bookmarkStart w:id="137" w:name="_Toc24972"/>
      <w:bookmarkStart w:id="138" w:name="_Toc31289"/>
      <w:bookmarkStart w:id="139" w:name="_Toc515647786"/>
      <w:bookmarkStart w:id="140" w:name="_Toc520356169"/>
      <w:r>
        <w:rPr>
          <w:rFonts w:hint="eastAsia" w:ascii="宋体" w:hAnsi="宋体" w:eastAsia="宋体" w:cs="宋体"/>
          <w:color w:val="auto"/>
          <w:highlight w:val="none"/>
        </w:rPr>
        <w:t>26.保密</w:t>
      </w:r>
      <w:bookmarkEnd w:id="137"/>
      <w:bookmarkEnd w:id="138"/>
      <w:bookmarkEnd w:id="139"/>
      <w:r>
        <w:rPr>
          <w:rFonts w:hint="eastAsia" w:ascii="宋体" w:hAnsi="宋体" w:eastAsia="宋体" w:cs="宋体"/>
          <w:color w:val="auto"/>
          <w:highlight w:val="none"/>
        </w:rPr>
        <w:t>要求</w:t>
      </w:r>
    </w:p>
    <w:p w14:paraId="6FCEF819">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26.1 磋商将在严格保密的情况下进行。</w:t>
      </w:r>
    </w:p>
    <w:p w14:paraId="21D38F3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26.2 政府采购评审专家应当遵守磋商工作纪律，不得记录、复制或者带走任何评标资料，不得泄露磋商文件、磋商情况和磋商中获悉的商业秘密。</w:t>
      </w:r>
    </w:p>
    <w:p w14:paraId="012641D9">
      <w:pPr>
        <w:pStyle w:val="3"/>
        <w:spacing w:before="0" w:line="480" w:lineRule="exact"/>
        <w:ind w:left="565" w:leftChars="12" w:hanging="540"/>
        <w:rPr>
          <w:rFonts w:hint="eastAsia" w:ascii="宋体" w:hAnsi="宋体" w:eastAsia="宋体" w:cs="宋体"/>
          <w:color w:val="auto"/>
          <w:sz w:val="28"/>
          <w:szCs w:val="28"/>
          <w:highlight w:val="none"/>
        </w:rPr>
      </w:pPr>
      <w:bookmarkStart w:id="141" w:name="_Toc216582810"/>
      <w:bookmarkStart w:id="142" w:name="_Toc68259619"/>
      <w:bookmarkStart w:id="143" w:name="_Toc23904"/>
      <w:bookmarkStart w:id="144" w:name="_Toc12143"/>
      <w:bookmarkStart w:id="145" w:name="_Toc27908"/>
      <w:bookmarkStart w:id="146" w:name="_Toc515647787"/>
      <w:r>
        <w:rPr>
          <w:rFonts w:hint="eastAsia" w:ascii="宋体" w:hAnsi="宋体" w:eastAsia="宋体" w:cs="宋体"/>
          <w:color w:val="auto"/>
          <w:sz w:val="28"/>
          <w:szCs w:val="28"/>
          <w:highlight w:val="none"/>
        </w:rPr>
        <w:t xml:space="preserve">六   </w:t>
      </w:r>
      <w:bookmarkEnd w:id="140"/>
      <w:r>
        <w:rPr>
          <w:rFonts w:hint="eastAsia" w:ascii="宋体" w:hAnsi="宋体" w:eastAsia="宋体" w:cs="宋体"/>
          <w:color w:val="auto"/>
          <w:sz w:val="28"/>
          <w:szCs w:val="28"/>
          <w:highlight w:val="none"/>
        </w:rPr>
        <w:t>确定成交</w:t>
      </w:r>
      <w:bookmarkEnd w:id="141"/>
      <w:bookmarkEnd w:id="142"/>
      <w:bookmarkEnd w:id="143"/>
      <w:bookmarkEnd w:id="144"/>
      <w:bookmarkEnd w:id="145"/>
      <w:bookmarkEnd w:id="146"/>
    </w:p>
    <w:p w14:paraId="5689DB69">
      <w:pPr>
        <w:pStyle w:val="4"/>
        <w:bidi w:val="0"/>
        <w:rPr>
          <w:rFonts w:hint="eastAsia" w:ascii="宋体" w:hAnsi="宋体" w:eastAsia="宋体" w:cs="宋体"/>
          <w:color w:val="auto"/>
          <w:highlight w:val="none"/>
        </w:rPr>
      </w:pPr>
      <w:bookmarkStart w:id="147" w:name="_Toc520356170"/>
      <w:bookmarkStart w:id="148" w:name="_Toc23762"/>
      <w:bookmarkStart w:id="149" w:name="_Ref467307010"/>
      <w:bookmarkStart w:id="150" w:name="_Toc23617"/>
      <w:bookmarkStart w:id="151" w:name="_Toc515647788"/>
      <w:r>
        <w:rPr>
          <w:rFonts w:hint="eastAsia" w:ascii="宋体" w:hAnsi="宋体" w:eastAsia="宋体" w:cs="宋体"/>
          <w:color w:val="auto"/>
          <w:highlight w:val="none"/>
        </w:rPr>
        <w:t>27.成交候选供应商的确定原则及标准</w:t>
      </w:r>
      <w:bookmarkEnd w:id="147"/>
      <w:bookmarkEnd w:id="148"/>
      <w:bookmarkEnd w:id="149"/>
      <w:bookmarkEnd w:id="150"/>
      <w:bookmarkEnd w:id="151"/>
    </w:p>
    <w:p w14:paraId="6160E2D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除29条规定外，对实质上响应磋商（谈判）文件的供应商按下列方法进行排序，确定成交候选供应商。</w:t>
      </w:r>
    </w:p>
    <w:p w14:paraId="5E0F1A6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6ABC51C8">
      <w:pPr>
        <w:pStyle w:val="4"/>
        <w:bidi w:val="0"/>
        <w:rPr>
          <w:rFonts w:hint="eastAsia" w:ascii="宋体" w:hAnsi="宋体" w:eastAsia="宋体" w:cs="宋体"/>
          <w:color w:val="auto"/>
          <w:highlight w:val="none"/>
        </w:rPr>
      </w:pPr>
      <w:bookmarkStart w:id="152" w:name="_Toc23951"/>
      <w:bookmarkStart w:id="153" w:name="_Toc9653"/>
      <w:bookmarkStart w:id="154" w:name="_Toc515647789"/>
      <w:r>
        <w:rPr>
          <w:rFonts w:hint="eastAsia" w:ascii="宋体" w:hAnsi="宋体" w:eastAsia="宋体" w:cs="宋体"/>
          <w:color w:val="auto"/>
          <w:highlight w:val="none"/>
        </w:rPr>
        <w:t>28.确定成交候选供应商和成交供应商</w:t>
      </w:r>
      <w:bookmarkEnd w:id="152"/>
      <w:bookmarkEnd w:id="153"/>
      <w:bookmarkEnd w:id="154"/>
    </w:p>
    <w:p w14:paraId="57E282F5">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磋商小组将根据评标标准，按供应商须知资料表中规定数量推荐中标候选人或根据采购人的委托直接确定成交供应商。</w:t>
      </w:r>
      <w:bookmarkStart w:id="155" w:name="_Toc51176613"/>
    </w:p>
    <w:p w14:paraId="61B9E750">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29.采购任务取消</w:t>
      </w:r>
      <w:bookmarkEnd w:id="155"/>
    </w:p>
    <w:p w14:paraId="73C83A84">
      <w:pPr>
        <w:spacing w:line="48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因重大变故采购任务取消时，采购人有权拒绝任何供应商成交，对受影响的供应商不承担任何责任。</w:t>
      </w:r>
    </w:p>
    <w:p w14:paraId="2CEC1637">
      <w:pPr>
        <w:pStyle w:val="4"/>
        <w:bidi w:val="0"/>
        <w:rPr>
          <w:rFonts w:hint="eastAsia" w:ascii="宋体" w:hAnsi="宋体" w:eastAsia="宋体" w:cs="宋体"/>
          <w:color w:val="auto"/>
          <w:highlight w:val="none"/>
        </w:rPr>
      </w:pPr>
      <w:bookmarkStart w:id="156" w:name="_Toc520356174"/>
      <w:bookmarkStart w:id="157" w:name="_Toc19087101"/>
      <w:bookmarkStart w:id="158" w:name="_Toc518923095"/>
      <w:r>
        <w:rPr>
          <w:rFonts w:hint="eastAsia" w:ascii="宋体" w:hAnsi="宋体" w:eastAsia="宋体" w:cs="宋体"/>
          <w:color w:val="auto"/>
          <w:highlight w:val="none"/>
        </w:rPr>
        <w:t>30.发出成交</w:t>
      </w:r>
      <w:bookmarkEnd w:id="156"/>
      <w:r>
        <w:rPr>
          <w:rFonts w:hint="eastAsia" w:ascii="宋体" w:hAnsi="宋体" w:eastAsia="宋体" w:cs="宋体"/>
          <w:color w:val="auto"/>
          <w:highlight w:val="none"/>
        </w:rPr>
        <w:t>通知书</w:t>
      </w:r>
      <w:bookmarkEnd w:id="157"/>
      <w:bookmarkEnd w:id="158"/>
    </w:p>
    <w:p w14:paraId="2C8F6AA9">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14:paraId="09615A5D">
      <w:pPr>
        <w:pStyle w:val="4"/>
        <w:bidi w:val="0"/>
        <w:rPr>
          <w:rFonts w:hint="eastAsia" w:ascii="宋体" w:hAnsi="宋体" w:eastAsia="宋体" w:cs="宋体"/>
          <w:color w:val="auto"/>
          <w:highlight w:val="none"/>
        </w:rPr>
      </w:pPr>
      <w:bookmarkStart w:id="159" w:name="_Ref467307062"/>
      <w:bookmarkStart w:id="160" w:name="_Toc518923096"/>
      <w:bookmarkStart w:id="161" w:name="_Toc19087104"/>
      <w:bookmarkStart w:id="162" w:name="_Ref467306978"/>
      <w:bookmarkStart w:id="163" w:name="_Ref467307204"/>
      <w:bookmarkStart w:id="164" w:name="_Toc520356175"/>
      <w:bookmarkStart w:id="165" w:name="_Ref467306377"/>
      <w:r>
        <w:rPr>
          <w:rFonts w:hint="eastAsia" w:ascii="宋体" w:hAnsi="宋体" w:eastAsia="宋体" w:cs="宋体"/>
          <w:color w:val="auto"/>
          <w:highlight w:val="none"/>
        </w:rPr>
        <w:t>31.签订合同</w:t>
      </w:r>
      <w:bookmarkEnd w:id="159"/>
      <w:bookmarkEnd w:id="160"/>
      <w:bookmarkEnd w:id="161"/>
      <w:bookmarkEnd w:id="162"/>
      <w:bookmarkEnd w:id="163"/>
      <w:bookmarkEnd w:id="164"/>
      <w:bookmarkEnd w:id="165"/>
    </w:p>
    <w:p w14:paraId="6E4EC5B7">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31.1 成交供应商应当自发出成交通知书之日起10个工作日内，与采购人签订合同。</w:t>
      </w:r>
    </w:p>
    <w:p w14:paraId="3181A8C5">
      <w:pPr>
        <w:spacing w:line="480" w:lineRule="exact"/>
        <w:ind w:firstLine="424" w:firstLineChars="177"/>
        <w:rPr>
          <w:rFonts w:hint="eastAsia" w:ascii="宋体" w:hAnsi="宋体" w:eastAsia="宋体" w:cs="宋体"/>
          <w:color w:val="auto"/>
          <w:sz w:val="24"/>
          <w:highlight w:val="none"/>
        </w:rPr>
      </w:pPr>
      <w:bookmarkStart w:id="166" w:name="_Ref467307090"/>
      <w:bookmarkStart w:id="167" w:name="_Ref467306425"/>
      <w:bookmarkStart w:id="168" w:name="_Toc520356176"/>
      <w:r>
        <w:rPr>
          <w:rFonts w:hint="eastAsia" w:ascii="宋体" w:hAnsi="宋体" w:eastAsia="宋体" w:cs="宋体"/>
          <w:color w:val="auto"/>
          <w:sz w:val="24"/>
          <w:highlight w:val="none"/>
        </w:rPr>
        <w:t>31.2 竞争性磋商文件、成交供应商的响应文件及其澄清文件等，均为签订合同的依据。</w:t>
      </w:r>
    </w:p>
    <w:p w14:paraId="187811C0">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14:paraId="7F123B90">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31.4 当出现法规规定的成交无效或成交结果无效情形时，采购人依规可与排名下一位的成交候选供应商另行签订合同，或依法重新开展采购活动。</w:t>
      </w:r>
    </w:p>
    <w:p w14:paraId="310E9A1C">
      <w:pPr>
        <w:pStyle w:val="4"/>
        <w:bidi w:val="0"/>
        <w:rPr>
          <w:rFonts w:hint="eastAsia" w:ascii="宋体" w:hAnsi="宋体" w:eastAsia="宋体" w:cs="宋体"/>
          <w:color w:val="auto"/>
          <w:highlight w:val="none"/>
        </w:rPr>
      </w:pPr>
      <w:bookmarkStart w:id="169" w:name="_Toc518923097"/>
      <w:bookmarkStart w:id="170" w:name="_Toc19087105"/>
      <w:r>
        <w:rPr>
          <w:rFonts w:hint="eastAsia" w:ascii="宋体" w:hAnsi="宋体" w:eastAsia="宋体" w:cs="宋体"/>
          <w:color w:val="auto"/>
          <w:highlight w:val="none"/>
        </w:rPr>
        <w:t>32.履约保证金</w:t>
      </w:r>
      <w:bookmarkEnd w:id="166"/>
      <w:bookmarkEnd w:id="167"/>
      <w:bookmarkEnd w:id="168"/>
      <w:bookmarkEnd w:id="169"/>
      <w:bookmarkEnd w:id="170"/>
    </w:p>
    <w:p w14:paraId="74727B39">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32.1 如果需要履约保证金，成交供应商应按照供应商须知资料表规定向采购人缴纳履约保证金。</w:t>
      </w:r>
    </w:p>
    <w:p w14:paraId="13E930A2">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32.2 政府采购利用担保试点范围内的项目，除32.1规定的情形外，成交供应商也可以按照财政部门的规定，向采购人提供合格的履约担保函。</w:t>
      </w:r>
    </w:p>
    <w:p w14:paraId="18884AEB">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14:paraId="3BCA1DA1">
      <w:pPr>
        <w:pStyle w:val="4"/>
        <w:bidi w:val="0"/>
        <w:rPr>
          <w:rFonts w:hint="eastAsia" w:ascii="宋体" w:hAnsi="宋体" w:eastAsia="宋体" w:cs="宋体"/>
          <w:color w:val="auto"/>
          <w:highlight w:val="none"/>
        </w:rPr>
      </w:pPr>
      <w:bookmarkStart w:id="171" w:name="_Toc31411"/>
      <w:bookmarkStart w:id="172" w:name="_Toc51176617"/>
      <w:bookmarkStart w:id="173" w:name="_Toc518923099"/>
      <w:r>
        <w:rPr>
          <w:rFonts w:hint="eastAsia" w:ascii="宋体" w:hAnsi="宋体" w:eastAsia="宋体" w:cs="宋体"/>
          <w:color w:val="auto"/>
          <w:highlight w:val="none"/>
        </w:rPr>
        <w:t>33.政府采购信用担保</w:t>
      </w:r>
      <w:bookmarkEnd w:id="171"/>
      <w:bookmarkEnd w:id="172"/>
      <w:bookmarkEnd w:id="173"/>
    </w:p>
    <w:p w14:paraId="1B45A35C">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33.1 本项目是否属于信用担保试点范围见供应商须知资料表。</w:t>
      </w:r>
    </w:p>
    <w:p w14:paraId="33F22DC0">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 如属于政府采购信用担保试点范围内，中小型企业供应商可以自由按照财政部门的规定，采用磋商担保、履约担保和融资担保。</w:t>
      </w:r>
    </w:p>
    <w:p w14:paraId="43170596">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33.2.1 供应商递交的磋商担保函和履约担保函应符合本磋商（谈判）文件的规定。</w:t>
      </w:r>
    </w:p>
    <w:p w14:paraId="0C063F69">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33.2.2 成交供应商可以采取融资担保的形式为政府采购项目履约进行融资。</w:t>
      </w:r>
    </w:p>
    <w:p w14:paraId="39D71A6C">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4" w:name="_Toc20350"/>
      <w:bookmarkStart w:id="175" w:name="_Toc4136"/>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4</w:t>
      </w:r>
      <w:r>
        <w:rPr>
          <w:rFonts w:hint="eastAsia" w:ascii="宋体" w:hAnsi="宋体" w:eastAsia="宋体" w:cs="宋体"/>
          <w:color w:val="auto"/>
          <w:highlight w:val="none"/>
          <w:u w:val="none"/>
        </w:rPr>
        <w:t>.</w:t>
      </w:r>
      <w:bookmarkEnd w:id="174"/>
      <w:r>
        <w:rPr>
          <w:rFonts w:hint="eastAsia" w:ascii="宋体" w:hAnsi="宋体" w:eastAsia="宋体" w:cs="宋体"/>
          <w:color w:val="auto"/>
          <w:sz w:val="24"/>
          <w:highlight w:val="none"/>
          <w:u w:val="none"/>
        </w:rPr>
        <w:t>政府采购合同融资</w:t>
      </w:r>
      <w:bookmarkEnd w:id="175"/>
    </w:p>
    <w:p w14:paraId="1C07E139">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.1 本项目是否属于政府采购合同融资范围见</w:t>
      </w:r>
      <w:r>
        <w:rPr>
          <w:rFonts w:hint="eastAsia" w:ascii="宋体" w:hAnsi="宋体" w:eastAsia="宋体" w:cs="宋体"/>
          <w:color w:val="auto"/>
          <w:sz w:val="24"/>
          <w:highlight w:val="none"/>
          <w:u w:val="single"/>
          <w:lang w:val="en-US" w:eastAsia="zh-CN"/>
        </w:rPr>
        <w:t>供应商</w:t>
      </w:r>
      <w:r>
        <w:rPr>
          <w:rFonts w:hint="eastAsia" w:ascii="宋体" w:hAnsi="宋体" w:eastAsia="宋体" w:cs="宋体"/>
          <w:color w:val="auto"/>
          <w:sz w:val="24"/>
          <w:highlight w:val="none"/>
          <w:u w:val="single"/>
        </w:rPr>
        <w:t>须知资料表</w:t>
      </w:r>
      <w:r>
        <w:rPr>
          <w:rFonts w:hint="eastAsia" w:ascii="宋体" w:hAnsi="宋体" w:eastAsia="宋体" w:cs="宋体"/>
          <w:color w:val="auto"/>
          <w:sz w:val="24"/>
          <w:highlight w:val="none"/>
        </w:rPr>
        <w:t>。</w:t>
      </w:r>
    </w:p>
    <w:p w14:paraId="5F7AD9B6">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34.2</w:t>
      </w:r>
      <w:r>
        <w:rPr>
          <w:rFonts w:hint="eastAsia" w:ascii="宋体" w:hAnsi="宋体" w:eastAsia="宋体" w:cs="宋体"/>
          <w:color w:val="auto"/>
          <w:sz w:val="24"/>
          <w:highlight w:val="none"/>
        </w:rPr>
        <w:t xml:space="preserve"> 融资流程</w:t>
      </w:r>
    </w:p>
    <w:p w14:paraId="178286B0">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登记融资需求。供应商只需在“山东省政府采购信息公开平台”注册登记即可使用该用户名及密码，通过“山东省政府采购信息公开平台”一键联通进入“山东省政府采购合同融资与履约保函服务平台”，也可通过扫描二维码方式进入“山东省政府采购合同融资与履约保函服务平台”，根据自身资金需要，填写融资需求，申请融资服务。</w:t>
      </w:r>
    </w:p>
    <w:p w14:paraId="1F23E2ED">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对接资金供需。供应商可以进入“融资超市”自主选择平台展示的金融产品，自主对接金融机构；也可以选择“撮合模式”由平台合作机构提供融资专业服务。金融机构可以根据供应商的融资需求，主动对接供应商，平台同步将融资信息和信用报告与合作金融机构和政府性融资担保机构共享，由政府性融资担保机构提供担保。</w:t>
      </w:r>
    </w:p>
    <w:p w14:paraId="20964C23">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（三）完成授信审批。金融机构提高贷前风险筛查效率，确保在供应商合同签订前，完成对目标客户贷款的授信审批。届时，</w:t>
      </w:r>
      <w:r>
        <w:rPr>
          <w:rFonts w:hint="eastAsia" w:ascii="宋体" w:hAnsi="宋体" w:eastAsia="宋体" w:cs="宋体"/>
          <w:color w:val="auto"/>
          <w:sz w:val="24"/>
          <w:highlight w:val="none"/>
          <w:lang w:eastAsia="zh-CN"/>
        </w:rPr>
        <w:t>中标人</w:t>
      </w:r>
      <w:r>
        <w:rPr>
          <w:rFonts w:hint="eastAsia" w:ascii="宋体" w:hAnsi="宋体" w:eastAsia="宋体" w:cs="宋体"/>
          <w:color w:val="auto"/>
          <w:sz w:val="24"/>
          <w:highlight w:val="none"/>
        </w:rPr>
        <w:t>将依据政府采购合同获取合同融资服务。</w:t>
      </w:r>
    </w:p>
    <w:p w14:paraId="589AA5BB">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14:paraId="29F1F4DC">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（五）资金即时到账。金融机构提前办理完善供应商融资所需各项审批手续，待供应商与采购人签订政府采购合同后，随即向供应商账号发放贷款，确保供应商资金需求及时到位。</w:t>
      </w:r>
    </w:p>
    <w:p w14:paraId="523D6104">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34.3</w:t>
      </w:r>
      <w:r>
        <w:rPr>
          <w:rFonts w:hint="eastAsia" w:ascii="宋体" w:hAnsi="宋体" w:eastAsia="宋体" w:cs="宋体"/>
          <w:color w:val="auto"/>
          <w:sz w:val="24"/>
          <w:highlight w:val="none"/>
        </w:rPr>
        <w:t>配合政府采购合同融资工作。采购人做好供应商通过政府采购合同融资的配合工作，协助供应商根据融资需要及时变更合同账号，对已进行融资抵押的政府合同锁定账号。</w:t>
      </w:r>
    </w:p>
    <w:p w14:paraId="4650EE1A">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6" w:name="_Toc518923098"/>
      <w:bookmarkStart w:id="177" w:name="_Toc19087106"/>
      <w:bookmarkStart w:id="178" w:name="_Toc26769"/>
      <w:bookmarkStart w:id="179" w:name="_Toc19016170"/>
      <w:bookmarkStart w:id="180" w:name="_Toc518923100"/>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5</w:t>
      </w:r>
      <w:r>
        <w:rPr>
          <w:rFonts w:hint="eastAsia" w:ascii="宋体" w:hAnsi="宋体" w:eastAsia="宋体" w:cs="宋体"/>
          <w:color w:val="auto"/>
          <w:highlight w:val="none"/>
          <w:u w:val="none"/>
        </w:rPr>
        <w:t>.</w:t>
      </w:r>
      <w:bookmarkEnd w:id="176"/>
      <w:r>
        <w:rPr>
          <w:rFonts w:hint="eastAsia" w:ascii="宋体" w:hAnsi="宋体" w:eastAsia="宋体" w:cs="宋体"/>
          <w:color w:val="auto"/>
          <w:highlight w:val="none"/>
          <w:u w:val="none"/>
        </w:rPr>
        <w:t>预付款</w:t>
      </w:r>
      <w:bookmarkEnd w:id="177"/>
      <w:bookmarkEnd w:id="178"/>
      <w:bookmarkEnd w:id="179"/>
    </w:p>
    <w:p w14:paraId="713597C6">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.1预付款</w:t>
      </w:r>
      <w:r>
        <w:rPr>
          <w:rFonts w:hint="eastAsia" w:ascii="宋体" w:hAnsi="宋体" w:cs="宋体"/>
          <w:color w:val="auto"/>
          <w:sz w:val="24"/>
          <w:highlight w:val="none"/>
          <w:lang w:eastAsia="zh-CN"/>
        </w:rPr>
        <w:t>是</w:t>
      </w:r>
      <w:r>
        <w:rPr>
          <w:rFonts w:hint="eastAsia" w:ascii="宋体" w:hAnsi="宋体" w:eastAsia="宋体" w:cs="宋体"/>
          <w:color w:val="auto"/>
          <w:sz w:val="24"/>
          <w:highlight w:val="none"/>
        </w:rPr>
        <w:t>指政府采购合同签订后、履行前，采购人向成交供应商预先支付部分合同款项，预付款比例按照</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规定执行。</w:t>
      </w:r>
    </w:p>
    <w:p w14:paraId="153D6431">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.2本项目采购人不需要支付预付款的情形，见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14:paraId="5EEB3F65">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1" w:name="_Toc794"/>
      <w:bookmarkStart w:id="182" w:name="_Toc19087107"/>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6</w:t>
      </w:r>
      <w:r>
        <w:rPr>
          <w:rFonts w:hint="eastAsia" w:ascii="宋体" w:hAnsi="宋体" w:eastAsia="宋体" w:cs="宋体"/>
          <w:color w:val="auto"/>
          <w:highlight w:val="none"/>
          <w:u w:val="none"/>
        </w:rPr>
        <w:t>.廉洁自律规定</w:t>
      </w:r>
      <w:bookmarkEnd w:id="180"/>
      <w:bookmarkEnd w:id="181"/>
      <w:bookmarkEnd w:id="182"/>
    </w:p>
    <w:p w14:paraId="0A1E3C46">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 采购代理机构工作人员不得与采购人、供应商恶意串通操纵政府采购活动。</w:t>
      </w:r>
    </w:p>
    <w:p w14:paraId="79B45678">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 采购代理机构工作人员不得接受采购人或者供应商组织的宴请、旅游、娱乐，不得收受礼品、现金、有价证券等，不得向采购人或者供应商报销应当由个人承担的费用。</w:t>
      </w:r>
    </w:p>
    <w:p w14:paraId="5F1273B9">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.3 为强化采购代理机构内部监督机制，供应商可按</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中的监督电话和邮箱，反映采购代理机构的廉洁自律等问题。</w:t>
      </w:r>
    </w:p>
    <w:p w14:paraId="46B06AFA">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3" w:name="_Toc518923101"/>
      <w:bookmarkStart w:id="184" w:name="_Toc3817"/>
      <w:bookmarkStart w:id="185" w:name="_Toc19087108"/>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7</w:t>
      </w:r>
      <w:r>
        <w:rPr>
          <w:rFonts w:hint="eastAsia" w:ascii="宋体" w:hAnsi="宋体" w:eastAsia="宋体" w:cs="宋体"/>
          <w:color w:val="auto"/>
          <w:highlight w:val="none"/>
          <w:u w:val="none"/>
        </w:rPr>
        <w:t>.人员回避</w:t>
      </w:r>
      <w:bookmarkEnd w:id="183"/>
      <w:bookmarkEnd w:id="184"/>
      <w:bookmarkEnd w:id="185"/>
    </w:p>
    <w:p w14:paraId="50B12F13">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14:paraId="66FE62C7">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6" w:name="_Toc17708"/>
      <w:bookmarkStart w:id="187" w:name="_Toc518923102"/>
      <w:bookmarkStart w:id="188" w:name="_Toc19087109"/>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8</w:t>
      </w:r>
      <w:r>
        <w:rPr>
          <w:rFonts w:hint="eastAsia" w:ascii="宋体" w:hAnsi="宋体" w:eastAsia="宋体" w:cs="宋体"/>
          <w:color w:val="auto"/>
          <w:highlight w:val="none"/>
          <w:u w:val="none"/>
        </w:rPr>
        <w:t>.质疑与接收</w:t>
      </w:r>
      <w:bookmarkEnd w:id="186"/>
      <w:bookmarkEnd w:id="187"/>
      <w:bookmarkEnd w:id="188"/>
    </w:p>
    <w:p w14:paraId="45DF0D08">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供应商认为竞争性磋商文件、磋商过程和成交结果使自己的权益受到损害的，可以根据《中华人民共和国政府采购法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中华人民共和国政府采购法实施条例》和《政府采购质疑和投诉办法》的有关规定，依法向采购人或其委托的采购代理机构提出质疑。</w:t>
      </w:r>
    </w:p>
    <w:p w14:paraId="7C5F2BFC">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.2 质疑供应商应按照财政部制定的《政府采购质疑函范本》格式（可从财政部官方网站下载）和《政府采购质疑和投诉办法》的要求，在法定质疑期内以书面形式提出质疑，针对同一采购程序环节的质疑应一次性提出。</w:t>
      </w:r>
    </w:p>
    <w:p w14:paraId="3BA3E3FE">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超出法定质疑期的、重复提出的、分次提出的或内容、形式不符合《政府采购质疑和投诉办法》的，质疑供应商将依法承担不利后果。</w:t>
      </w:r>
    </w:p>
    <w:p w14:paraId="779322EE">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.3 采购人或采购代理机构质疑函接收部门、联系电话和通讯地址</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见</w:t>
      </w:r>
      <w:r>
        <w:rPr>
          <w:rFonts w:hint="eastAsia" w:ascii="宋体" w:hAnsi="宋体" w:eastAsia="宋体" w:cs="宋体"/>
          <w:color w:val="auto"/>
          <w:sz w:val="24"/>
          <w:highlight w:val="none"/>
          <w:u w:val="single"/>
        </w:rPr>
        <w:t>供应商须知资料表。</w:t>
      </w:r>
    </w:p>
    <w:p w14:paraId="332EE09B">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89" w:name="_Toc4478"/>
      <w:bookmarkStart w:id="190" w:name="_Toc51176622"/>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.项目其他相关费用</w:t>
      </w:r>
      <w:bookmarkEnd w:id="189"/>
      <w:bookmarkEnd w:id="190"/>
    </w:p>
    <w:p w14:paraId="1B284A67">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1" w:name="_Toc411637995"/>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.1 成交服务费</w:t>
      </w:r>
      <w:bookmarkEnd w:id="191"/>
    </w:p>
    <w:p w14:paraId="151E41F4">
      <w:pPr>
        <w:pageBreakBefore w:val="0"/>
        <w:widowControl w:val="0"/>
        <w:kinsoku/>
        <w:wordWrap/>
        <w:overflowPunct/>
        <w:topLinePunct w:val="0"/>
        <w:bidi w:val="0"/>
        <w:snapToGrid/>
        <w:spacing w:line="480" w:lineRule="exact"/>
        <w:ind w:left="630" w:leftChars="3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成交服务费收取标准：</w:t>
      </w:r>
      <w:r>
        <w:rPr>
          <w:rFonts w:hint="eastAsia" w:ascii="宋体" w:hAnsi="宋体" w:eastAsia="宋体" w:cs="宋体"/>
          <w:color w:val="auto"/>
          <w:sz w:val="24"/>
          <w:highlight w:val="none"/>
          <w:u w:val="single"/>
        </w:rPr>
        <w:t>见供应商须知资料表。</w:t>
      </w:r>
    </w:p>
    <w:p w14:paraId="307B836F">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2" w:name="_Toc411637996"/>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.2</w:t>
      </w:r>
      <w:bookmarkEnd w:id="192"/>
      <w:r>
        <w:rPr>
          <w:rFonts w:hint="eastAsia" w:ascii="宋体" w:hAnsi="宋体" w:eastAsia="宋体" w:cs="宋体"/>
          <w:color w:val="auto"/>
          <w:sz w:val="24"/>
          <w:highlight w:val="none"/>
        </w:rPr>
        <w:t xml:space="preserve"> 政府采购专家评审费</w:t>
      </w:r>
    </w:p>
    <w:p w14:paraId="7B37DCF2">
      <w:pPr>
        <w:pageBreakBefore w:val="0"/>
        <w:widowControl w:val="0"/>
        <w:kinsoku/>
        <w:wordWrap/>
        <w:overflowPunct/>
        <w:topLinePunct w:val="0"/>
        <w:bidi w:val="0"/>
        <w:snapToGrid/>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由采购人承担，按照山东省有关规定的标准执行。</w:t>
      </w:r>
    </w:p>
    <w:p w14:paraId="788F52DB">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szCs w:val="28"/>
          <w:highlight w:val="none"/>
        </w:rPr>
      </w:pPr>
      <w:bookmarkStart w:id="193" w:name="_Toc51176623"/>
      <w:bookmarkStart w:id="194" w:name="_Toc10917"/>
      <w:r>
        <w:rPr>
          <w:rFonts w:hint="eastAsia" w:ascii="宋体" w:hAnsi="宋体" w:eastAsia="宋体" w:cs="宋体"/>
          <w:color w:val="auto"/>
          <w:szCs w:val="28"/>
          <w:highlight w:val="none"/>
          <w:lang w:val="en-US" w:eastAsia="zh-CN"/>
        </w:rPr>
        <w:t>40</w:t>
      </w:r>
      <w:r>
        <w:rPr>
          <w:rFonts w:hint="eastAsia" w:ascii="宋体" w:hAnsi="宋体" w:eastAsia="宋体" w:cs="宋体"/>
          <w:color w:val="auto"/>
          <w:highlight w:val="none"/>
        </w:rPr>
        <w:t>.</w:t>
      </w:r>
      <w:r>
        <w:rPr>
          <w:rFonts w:hint="eastAsia" w:ascii="宋体" w:hAnsi="宋体" w:eastAsia="宋体" w:cs="宋体"/>
          <w:color w:val="auto"/>
          <w:szCs w:val="28"/>
          <w:highlight w:val="none"/>
        </w:rPr>
        <w:t>磋商文件解释权</w:t>
      </w:r>
      <w:bookmarkEnd w:id="193"/>
      <w:bookmarkEnd w:id="194"/>
    </w:p>
    <w:p w14:paraId="79F01B64">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u w:val="single"/>
          <w:lang w:val="en-GB"/>
        </w:rPr>
        <w:t>见</w:t>
      </w:r>
      <w:r>
        <w:rPr>
          <w:rFonts w:hint="eastAsia" w:ascii="宋体" w:hAnsi="宋体" w:eastAsia="宋体" w:cs="宋体"/>
          <w:color w:val="auto"/>
          <w:sz w:val="24"/>
          <w:highlight w:val="none"/>
          <w:u w:val="single"/>
        </w:rPr>
        <w:t>供应商</w:t>
      </w:r>
      <w:r>
        <w:rPr>
          <w:rFonts w:hint="eastAsia" w:ascii="宋体" w:hAnsi="宋体" w:eastAsia="宋体" w:cs="宋体"/>
          <w:color w:val="auto"/>
          <w:sz w:val="24"/>
          <w:highlight w:val="none"/>
          <w:u w:val="single"/>
          <w:lang w:val="en-GB"/>
        </w:rPr>
        <w:t>须知资料表</w:t>
      </w:r>
      <w:r>
        <w:rPr>
          <w:rFonts w:hint="eastAsia" w:ascii="宋体" w:hAnsi="宋体" w:eastAsia="宋体" w:cs="宋体"/>
          <w:color w:val="auto"/>
          <w:sz w:val="24"/>
          <w:highlight w:val="none"/>
          <w:lang w:val="en-GB"/>
        </w:rPr>
        <w:t>。</w:t>
      </w:r>
    </w:p>
    <w:p w14:paraId="5559014A">
      <w:pP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br w:type="page"/>
      </w:r>
    </w:p>
    <w:p w14:paraId="2EFD9454">
      <w:pPr>
        <w:pStyle w:val="5"/>
        <w:rPr>
          <w:rFonts w:hint="eastAsia" w:ascii="宋体" w:hAnsi="宋体" w:eastAsia="宋体" w:cs="宋体"/>
          <w:color w:val="auto"/>
          <w:highlight w:val="none"/>
        </w:rPr>
      </w:pPr>
    </w:p>
    <w:p w14:paraId="6EFF30D3">
      <w:pPr>
        <w:rPr>
          <w:rFonts w:hint="eastAsia" w:ascii="宋体" w:hAnsi="宋体" w:eastAsia="宋体" w:cs="宋体"/>
          <w:color w:val="auto"/>
          <w:highlight w:val="none"/>
        </w:rPr>
      </w:pPr>
    </w:p>
    <w:p w14:paraId="34E00E90">
      <w:pPr>
        <w:pStyle w:val="46"/>
        <w:rPr>
          <w:rFonts w:hint="eastAsia" w:ascii="宋体" w:hAnsi="宋体" w:eastAsia="宋体" w:cs="宋体"/>
          <w:color w:val="auto"/>
          <w:highlight w:val="none"/>
        </w:rPr>
      </w:pPr>
    </w:p>
    <w:p w14:paraId="7994347B">
      <w:pPr>
        <w:widowControl/>
        <w:spacing w:line="480" w:lineRule="exact"/>
        <w:jc w:val="left"/>
        <w:rPr>
          <w:rFonts w:hint="eastAsia" w:ascii="宋体" w:hAnsi="宋体" w:eastAsia="宋体" w:cs="宋体"/>
          <w:b/>
          <w:color w:val="auto"/>
          <w:sz w:val="52"/>
          <w:szCs w:val="52"/>
          <w:highlight w:val="none"/>
        </w:rPr>
      </w:pPr>
    </w:p>
    <w:p w14:paraId="3BDCF8BF">
      <w:pPr>
        <w:spacing w:line="240" w:lineRule="atLeast"/>
        <w:ind w:left="1080" w:leftChars="257" w:hanging="540"/>
        <w:jc w:val="center"/>
        <w:rPr>
          <w:rFonts w:hint="eastAsia" w:ascii="宋体" w:hAnsi="宋体" w:eastAsia="宋体" w:cs="宋体"/>
          <w:b/>
          <w:color w:val="auto"/>
          <w:sz w:val="52"/>
          <w:szCs w:val="52"/>
          <w:highlight w:val="none"/>
        </w:rPr>
      </w:pPr>
    </w:p>
    <w:p w14:paraId="5ECA3D83">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14:paraId="0B325A15">
      <w:pPr>
        <w:spacing w:line="240" w:lineRule="atLeast"/>
        <w:ind w:left="1080" w:leftChars="257" w:hanging="540"/>
        <w:jc w:val="center"/>
        <w:rPr>
          <w:rFonts w:hint="eastAsia" w:ascii="宋体" w:hAnsi="宋体" w:eastAsia="宋体" w:cs="宋体"/>
          <w:bCs/>
          <w:color w:val="auto"/>
          <w:sz w:val="32"/>
          <w:szCs w:val="32"/>
          <w:highlight w:val="none"/>
        </w:rPr>
      </w:pPr>
    </w:p>
    <w:p w14:paraId="084AA632">
      <w:pPr>
        <w:spacing w:line="240" w:lineRule="atLeast"/>
        <w:ind w:left="1080" w:leftChars="257" w:hanging="540"/>
        <w:jc w:val="center"/>
        <w:rPr>
          <w:rFonts w:hint="eastAsia" w:ascii="宋体" w:hAnsi="宋体" w:eastAsia="宋体" w:cs="宋体"/>
          <w:b/>
          <w:color w:val="auto"/>
          <w:sz w:val="32"/>
          <w:szCs w:val="32"/>
          <w:highlight w:val="none"/>
        </w:rPr>
      </w:pPr>
    </w:p>
    <w:p w14:paraId="0E6D0E10">
      <w:pPr>
        <w:spacing w:line="240" w:lineRule="atLeast"/>
        <w:ind w:left="1080" w:leftChars="257" w:hanging="540"/>
        <w:rPr>
          <w:rFonts w:hint="eastAsia" w:ascii="宋体" w:hAnsi="宋体" w:eastAsia="宋体" w:cs="宋体"/>
          <w:b/>
          <w:color w:val="auto"/>
          <w:sz w:val="28"/>
          <w:highlight w:val="none"/>
        </w:rPr>
      </w:pPr>
    </w:p>
    <w:p w14:paraId="0167C3F3">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第二册</w:t>
      </w:r>
    </w:p>
    <w:p w14:paraId="0A156A72">
      <w:pPr>
        <w:spacing w:line="240" w:lineRule="atLeast"/>
        <w:ind w:left="1080" w:leftChars="257" w:hanging="540"/>
        <w:jc w:val="center"/>
        <w:rPr>
          <w:rFonts w:hint="eastAsia" w:ascii="宋体" w:hAnsi="宋体" w:eastAsia="宋体" w:cs="宋体"/>
          <w:b/>
          <w:color w:val="auto"/>
          <w:sz w:val="52"/>
          <w:highlight w:val="none"/>
        </w:rPr>
      </w:pPr>
    </w:p>
    <w:p w14:paraId="52924E79">
      <w:pPr>
        <w:spacing w:line="360" w:lineRule="auto"/>
        <w:ind w:left="418" w:leftChars="192" w:hanging="15" w:hangingChars="5"/>
        <w:jc w:val="both"/>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SDGP370000000202402006789</w:t>
      </w:r>
    </w:p>
    <w:p w14:paraId="5B407526">
      <w:pPr>
        <w:spacing w:line="360" w:lineRule="auto"/>
        <w:ind w:left="417" w:leftChars="192" w:hanging="14" w:hangingChars="5"/>
        <w:jc w:val="both"/>
        <w:rPr>
          <w:rFonts w:hint="eastAsia" w:ascii="宋体" w:hAnsi="宋体" w:eastAsia="宋体" w:cs="宋体"/>
          <w:b/>
          <w:color w:val="auto"/>
          <w:spacing w:val="-11"/>
          <w:sz w:val="30"/>
          <w:szCs w:val="30"/>
          <w:highlight w:val="none"/>
          <w:lang w:eastAsia="zh-CN"/>
        </w:rPr>
      </w:pPr>
      <w:r>
        <w:rPr>
          <w:rFonts w:hint="eastAsia" w:ascii="宋体" w:hAnsi="宋体" w:eastAsia="宋体" w:cs="宋体"/>
          <w:b/>
          <w:color w:val="auto"/>
          <w:spacing w:val="-6"/>
          <w:sz w:val="30"/>
          <w:szCs w:val="30"/>
          <w:highlight w:val="none"/>
        </w:rPr>
        <w:t>项目名称:</w:t>
      </w:r>
      <w:r>
        <w:rPr>
          <w:rFonts w:hint="eastAsia" w:ascii="宋体" w:hAnsi="宋体" w:cs="宋体"/>
          <w:b/>
          <w:color w:val="auto"/>
          <w:spacing w:val="-11"/>
          <w:sz w:val="30"/>
          <w:szCs w:val="30"/>
          <w:highlight w:val="none"/>
          <w:lang w:eastAsia="zh-CN"/>
        </w:rPr>
        <w:t>临沂大学2024年国际生物资源应用学院致远3号楼教室、休息室设备购置预采购项目</w:t>
      </w:r>
    </w:p>
    <w:p w14:paraId="66DB0A82">
      <w:pPr>
        <w:spacing w:line="240" w:lineRule="atLeast"/>
        <w:ind w:left="1080" w:leftChars="257" w:hanging="540"/>
        <w:jc w:val="center"/>
        <w:rPr>
          <w:rFonts w:hint="eastAsia" w:ascii="宋体" w:hAnsi="宋体" w:eastAsia="宋体" w:cs="宋体"/>
          <w:b/>
          <w:color w:val="auto"/>
          <w:sz w:val="52"/>
          <w:highlight w:val="none"/>
        </w:rPr>
      </w:pPr>
    </w:p>
    <w:p w14:paraId="00E79854">
      <w:pPr>
        <w:spacing w:line="240" w:lineRule="atLeast"/>
        <w:ind w:left="1080" w:leftChars="257" w:hanging="540"/>
        <w:jc w:val="center"/>
        <w:rPr>
          <w:rFonts w:hint="eastAsia" w:ascii="宋体" w:hAnsi="宋体" w:eastAsia="宋体" w:cs="宋体"/>
          <w:b/>
          <w:color w:val="auto"/>
          <w:sz w:val="52"/>
          <w:highlight w:val="none"/>
        </w:rPr>
      </w:pPr>
    </w:p>
    <w:p w14:paraId="797621AA">
      <w:pPr>
        <w:pStyle w:val="46"/>
        <w:rPr>
          <w:rFonts w:hint="eastAsia" w:ascii="宋体" w:hAnsi="宋体" w:eastAsia="宋体" w:cs="宋体"/>
          <w:color w:val="auto"/>
          <w:highlight w:val="none"/>
        </w:rPr>
      </w:pPr>
    </w:p>
    <w:p w14:paraId="4FD1877D">
      <w:pPr>
        <w:pStyle w:val="46"/>
        <w:rPr>
          <w:rFonts w:hint="eastAsia" w:ascii="宋体" w:hAnsi="宋体" w:eastAsia="宋体" w:cs="宋体"/>
          <w:color w:val="auto"/>
          <w:highlight w:val="none"/>
        </w:rPr>
      </w:pPr>
    </w:p>
    <w:p w14:paraId="74BC6F8D">
      <w:pPr>
        <w:pStyle w:val="46"/>
        <w:rPr>
          <w:rFonts w:hint="eastAsia" w:ascii="宋体" w:hAnsi="宋体" w:eastAsia="宋体" w:cs="宋体"/>
          <w:color w:val="auto"/>
          <w:highlight w:val="none"/>
        </w:rPr>
      </w:pPr>
    </w:p>
    <w:p w14:paraId="40EC1971">
      <w:pPr>
        <w:pStyle w:val="46"/>
        <w:rPr>
          <w:rFonts w:hint="eastAsia" w:ascii="宋体" w:hAnsi="宋体" w:eastAsia="宋体" w:cs="宋体"/>
          <w:color w:val="auto"/>
          <w:highlight w:val="none"/>
        </w:rPr>
      </w:pPr>
    </w:p>
    <w:p w14:paraId="06090252">
      <w:pPr>
        <w:pStyle w:val="46"/>
        <w:rPr>
          <w:rFonts w:hint="eastAsia" w:ascii="宋体" w:hAnsi="宋体" w:eastAsia="宋体" w:cs="宋体"/>
          <w:color w:val="auto"/>
          <w:highlight w:val="none"/>
        </w:rPr>
      </w:pPr>
    </w:p>
    <w:p w14:paraId="26AE3A0F">
      <w:pPr>
        <w:spacing w:line="240" w:lineRule="atLeast"/>
        <w:ind w:left="1080" w:leftChars="257" w:hanging="540"/>
        <w:jc w:val="center"/>
        <w:rPr>
          <w:rFonts w:hint="eastAsia" w:ascii="宋体" w:hAnsi="宋体" w:eastAsia="宋体" w:cs="宋体"/>
          <w:b/>
          <w:color w:val="auto"/>
          <w:sz w:val="52"/>
          <w:highlight w:val="none"/>
        </w:rPr>
      </w:pPr>
    </w:p>
    <w:p w14:paraId="15CE0838">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 </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rPr>
        <w:t xml:space="preserve">  购  人:临沂大学</w:t>
      </w:r>
    </w:p>
    <w:p w14:paraId="1BF1864D">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采购代理机构：临沂市沂蒙国际招标有限公司 </w:t>
      </w:r>
    </w:p>
    <w:p w14:paraId="687C0A72">
      <w:pPr>
        <w:spacing w:line="240" w:lineRule="atLeast"/>
        <w:ind w:left="1080" w:leftChars="257" w:hanging="540"/>
        <w:rPr>
          <w:rFonts w:hint="eastAsia" w:ascii="宋体" w:hAnsi="宋体" w:eastAsia="宋体" w:cs="宋体"/>
          <w:b/>
          <w:color w:val="auto"/>
          <w:szCs w:val="21"/>
          <w:highlight w:val="none"/>
        </w:rPr>
      </w:pPr>
    </w:p>
    <w:p w14:paraId="7A37DDC1">
      <w:pPr>
        <w:spacing w:line="240" w:lineRule="atLeast"/>
        <w:ind w:left="1080" w:leftChars="257" w:hanging="540"/>
        <w:rPr>
          <w:rFonts w:hint="eastAsia" w:ascii="宋体" w:hAnsi="宋体" w:eastAsia="宋体" w:cs="宋体"/>
          <w:b/>
          <w:color w:val="auto"/>
          <w:szCs w:val="21"/>
          <w:highlight w:val="none"/>
        </w:rPr>
      </w:pPr>
    </w:p>
    <w:p w14:paraId="06597B47">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w:t>
      </w:r>
      <w:r>
        <w:rPr>
          <w:rFonts w:hint="eastAsia" w:ascii="宋体" w:hAnsi="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出 日 期：</w:t>
      </w:r>
      <w:r>
        <w:rPr>
          <w:rFonts w:hint="eastAsia" w:ascii="宋体" w:hAnsi="宋体" w:cs="宋体"/>
          <w:b/>
          <w:bCs/>
          <w:color w:val="auto"/>
          <w:sz w:val="30"/>
          <w:szCs w:val="30"/>
          <w:highlight w:val="none"/>
          <w:lang w:eastAsia="zh-CN"/>
        </w:rPr>
        <w:t>二〇二四年八月二十七日</w:t>
      </w:r>
    </w:p>
    <w:p w14:paraId="2E11B809">
      <w:pPr>
        <w:spacing w:line="480" w:lineRule="exact"/>
        <w:ind w:left="1079" w:leftChars="257" w:hanging="539"/>
        <w:jc w:val="center"/>
        <w:rPr>
          <w:rFonts w:hint="eastAsia" w:ascii="宋体" w:hAnsi="宋体" w:eastAsia="宋体" w:cs="宋体"/>
          <w:b/>
          <w:color w:val="auto"/>
          <w:sz w:val="52"/>
          <w:highlight w:val="none"/>
        </w:rPr>
      </w:pPr>
      <w:r>
        <w:rPr>
          <w:rFonts w:hint="eastAsia" w:ascii="宋体" w:hAnsi="宋体" w:eastAsia="宋体" w:cs="宋体"/>
          <w:b/>
          <w:color w:val="auto"/>
          <w:sz w:val="52"/>
          <w:highlight w:val="none"/>
        </w:rPr>
        <w:br w:type="page"/>
      </w:r>
    </w:p>
    <w:p w14:paraId="289BC49E">
      <w:pPr>
        <w:pStyle w:val="2"/>
        <w:tabs>
          <w:tab w:val="left" w:pos="0"/>
        </w:tabs>
        <w:spacing w:before="0" w:after="240" w:afterLines="100" w:line="480" w:lineRule="exact"/>
        <w:ind w:left="425"/>
        <w:rPr>
          <w:rFonts w:hint="eastAsia" w:ascii="宋体" w:hAnsi="宋体" w:eastAsia="宋体" w:cs="宋体"/>
          <w:color w:val="auto"/>
          <w:highlight w:val="none"/>
        </w:rPr>
      </w:pPr>
      <w:bookmarkStart w:id="195" w:name="_Toc68259622"/>
      <w:bookmarkStart w:id="196" w:name="_Toc57"/>
      <w:r>
        <w:rPr>
          <w:rFonts w:hint="eastAsia" w:ascii="宋体" w:hAnsi="宋体" w:eastAsia="宋体" w:cs="宋体"/>
          <w:color w:val="auto"/>
          <w:highlight w:val="none"/>
        </w:rPr>
        <w:t xml:space="preserve">第2章  </w:t>
      </w:r>
      <w:bookmarkStart w:id="197" w:name="_Toc4766813"/>
      <w:bookmarkStart w:id="198" w:name="OLE_LINK2"/>
      <w:r>
        <w:rPr>
          <w:rFonts w:hint="eastAsia" w:ascii="宋体" w:hAnsi="宋体" w:eastAsia="宋体" w:cs="宋体"/>
          <w:color w:val="auto"/>
          <w:highlight w:val="none"/>
        </w:rPr>
        <w:t>采购邀请</w:t>
      </w:r>
      <w:bookmarkEnd w:id="195"/>
      <w:bookmarkEnd w:id="196"/>
      <w:bookmarkEnd w:id="197"/>
    </w:p>
    <w:p w14:paraId="7139FB0E">
      <w:pPr>
        <w:spacing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临沂市沂蒙国际招标有限公司受临沂大学委托，对下述内容进行国内竞争性磋商。现邀请合格的供应商前来响应。</w:t>
      </w:r>
    </w:p>
    <w:p w14:paraId="30B40F19">
      <w:pPr>
        <w:spacing w:line="500" w:lineRule="exact"/>
        <w:rPr>
          <w:rFonts w:hint="eastAsia" w:ascii="宋体" w:hAnsi="宋体" w:eastAsia="宋体" w:cs="宋体"/>
          <w:color w:val="auto"/>
          <w:sz w:val="24"/>
          <w:highlight w:val="none"/>
        </w:rPr>
      </w:pPr>
      <w:bookmarkStart w:id="199" w:name="cgrphone"/>
      <w:bookmarkEnd w:id="199"/>
      <w:bookmarkStart w:id="200" w:name="_Toc28359079"/>
      <w:bookmarkStart w:id="201" w:name="_Toc28359002"/>
      <w:bookmarkStart w:id="202" w:name="_Toc35393621"/>
      <w:bookmarkStart w:id="203" w:name="_Toc35393790"/>
      <w:bookmarkStart w:id="204" w:name="_Hlk24379207"/>
      <w:bookmarkStart w:id="205" w:name="_Toc68259623"/>
      <w:bookmarkStart w:id="206" w:name="_Toc512937850"/>
      <w:r>
        <w:rPr>
          <w:rFonts w:hint="eastAsia" w:ascii="宋体" w:hAnsi="宋体" w:eastAsia="宋体" w:cs="宋体"/>
          <w:color w:val="auto"/>
          <w:sz w:val="24"/>
          <w:highlight w:val="none"/>
        </w:rPr>
        <w:t>一、项目基本情况</w:t>
      </w:r>
      <w:bookmarkEnd w:id="200"/>
      <w:bookmarkEnd w:id="201"/>
      <w:bookmarkEnd w:id="202"/>
      <w:bookmarkEnd w:id="203"/>
    </w:p>
    <w:p w14:paraId="3DB7D98F">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cs="宋体"/>
          <w:color w:val="auto"/>
          <w:sz w:val="24"/>
          <w:highlight w:val="none"/>
          <w:lang w:eastAsia="zh-CN"/>
        </w:rPr>
        <w:t>SDGP370000000202402006789</w:t>
      </w:r>
    </w:p>
    <w:p w14:paraId="24D18C59">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bookmarkStart w:id="207" w:name="OLE_LINK1"/>
      <w:r>
        <w:rPr>
          <w:rFonts w:hint="eastAsia" w:ascii="宋体" w:hAnsi="宋体" w:cs="宋体"/>
          <w:color w:val="auto"/>
          <w:sz w:val="24"/>
          <w:highlight w:val="none"/>
          <w:lang w:eastAsia="zh-CN"/>
        </w:rPr>
        <w:t>临沂大学2024年国际生物资源应用学院致远3号楼教室、休息室设备购置预采购项目</w:t>
      </w:r>
      <w:bookmarkEnd w:id="207"/>
    </w:p>
    <w:bookmarkEnd w:id="204"/>
    <w:p w14:paraId="5F95E235">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w:t>
      </w:r>
      <w:r>
        <w:rPr>
          <w:rFonts w:hint="eastAsia" w:ascii="宋体" w:hAnsi="宋体" w:cs="宋体"/>
          <w:color w:val="auto"/>
          <w:sz w:val="24"/>
          <w:highlight w:val="none"/>
          <w:lang w:val="en-US" w:eastAsia="zh-CN"/>
        </w:rPr>
        <w:t>40.7万元</w:t>
      </w:r>
    </w:p>
    <w:p w14:paraId="0BB8B176">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最高限价（如有）：</w:t>
      </w:r>
      <w:r>
        <w:rPr>
          <w:rFonts w:hint="eastAsia" w:ascii="宋体" w:hAnsi="宋体" w:cs="宋体"/>
          <w:color w:val="auto"/>
          <w:sz w:val="24"/>
          <w:highlight w:val="none"/>
          <w:lang w:val="en-US" w:eastAsia="zh-CN"/>
        </w:rPr>
        <w:t>40.7万元</w:t>
      </w:r>
    </w:p>
    <w:p w14:paraId="0C78888D">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w:t>
      </w:r>
    </w:p>
    <w:tbl>
      <w:tblPr>
        <w:tblStyle w:val="29"/>
        <w:tblW w:w="572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64"/>
        <w:gridCol w:w="2580"/>
        <w:gridCol w:w="644"/>
        <w:gridCol w:w="4275"/>
        <w:gridCol w:w="1264"/>
      </w:tblGrid>
      <w:tr w14:paraId="1F234A5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173" w:hRule="atLeast"/>
          <w:jc w:val="center"/>
        </w:trPr>
        <w:tc>
          <w:tcPr>
            <w:tcW w:w="401" w:type="pct"/>
            <w:tcBorders>
              <w:top w:val="outset" w:color="auto" w:sz="6" w:space="0"/>
              <w:left w:val="outset" w:color="auto" w:sz="6" w:space="0"/>
              <w:bottom w:val="outset" w:color="auto" w:sz="6" w:space="0"/>
              <w:right w:val="outset" w:color="auto" w:sz="6" w:space="0"/>
            </w:tcBorders>
            <w:shd w:val="clear" w:color="auto" w:fill="auto"/>
            <w:vAlign w:val="center"/>
          </w:tcPr>
          <w:p w14:paraId="451F65AA">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w:t>
            </w:r>
            <w:r>
              <w:rPr>
                <w:rFonts w:hint="eastAsia" w:ascii="宋体" w:hAnsi="宋体" w:cs="宋体"/>
                <w:color w:val="auto"/>
                <w:sz w:val="24"/>
                <w:highlight w:val="none"/>
                <w:lang w:val="en-US" w:eastAsia="zh-CN"/>
              </w:rPr>
              <w:t>包</w:t>
            </w:r>
          </w:p>
        </w:tc>
        <w:tc>
          <w:tcPr>
            <w:tcW w:w="1354" w:type="pct"/>
            <w:tcBorders>
              <w:top w:val="outset" w:color="auto" w:sz="6" w:space="0"/>
              <w:left w:val="outset" w:color="auto" w:sz="6" w:space="0"/>
              <w:bottom w:val="outset" w:color="auto" w:sz="6" w:space="0"/>
              <w:right w:val="outset" w:color="auto" w:sz="6" w:space="0"/>
            </w:tcBorders>
            <w:shd w:val="clear" w:color="auto" w:fill="auto"/>
            <w:vAlign w:val="center"/>
          </w:tcPr>
          <w:p w14:paraId="08D40546">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标的名称</w:t>
            </w:r>
          </w:p>
        </w:tc>
        <w:tc>
          <w:tcPr>
            <w:tcW w:w="338" w:type="pct"/>
            <w:tcBorders>
              <w:top w:val="outset" w:color="auto" w:sz="6" w:space="0"/>
              <w:left w:val="outset" w:color="auto" w:sz="6" w:space="0"/>
              <w:bottom w:val="outset" w:color="auto" w:sz="6" w:space="0"/>
              <w:right w:val="outset" w:color="auto" w:sz="6" w:space="0"/>
            </w:tcBorders>
            <w:shd w:val="clear" w:color="auto" w:fill="auto"/>
            <w:vAlign w:val="center"/>
          </w:tcPr>
          <w:p w14:paraId="1AF86782">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数量</w:t>
            </w:r>
          </w:p>
        </w:tc>
        <w:tc>
          <w:tcPr>
            <w:tcW w:w="2243" w:type="pct"/>
            <w:tcBorders>
              <w:top w:val="outset" w:color="auto" w:sz="6" w:space="0"/>
              <w:left w:val="outset" w:color="auto" w:sz="6" w:space="0"/>
              <w:bottom w:val="outset" w:color="auto" w:sz="6" w:space="0"/>
              <w:right w:val="outset" w:color="auto" w:sz="6" w:space="0"/>
            </w:tcBorders>
            <w:shd w:val="clear" w:color="auto" w:fill="auto"/>
            <w:vAlign w:val="center"/>
          </w:tcPr>
          <w:p w14:paraId="7084CE11">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简要技术需求或服务要求</w:t>
            </w:r>
          </w:p>
        </w:tc>
        <w:tc>
          <w:tcPr>
            <w:tcW w:w="663" w:type="pct"/>
            <w:tcBorders>
              <w:top w:val="outset" w:color="auto" w:sz="6" w:space="0"/>
              <w:left w:val="outset" w:color="auto" w:sz="6" w:space="0"/>
              <w:bottom w:val="outset" w:color="auto" w:sz="6" w:space="0"/>
              <w:right w:val="outset" w:color="auto" w:sz="6" w:space="0"/>
            </w:tcBorders>
            <w:shd w:val="clear" w:color="auto" w:fill="auto"/>
            <w:vAlign w:val="center"/>
          </w:tcPr>
          <w:p w14:paraId="03D23FFC">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本包预算金额（单位：万元）</w:t>
            </w:r>
          </w:p>
        </w:tc>
      </w:tr>
      <w:tr w14:paraId="17BB1A7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87" w:hRule="atLeast"/>
          <w:jc w:val="center"/>
        </w:trPr>
        <w:tc>
          <w:tcPr>
            <w:tcW w:w="401" w:type="pct"/>
            <w:tcBorders>
              <w:top w:val="outset" w:color="auto" w:sz="6" w:space="0"/>
              <w:left w:val="outset" w:color="auto" w:sz="6" w:space="0"/>
              <w:bottom w:val="outset" w:color="auto" w:sz="6" w:space="0"/>
              <w:right w:val="outset" w:color="auto" w:sz="6" w:space="0"/>
            </w:tcBorders>
            <w:shd w:val="clear" w:color="auto" w:fill="auto"/>
            <w:vAlign w:val="center"/>
          </w:tcPr>
          <w:p w14:paraId="2067AA64">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A</w:t>
            </w:r>
          </w:p>
        </w:tc>
        <w:tc>
          <w:tcPr>
            <w:tcW w:w="1354" w:type="pct"/>
            <w:tcBorders>
              <w:top w:val="outset" w:color="auto" w:sz="6" w:space="0"/>
              <w:left w:val="outset" w:color="auto" w:sz="6" w:space="0"/>
              <w:bottom w:val="outset" w:color="auto" w:sz="6" w:space="0"/>
              <w:right w:val="outset" w:color="auto" w:sz="6" w:space="0"/>
            </w:tcBorders>
            <w:shd w:val="clear" w:color="auto" w:fill="auto"/>
            <w:vAlign w:val="center"/>
          </w:tcPr>
          <w:p w14:paraId="057A1E5D">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临沂大学2024年国际生物资源应用学院致远3号楼教室、休息室设备购置预采购项目</w:t>
            </w:r>
          </w:p>
        </w:tc>
        <w:tc>
          <w:tcPr>
            <w:tcW w:w="338" w:type="pct"/>
            <w:tcBorders>
              <w:top w:val="outset" w:color="auto" w:sz="6" w:space="0"/>
              <w:left w:val="outset" w:color="auto" w:sz="6" w:space="0"/>
              <w:bottom w:val="outset" w:color="auto" w:sz="6" w:space="0"/>
              <w:right w:val="outset" w:color="auto" w:sz="6" w:space="0"/>
            </w:tcBorders>
            <w:shd w:val="clear" w:color="auto" w:fill="auto"/>
            <w:vAlign w:val="center"/>
          </w:tcPr>
          <w:p w14:paraId="06480901">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w:t>
            </w:r>
          </w:p>
        </w:tc>
        <w:tc>
          <w:tcPr>
            <w:tcW w:w="2243" w:type="pct"/>
            <w:tcBorders>
              <w:top w:val="outset" w:color="auto" w:sz="6" w:space="0"/>
              <w:left w:val="outset" w:color="auto" w:sz="6" w:space="0"/>
              <w:bottom w:val="outset" w:color="auto" w:sz="6" w:space="0"/>
              <w:right w:val="outset" w:color="auto" w:sz="6" w:space="0"/>
            </w:tcBorders>
            <w:shd w:val="clear" w:color="auto" w:fill="auto"/>
            <w:vAlign w:val="center"/>
          </w:tcPr>
          <w:p w14:paraId="1090F268">
            <w:pPr>
              <w:keepNext w:val="0"/>
              <w:keepLines w:val="0"/>
              <w:pageBreakBefore w:val="0"/>
              <w:widowControl w:val="0"/>
              <w:kinsoku/>
              <w:wordWrap/>
              <w:overflowPunct/>
              <w:topLinePunct w:val="0"/>
              <w:autoSpaceDE/>
              <w:autoSpaceDN/>
              <w:bidi w:val="0"/>
              <w:adjustRightInd/>
              <w:snapToGrid/>
              <w:spacing w:line="500" w:lineRule="exact"/>
              <w:ind w:left="-1"/>
              <w:jc w:val="left"/>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 xml:space="preserve"> </w:t>
            </w:r>
            <w:bookmarkStart w:id="208" w:name="OLE_LINK12"/>
            <w:r>
              <w:rPr>
                <w:rFonts w:hint="eastAsia" w:ascii="宋体" w:hAnsi="宋体" w:cs="宋体"/>
                <w:color w:val="auto"/>
                <w:sz w:val="24"/>
                <w:highlight w:val="none"/>
                <w:lang w:val="en-US" w:eastAsia="zh-CN"/>
              </w:rPr>
              <w:t xml:space="preserve"> </w:t>
            </w:r>
            <w:bookmarkStart w:id="209" w:name="OLE_LINK13"/>
            <w:r>
              <w:rPr>
                <w:rFonts w:hint="eastAsia" w:ascii="宋体" w:hAnsi="宋体" w:cs="宋体"/>
                <w:color w:val="auto"/>
                <w:sz w:val="24"/>
                <w:highlight w:val="none"/>
                <w:lang w:val="en-US" w:eastAsia="zh-CN"/>
              </w:rPr>
              <w:t>本项目</w:t>
            </w:r>
            <w:r>
              <w:rPr>
                <w:rFonts w:hint="eastAsia" w:ascii="宋体" w:hAnsi="宋体" w:cs="宋体"/>
                <w:color w:val="auto"/>
                <w:sz w:val="24"/>
                <w:highlight w:val="none"/>
                <w:lang w:eastAsia="zh-CN"/>
              </w:rPr>
              <w:t>临沂大学2024年国际生物资源应用学院致远3号楼教室、休息室设备，</w:t>
            </w:r>
            <w:r>
              <w:rPr>
                <w:rFonts w:hint="eastAsia" w:ascii="宋体" w:hAnsi="宋体" w:cs="宋体"/>
                <w:color w:val="auto"/>
                <w:sz w:val="24"/>
                <w:highlight w:val="none"/>
                <w:lang w:val="en-US" w:eastAsia="zh-CN"/>
              </w:rPr>
              <w:t>包括视频会议主机、录播系统、录播资源应用管理平台和服务器等设备，</w:t>
            </w:r>
            <w:r>
              <w:rPr>
                <w:rFonts w:hint="eastAsia" w:ascii="宋体" w:hAnsi="宋体" w:eastAsia="宋体" w:cs="宋体"/>
                <w:color w:val="auto"/>
                <w:sz w:val="24"/>
                <w:highlight w:val="none"/>
                <w:lang w:val="en-US" w:eastAsia="zh-CN"/>
              </w:rPr>
              <w:t>具体</w:t>
            </w:r>
            <w:r>
              <w:rPr>
                <w:rFonts w:hint="eastAsia" w:ascii="宋体" w:hAnsi="宋体" w:eastAsia="宋体" w:cs="宋体"/>
                <w:color w:val="auto"/>
                <w:sz w:val="24"/>
                <w:highlight w:val="none"/>
              </w:rPr>
              <w:t>详见磋商文件</w:t>
            </w:r>
            <w:r>
              <w:rPr>
                <w:rFonts w:hint="eastAsia" w:ascii="宋体" w:hAnsi="宋体" w:eastAsia="宋体" w:cs="宋体"/>
                <w:color w:val="auto"/>
                <w:sz w:val="24"/>
                <w:highlight w:val="none"/>
                <w:lang w:eastAsia="zh-CN"/>
              </w:rPr>
              <w:t>。</w:t>
            </w:r>
            <w:bookmarkEnd w:id="208"/>
            <w:bookmarkEnd w:id="209"/>
          </w:p>
        </w:tc>
        <w:tc>
          <w:tcPr>
            <w:tcW w:w="663" w:type="pct"/>
            <w:tcBorders>
              <w:top w:val="outset" w:color="auto" w:sz="6" w:space="0"/>
              <w:left w:val="outset" w:color="auto" w:sz="6" w:space="0"/>
              <w:bottom w:val="outset" w:color="auto" w:sz="6" w:space="0"/>
              <w:right w:val="outset" w:color="auto" w:sz="6" w:space="0"/>
            </w:tcBorders>
            <w:shd w:val="clear" w:color="auto" w:fill="auto"/>
            <w:vAlign w:val="center"/>
          </w:tcPr>
          <w:p w14:paraId="06AFE386">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40.7</w:t>
            </w:r>
          </w:p>
        </w:tc>
      </w:tr>
    </w:tbl>
    <w:p w14:paraId="5347C0E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w:t>
      </w:r>
      <w:bookmarkStart w:id="210" w:name="OLE_LINK5"/>
      <w:r>
        <w:rPr>
          <w:rFonts w:hint="eastAsia" w:ascii="宋体" w:hAnsi="宋体" w:eastAsia="宋体" w:cs="宋体"/>
          <w:color w:val="auto"/>
          <w:sz w:val="24"/>
          <w:highlight w:val="none"/>
        </w:rPr>
        <w:t>成交结果确定后</w:t>
      </w:r>
      <w:r>
        <w:rPr>
          <w:rFonts w:hint="eastAsia" w:ascii="宋体" w:hAnsi="宋体" w:cs="宋体"/>
          <w:color w:val="auto"/>
          <w:sz w:val="24"/>
          <w:highlight w:val="none"/>
          <w:lang w:val="en-US" w:eastAsia="zh-CN"/>
        </w:rPr>
        <w:t>15日内供货完毕</w:t>
      </w:r>
      <w:r>
        <w:rPr>
          <w:rFonts w:hint="eastAsia" w:ascii="宋体" w:hAnsi="宋体" w:eastAsia="宋体" w:cs="宋体"/>
          <w:color w:val="auto"/>
          <w:sz w:val="24"/>
          <w:highlight w:val="none"/>
        </w:rPr>
        <w:t>。</w:t>
      </w:r>
      <w:bookmarkEnd w:id="210"/>
    </w:p>
    <w:p w14:paraId="36A7CAB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本项目不接受联合体投标</w:t>
      </w:r>
      <w:r>
        <w:rPr>
          <w:rFonts w:hint="eastAsia" w:ascii="宋体" w:hAnsi="宋体" w:eastAsia="宋体" w:cs="宋体"/>
          <w:color w:val="auto"/>
          <w:sz w:val="24"/>
          <w:highlight w:val="none"/>
          <w:lang w:eastAsia="zh-CN"/>
        </w:rPr>
        <w:t>。</w:t>
      </w:r>
    </w:p>
    <w:p w14:paraId="528502A8">
      <w:pPr>
        <w:spacing w:line="500" w:lineRule="exact"/>
        <w:rPr>
          <w:rFonts w:hint="eastAsia" w:ascii="宋体" w:hAnsi="宋体" w:eastAsia="宋体" w:cs="宋体"/>
          <w:color w:val="auto"/>
          <w:sz w:val="24"/>
          <w:highlight w:val="none"/>
        </w:rPr>
      </w:pPr>
      <w:bookmarkStart w:id="211" w:name="_Toc35393791"/>
      <w:bookmarkStart w:id="212" w:name="_Toc28359080"/>
      <w:bookmarkStart w:id="213" w:name="_Toc35393622"/>
      <w:bookmarkStart w:id="214" w:name="_Toc28359003"/>
      <w:r>
        <w:rPr>
          <w:rFonts w:hint="eastAsia" w:ascii="宋体" w:hAnsi="宋体" w:eastAsia="宋体" w:cs="宋体"/>
          <w:color w:val="auto"/>
          <w:sz w:val="24"/>
          <w:highlight w:val="none"/>
        </w:rPr>
        <w:t>二、申请人的资格要求：</w:t>
      </w:r>
      <w:bookmarkEnd w:id="211"/>
      <w:bookmarkEnd w:id="212"/>
      <w:bookmarkEnd w:id="213"/>
      <w:bookmarkEnd w:id="214"/>
    </w:p>
    <w:p w14:paraId="0B87B6D5">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1.满足《中华人民共和国政府采购法》第二十二条规定；</w:t>
      </w:r>
    </w:p>
    <w:p w14:paraId="10BFB2FA">
      <w:pPr>
        <w:spacing w:line="500" w:lineRule="exact"/>
        <w:ind w:firstLine="420" w:firstLineChars="175"/>
        <w:rPr>
          <w:rFonts w:hint="eastAsia" w:ascii="宋体" w:hAnsi="宋体" w:eastAsia="宋体" w:cs="宋体"/>
          <w:color w:val="auto"/>
          <w:sz w:val="24"/>
          <w:highlight w:val="none"/>
        </w:rPr>
      </w:pPr>
      <w:bookmarkStart w:id="215" w:name="OLE_LINK3"/>
      <w:bookmarkStart w:id="216" w:name="_Toc28359081"/>
      <w:bookmarkStart w:id="217" w:name="_Toc28359004"/>
      <w:r>
        <w:rPr>
          <w:rFonts w:hint="eastAsia" w:ascii="宋体" w:hAnsi="宋体" w:eastAsia="宋体" w:cs="宋体"/>
          <w:color w:val="auto"/>
          <w:sz w:val="24"/>
          <w:highlight w:val="none"/>
        </w:rPr>
        <w:t>2.落实政府采购政策需满足的资格要求：</w:t>
      </w:r>
      <w:bookmarkStart w:id="218" w:name="OLE_LINK6"/>
      <w:r>
        <w:rPr>
          <w:rFonts w:hint="eastAsia" w:ascii="宋体" w:hAnsi="宋体" w:eastAsia="宋体" w:cs="宋体"/>
          <w:color w:val="auto"/>
          <w:sz w:val="24"/>
          <w:highlight w:val="none"/>
          <w:lang w:val="en-US" w:eastAsia="zh-CN"/>
        </w:rPr>
        <w:t>无</w:t>
      </w:r>
      <w:r>
        <w:rPr>
          <w:rFonts w:hint="eastAsia" w:ascii="宋体" w:hAnsi="宋体" w:eastAsia="宋体" w:cs="宋体"/>
          <w:color w:val="auto"/>
          <w:sz w:val="24"/>
          <w:highlight w:val="none"/>
        </w:rPr>
        <w:t>；</w:t>
      </w:r>
      <w:bookmarkEnd w:id="215"/>
      <w:bookmarkEnd w:id="218"/>
    </w:p>
    <w:p w14:paraId="2F8232DC">
      <w:pPr>
        <w:pStyle w:val="9"/>
        <w:keepNext w:val="0"/>
        <w:keepLines w:val="0"/>
        <w:pageBreakBefore w:val="0"/>
        <w:widowControl w:val="0"/>
        <w:kinsoku/>
        <w:wordWrap/>
        <w:overflowPunct/>
        <w:topLinePunct w:val="0"/>
        <w:autoSpaceDE/>
        <w:autoSpaceDN/>
        <w:bidi w:val="0"/>
        <w:spacing w:before="0" w:line="480" w:lineRule="exact"/>
        <w:ind w:firstLine="480" w:firstLineChars="200"/>
        <w:textAlignment w:val="auto"/>
        <w:rPr>
          <w:rFonts w:hint="default" w:ascii="宋体" w:hAnsi="宋体" w:eastAsia="宋体" w:cs="宋体"/>
          <w:color w:val="auto"/>
          <w:highlight w:val="none"/>
          <w:lang w:val="en-US" w:eastAsia="zh-CN"/>
        </w:rPr>
      </w:pPr>
      <w:bookmarkStart w:id="219" w:name="OLE_LINK4"/>
      <w:r>
        <w:rPr>
          <w:rFonts w:hint="eastAsia" w:ascii="宋体" w:hAnsi="宋体" w:eastAsia="宋体" w:cs="宋体"/>
          <w:color w:val="auto"/>
          <w:sz w:val="24"/>
          <w:highlight w:val="none"/>
        </w:rPr>
        <w:t>3.本项目的特定资格要求：</w:t>
      </w:r>
      <w:bookmarkStart w:id="220" w:name="OLE_LINK7"/>
      <w:r>
        <w:rPr>
          <w:rFonts w:hint="eastAsia" w:ascii="宋体" w:hAnsi="宋体" w:eastAsia="宋体" w:cs="宋体"/>
          <w:color w:val="auto"/>
          <w:sz w:val="24"/>
          <w:highlight w:val="none"/>
        </w:rPr>
        <w:t>（1）在“信用中国”（www.creditchina.gov.cn）、中国政府采购网（www.ccgp.gov.cn）等网站中被列入失信被执行人、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、政府采购严重违法失信行为记录名单的供应商，不得参加本次政府采购活动</w:t>
      </w:r>
      <w:r>
        <w:rPr>
          <w:rFonts w:hint="eastAsia" w:ascii="宋体" w:hAnsi="宋体" w:cs="宋体"/>
          <w:color w:val="auto"/>
          <w:sz w:val="24"/>
          <w:highlight w:val="none"/>
          <w:lang w:eastAsia="zh-CN"/>
        </w:rPr>
        <w:t>；</w:t>
      </w:r>
      <w:r>
        <w:rPr>
          <w:rFonts w:hint="eastAsia" w:ascii="宋体" w:hAnsi="宋体" w:eastAsia="宋体" w:cs="宋体"/>
          <w:color w:val="auto"/>
          <w:highlight w:val="none"/>
          <w:lang w:val="en-US" w:eastAsia="zh-CN"/>
        </w:rPr>
        <w:t>（</w:t>
      </w:r>
      <w:r>
        <w:rPr>
          <w:rFonts w:hint="eastAsia" w:cs="宋体"/>
          <w:color w:val="auto"/>
          <w:highlight w:val="none"/>
          <w:lang w:val="en-US" w:eastAsia="zh-CN"/>
        </w:rPr>
        <w:t>2</w:t>
      </w:r>
      <w:r>
        <w:rPr>
          <w:rFonts w:hint="eastAsia" w:ascii="宋体" w:hAnsi="宋体" w:eastAsia="宋体" w:cs="宋体"/>
          <w:color w:val="auto"/>
          <w:highlight w:val="none"/>
          <w:lang w:val="en-US" w:eastAsia="zh-CN"/>
        </w:rPr>
        <w:t>）单位负责人为同一人或者存在直接控股、管理关系的不同供应商，不得参加同一合同项下的政府采购活动</w:t>
      </w:r>
      <w:r>
        <w:rPr>
          <w:rFonts w:hint="eastAsia" w:cs="宋体"/>
          <w:color w:val="auto"/>
          <w:highlight w:val="none"/>
          <w:lang w:val="en-US" w:eastAsia="zh-CN"/>
        </w:rPr>
        <w:t>。</w:t>
      </w:r>
      <w:bookmarkEnd w:id="219"/>
      <w:bookmarkEnd w:id="220"/>
    </w:p>
    <w:p w14:paraId="3B9F7950">
      <w:pPr>
        <w:spacing w:line="500" w:lineRule="exact"/>
        <w:rPr>
          <w:rFonts w:hint="eastAsia" w:ascii="宋体" w:hAnsi="宋体" w:eastAsia="宋体" w:cs="宋体"/>
          <w:color w:val="auto"/>
          <w:sz w:val="24"/>
          <w:highlight w:val="none"/>
        </w:rPr>
      </w:pPr>
      <w:bookmarkStart w:id="221" w:name="_Toc35393792"/>
      <w:bookmarkStart w:id="222" w:name="_Toc35393623"/>
      <w:r>
        <w:rPr>
          <w:rFonts w:hint="eastAsia" w:ascii="宋体" w:hAnsi="宋体" w:eastAsia="宋体" w:cs="宋体"/>
          <w:color w:val="auto"/>
          <w:sz w:val="24"/>
          <w:highlight w:val="none"/>
        </w:rPr>
        <w:t>三、获取采购文件</w:t>
      </w:r>
      <w:bookmarkEnd w:id="216"/>
      <w:bookmarkEnd w:id="217"/>
      <w:bookmarkEnd w:id="221"/>
      <w:bookmarkEnd w:id="222"/>
    </w:p>
    <w:p w14:paraId="0D6DD43F">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w:t>
      </w:r>
      <w:r>
        <w:rPr>
          <w:rFonts w:hint="eastAsia" w:ascii="宋体" w:hAnsi="宋体" w:cs="宋体"/>
          <w:color w:val="auto"/>
          <w:sz w:val="24"/>
          <w:highlight w:val="none"/>
          <w:lang w:eastAsia="zh-CN"/>
        </w:rPr>
        <w:t>2024年</w:t>
      </w:r>
      <w:r>
        <w:rPr>
          <w:rFonts w:hint="eastAsia" w:ascii="宋体" w:hAnsi="宋体" w:cs="宋体"/>
          <w:color w:val="auto"/>
          <w:sz w:val="24"/>
          <w:highlight w:val="none"/>
          <w:lang w:val="en-US" w:eastAsia="zh-CN"/>
        </w:rPr>
        <w:t>8</w:t>
      </w:r>
      <w:r>
        <w:rPr>
          <w:rFonts w:hint="eastAsia" w:ascii="宋体" w:hAnsi="宋体" w:cs="宋体"/>
          <w:color w:val="auto"/>
          <w:sz w:val="24"/>
          <w:highlight w:val="none"/>
          <w:lang w:eastAsia="zh-CN"/>
        </w:rPr>
        <w:t>月</w:t>
      </w:r>
      <w:r>
        <w:rPr>
          <w:rFonts w:hint="eastAsia" w:ascii="宋体" w:hAnsi="宋体" w:cs="宋体"/>
          <w:color w:val="auto"/>
          <w:sz w:val="24"/>
          <w:highlight w:val="none"/>
          <w:lang w:val="en-US" w:eastAsia="zh-CN"/>
        </w:rPr>
        <w:t>28</w:t>
      </w:r>
      <w:r>
        <w:rPr>
          <w:rFonts w:hint="eastAsia" w:ascii="宋体" w:hAnsi="宋体" w:eastAsia="宋体" w:cs="宋体"/>
          <w:color w:val="auto"/>
          <w:sz w:val="24"/>
          <w:highlight w:val="none"/>
        </w:rPr>
        <w:t>日8时30分至202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日17时00分（报名截止时间）（北京时间，法定节假日除外）</w:t>
      </w:r>
    </w:p>
    <w:p w14:paraId="35C2973B">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bookmarkStart w:id="223" w:name="OLE_LINK14"/>
      <w:bookmarkStart w:id="224" w:name="OLE_LINK8"/>
      <w:r>
        <w:rPr>
          <w:rFonts w:hint="eastAsia" w:ascii="宋体" w:hAnsi="宋体" w:eastAsia="宋体" w:cs="宋体"/>
          <w:color w:val="auto"/>
          <w:sz w:val="24"/>
          <w:highlight w:val="none"/>
        </w:rPr>
        <w:t>临沂市兰山区柳青街道北京路与沭河路交汇北50米红日大厦20楼临沂市沂蒙国际招标有限公司</w:t>
      </w:r>
      <w:bookmarkEnd w:id="223"/>
      <w:r>
        <w:rPr>
          <w:rFonts w:hint="eastAsia" w:ascii="宋体" w:hAnsi="宋体" w:eastAsia="宋体" w:cs="宋体"/>
          <w:color w:val="auto"/>
          <w:sz w:val="24"/>
          <w:highlight w:val="none"/>
        </w:rPr>
        <w:t>；</w:t>
      </w:r>
      <w:bookmarkEnd w:id="224"/>
    </w:p>
    <w:p w14:paraId="60FD327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3.方式：</w:t>
      </w:r>
      <w:bookmarkStart w:id="225" w:name="OLE_LINK15"/>
      <w:bookmarkStart w:id="226" w:name="OLE_LINK9"/>
      <w:r>
        <w:rPr>
          <w:rFonts w:hint="eastAsia" w:ascii="宋体" w:hAnsi="宋体" w:eastAsia="宋体" w:cs="宋体"/>
          <w:color w:val="auto"/>
          <w:sz w:val="24"/>
          <w:szCs w:val="24"/>
          <w:highlight w:val="none"/>
        </w:rPr>
        <w:t>凡有意参加本次政府采购的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登录</w:t>
      </w:r>
      <w:r>
        <w:rPr>
          <w:rFonts w:hint="eastAsia" w:ascii="宋体" w:hAnsi="宋体" w:eastAsia="宋体" w:cs="宋体"/>
          <w:color w:val="auto"/>
          <w:sz w:val="24"/>
          <w:szCs w:val="24"/>
          <w:highlight w:val="none"/>
        </w:rPr>
        <w:t>山东省政府采购信息公开平台（http://www.ccgp-shandong.gov.cn）</w:t>
      </w:r>
      <w:r>
        <w:rPr>
          <w:rFonts w:hint="eastAsia" w:ascii="宋体" w:hAnsi="宋体" w:eastAsia="宋体" w:cs="宋体"/>
          <w:color w:val="auto"/>
          <w:sz w:val="24"/>
          <w:szCs w:val="24"/>
          <w:highlight w:val="none"/>
          <w:lang w:val="en-US" w:eastAsia="zh-CN"/>
        </w:rPr>
        <w:t>完成</w:t>
      </w:r>
      <w:r>
        <w:rPr>
          <w:rFonts w:hint="eastAsia" w:ascii="宋体" w:hAnsi="宋体" w:eastAsia="宋体" w:cs="宋体"/>
          <w:color w:val="auto"/>
          <w:sz w:val="24"/>
          <w:szCs w:val="24"/>
          <w:highlight w:val="none"/>
        </w:rPr>
        <w:t>投标备案</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bookmarkEnd w:id="225"/>
      <w:r>
        <w:rPr>
          <w:rFonts w:hint="eastAsia" w:ascii="宋体" w:hAnsi="宋体" w:eastAsia="宋体" w:cs="宋体"/>
          <w:color w:val="auto"/>
          <w:sz w:val="24"/>
          <w:szCs w:val="24"/>
          <w:highlight w:val="none"/>
        </w:rPr>
        <w:t>。</w:t>
      </w:r>
      <w:bookmarkEnd w:id="226"/>
    </w:p>
    <w:p w14:paraId="3B73257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售价：</w:t>
      </w:r>
      <w:bookmarkStart w:id="227" w:name="OLE_LINK11"/>
      <w:r>
        <w:rPr>
          <w:rFonts w:hint="eastAsia" w:ascii="宋体" w:hAnsi="宋体" w:eastAsia="宋体" w:cs="宋体"/>
          <w:color w:val="auto"/>
          <w:sz w:val="24"/>
          <w:szCs w:val="24"/>
          <w:highlight w:val="none"/>
        </w:rPr>
        <w:t>每</w:t>
      </w:r>
      <w:r>
        <w:rPr>
          <w:rFonts w:hint="eastAsia" w:ascii="宋体" w:hAnsi="宋体" w:cs="宋体"/>
          <w:color w:val="auto"/>
          <w:sz w:val="24"/>
          <w:szCs w:val="24"/>
          <w:highlight w:val="none"/>
          <w:lang w:val="en-US" w:eastAsia="zh-CN"/>
        </w:rPr>
        <w:t>份</w:t>
      </w:r>
      <w:r>
        <w:rPr>
          <w:rFonts w:hint="eastAsia" w:ascii="宋体" w:hAnsi="宋体" w:eastAsia="宋体" w:cs="宋体"/>
          <w:color w:val="auto"/>
          <w:sz w:val="24"/>
          <w:szCs w:val="24"/>
          <w:highlight w:val="none"/>
        </w:rPr>
        <w:t>人民币</w:t>
      </w:r>
      <w:r>
        <w:rPr>
          <w:rFonts w:hint="eastAsia" w:ascii="宋体" w:hAnsi="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售后不退。</w:t>
      </w:r>
      <w:bookmarkEnd w:id="227"/>
    </w:p>
    <w:p w14:paraId="055FE571">
      <w:pPr>
        <w:spacing w:line="500" w:lineRule="exact"/>
        <w:rPr>
          <w:rFonts w:hint="eastAsia" w:ascii="宋体" w:hAnsi="宋体" w:eastAsia="宋体" w:cs="宋体"/>
          <w:color w:val="auto"/>
          <w:sz w:val="24"/>
          <w:highlight w:val="none"/>
        </w:rPr>
      </w:pPr>
      <w:bookmarkStart w:id="228" w:name="_Toc28359082"/>
      <w:bookmarkStart w:id="229" w:name="_Toc28359005"/>
      <w:bookmarkStart w:id="230" w:name="_Toc35393624"/>
      <w:bookmarkStart w:id="231" w:name="_Toc35393793"/>
      <w:r>
        <w:rPr>
          <w:rFonts w:hint="eastAsia" w:ascii="宋体" w:hAnsi="宋体" w:eastAsia="宋体" w:cs="宋体"/>
          <w:color w:val="auto"/>
          <w:sz w:val="24"/>
          <w:highlight w:val="none"/>
        </w:rPr>
        <w:t>四、提交响应文件</w:t>
      </w:r>
      <w:bookmarkEnd w:id="228"/>
      <w:bookmarkEnd w:id="229"/>
      <w:r>
        <w:rPr>
          <w:rFonts w:hint="eastAsia" w:ascii="宋体" w:hAnsi="宋体" w:eastAsia="宋体" w:cs="宋体"/>
          <w:color w:val="auto"/>
          <w:sz w:val="24"/>
          <w:highlight w:val="none"/>
        </w:rPr>
        <w:t>截止时间和地点</w:t>
      </w:r>
      <w:bookmarkEnd w:id="230"/>
      <w:bookmarkEnd w:id="231"/>
    </w:p>
    <w:p w14:paraId="41C4CC8D">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14:paraId="4B4472D3">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bookmarkStart w:id="232" w:name="OLE_LINK10"/>
      <w:r>
        <w:rPr>
          <w:rFonts w:hint="eastAsia" w:ascii="宋体" w:hAnsi="宋体" w:eastAsia="宋体" w:cs="宋体"/>
          <w:color w:val="auto"/>
          <w:sz w:val="24"/>
          <w:highlight w:val="none"/>
        </w:rPr>
        <w:t>临沂市兰山区柳青街道北京路与沭河路交汇北50米红日大厦20楼</w:t>
      </w:r>
      <w:r>
        <w:rPr>
          <w:rFonts w:hint="eastAsia" w:ascii="宋体" w:hAnsi="宋体" w:eastAsia="宋体" w:cs="宋体"/>
          <w:color w:val="auto"/>
          <w:sz w:val="24"/>
          <w:highlight w:val="none"/>
          <w:lang w:val="zh-CN"/>
        </w:rPr>
        <w:t>临沂市沂蒙国际招标有限公司开标室</w:t>
      </w:r>
      <w:bookmarkEnd w:id="232"/>
      <w:r>
        <w:rPr>
          <w:rFonts w:hint="eastAsia" w:ascii="宋体" w:hAnsi="宋体" w:eastAsia="宋体" w:cs="宋体"/>
          <w:color w:val="auto"/>
          <w:sz w:val="24"/>
          <w:highlight w:val="none"/>
          <w:lang w:val="zh-CN"/>
        </w:rPr>
        <w:t>。</w:t>
      </w:r>
    </w:p>
    <w:p w14:paraId="4D53855A">
      <w:pPr>
        <w:spacing w:line="500" w:lineRule="exact"/>
        <w:rPr>
          <w:rFonts w:hint="eastAsia" w:ascii="宋体" w:hAnsi="宋体" w:eastAsia="宋体" w:cs="宋体"/>
          <w:color w:val="auto"/>
          <w:sz w:val="24"/>
          <w:highlight w:val="none"/>
        </w:rPr>
      </w:pPr>
      <w:bookmarkStart w:id="233" w:name="_Toc35393633"/>
      <w:bookmarkStart w:id="234" w:name="_Toc35393802"/>
      <w:bookmarkStart w:id="235" w:name="_Toc28359093"/>
      <w:bookmarkStart w:id="236" w:name="_Toc28359016"/>
      <w:r>
        <w:rPr>
          <w:rFonts w:hint="eastAsia" w:ascii="宋体" w:hAnsi="宋体" w:eastAsia="宋体" w:cs="宋体"/>
          <w:color w:val="auto"/>
          <w:sz w:val="24"/>
          <w:highlight w:val="none"/>
        </w:rPr>
        <w:t>五、开启</w:t>
      </w:r>
      <w:bookmarkEnd w:id="233"/>
      <w:bookmarkEnd w:id="234"/>
      <w:bookmarkEnd w:id="235"/>
      <w:bookmarkEnd w:id="236"/>
      <w:r>
        <w:rPr>
          <w:rFonts w:hint="eastAsia" w:ascii="宋体" w:hAnsi="宋体" w:eastAsia="宋体" w:cs="宋体"/>
          <w:color w:val="auto"/>
          <w:sz w:val="24"/>
          <w:highlight w:val="none"/>
        </w:rPr>
        <w:t xml:space="preserve"> </w:t>
      </w:r>
    </w:p>
    <w:p w14:paraId="7CBE7EA8">
      <w:pPr>
        <w:spacing w:line="500" w:lineRule="exact"/>
        <w:ind w:firstLine="480" w:firstLineChars="200"/>
        <w:rPr>
          <w:rFonts w:hint="eastAsia" w:ascii="宋体" w:hAnsi="宋体" w:eastAsia="宋体" w:cs="宋体"/>
          <w:color w:val="auto"/>
          <w:sz w:val="24"/>
          <w:highlight w:val="none"/>
        </w:rPr>
      </w:pPr>
      <w:bookmarkStart w:id="237" w:name="_Toc28359017"/>
      <w:bookmarkStart w:id="238" w:name="_Toc35393803"/>
      <w:bookmarkStart w:id="239" w:name="_Toc28359094"/>
      <w:bookmarkStart w:id="240" w:name="_Toc35393634"/>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14:paraId="665AD242">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bookmarkStart w:id="241" w:name="OLE_LINK16"/>
      <w:r>
        <w:rPr>
          <w:rFonts w:hint="eastAsia" w:ascii="宋体" w:hAnsi="宋体" w:eastAsia="宋体" w:cs="宋体"/>
          <w:color w:val="auto"/>
          <w:sz w:val="24"/>
          <w:highlight w:val="none"/>
        </w:rPr>
        <w:t>临沂市兰山区柳青街道北京路与沭河路交汇北50米红日大厦20楼</w:t>
      </w:r>
      <w:r>
        <w:rPr>
          <w:rFonts w:hint="eastAsia" w:ascii="宋体" w:hAnsi="宋体" w:eastAsia="宋体" w:cs="宋体"/>
          <w:color w:val="auto"/>
          <w:sz w:val="24"/>
          <w:highlight w:val="none"/>
          <w:lang w:val="zh-CN"/>
        </w:rPr>
        <w:t>临沂市沂蒙国际招标有限公司开标室</w:t>
      </w:r>
      <w:bookmarkEnd w:id="241"/>
      <w:r>
        <w:rPr>
          <w:rFonts w:hint="eastAsia" w:ascii="宋体" w:hAnsi="宋体" w:eastAsia="宋体" w:cs="宋体"/>
          <w:color w:val="auto"/>
          <w:sz w:val="24"/>
          <w:highlight w:val="none"/>
          <w:lang w:val="zh-CN"/>
        </w:rPr>
        <w:t>。</w:t>
      </w:r>
    </w:p>
    <w:p w14:paraId="7E8308B2">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六、公告期限</w:t>
      </w:r>
      <w:bookmarkEnd w:id="237"/>
      <w:bookmarkEnd w:id="238"/>
      <w:bookmarkEnd w:id="239"/>
      <w:bookmarkEnd w:id="240"/>
    </w:p>
    <w:p w14:paraId="038C3B7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自本公告发布之日起5个工作日。</w:t>
      </w:r>
    </w:p>
    <w:p w14:paraId="71B7D898">
      <w:pPr>
        <w:spacing w:line="500" w:lineRule="exact"/>
        <w:rPr>
          <w:rFonts w:hint="eastAsia" w:ascii="宋体" w:hAnsi="宋体" w:eastAsia="宋体" w:cs="宋体"/>
          <w:color w:val="auto"/>
          <w:sz w:val="24"/>
          <w:highlight w:val="none"/>
        </w:rPr>
      </w:pPr>
      <w:bookmarkStart w:id="242" w:name="_Toc35393804"/>
      <w:bookmarkStart w:id="243" w:name="_Toc35393635"/>
      <w:r>
        <w:rPr>
          <w:rFonts w:hint="eastAsia" w:ascii="宋体" w:hAnsi="宋体" w:eastAsia="宋体" w:cs="宋体"/>
          <w:color w:val="auto"/>
          <w:sz w:val="24"/>
          <w:highlight w:val="none"/>
        </w:rPr>
        <w:t>七、其他补充事宜</w:t>
      </w:r>
      <w:bookmarkEnd w:id="242"/>
      <w:bookmarkEnd w:id="243"/>
    </w:p>
    <w:p w14:paraId="0E9C353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项目需要落实的政府采购政策：《政府采购促进中小企业发展管理办法》（财库〔2020〕46号）、《关于政府采购支持监狱企业发展有关问题的通知》（财库〔2014〕68号）、《关于促进残疾人就业政府采购政策的通知》（财库〔2017〕141号）、《财政部发展改革委生态环境部市场监管总局关于调整优化节能产品、环境标志产品政府采购执行机制的通知》（财库〔2019〕9号）、《商品包装政府采购需求标准（试行）》（财办库〔2020〕123号）、《快递包装政府采购需求标准（试行）》（财办库〔2020〕123号）等。本项目为预采购项目有取消和终止采购的可能。</w:t>
      </w:r>
    </w:p>
    <w:p w14:paraId="35628C59">
      <w:pPr>
        <w:spacing w:line="500" w:lineRule="exact"/>
        <w:rPr>
          <w:rFonts w:hint="eastAsia" w:ascii="宋体" w:hAnsi="宋体" w:eastAsia="宋体" w:cs="宋体"/>
          <w:color w:val="auto"/>
          <w:sz w:val="24"/>
          <w:highlight w:val="none"/>
        </w:rPr>
      </w:pPr>
      <w:bookmarkStart w:id="244" w:name="_Toc28359018"/>
      <w:bookmarkStart w:id="245" w:name="_Toc35393636"/>
      <w:bookmarkStart w:id="246" w:name="_Toc28359095"/>
      <w:bookmarkStart w:id="247" w:name="_Toc35393805"/>
      <w:r>
        <w:rPr>
          <w:rFonts w:hint="eastAsia" w:ascii="宋体" w:hAnsi="宋体" w:eastAsia="宋体" w:cs="宋体"/>
          <w:color w:val="auto"/>
          <w:sz w:val="24"/>
          <w:highlight w:val="none"/>
        </w:rPr>
        <w:t>八、凡对本次采购提出询问，请按以下方式联系</w:t>
      </w:r>
      <w:bookmarkEnd w:id="244"/>
      <w:bookmarkEnd w:id="245"/>
      <w:bookmarkEnd w:id="246"/>
      <w:bookmarkEnd w:id="247"/>
      <w:r>
        <w:rPr>
          <w:rFonts w:hint="eastAsia" w:ascii="宋体" w:hAnsi="宋体" w:eastAsia="宋体" w:cs="宋体"/>
          <w:color w:val="auto"/>
          <w:sz w:val="24"/>
          <w:highlight w:val="none"/>
        </w:rPr>
        <w:t>:</w:t>
      </w:r>
    </w:p>
    <w:p w14:paraId="1C3FF01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1.采购人：临沂大学</w:t>
      </w:r>
    </w:p>
    <w:p w14:paraId="4BA4B9D8">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联系地址：山东省临沂市双岭路中段</w:t>
      </w:r>
    </w:p>
    <w:p w14:paraId="04706C9D">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w:t>
      </w:r>
    </w:p>
    <w:p w14:paraId="7ED7F554">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2.采购代理机构：临沂市沂蒙国际招标有限公司</w:t>
      </w:r>
    </w:p>
    <w:p w14:paraId="3BCDD61D">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14:paraId="6C000340">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联系方式：0539-7578911</w:t>
      </w:r>
    </w:p>
    <w:bookmarkEnd w:id="198"/>
    <w:p w14:paraId="3D8638F8">
      <w:pPr>
        <w:rPr>
          <w:rFonts w:hint="eastAsia" w:ascii="宋体" w:hAnsi="宋体" w:eastAsia="宋体" w:cs="宋体"/>
          <w:color w:val="auto"/>
          <w:szCs w:val="32"/>
          <w:highlight w:val="none"/>
        </w:rPr>
      </w:pPr>
      <w:r>
        <w:rPr>
          <w:rFonts w:hint="eastAsia" w:ascii="宋体" w:hAnsi="宋体" w:eastAsia="宋体" w:cs="宋体"/>
          <w:color w:val="auto"/>
          <w:szCs w:val="32"/>
          <w:highlight w:val="none"/>
        </w:rPr>
        <w:br w:type="page"/>
      </w:r>
    </w:p>
    <w:p w14:paraId="087BE112">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48" w:name="_Toc22616"/>
      <w:r>
        <w:rPr>
          <w:rFonts w:hint="eastAsia" w:ascii="宋体" w:hAnsi="宋体" w:eastAsia="宋体" w:cs="宋体"/>
          <w:color w:val="auto"/>
          <w:szCs w:val="32"/>
          <w:highlight w:val="none"/>
        </w:rPr>
        <w:t>第3章</w:t>
      </w:r>
      <w:bookmarkStart w:id="249" w:name="_Toc515647830"/>
      <w:bookmarkStart w:id="250" w:name="_Toc31583"/>
      <w:bookmarkStart w:id="251" w:name="_Toc216582823"/>
      <w:bookmarkStart w:id="252" w:name="_Toc10488"/>
      <w:bookmarkStart w:id="253" w:name="_Toc507399903"/>
      <w:bookmarkStart w:id="254" w:name="_Toc4766814"/>
      <w:r>
        <w:rPr>
          <w:rFonts w:hint="eastAsia" w:ascii="宋体" w:hAnsi="宋体" w:eastAsia="宋体" w:cs="宋体"/>
          <w:color w:val="auto"/>
          <w:szCs w:val="32"/>
          <w:highlight w:val="none"/>
        </w:rPr>
        <w:t xml:space="preserve"> </w:t>
      </w:r>
      <w:r>
        <w:rPr>
          <w:rFonts w:hint="eastAsia" w:ascii="宋体" w:hAnsi="宋体" w:eastAsia="宋体" w:cs="宋体"/>
          <w:color w:val="auto"/>
          <w:highlight w:val="none"/>
        </w:rPr>
        <w:t>供应商须知</w:t>
      </w:r>
      <w:r>
        <w:rPr>
          <w:rFonts w:hint="eastAsia" w:ascii="宋体" w:hAnsi="宋体" w:eastAsia="宋体" w:cs="宋体"/>
          <w:color w:val="auto"/>
          <w:szCs w:val="32"/>
          <w:highlight w:val="none"/>
        </w:rPr>
        <w:t>资料表</w:t>
      </w:r>
      <w:bookmarkEnd w:id="205"/>
      <w:bookmarkEnd w:id="248"/>
      <w:bookmarkEnd w:id="249"/>
      <w:bookmarkEnd w:id="250"/>
      <w:bookmarkEnd w:id="251"/>
      <w:bookmarkEnd w:id="252"/>
      <w:bookmarkEnd w:id="253"/>
      <w:bookmarkEnd w:id="254"/>
    </w:p>
    <w:p w14:paraId="01F89A5A">
      <w:pPr>
        <w:spacing w:line="480" w:lineRule="exact"/>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本表是本磋商项目的具体资料，是对供应商须知的具体补充和修改，如有矛盾，应</w:t>
      </w:r>
      <w:r>
        <w:rPr>
          <w:rFonts w:hint="eastAsia" w:ascii="宋体" w:hAnsi="宋体" w:eastAsia="宋体" w:cs="宋体"/>
          <w:b/>
          <w:color w:val="auto"/>
          <w:sz w:val="24"/>
          <w:highlight w:val="none"/>
        </w:rPr>
        <w:t>以本资料表为准</w:t>
      </w:r>
      <w:r>
        <w:rPr>
          <w:rFonts w:hint="eastAsia" w:ascii="宋体" w:hAnsi="宋体" w:eastAsia="宋体" w:cs="宋体"/>
          <w:color w:val="auto"/>
          <w:sz w:val="24"/>
          <w:highlight w:val="none"/>
        </w:rPr>
        <w:t>。</w:t>
      </w:r>
    </w:p>
    <w:tbl>
      <w:tblPr>
        <w:tblStyle w:val="29"/>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14:paraId="2A6196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noWrap w:val="0"/>
            <w:vAlign w:val="center"/>
          </w:tcPr>
          <w:p w14:paraId="42FAEDA6">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noWrap w:val="0"/>
            <w:vAlign w:val="center"/>
          </w:tcPr>
          <w:p w14:paraId="4F135BF1">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      容</w:t>
            </w:r>
          </w:p>
        </w:tc>
      </w:tr>
      <w:tr w14:paraId="02952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9BC3EC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44B13D0">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采购人：临沂大学</w:t>
            </w:r>
          </w:p>
          <w:p w14:paraId="321080C1">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址：山东省临沂市双岭路中段</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临沂大学</w:t>
            </w:r>
            <w:r>
              <w:rPr>
                <w:rFonts w:hint="eastAsia" w:ascii="宋体" w:hAnsi="宋体" w:eastAsia="宋体" w:cs="宋体"/>
                <w:color w:val="auto"/>
                <w:sz w:val="24"/>
                <w:highlight w:val="none"/>
                <w:lang w:eastAsia="zh-CN"/>
              </w:rPr>
              <w:t>）</w:t>
            </w:r>
          </w:p>
          <w:p w14:paraId="2059443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　</w:t>
            </w:r>
          </w:p>
        </w:tc>
      </w:tr>
      <w:tr w14:paraId="6DCCA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068AB7C">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46816B0">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采购代理机构：临沂市沂蒙国际招标有限公司</w:t>
            </w:r>
          </w:p>
          <w:p w14:paraId="7E3C10B1">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14:paraId="4A8AD7A9">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联系方式：0539-7578911</w:t>
            </w:r>
          </w:p>
        </w:tc>
      </w:tr>
      <w:tr w14:paraId="6DC388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5C9E25D">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699D4D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合格供应商的特定资格要求：见磋商公告</w:t>
            </w:r>
          </w:p>
        </w:tc>
      </w:tr>
      <w:tr w14:paraId="4CCE9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1F76D0C">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412E301">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是否为专门面向中小企业采购：（是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w:t>
            </w:r>
          </w:p>
        </w:tc>
      </w:tr>
      <w:tr w14:paraId="06BE4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25424D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2783A0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是否允许联合体投标：（是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tc>
      </w:tr>
      <w:tr w14:paraId="427CA4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EB98EAD">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AC6EAD6">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联合体的其他资格要求：不适用</w:t>
            </w:r>
          </w:p>
        </w:tc>
      </w:tr>
      <w:tr w14:paraId="59070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9071C8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8E91CC3">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本分包最高限价：见磋商公告预算金额；</w:t>
            </w:r>
          </w:p>
          <w:p w14:paraId="0949CAFD">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本项目预算属于以下情形：</w:t>
            </w:r>
          </w:p>
          <w:p w14:paraId="7BE23348">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预采购项目</w:t>
            </w:r>
            <w:r>
              <w:rPr>
                <w:rFonts w:hint="eastAsia" w:ascii="宋体" w:hAnsi="宋体" w:eastAsia="宋体" w:cs="宋体"/>
                <w:color w:val="auto"/>
                <w:sz w:val="24"/>
                <w:highlight w:val="none"/>
              </w:rPr>
              <w:sym w:font="Wingdings 2" w:char="0052"/>
            </w:r>
          </w:p>
          <w:p w14:paraId="64A28527">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项目为非预采购项目，预算见磋商公告。</w:t>
            </w:r>
          </w:p>
          <w:p w14:paraId="4D16DC97">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项目为跨年度预采购项目，概算总金额/元，采购年限为/年，当年安排数/元。</w:t>
            </w:r>
          </w:p>
          <w:p w14:paraId="769AF2B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根据《转发财政部关于做好政府采购信息公开工作的通知》（鲁财采【2015】33号）文件规定，预采购项目有取消和终止采购的可能。</w:t>
            </w:r>
          </w:p>
        </w:tc>
      </w:tr>
      <w:tr w14:paraId="639CA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2F5B01D">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E63197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是否现场踏勘：（是□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w:t>
            </w:r>
          </w:p>
        </w:tc>
      </w:tr>
      <w:tr w14:paraId="70EA6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60A9A0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B68DF10">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是否兼投不兼中：（是</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w:t>
            </w:r>
          </w:p>
          <w:p w14:paraId="418D529E">
            <w:pPr>
              <w:spacing w:line="500" w:lineRule="exact"/>
              <w:ind w:left="-31" w:leftChars="-15" w:firstLine="112" w:firstLineChars="47"/>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兼投不兼中描述：</w:t>
            </w:r>
            <w:r>
              <w:rPr>
                <w:rFonts w:hint="eastAsia" w:ascii="宋体" w:hAnsi="宋体" w:cs="宋体"/>
                <w:color w:val="auto"/>
                <w:sz w:val="24"/>
                <w:highlight w:val="none"/>
                <w:lang w:val="en-US" w:eastAsia="zh-CN"/>
              </w:rPr>
              <w:t>本项目不适用</w:t>
            </w:r>
            <w:r>
              <w:rPr>
                <w:rFonts w:hint="eastAsia" w:ascii="宋体" w:hAnsi="宋体" w:eastAsia="宋体" w:cs="宋体"/>
                <w:b/>
                <w:bCs/>
                <w:color w:val="auto"/>
                <w:sz w:val="24"/>
                <w:highlight w:val="none"/>
                <w:lang w:val="en-US" w:eastAsia="zh-CN"/>
              </w:rPr>
              <w:t>。</w:t>
            </w:r>
          </w:p>
        </w:tc>
      </w:tr>
      <w:tr w14:paraId="45FAA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E5084D0">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C4B4E9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本项目是否采用电子投标：（是□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w:t>
            </w:r>
          </w:p>
        </w:tc>
      </w:tr>
      <w:tr w14:paraId="1F7BDD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6F364D4">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2206440">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both"/>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交付时间：</w:t>
            </w:r>
            <w:r>
              <w:rPr>
                <w:rFonts w:hint="eastAsia" w:ascii="宋体" w:hAnsi="宋体" w:eastAsia="宋体" w:cs="宋体"/>
                <w:color w:val="auto"/>
                <w:sz w:val="24"/>
                <w:highlight w:val="none"/>
              </w:rPr>
              <w:t>成交结果确定后</w:t>
            </w:r>
            <w:r>
              <w:rPr>
                <w:rFonts w:hint="eastAsia" w:cs="宋体"/>
                <w:color w:val="auto"/>
                <w:sz w:val="24"/>
                <w:highlight w:val="none"/>
                <w:lang w:val="en-US" w:eastAsia="zh-CN"/>
              </w:rPr>
              <w:t>15</w:t>
            </w:r>
            <w:r>
              <w:rPr>
                <w:rFonts w:hint="eastAsia" w:ascii="宋体" w:hAnsi="宋体" w:cs="宋体"/>
                <w:color w:val="auto"/>
                <w:sz w:val="24"/>
                <w:highlight w:val="none"/>
                <w:lang w:val="en-US" w:eastAsia="zh-CN"/>
              </w:rPr>
              <w:t>日内供货完毕</w:t>
            </w:r>
            <w:r>
              <w:rPr>
                <w:rFonts w:hint="eastAsia" w:cs="宋体"/>
                <w:b w:val="0"/>
                <w:bCs w:val="0"/>
                <w:color w:val="auto"/>
                <w:sz w:val="24"/>
                <w:highlight w:val="none"/>
                <w:lang w:val="en-US" w:eastAsia="zh-CN"/>
              </w:rPr>
              <w:t>。</w:t>
            </w:r>
          </w:p>
        </w:tc>
      </w:tr>
      <w:tr w14:paraId="4D2AE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71BC44C">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70EC6BA">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报价要求：供应商在报价表中所报总价包括完成供货及相关服务所需的全部费用，包括</w:t>
            </w:r>
            <w:r>
              <w:rPr>
                <w:rFonts w:hint="eastAsia" w:ascii="宋体" w:hAnsi="宋体" w:cs="宋体"/>
                <w:color w:val="auto"/>
                <w:sz w:val="24"/>
                <w:highlight w:val="none"/>
                <w:lang w:val="en-US" w:eastAsia="zh-CN"/>
              </w:rPr>
              <w:t>产品</w:t>
            </w:r>
            <w:r>
              <w:rPr>
                <w:rFonts w:hint="eastAsia" w:ascii="宋体" w:hAnsi="宋体" w:eastAsia="宋体" w:cs="宋体"/>
                <w:color w:val="auto"/>
                <w:sz w:val="24"/>
                <w:highlight w:val="none"/>
              </w:rPr>
              <w:t>、运输</w:t>
            </w:r>
            <w:r>
              <w:rPr>
                <w:rFonts w:hint="eastAsia" w:ascii="宋体" w:hAnsi="宋体" w:cs="宋体"/>
                <w:color w:val="auto"/>
                <w:sz w:val="24"/>
                <w:highlight w:val="none"/>
                <w:lang w:val="en-US" w:eastAsia="zh-CN"/>
              </w:rPr>
              <w:t>费</w:t>
            </w:r>
            <w:r>
              <w:rPr>
                <w:rFonts w:hint="eastAsia" w:ascii="宋体" w:hAnsi="宋体" w:eastAsia="宋体" w:cs="宋体"/>
                <w:color w:val="auto"/>
                <w:sz w:val="24"/>
                <w:highlight w:val="none"/>
              </w:rPr>
              <w:t>、装卸</w:t>
            </w:r>
            <w:r>
              <w:rPr>
                <w:rFonts w:hint="eastAsia" w:ascii="宋体" w:hAnsi="宋体" w:cs="宋体"/>
                <w:color w:val="auto"/>
                <w:sz w:val="24"/>
                <w:highlight w:val="none"/>
                <w:lang w:val="en-US" w:eastAsia="zh-CN"/>
              </w:rPr>
              <w:t>费</w:t>
            </w:r>
            <w:r>
              <w:rPr>
                <w:rFonts w:hint="eastAsia" w:ascii="宋体" w:hAnsi="宋体" w:eastAsia="宋体" w:cs="宋体"/>
                <w:color w:val="auto"/>
                <w:sz w:val="24"/>
                <w:highlight w:val="none"/>
              </w:rPr>
              <w:t>、</w:t>
            </w:r>
            <w:r>
              <w:rPr>
                <w:rFonts w:hint="eastAsia" w:ascii="宋体" w:hAnsi="宋体" w:cs="宋体"/>
                <w:color w:val="auto"/>
                <w:sz w:val="24"/>
                <w:highlight w:val="none"/>
                <w:lang w:val="en-US" w:eastAsia="zh-CN"/>
              </w:rPr>
              <w:t>安装调试费、</w:t>
            </w:r>
            <w:r>
              <w:rPr>
                <w:rFonts w:hint="eastAsia" w:ascii="宋体" w:hAnsi="宋体" w:eastAsia="宋体" w:cs="宋体"/>
                <w:i w:val="0"/>
                <w:iCs w:val="0"/>
                <w:color w:val="auto"/>
                <w:kern w:val="0"/>
                <w:sz w:val="24"/>
                <w:szCs w:val="24"/>
                <w:highlight w:val="none"/>
                <w:u w:val="none"/>
                <w:lang w:val="en-US" w:eastAsia="zh-CN" w:bidi="ar"/>
              </w:rPr>
              <w:t>辅材、</w:t>
            </w:r>
            <w:r>
              <w:rPr>
                <w:rFonts w:hint="eastAsia" w:ascii="宋体" w:hAnsi="宋体" w:eastAsia="宋体" w:cs="宋体"/>
                <w:color w:val="auto"/>
                <w:sz w:val="24"/>
                <w:highlight w:val="none"/>
              </w:rPr>
              <w:t>成交服务费、税费、售后服务等。如果报价中有缺项，应视为漏报项价格已分摊在其它项目中。供应商免费提供的项目，应先填写该项目的实际价格，并注明免费，此项不计入总价或合计价。</w:t>
            </w:r>
          </w:p>
        </w:tc>
      </w:tr>
      <w:tr w14:paraId="0D241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2E5D13A">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109F66F">
            <w:pPr>
              <w:spacing w:line="500" w:lineRule="exact"/>
              <w:ind w:left="-31" w:leftChars="-15" w:firstLine="112" w:firstLineChars="47"/>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是否提供</w:t>
            </w:r>
            <w:r>
              <w:rPr>
                <w:rFonts w:hint="eastAsia" w:ascii="宋体" w:hAnsi="宋体" w:eastAsia="宋体" w:cs="宋体"/>
                <w:color w:val="auto"/>
                <w:sz w:val="24"/>
                <w:highlight w:val="none"/>
                <w:lang w:val="en-US" w:eastAsia="zh-CN"/>
              </w:rPr>
              <w:t>演示</w:t>
            </w:r>
            <w:r>
              <w:rPr>
                <w:rFonts w:hint="eastAsia" w:ascii="宋体" w:hAnsi="宋体" w:eastAsia="宋体" w:cs="宋体"/>
                <w:color w:val="auto"/>
                <w:sz w:val="24"/>
                <w:highlight w:val="none"/>
              </w:rPr>
              <w:t>： 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演示要求详见评分细则。</w:t>
            </w:r>
          </w:p>
        </w:tc>
      </w:tr>
      <w:tr w14:paraId="596104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1313E96">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957B4D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保证金形式：□保函  □电汇  □支票</w:t>
            </w:r>
          </w:p>
          <w:p w14:paraId="5A64BC2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保证金数额：0万元</w:t>
            </w:r>
          </w:p>
          <w:p w14:paraId="427C55BC">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保证金收款人：/</w:t>
            </w:r>
          </w:p>
        </w:tc>
      </w:tr>
      <w:tr w14:paraId="639E8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9CB9D8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AE47944">
            <w:p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响应文件份数：四份（一份正本、三份副本），各供应商须提供完整响应文件电子版一份（word格式，U盘或光盘存储）密封后随响应文件一起提交。</w:t>
            </w:r>
          </w:p>
          <w:p w14:paraId="0807BBE8">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响应有效期：90日历日</w:t>
            </w:r>
          </w:p>
        </w:tc>
      </w:tr>
      <w:tr w14:paraId="7C176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E4B6E0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ACC4853">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响应文件提交截止时间：见磋商公告</w:t>
            </w:r>
          </w:p>
        </w:tc>
      </w:tr>
      <w:tr w14:paraId="17E7C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ABECE14">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06FA383">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开启响应文件时间：见磋商公告</w:t>
            </w:r>
          </w:p>
          <w:p w14:paraId="3806651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开启地点：见磋商公告</w:t>
            </w:r>
          </w:p>
        </w:tc>
      </w:tr>
      <w:tr w14:paraId="18B8C2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C10EF9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976FA7D">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推荐成交候选供应商的数量：不少于3家</w:t>
            </w:r>
          </w:p>
        </w:tc>
      </w:tr>
      <w:tr w14:paraId="40089A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C3336A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0BB90C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采购人是否委托磋商小组直接确定成交供应商：是</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否□</w:t>
            </w:r>
          </w:p>
        </w:tc>
      </w:tr>
      <w:tr w14:paraId="7F4D3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8C67E8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46EB4301">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履约保证金金额：</w:t>
            </w:r>
            <w:r>
              <w:rPr>
                <w:rFonts w:hint="eastAsia" w:ascii="宋体" w:hAnsi="宋体" w:cs="宋体"/>
                <w:color w:val="auto"/>
                <w:sz w:val="24"/>
                <w:highlight w:val="none"/>
                <w:u w:val="none" w:color="auto"/>
                <w:lang w:val="en-US" w:eastAsia="zh-CN"/>
              </w:rPr>
              <w:t>成交金额的5%。</w:t>
            </w:r>
          </w:p>
        </w:tc>
      </w:tr>
      <w:tr w14:paraId="0EC70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13389A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F5EDE26">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本项目是否属于信用担保试点范围：（是</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否</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w:t>
            </w:r>
          </w:p>
          <w:p w14:paraId="0E78A0CB">
            <w:pPr>
              <w:spacing w:line="48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本项目是否可以办理政府采购融资贷款：是</w:t>
            </w:r>
          </w:p>
          <w:p w14:paraId="2863821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供应商如需了解详细办理程序请登录“http://www.ccgp-shandong-rz.cn/”</w:t>
            </w:r>
            <w:r>
              <w:rPr>
                <w:rFonts w:hint="eastAsia" w:ascii="宋体" w:hAnsi="宋体" w:eastAsia="宋体" w:cs="宋体"/>
                <w:color w:val="auto"/>
                <w:sz w:val="24"/>
                <w:highlight w:val="none"/>
                <w:lang w:val="en-US" w:eastAsia="zh-CN"/>
              </w:rPr>
              <w:t>。</w:t>
            </w:r>
          </w:p>
        </w:tc>
      </w:tr>
      <w:tr w14:paraId="774C6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AC05815">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F91E7AC">
            <w:pPr>
              <w:spacing w:line="500" w:lineRule="exact"/>
              <w:ind w:left="-31" w:leftChars="-15" w:firstLine="112" w:firstLineChars="47"/>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预付款比例为：</w:t>
            </w:r>
            <w:r>
              <w:rPr>
                <w:rFonts w:hint="eastAsia" w:ascii="宋体" w:hAnsi="宋体" w:cs="宋体"/>
                <w:color w:val="auto"/>
                <w:sz w:val="24"/>
                <w:highlight w:val="none"/>
                <w:lang w:val="en-US" w:eastAsia="zh-CN"/>
              </w:rPr>
              <w:t>无</w:t>
            </w:r>
          </w:p>
        </w:tc>
      </w:tr>
      <w:tr w14:paraId="526977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8B5464E">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483185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质疑函接收部门、联系电话和通讯地址：</w:t>
            </w:r>
          </w:p>
          <w:p w14:paraId="2176DA0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联系部门：临沂市沂蒙国际招标有限公司</w:t>
            </w:r>
          </w:p>
          <w:p w14:paraId="52BC1DF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14:paraId="4577027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联系方式：0539-7578911 </w:t>
            </w:r>
          </w:p>
        </w:tc>
      </w:tr>
      <w:tr w14:paraId="3E1956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D78016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07D47B4">
            <w:pPr>
              <w:spacing w:line="500" w:lineRule="exact"/>
              <w:ind w:left="-31" w:leftChars="-15" w:firstLine="112" w:firstLineChars="47"/>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成交服务费：</w:t>
            </w:r>
            <w:r>
              <w:rPr>
                <w:rFonts w:hint="eastAsia" w:ascii="宋体" w:hAnsi="宋体" w:eastAsia="宋体" w:cs="宋体"/>
                <w:color w:val="auto"/>
                <w:sz w:val="24"/>
                <w:highlight w:val="none"/>
                <w:lang w:val="en-US" w:eastAsia="zh-CN"/>
              </w:rPr>
              <w:t>参照</w:t>
            </w:r>
            <w:r>
              <w:rPr>
                <w:rFonts w:hint="eastAsia" w:ascii="宋体" w:hAnsi="宋体" w:eastAsia="宋体" w:cs="宋体"/>
                <w:color w:val="auto"/>
                <w:sz w:val="24"/>
                <w:highlight w:val="none"/>
              </w:rPr>
              <w:t>《国家发展改革委办公厅关于招标代理服务收费有关问题的通知》</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发改办价格[2003]857号</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和国家计委关于《招标代理服务收费管理暂行办法》（计价格[2002]1980号）规定的收费标准*80%，由成交供应商支付，在领取成交通知书前支付给采购代理机构</w:t>
            </w:r>
            <w:r>
              <w:rPr>
                <w:rFonts w:hint="eastAsia" w:ascii="宋体" w:hAnsi="宋体" w:eastAsia="宋体" w:cs="宋体"/>
                <w:color w:val="auto"/>
                <w:sz w:val="24"/>
                <w:highlight w:val="none"/>
                <w:lang w:eastAsia="zh-CN"/>
              </w:rPr>
              <w:t>。</w:t>
            </w:r>
          </w:p>
          <w:p w14:paraId="76F7A9B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支付形式：转账或电汇</w:t>
            </w:r>
          </w:p>
          <w:p w14:paraId="3024F5D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收款信息：</w:t>
            </w:r>
          </w:p>
          <w:p w14:paraId="49505B3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名：临沂市沂蒙国际招标有限公司</w:t>
            </w:r>
          </w:p>
          <w:p w14:paraId="749A29D1">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行：建设银行临沂分行营业部</w:t>
            </w:r>
          </w:p>
          <w:p w14:paraId="157D1F08">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号：37001828301050001489</w:t>
            </w:r>
          </w:p>
          <w:p w14:paraId="4B84069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支付时间：领取成交通知书前。</w:t>
            </w:r>
          </w:p>
          <w:p w14:paraId="506FA52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支付时间：确定成交结果后5个工作日内。</w:t>
            </w:r>
          </w:p>
        </w:tc>
      </w:tr>
      <w:tr w14:paraId="7600A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41C2D776">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适用于本供应商须知的额外增加的变动：</w:t>
            </w:r>
          </w:p>
        </w:tc>
      </w:tr>
      <w:tr w14:paraId="1C652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2D109FB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14:paraId="7495687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法律法规对相应服务规定的条件：详见磋商公告</w:t>
            </w:r>
          </w:p>
        </w:tc>
      </w:tr>
      <w:tr w14:paraId="4FE929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06D819D">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2</w:t>
            </w:r>
          </w:p>
        </w:tc>
        <w:tc>
          <w:tcPr>
            <w:tcW w:w="8477" w:type="dxa"/>
            <w:noWrap w:val="0"/>
            <w:vAlign w:val="center"/>
          </w:tcPr>
          <w:p w14:paraId="161A0A4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是否允许供应商将项目非主体、非关键性工作交由他人完成：是□  否</w:t>
            </w:r>
            <w:r>
              <w:rPr>
                <w:rFonts w:hint="eastAsia" w:ascii="宋体" w:hAnsi="宋体" w:eastAsia="宋体" w:cs="宋体"/>
                <w:color w:val="auto"/>
                <w:sz w:val="24"/>
                <w:highlight w:val="none"/>
              </w:rPr>
              <w:sym w:font="Wingdings 2" w:char="F052"/>
            </w:r>
          </w:p>
        </w:tc>
      </w:tr>
      <w:tr w14:paraId="07D8AF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57EDD383">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tc>
      </w:tr>
      <w:tr w14:paraId="269C9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481E6BD0">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14:paraId="0C4392F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付款途径：采购人支付</w:t>
            </w:r>
          </w:p>
        </w:tc>
      </w:tr>
      <w:tr w14:paraId="0314D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0D306D2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noWrap w:val="0"/>
            <w:vAlign w:val="center"/>
          </w:tcPr>
          <w:p w14:paraId="13616807">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付款方式：</w:t>
            </w:r>
            <w:r>
              <w:rPr>
                <w:rFonts w:hint="eastAsia" w:ascii="宋体" w:hAnsi="宋体" w:eastAsia="宋体" w:cs="宋体"/>
                <w:color w:val="auto"/>
                <w:sz w:val="24"/>
                <w:highlight w:val="none"/>
                <w:lang w:val="en-US" w:eastAsia="zh-CN"/>
              </w:rPr>
              <w:t>本项目为预采购项目，</w:t>
            </w:r>
            <w:r>
              <w:rPr>
                <w:rFonts w:hint="eastAsia" w:ascii="宋体" w:hAnsi="宋体" w:eastAsia="宋体" w:cs="宋体"/>
                <w:color w:val="auto"/>
                <w:sz w:val="24"/>
                <w:highlight w:val="none"/>
              </w:rPr>
              <w:t>合同签订后，</w:t>
            </w:r>
            <w:r>
              <w:rPr>
                <w:rFonts w:hint="eastAsia" w:ascii="宋体" w:hAnsi="宋体" w:eastAsia="宋体" w:cs="宋体"/>
                <w:color w:val="auto"/>
                <w:sz w:val="24"/>
                <w:highlight w:val="none"/>
                <w:lang w:val="en-US" w:eastAsia="zh-CN"/>
              </w:rPr>
              <w:t>供货完毕经验收合格后，且2025年预算下达后，一次性支付全部合同款</w:t>
            </w:r>
            <w:r>
              <w:rPr>
                <w:rFonts w:hint="eastAsia" w:ascii="宋体" w:hAnsi="宋体" w:eastAsia="宋体" w:cs="宋体"/>
                <w:color w:val="auto"/>
                <w:sz w:val="24"/>
                <w:highlight w:val="none"/>
              </w:rPr>
              <w:t>。</w:t>
            </w:r>
          </w:p>
        </w:tc>
      </w:tr>
      <w:tr w14:paraId="4CE918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291B4F3D">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noWrap w:val="0"/>
            <w:vAlign w:val="center"/>
          </w:tcPr>
          <w:p w14:paraId="5738E9FB">
            <w:pPr>
              <w:spacing w:line="500" w:lineRule="exac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质保期：</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年。</w:t>
            </w:r>
          </w:p>
        </w:tc>
      </w:tr>
      <w:tr w14:paraId="4AF80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F723BB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noWrap w:val="0"/>
            <w:vAlign w:val="center"/>
          </w:tcPr>
          <w:p w14:paraId="59D7709C">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交付地点：</w:t>
            </w:r>
            <w:r>
              <w:rPr>
                <w:rFonts w:hint="eastAsia" w:ascii="宋体" w:hAnsi="宋体" w:cs="宋体"/>
                <w:color w:val="auto"/>
                <w:sz w:val="24"/>
                <w:highlight w:val="none"/>
                <w:lang w:val="en-US" w:eastAsia="zh-CN"/>
              </w:rPr>
              <w:t>临沂大学指定位置</w:t>
            </w:r>
            <w:r>
              <w:rPr>
                <w:rFonts w:hint="eastAsia" w:ascii="宋体" w:hAnsi="宋体" w:eastAsia="宋体" w:cs="宋体"/>
                <w:color w:val="auto"/>
                <w:sz w:val="24"/>
                <w:highlight w:val="none"/>
              </w:rPr>
              <w:t>。</w:t>
            </w:r>
          </w:p>
        </w:tc>
      </w:tr>
      <w:tr w14:paraId="48C04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2E65044D">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noWrap w:val="0"/>
            <w:vAlign w:val="center"/>
          </w:tcPr>
          <w:p w14:paraId="5AAD2539">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争议的解决：提交采购人所在地人民法院。</w:t>
            </w:r>
          </w:p>
        </w:tc>
      </w:tr>
    </w:tbl>
    <w:p w14:paraId="7096F575">
      <w:pPr>
        <w:spacing w:line="480" w:lineRule="exact"/>
        <w:rPr>
          <w:rFonts w:hint="eastAsia" w:ascii="宋体" w:hAnsi="宋体" w:eastAsia="宋体" w:cs="宋体"/>
          <w:color w:val="auto"/>
          <w:sz w:val="24"/>
          <w:highlight w:val="none"/>
        </w:rPr>
        <w:sectPr>
          <w:headerReference r:id="rId7" w:type="default"/>
          <w:footerReference r:id="rId9" w:type="default"/>
          <w:headerReference r:id="rId8" w:type="even"/>
          <w:footerReference r:id="rId10"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bookmarkEnd w:id="206"/>
    <w:p w14:paraId="2CA134AB">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55" w:name="_Toc16628"/>
      <w:bookmarkStart w:id="256" w:name="_Toc512937852"/>
      <w:r>
        <w:rPr>
          <w:rFonts w:hint="eastAsia" w:ascii="宋体" w:hAnsi="宋体" w:eastAsia="宋体" w:cs="宋体"/>
          <w:color w:val="auto"/>
          <w:szCs w:val="32"/>
          <w:highlight w:val="none"/>
        </w:rPr>
        <w:t>第</w:t>
      </w:r>
      <w:r>
        <w:rPr>
          <w:rFonts w:hint="eastAsia" w:ascii="宋体" w:hAnsi="宋体" w:eastAsia="宋体" w:cs="宋体"/>
          <w:color w:val="auto"/>
          <w:szCs w:val="32"/>
          <w:highlight w:val="none"/>
          <w:lang w:val="en-US" w:eastAsia="zh-CN"/>
        </w:rPr>
        <w:t>4</w:t>
      </w:r>
      <w:r>
        <w:rPr>
          <w:rFonts w:hint="eastAsia" w:ascii="宋体" w:hAnsi="宋体" w:eastAsia="宋体" w:cs="宋体"/>
          <w:color w:val="auto"/>
          <w:szCs w:val="32"/>
          <w:highlight w:val="none"/>
        </w:rPr>
        <w:t>章</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lang w:eastAsia="zh-CN"/>
        </w:rPr>
        <w:t>采购需求一览表及</w:t>
      </w:r>
      <w:r>
        <w:rPr>
          <w:rFonts w:hint="eastAsia" w:ascii="宋体" w:hAnsi="宋体" w:eastAsia="宋体" w:cs="宋体"/>
          <w:color w:val="auto"/>
          <w:szCs w:val="32"/>
          <w:highlight w:val="none"/>
        </w:rPr>
        <w:t>技术规格</w:t>
      </w:r>
      <w:bookmarkEnd w:id="255"/>
    </w:p>
    <w:p w14:paraId="7AB2BC6A">
      <w:pPr>
        <w:keepNext w:val="0"/>
        <w:keepLines w:val="0"/>
        <w:pageBreakBefore w:val="0"/>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57" w:name="_Toc17888"/>
      <w:r>
        <w:rPr>
          <w:rFonts w:hint="eastAsia" w:ascii="宋体" w:hAnsi="宋体" w:eastAsia="宋体" w:cs="宋体"/>
          <w:b/>
          <w:color w:val="auto"/>
          <w:sz w:val="24"/>
          <w:szCs w:val="24"/>
          <w:highlight w:val="none"/>
        </w:rPr>
        <w:t>一、项目说明</w:t>
      </w:r>
      <w:bookmarkEnd w:id="257"/>
    </w:p>
    <w:p w14:paraId="5E874DD5">
      <w:pPr>
        <w:keepNext w:val="0"/>
        <w:keepLines w:val="0"/>
        <w:pageBreakBefore w:val="0"/>
        <w:kinsoku/>
        <w:wordWrap/>
        <w:topLinePunct w:val="0"/>
        <w:autoSpaceDE/>
        <w:autoSpaceDN/>
        <w:bidi w:val="0"/>
        <w:adjustRightInd/>
        <w:snapToGrid/>
        <w:spacing w:line="480" w:lineRule="exact"/>
        <w:ind w:left="-31" w:leftChars="-15" w:firstLine="592" w:firstLineChars="247"/>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临沂大学2024年国际生物资源应用学院致远3号楼教室、休息室设备购置预采购项目</w:t>
      </w:r>
      <w:r>
        <w:rPr>
          <w:rFonts w:hint="eastAsia" w:ascii="宋体" w:hAnsi="宋体" w:eastAsia="宋体" w:cs="宋体"/>
          <w:color w:val="auto"/>
          <w:sz w:val="24"/>
          <w:szCs w:val="24"/>
          <w:highlight w:val="none"/>
        </w:rPr>
        <w:t>，预算金额为</w:t>
      </w:r>
      <w:r>
        <w:rPr>
          <w:rFonts w:hint="eastAsia" w:ascii="宋体" w:hAnsi="宋体" w:cs="宋体"/>
          <w:color w:val="auto"/>
          <w:sz w:val="24"/>
          <w:szCs w:val="24"/>
          <w:highlight w:val="none"/>
          <w:lang w:val="en-US" w:eastAsia="zh-CN"/>
        </w:rPr>
        <w:t>40.7万元</w:t>
      </w:r>
      <w:r>
        <w:rPr>
          <w:rFonts w:hint="eastAsia" w:ascii="宋体" w:hAnsi="宋体" w:eastAsia="宋体" w:cs="宋体"/>
          <w:color w:val="auto"/>
          <w:sz w:val="24"/>
          <w:szCs w:val="24"/>
          <w:highlight w:val="none"/>
          <w:lang w:eastAsia="zh-CN"/>
        </w:rPr>
        <w:t>。</w:t>
      </w:r>
    </w:p>
    <w:p w14:paraId="00A82ACA">
      <w:pPr>
        <w:keepNext w:val="0"/>
        <w:keepLines w:val="0"/>
        <w:pageBreakBefore w:val="0"/>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w:t>
      </w:r>
      <w:r>
        <w:rPr>
          <w:rFonts w:hint="eastAsia" w:ascii="宋体" w:hAnsi="宋体" w:cs="宋体"/>
          <w:b/>
          <w:color w:val="auto"/>
          <w:sz w:val="24"/>
          <w:szCs w:val="24"/>
          <w:highlight w:val="none"/>
          <w:lang w:val="en-US" w:eastAsia="zh-CN"/>
        </w:rPr>
        <w:t>采购内容及</w:t>
      </w:r>
      <w:r>
        <w:rPr>
          <w:rFonts w:hint="eastAsia" w:ascii="宋体" w:hAnsi="宋体" w:eastAsia="宋体" w:cs="宋体"/>
          <w:b/>
          <w:color w:val="auto"/>
          <w:sz w:val="24"/>
          <w:szCs w:val="24"/>
          <w:highlight w:val="none"/>
          <w:lang w:val="en-US" w:eastAsia="zh-CN"/>
        </w:rPr>
        <w:t>技术要求</w:t>
      </w:r>
    </w:p>
    <w:tbl>
      <w:tblPr>
        <w:tblStyle w:val="30"/>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667"/>
        <w:gridCol w:w="5750"/>
        <w:gridCol w:w="666"/>
        <w:gridCol w:w="734"/>
      </w:tblGrid>
      <w:tr w14:paraId="68237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007DE2F">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 xml:space="preserve"> 序</w:t>
            </w:r>
          </w:p>
          <w:p w14:paraId="489D8600">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号</w:t>
            </w:r>
          </w:p>
        </w:tc>
        <w:tc>
          <w:tcPr>
            <w:tcW w:w="1667" w:type="dxa"/>
            <w:vAlign w:val="center"/>
          </w:tcPr>
          <w:p w14:paraId="560A01BD">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设备</w:t>
            </w:r>
            <w:r>
              <w:rPr>
                <w:rFonts w:hint="eastAsia" w:ascii="宋体" w:hAnsi="宋体" w:eastAsia="宋体" w:cs="宋体"/>
                <w:b/>
                <w:bCs/>
                <w:sz w:val="24"/>
                <w:szCs w:val="24"/>
                <w:highlight w:val="none"/>
              </w:rPr>
              <w:t>名称</w:t>
            </w:r>
          </w:p>
        </w:tc>
        <w:tc>
          <w:tcPr>
            <w:tcW w:w="5750" w:type="dxa"/>
            <w:vAlign w:val="center"/>
          </w:tcPr>
          <w:p w14:paraId="51D105C1">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相关指标及参数</w:t>
            </w:r>
          </w:p>
        </w:tc>
        <w:tc>
          <w:tcPr>
            <w:tcW w:w="666" w:type="dxa"/>
            <w:vAlign w:val="center"/>
          </w:tcPr>
          <w:p w14:paraId="0BFD22BA">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单位</w:t>
            </w:r>
          </w:p>
        </w:tc>
        <w:tc>
          <w:tcPr>
            <w:tcW w:w="734" w:type="dxa"/>
            <w:vAlign w:val="center"/>
          </w:tcPr>
          <w:p w14:paraId="4108B1B9">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数</w:t>
            </w:r>
          </w:p>
          <w:p w14:paraId="548C5811">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量</w:t>
            </w:r>
          </w:p>
        </w:tc>
      </w:tr>
      <w:tr w14:paraId="17C8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7" w:hRule="atLeast"/>
          <w:jc w:val="center"/>
        </w:trPr>
        <w:tc>
          <w:tcPr>
            <w:tcW w:w="657" w:type="dxa"/>
            <w:vAlign w:val="center"/>
          </w:tcPr>
          <w:p w14:paraId="2F7BAA13">
            <w:pPr>
              <w:keepNext w:val="0"/>
              <w:keepLines w:val="0"/>
              <w:pageBreakBefore w:val="0"/>
              <w:widowControl w:val="0"/>
              <w:kinsoku/>
              <w:wordWrap/>
              <w:overflowPunct/>
              <w:topLinePunct w:val="0"/>
              <w:autoSpaceDE w:val="0"/>
              <w:autoSpaceDN w:val="0"/>
              <w:bidi w:val="0"/>
              <w:spacing w:line="48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w:t>
            </w:r>
          </w:p>
        </w:tc>
        <w:tc>
          <w:tcPr>
            <w:tcW w:w="1667" w:type="dxa"/>
            <w:vAlign w:val="center"/>
          </w:tcPr>
          <w:p w14:paraId="4ACC0D3F">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视频会议主机</w:t>
            </w:r>
          </w:p>
        </w:tc>
        <w:tc>
          <w:tcPr>
            <w:tcW w:w="5750" w:type="dxa"/>
          </w:tcPr>
          <w:p w14:paraId="2504D83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1.显示尺寸：86"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显示比例:16:9</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物理解析度:高清3840x2160，最大可视角度:178度；</w:t>
            </w:r>
          </w:p>
          <w:p w14:paraId="14E6BA4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屏体亮度：≥450cd/m²，屏体对比度：5000:1，色域:不低于90%NTSC宽色域；</w:t>
            </w:r>
          </w:p>
          <w:p w14:paraId="0F889C0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3.整机显示信号切换到PC模式下，检测结果能满足最大能分辨力为128灰阶，256灰阶为渐变状态，色彩度:10bit10.7Billion；</w:t>
            </w:r>
          </w:p>
          <w:p w14:paraId="1FFD6CB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4.屏体采用超窄边框设计，采用≤4mm厚度物理钢化防眩玻璃，零贴合技术；</w:t>
            </w:r>
          </w:p>
          <w:p w14:paraId="6395637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5.覆盖屏体可见光透射比不低于88%以上，屏体硬度7H，雾度范围4%-8%；</w:t>
            </w:r>
          </w:p>
          <w:p w14:paraId="597E916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6.感应方式:红外触摸感应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遵循标准HID免驱协议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Windows7/8/10系统下自动识别</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无需额外安装驱动程序；</w:t>
            </w:r>
          </w:p>
          <w:p w14:paraId="7FB910A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7.屏体响应时间:8ms；触摸有效识别直径±1mm；</w:t>
            </w:r>
          </w:p>
          <w:p w14:paraId="4B8716A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8.</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触摸屏支持20点触控及10笔以上书写，触摸分辨率:≥32768×32768。双系统下支持2048级别压感</w:t>
            </w:r>
            <w:r>
              <w:rPr>
                <w:rFonts w:hint="eastAsia" w:ascii="宋体" w:hAnsi="宋体" w:eastAsia="宋体" w:cs="宋体"/>
                <w:sz w:val="24"/>
                <w:szCs w:val="24"/>
                <w:highlight w:val="none"/>
                <w:lang w:val="en-US" w:eastAsia="zh-CN"/>
              </w:rPr>
              <w:t>；</w:t>
            </w:r>
          </w:p>
          <w:p w14:paraId="0088C2D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9.</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屏体采用A规液晶屏</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支持物理防蓝光技术，有效减少短波蓝光伤害</w:t>
            </w:r>
            <w:r>
              <w:rPr>
                <w:rFonts w:hint="eastAsia" w:ascii="宋体" w:hAnsi="宋体" w:eastAsia="宋体" w:cs="宋体"/>
                <w:sz w:val="24"/>
                <w:szCs w:val="24"/>
                <w:highlight w:val="none"/>
                <w:lang w:val="en-US" w:eastAsia="zh-CN"/>
              </w:rPr>
              <w:t>；</w:t>
            </w:r>
          </w:p>
          <w:p w14:paraId="320D46B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10.整机具备触摸区域被遮挡或某一条边框完全失灵下仍可以正常书写操作的书写保障措施</w:t>
            </w:r>
            <w:r>
              <w:rPr>
                <w:rFonts w:hint="eastAsia" w:ascii="宋体" w:hAnsi="宋体" w:eastAsia="宋体" w:cs="宋体"/>
                <w:sz w:val="24"/>
                <w:szCs w:val="24"/>
                <w:highlight w:val="none"/>
                <w:lang w:val="en-US" w:eastAsia="zh-CN"/>
              </w:rPr>
              <w:t>；</w:t>
            </w:r>
          </w:p>
          <w:p w14:paraId="6532F37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11.整机具备防强光干扰性能，在100klux的强光照射下，产品各项书写、触控功能正常，照射测试完成后，设备其它各项书写、触控正常；</w:t>
            </w:r>
          </w:p>
          <w:p w14:paraId="0BAF62B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屏体采用百兆交换机及双频（2.4G/5G）双wifi5网络架构方案，支持WEP，WPA、WPA2、WPA3企业版及个人版加密方式。安卓下联网，Windows系统下可同步共享</w:t>
            </w:r>
          </w:p>
          <w:p w14:paraId="1487A20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整机内置无线投屏模块</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支持操作系统Windows7/8/10/11、OSX10.13及以上、IOS 10.0及以上、Chrome OS、Linux(x86/ARM)、andriod 5.0及以上</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安卓系统下支持多种设备通过无线投屏器、投屏软件、Airplay或DLNA形式无线投屏</w:t>
            </w:r>
          </w:p>
          <w:p w14:paraId="55AE81D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整机内置1300W高清摄像头，支持模拟HDR、人脸消红等功能并内置四阵列麦克风，支持8米拾音；</w:t>
            </w:r>
          </w:p>
          <w:p w14:paraId="23CE306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15.整机支持安卓和Windows双系统并行运行，一秒切换。整机内置安卓11.0系统，A55×4，MP2 Mali-G52 及以上配置，RAM 为4G，ROM为32G（支持拓展至128G）</w:t>
            </w:r>
          </w:p>
          <w:p w14:paraId="2EF23E4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遥控器，可通过遥控器一键开关机、调节声音大小、快速切换信号源（HDMI1、内置OPS电脑）</w:t>
            </w:r>
          </w:p>
          <w:p w14:paraId="3814E7D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17.整机内嵌针脚数为80Pin</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双面</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符合Intel®标准规范的插拔式电脑</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支持Windows平台；</w:t>
            </w:r>
          </w:p>
          <w:p w14:paraId="317BAC7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18</w:t>
            </w:r>
            <w:r>
              <w:rPr>
                <w:rFonts w:hint="eastAsia" w:ascii="宋体" w:hAnsi="宋体" w:eastAsia="宋体" w:cs="宋体"/>
                <w:sz w:val="24"/>
                <w:szCs w:val="24"/>
                <w:highlight w:val="none"/>
              </w:rPr>
              <w:t>.整机前置：Power，内嵌中高频扬声器，按左右声道分体式前置发声，声音功率2×10W。电源键有开机、关机、息屏三合一功能，息屏状态下可节省95%以上的能耗；</w:t>
            </w:r>
          </w:p>
          <w:p w14:paraId="1F99FA0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19</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整机支持HDMI CEC功能，方便对外接设备进行控制</w:t>
            </w:r>
          </w:p>
          <w:p w14:paraId="6287090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20</w:t>
            </w:r>
            <w:r>
              <w:rPr>
                <w:rFonts w:hint="eastAsia" w:ascii="宋体" w:hAnsi="宋体" w:eastAsia="宋体" w:cs="宋体"/>
                <w:sz w:val="24"/>
                <w:szCs w:val="24"/>
                <w:highlight w:val="none"/>
              </w:rPr>
              <w:t>.整机具有智能感光功能，可根据环境光自动调节环境亮度；</w:t>
            </w:r>
          </w:p>
          <w:p w14:paraId="1C4D38D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整机具有屏体温度实时监控、高温预警及断电保护等功能；</w:t>
            </w:r>
          </w:p>
          <w:p w14:paraId="3CAEE65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.整机支持设置锁屏密码，密码支持手势或数字锁屏。也可通过密码锁定客户指定的APP，打开APP需要输入密码</w:t>
            </w:r>
            <w:r>
              <w:rPr>
                <w:rFonts w:hint="eastAsia" w:ascii="宋体" w:hAnsi="宋体" w:eastAsia="宋体" w:cs="宋体"/>
                <w:sz w:val="24"/>
                <w:szCs w:val="24"/>
                <w:highlight w:val="none"/>
                <w:lang w:val="en-US" w:eastAsia="zh-CN"/>
              </w:rPr>
              <w:t>；</w:t>
            </w:r>
          </w:p>
          <w:p w14:paraId="3357DF1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软件功能</w:t>
            </w:r>
          </w:p>
          <w:p w14:paraId="28378FD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.具有智能护眼功能，可设置护眼书写，书写时亮度可自动降低、可通过设置护眼光控实现不同类型纸质护眼效果</w:t>
            </w:r>
            <w:r>
              <w:rPr>
                <w:rFonts w:hint="eastAsia" w:ascii="宋体" w:hAnsi="宋体" w:cs="宋体"/>
                <w:sz w:val="24"/>
                <w:szCs w:val="24"/>
                <w:highlight w:val="none"/>
                <w:lang w:eastAsia="zh-CN"/>
              </w:rPr>
              <w:t>，也</w:t>
            </w:r>
            <w:r>
              <w:rPr>
                <w:rFonts w:hint="eastAsia" w:ascii="宋体" w:hAnsi="宋体" w:eastAsia="宋体" w:cs="宋体"/>
                <w:sz w:val="24"/>
                <w:szCs w:val="24"/>
                <w:highlight w:val="none"/>
              </w:rPr>
              <w:t>可设置蓝光过滤；</w:t>
            </w:r>
          </w:p>
          <w:p w14:paraId="63AF695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.预装不少于4个壁纸供用户选择，也可设置自定义壁纸，凸显公司、单位形象；</w:t>
            </w:r>
          </w:p>
          <w:p w14:paraId="56FA699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具有U盘锁定功能，设置后，用户无法通过优盘拷贝系统资料</w:t>
            </w:r>
          </w:p>
          <w:p w14:paraId="284EC98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.欢迎词软件：提供多种欢迎词模板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用户可任意编辑欢迎词，设置背景图片、文本内容及位置，支持插入图片</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音频</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视频等多媒体素材</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编辑完成后可保存为自定义模板文档管理器支持多选本地任意图片进行扫码分享</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或生成PDF格式文档；</w:t>
            </w:r>
          </w:p>
          <w:p w14:paraId="5F4A67B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27</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支持用户自定义开机后直接进入对应通道画面，支持自定义设置开机进入安卓系统、内置电脑（OPS）、HDMI上一次通道等。任意通道下，可通过多指实现手势息屏与唤醒功能</w:t>
            </w:r>
          </w:p>
          <w:p w14:paraId="322CA78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28</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支持对触控单元、OPS模块、光感系统、网络模块等模块进行一键检测。支持对系统后台进行一键加速，清理缓存，保障设备运行速度及使用体验；</w:t>
            </w:r>
          </w:p>
          <w:p w14:paraId="4466E66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29</w:t>
            </w:r>
            <w:r>
              <w:rPr>
                <w:rFonts w:hint="eastAsia" w:ascii="宋体" w:hAnsi="宋体" w:eastAsia="宋体" w:cs="宋体"/>
                <w:sz w:val="24"/>
                <w:szCs w:val="24"/>
                <w:highlight w:val="none"/>
              </w:rPr>
              <w:t>.支持手势操作，安卓下可设置五指上滑、下滑、左滑、右滑可分别对应不同快捷功能，例如息屏、降屏、打开批注、切换到OPS、降屏等；</w:t>
            </w:r>
          </w:p>
          <w:p w14:paraId="43FA9C4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.支持通过遥控器的menu键或双指由下往上呼出等方式调出快捷菜单，可直接设置网络、录屏、护眼、冻屏、信号源、白板、音量、分屏等；</w:t>
            </w:r>
          </w:p>
          <w:p w14:paraId="035F3B5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.具有智能罗盘，双指可进行智能罗盘呼唤，罗盘上可设置菜单、主页、白板等，也可在罗盘上自定义添加应用程序；</w:t>
            </w:r>
          </w:p>
          <w:p w14:paraId="5BC3857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整机支持集控软件控制，实现设备信息查看、设备远程控制、消息推送、智能巡检等功能；</w:t>
            </w:r>
          </w:p>
          <w:p w14:paraId="18126FA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.支持投票功能：单击后发起单选或多选投票，根据提示进行扫码发起投票；</w:t>
            </w:r>
          </w:p>
          <w:p w14:paraId="3F3FFC5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.支持全通道录屏：可将屏幕UI、通道信号内容一起录制下来</w:t>
            </w:r>
            <w:r>
              <w:rPr>
                <w:rFonts w:hint="eastAsia" w:ascii="宋体" w:hAnsi="宋体" w:eastAsia="宋体" w:cs="宋体"/>
                <w:sz w:val="24"/>
                <w:szCs w:val="24"/>
                <w:highlight w:val="none"/>
                <w:lang w:val="en-US" w:eastAsia="zh-CN"/>
              </w:rPr>
              <w:t>；</w:t>
            </w:r>
          </w:p>
          <w:p w14:paraId="7D307C9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.安卓下具有左右分屏显示功能，两个不同应用可以左右分屏显示，如左边显示白板，右边显示OPS窗口</w:t>
            </w:r>
            <w:r>
              <w:rPr>
                <w:rFonts w:hint="eastAsia" w:ascii="宋体" w:hAnsi="宋体" w:eastAsia="宋体" w:cs="宋体"/>
                <w:sz w:val="24"/>
                <w:szCs w:val="24"/>
                <w:highlight w:val="none"/>
                <w:lang w:val="en-US" w:eastAsia="zh-CN"/>
              </w:rPr>
              <w:t>；</w:t>
            </w:r>
          </w:p>
          <w:p w14:paraId="13EE94B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36</w:t>
            </w:r>
            <w:r>
              <w:rPr>
                <w:rFonts w:hint="eastAsia" w:ascii="宋体" w:hAnsi="宋体" w:eastAsia="宋体" w:cs="宋体"/>
                <w:sz w:val="24"/>
                <w:szCs w:val="24"/>
                <w:highlight w:val="none"/>
              </w:rPr>
              <w:t>.安卓内嵌正版视频播放器、金山正版授权的WPS软件，打开PPT、文档、表格、视频全程无广告</w:t>
            </w:r>
            <w:r>
              <w:rPr>
                <w:rFonts w:hint="eastAsia" w:ascii="宋体" w:hAnsi="宋体" w:eastAsia="宋体" w:cs="宋体"/>
                <w:sz w:val="24"/>
                <w:szCs w:val="24"/>
                <w:highlight w:val="none"/>
                <w:lang w:val="en-US" w:eastAsia="zh-CN"/>
              </w:rPr>
              <w:t>；</w:t>
            </w:r>
          </w:p>
          <w:p w14:paraId="1F7E61E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37</w:t>
            </w:r>
            <w:r>
              <w:rPr>
                <w:rFonts w:hint="eastAsia" w:ascii="宋体" w:hAnsi="宋体" w:eastAsia="宋体" w:cs="宋体"/>
                <w:sz w:val="24"/>
                <w:szCs w:val="24"/>
                <w:highlight w:val="none"/>
              </w:rPr>
              <w:t>.支持文件管理，可自动根据文件格式将文件进行分类为图片、文档、视频、音乐等</w:t>
            </w:r>
            <w:r>
              <w:rPr>
                <w:rFonts w:hint="eastAsia" w:ascii="宋体" w:hAnsi="宋体" w:eastAsia="宋体" w:cs="宋体"/>
                <w:sz w:val="24"/>
                <w:szCs w:val="24"/>
                <w:highlight w:val="none"/>
                <w:lang w:val="en-US" w:eastAsia="zh-CN"/>
              </w:rPr>
              <w:t>；</w:t>
            </w:r>
          </w:p>
          <w:p w14:paraId="78BC8FB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36</w:t>
            </w:r>
            <w:r>
              <w:rPr>
                <w:rFonts w:hint="eastAsia" w:ascii="宋体" w:hAnsi="宋体" w:eastAsia="宋体" w:cs="宋体"/>
                <w:sz w:val="24"/>
                <w:szCs w:val="24"/>
                <w:highlight w:val="none"/>
              </w:rPr>
              <w:t>.白板软件：</w:t>
            </w:r>
          </w:p>
          <w:p w14:paraId="72D891C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a</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支持将白板内容以文件的方式保存，文件格式可选PDF、PNG、IWB格式，用户可自定义文件名称。白板内容可以二维码的方式扫码带走，可将二维码服务部署到客户指定云服务器上面</w:t>
            </w:r>
            <w:r>
              <w:rPr>
                <w:rFonts w:hint="eastAsia" w:ascii="宋体" w:hAnsi="宋体" w:eastAsia="宋体" w:cs="宋体"/>
                <w:sz w:val="24"/>
                <w:szCs w:val="24"/>
                <w:highlight w:val="none"/>
                <w:lang w:val="en-US" w:eastAsia="zh-CN"/>
              </w:rPr>
              <w:t>；</w:t>
            </w:r>
          </w:p>
          <w:p w14:paraId="1B1B918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支持新增无限画布功能，通过手势即可放大缩小画布；</w:t>
            </w:r>
          </w:p>
          <w:p w14:paraId="3558B82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支持双白板设置，可在两块白板上书写对比；</w:t>
            </w:r>
          </w:p>
          <w:p w14:paraId="70A8BD8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d</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支持在白板上白板内可打开WORD\PPTX\PDF等文件</w:t>
            </w:r>
            <w:r>
              <w:rPr>
                <w:rFonts w:hint="eastAsia" w:ascii="宋体" w:hAnsi="宋体" w:eastAsia="宋体" w:cs="宋体"/>
                <w:sz w:val="24"/>
                <w:szCs w:val="24"/>
                <w:highlight w:val="none"/>
                <w:lang w:val="en-US" w:eastAsia="zh-CN"/>
              </w:rPr>
              <w:t>；</w:t>
            </w:r>
          </w:p>
          <w:p w14:paraId="510C9B5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e</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支持插入WPS/Chrome等APP；</w:t>
            </w:r>
          </w:p>
          <w:p w14:paraId="578AE3D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f</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支持OCR功能，用户用画笔创作的图形和文字会智能转化为标准图形和文字；</w:t>
            </w:r>
          </w:p>
          <w:p w14:paraId="52F69F2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g</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具备图形库，方便用户选取图形并插入白板；</w:t>
            </w:r>
          </w:p>
          <w:p w14:paraId="42D01F8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37</w:t>
            </w:r>
            <w:r>
              <w:rPr>
                <w:rFonts w:hint="eastAsia" w:ascii="宋体" w:hAnsi="宋体" w:eastAsia="宋体" w:cs="宋体"/>
                <w:sz w:val="24"/>
                <w:szCs w:val="24"/>
                <w:highlight w:val="none"/>
              </w:rPr>
              <w:t>.无线传屏</w:t>
            </w:r>
            <w:r>
              <w:rPr>
                <w:rFonts w:hint="eastAsia" w:ascii="宋体" w:hAnsi="宋体" w:cs="宋体"/>
                <w:sz w:val="24"/>
                <w:szCs w:val="24"/>
                <w:highlight w:val="none"/>
                <w:lang w:eastAsia="zh-CN"/>
              </w:rPr>
              <w:t>：</w:t>
            </w:r>
          </w:p>
          <w:p w14:paraId="473C681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安卓系统下支持多种设备通过无线投屏器、投屏软件、Airplay或DLNA形式无线投屏。用户可快速将移动设备上的文档、图片、音乐、视频、桌面等内容投屏到交互平板上，同时外部电脑投屏支持触摸回传；</w:t>
            </w:r>
          </w:p>
          <w:p w14:paraId="037ADD7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b)</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支持传屏码常显、分程序投屏、扩展屏，其中传屏码支持6位数字、6位、8位数字+字母组合设置，满足不同安全等级需求</w:t>
            </w:r>
            <w:r>
              <w:rPr>
                <w:rFonts w:hint="eastAsia" w:ascii="宋体" w:hAnsi="宋体" w:eastAsia="宋体" w:cs="宋体"/>
                <w:sz w:val="24"/>
                <w:szCs w:val="24"/>
                <w:highlight w:val="none"/>
                <w:lang w:val="en-US" w:eastAsia="zh-CN"/>
              </w:rPr>
              <w:t>；</w:t>
            </w:r>
          </w:p>
          <w:p w14:paraId="0CB9014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e</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支持手机等设备通过传屏软件反控大屏，满足近端操控大屏界面的需求；</w:t>
            </w:r>
          </w:p>
          <w:p w14:paraId="27D8936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f</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支持显示主控小球，体现设备连接状态、控制连接设备是否投屏；可通过主控小球锁定主讲、开启无线快照、发言权限；</w:t>
            </w:r>
          </w:p>
          <w:p w14:paraId="01880B2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g)</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手机等设备可通过投屏软件发现近场大屏，选择即可投屏。同时支持通过投屏软件对投屏内容进行实时批注</w:t>
            </w:r>
            <w:r>
              <w:rPr>
                <w:rFonts w:hint="eastAsia" w:ascii="宋体" w:hAnsi="宋体" w:eastAsia="宋体" w:cs="宋体"/>
                <w:sz w:val="24"/>
                <w:szCs w:val="24"/>
                <w:highlight w:val="none"/>
                <w:lang w:val="en-US" w:eastAsia="zh-CN"/>
              </w:rPr>
              <w:t>；</w:t>
            </w:r>
          </w:p>
          <w:p w14:paraId="591D6E8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trike/>
                <w:dstrike w:val="0"/>
                <w:sz w:val="24"/>
                <w:szCs w:val="24"/>
                <w:highlight w:val="none"/>
                <w:lang w:eastAsia="zh-CN"/>
              </w:rPr>
            </w:pPr>
            <w:r>
              <w:rPr>
                <w:rFonts w:hint="eastAsia" w:ascii="宋体" w:hAnsi="宋体" w:eastAsia="宋体" w:cs="宋体"/>
                <w:sz w:val="24"/>
                <w:szCs w:val="24"/>
                <w:highlight w:val="none"/>
              </w:rPr>
              <w:t>h</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支持设置主控投屏器，打开此选项，配对成主控投屏器投屏后，其他设备不能抢占投屏</w:t>
            </w:r>
            <w:r>
              <w:rPr>
                <w:rFonts w:hint="eastAsia" w:ascii="宋体" w:hAnsi="宋体" w:cs="宋体"/>
                <w:sz w:val="24"/>
                <w:szCs w:val="24"/>
                <w:highlight w:val="none"/>
                <w:lang w:eastAsia="zh-CN"/>
              </w:rPr>
              <w:t>。</w:t>
            </w:r>
          </w:p>
          <w:p w14:paraId="3A82594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OPS电脑模块</w:t>
            </w:r>
            <w:r>
              <w:rPr>
                <w:rFonts w:hint="eastAsia" w:ascii="宋体" w:hAnsi="宋体" w:eastAsia="宋体" w:cs="宋体"/>
                <w:sz w:val="24"/>
                <w:szCs w:val="24"/>
                <w:highlight w:val="none"/>
                <w:lang w:eastAsia="zh-CN"/>
              </w:rPr>
              <w:t>。</w:t>
            </w:r>
          </w:p>
          <w:p w14:paraId="46619CF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1.整机架构:采用插拔式模块电脑架构，接口严格遵循Intel相关规范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针脚数不少于80Pin</w:t>
            </w:r>
            <w:r>
              <w:rPr>
                <w:rFonts w:hint="eastAsia" w:ascii="宋体" w:hAnsi="宋体" w:eastAsia="宋体" w:cs="宋体"/>
                <w:sz w:val="24"/>
                <w:szCs w:val="24"/>
                <w:highlight w:val="none"/>
                <w:lang w:val="en-US" w:eastAsia="zh-CN"/>
              </w:rPr>
              <w:t>；</w:t>
            </w:r>
          </w:p>
          <w:p w14:paraId="6127F0F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2.散热处理:具备高效铜导管散热模组，超低静音侧出风散热设计</w:t>
            </w:r>
            <w:r>
              <w:rPr>
                <w:rFonts w:hint="eastAsia" w:ascii="宋体" w:hAnsi="宋体" w:eastAsia="宋体" w:cs="宋体"/>
                <w:sz w:val="24"/>
                <w:szCs w:val="24"/>
                <w:highlight w:val="none"/>
                <w:lang w:val="en-US" w:eastAsia="zh-CN"/>
              </w:rPr>
              <w:t>；</w:t>
            </w:r>
          </w:p>
          <w:p w14:paraId="324C032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3.主板规格:支持无盘启动、网络唤醒、上电开机等功能</w:t>
            </w:r>
            <w:r>
              <w:rPr>
                <w:rFonts w:hint="eastAsia" w:ascii="宋体" w:hAnsi="宋体" w:eastAsia="宋体" w:cs="宋体"/>
                <w:sz w:val="24"/>
                <w:szCs w:val="24"/>
                <w:highlight w:val="none"/>
                <w:lang w:val="en-US" w:eastAsia="zh-CN"/>
              </w:rPr>
              <w:t>；</w:t>
            </w:r>
          </w:p>
          <w:p w14:paraId="2D7D587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4.处理器性能:采用Intel第12代酷睿I5处理器</w:t>
            </w:r>
            <w:r>
              <w:rPr>
                <w:rFonts w:hint="eastAsia" w:ascii="宋体" w:hAnsi="宋体" w:eastAsia="宋体" w:cs="宋体"/>
                <w:sz w:val="24"/>
                <w:szCs w:val="24"/>
                <w:highlight w:val="none"/>
                <w:lang w:val="en-US" w:eastAsia="zh-CN"/>
              </w:rPr>
              <w:t>；</w:t>
            </w:r>
          </w:p>
          <w:p w14:paraId="6206524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5.内存性能:8GDDR4内存</w:t>
            </w:r>
            <w:r>
              <w:rPr>
                <w:rFonts w:hint="eastAsia" w:ascii="宋体" w:hAnsi="宋体" w:eastAsia="宋体" w:cs="宋体"/>
                <w:sz w:val="24"/>
                <w:szCs w:val="24"/>
                <w:highlight w:val="none"/>
                <w:lang w:val="en-US" w:eastAsia="zh-CN"/>
              </w:rPr>
              <w:t>；</w:t>
            </w:r>
          </w:p>
          <w:p w14:paraId="1B6DE01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6.硬盘性能:存储空间256GBSSD，并具有防震功能</w:t>
            </w:r>
            <w:r>
              <w:rPr>
                <w:rFonts w:hint="eastAsia" w:ascii="宋体" w:hAnsi="宋体" w:eastAsia="宋体" w:cs="宋体"/>
                <w:sz w:val="24"/>
                <w:szCs w:val="24"/>
                <w:highlight w:val="none"/>
                <w:lang w:val="en-US" w:eastAsia="zh-CN"/>
              </w:rPr>
              <w:t>；</w:t>
            </w:r>
          </w:p>
          <w:p w14:paraId="13823C7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7.网络接入:内置10/100/1000M自适应网卡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WiFi遵循IEEE802.11ac标准</w:t>
            </w:r>
            <w:r>
              <w:rPr>
                <w:rFonts w:hint="eastAsia" w:ascii="宋体" w:hAnsi="宋体" w:eastAsia="宋体" w:cs="宋体"/>
                <w:sz w:val="24"/>
                <w:szCs w:val="24"/>
                <w:highlight w:val="none"/>
                <w:lang w:val="en-US" w:eastAsia="zh-CN"/>
              </w:rPr>
              <w:t>；</w:t>
            </w:r>
          </w:p>
          <w:p w14:paraId="6CDD742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8.拓展接口:具备独立非外扩展3个USB3.0、3个USB2.0接口、HDMI*1,RJ45*1，COM(RS232)*1，VGA*1，DP*1，满足教学拓展需求</w:t>
            </w:r>
            <w:r>
              <w:rPr>
                <w:rFonts w:hint="eastAsia" w:ascii="宋体" w:hAnsi="宋体" w:eastAsia="宋体" w:cs="宋体"/>
                <w:sz w:val="24"/>
                <w:szCs w:val="24"/>
                <w:highlight w:val="none"/>
                <w:lang w:val="en-US" w:eastAsia="zh-CN"/>
              </w:rPr>
              <w:t>；</w:t>
            </w:r>
          </w:p>
          <w:p w14:paraId="68D2AD0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9.系统还原:提供硬件一键还原系统方案。</w:t>
            </w:r>
          </w:p>
          <w:p w14:paraId="350444C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38</w:t>
            </w:r>
            <w:r>
              <w:rPr>
                <w:rFonts w:hint="eastAsia" w:ascii="宋体" w:hAnsi="宋体" w:eastAsia="宋体" w:cs="宋体"/>
                <w:sz w:val="24"/>
                <w:szCs w:val="24"/>
                <w:highlight w:val="none"/>
              </w:rPr>
              <w:t>.为方便后台管理，支持对整机进行主固件、摄像头、音频OTA升级；</w:t>
            </w:r>
          </w:p>
          <w:p w14:paraId="3035E006">
            <w:pPr>
              <w:keepNext w:val="0"/>
              <w:keepLines w:val="0"/>
              <w:pageBreakBefore w:val="0"/>
              <w:widowControl w:val="0"/>
              <w:kinsoku/>
              <w:wordWrap w:val="0"/>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39</w:t>
            </w:r>
            <w:r>
              <w:rPr>
                <w:rFonts w:hint="eastAsia" w:ascii="宋体" w:hAnsi="宋体" w:eastAsia="宋体" w:cs="宋体"/>
                <w:sz w:val="24"/>
                <w:szCs w:val="24"/>
                <w:highlight w:val="none"/>
              </w:rPr>
              <w:t>.整机内置无线投屏模块</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支持操作系统Windows7/8/10/11、OSX10.13及以上、IOS10.0及以上、Chrome OS、Linux(x86/ARM)、 andriod 5.0及以上</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安卓系统下支持多种设备通过无线投屏器、投屏软件、Airplay或DLNA形式无线投屏</w:t>
            </w:r>
            <w:r>
              <w:rPr>
                <w:rFonts w:hint="eastAsia" w:ascii="宋体" w:hAnsi="宋体" w:cs="宋体"/>
                <w:sz w:val="24"/>
                <w:szCs w:val="24"/>
                <w:highlight w:val="none"/>
                <w:lang w:eastAsia="zh-CN"/>
              </w:rPr>
              <w:t>；</w:t>
            </w:r>
          </w:p>
          <w:p w14:paraId="76A4BD3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40</w:t>
            </w:r>
            <w:r>
              <w:rPr>
                <w:rFonts w:hint="eastAsia" w:ascii="宋体" w:hAnsi="宋体" w:eastAsia="宋体" w:cs="宋体"/>
                <w:sz w:val="24"/>
                <w:szCs w:val="24"/>
                <w:highlight w:val="none"/>
              </w:rPr>
              <w:t>.为保障产品运行稳定性，整机安卓下内置应用商城，用户可自行下载卸载其中的软件</w:t>
            </w:r>
            <w:r>
              <w:rPr>
                <w:rFonts w:hint="eastAsia" w:ascii="宋体" w:hAnsi="宋体" w:cs="宋体"/>
                <w:sz w:val="24"/>
                <w:szCs w:val="24"/>
                <w:highlight w:val="none"/>
                <w:lang w:eastAsia="zh-CN"/>
              </w:rPr>
              <w:t>。</w:t>
            </w:r>
          </w:p>
        </w:tc>
        <w:tc>
          <w:tcPr>
            <w:tcW w:w="666" w:type="dxa"/>
            <w:vAlign w:val="center"/>
          </w:tcPr>
          <w:p w14:paraId="07C1784E">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台</w:t>
            </w:r>
          </w:p>
        </w:tc>
        <w:tc>
          <w:tcPr>
            <w:tcW w:w="734" w:type="dxa"/>
            <w:vAlign w:val="center"/>
          </w:tcPr>
          <w:p w14:paraId="21A9336E">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w:t>
            </w:r>
          </w:p>
        </w:tc>
      </w:tr>
      <w:tr w14:paraId="22D1F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657" w:type="dxa"/>
            <w:vAlign w:val="center"/>
          </w:tcPr>
          <w:p w14:paraId="3CC2C9EF">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667" w:type="dxa"/>
            <w:vAlign w:val="center"/>
          </w:tcPr>
          <w:p w14:paraId="5DAE6045">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录播系统</w:t>
            </w:r>
          </w:p>
        </w:tc>
        <w:tc>
          <w:tcPr>
            <w:tcW w:w="5750" w:type="dxa"/>
          </w:tcPr>
          <w:p w14:paraId="5591516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互动录播主机</w:t>
            </w:r>
          </w:p>
          <w:p w14:paraId="48EB115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1.主机要求采用嵌入式架构不接受X86服务器架构，Linux系统，ARM四核处理器，4GB系统内存；</w:t>
            </w:r>
          </w:p>
          <w:p w14:paraId="0019E77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2.主机要求无需配合编码盒即可实现如录制、导播、直播、互动、管理、存储、音视频的编解码、音频处理、回声抑制、参数设置等功能；</w:t>
            </w:r>
          </w:p>
          <w:p w14:paraId="5C87206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3.为保证教室内设备安装整洁，要求主机采用壁挂式安装且主机应无内置风扇，支持静音运行，避免影响上课；</w:t>
            </w:r>
          </w:p>
          <w:p w14:paraId="238FE55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主机应自带不小于10.1寸高清液晶触控屏幕，触控屏要求可设置自动息屏时间，从而避免因屏幕亮度影响学生课堂专注力。触控屏功能要求，支持老师进行常规操作和预监学生特写、学生全景、教师特写、教师全景、课件画面、导播画面；</w:t>
            </w:r>
          </w:p>
          <w:p w14:paraId="09A5A45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5.主机屏幕要求满足无蓝光危害，符合IEC62471:2006要求。为防止液晶屏幕表面刮花，要求加装不小于2mm厚的钢化玻璃，钢化玻璃表面硬度≥6H；</w:t>
            </w:r>
          </w:p>
          <w:p w14:paraId="571B3C2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视频输入接口：要求RJ45≥6路，HDMI≥1路，其中要求≥2路RJ45接口支持POE供电功能。仅通过一根网线可以实现影像传输、控制摄像机和为摄像机供电。单个RJ45支持输入两路视频信号，实现两个RJ45输入4路1080P30帧画面，支持IPC信号类型的图像信号输入；1路HDMI-IN输入接口支持输入3840*2160@30HZ、1920*1080P@60Hz、1920*1080@50HZ等视频信号；主机支持对全部视频输入信号进行无缝切换、叠加、拼接等处理功能；</w:t>
            </w:r>
          </w:p>
          <w:p w14:paraId="42FA9FD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视频编解码能力要求支持H.264、H.265协议；支持6路高清1080P视频摄像机信号进行同步处理，实现录制、直播、远程高清音视频互动等功能；支持对4K超高清、1080p、720p、480p、360p、240p分辨率自适应调整处理；支持CBR、VBR两种码流控制方式；音频编码协议采用AAC高清编码；</w:t>
            </w:r>
          </w:p>
          <w:p w14:paraId="1B5D445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8.视频输出接口：HDMI</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OUT接口不少于2路；满足导播视频画面、远端互动画面的同时输出，同时可以同步输出音频信号，满足多种场景应用；</w:t>
            </w:r>
          </w:p>
          <w:p w14:paraId="04F1EBE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9.音频输入接口：要求具有不少于2路48V幻像供电的麦克风接口；≥1路Line in；≥1路MIC-IN，满足多种音频信号输入；</w:t>
            </w:r>
          </w:p>
          <w:p w14:paraId="165BD18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10.音频输出接口：≥1路Line out音频接口，支持输出远端音频信号或本地音频；</w:t>
            </w:r>
          </w:p>
          <w:p w14:paraId="3088D51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11.要求主机应支持接入USB无线音频设备，兼容3种以上不同类型的无线麦克风，包括蓝牙、2.4G、UHF数字、UHF模拟等；</w:t>
            </w:r>
          </w:p>
          <w:p w14:paraId="2FB7870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要求主机内置音频处理模块，支持对于无线音频信号、电脑信号、远端信号进行音频同步处理，音频处理模块应支持智能混音、EQ均衡、AEC回声抑制、AGC自动增益、ANC噪声抑制、音频自动闪避功能。要求模块可根据环境，一键自动调音，智适应降噪、自动增益和回声处理；</w:t>
            </w:r>
          </w:p>
          <w:p w14:paraId="08C8DEF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数据接口要求主机采用双网卡，摄像机接入网络和外网网络彼此隔离，两块网卡能够独立工作，互不影响。≥2路1000M自适应LAN网络接口与POE接口组成内部局域网，方便进行跟踪调试；≥2路1000M自适应WAN网络接口支持进行远程导播和摄像机跟踪调试，方便对录播系统远程跟踪调试；</w:t>
            </w:r>
          </w:p>
          <w:p w14:paraId="33A2C7E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录播主机应具有前置三合一按键（开机、关机和节能三键合一），轻触按键，显示屏唤醒亮起和息屏，长按5秒，设备开机或提示关机或重启；三合一按键应具有提示灯光便于监看主机运行状态；</w:t>
            </w:r>
          </w:p>
          <w:p w14:paraId="0AFC127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主机支持具备一键还原功能，长按RESET按键进行系统恢复出厂设置和在线升级；</w:t>
            </w:r>
          </w:p>
          <w:p w14:paraId="763ADAF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16.主机应支持上电开机和手动开机两种开机模式；支持远程开关机、定时开关机功能；采用内置供电模块，可直接接入220V电源，整机功耗≤40W</w:t>
            </w:r>
            <w:r>
              <w:rPr>
                <w:rFonts w:hint="eastAsia" w:ascii="宋体" w:hAnsi="宋体" w:eastAsia="宋体" w:cs="宋体"/>
                <w:sz w:val="24"/>
                <w:szCs w:val="24"/>
                <w:highlight w:val="none"/>
                <w:lang w:val="en-US" w:eastAsia="zh-CN"/>
              </w:rPr>
              <w:t>；</w:t>
            </w:r>
          </w:p>
          <w:p w14:paraId="5AD4704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17.符合根据GB/T17626.5-2008电磁兼容实验和测量技术浪涌（冲击）抗扰度/防雷击试验4级判据要求；</w:t>
            </w:r>
          </w:p>
          <w:p w14:paraId="34F770D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18.符合GB/T17626.2-2006静电放电抗扰度要求；</w:t>
            </w:r>
          </w:p>
          <w:p w14:paraId="0421967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19.符合GB/T17626.3-2006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射频电磁场辐射抗扰度要求；</w:t>
            </w:r>
          </w:p>
          <w:p w14:paraId="255D146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20.符合GB/T17626.4-2008电快速瞬变脉冲群抗扰度要求；</w:t>
            </w:r>
          </w:p>
          <w:p w14:paraId="25EA0EF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21.符合GB13837-2012防辐射/低辐射要求；</w:t>
            </w:r>
          </w:p>
          <w:p w14:paraId="58DB621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22.符合GB/T17626.5-2008浪涌（冲击）抗扰度/防雷击实验4级判据要求；</w:t>
            </w:r>
          </w:p>
          <w:p w14:paraId="421389C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23.符合GB/T17626.6-2008</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射频场感应的传导骚扰抗扰要求；</w:t>
            </w:r>
          </w:p>
          <w:p w14:paraId="773C23F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符合GB/T17626.11-2008电压暂降、短时中断和电压变化的抗扰度要求。</w:t>
            </w:r>
          </w:p>
          <w:p w14:paraId="21FFE60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录播系统软件</w:t>
            </w:r>
          </w:p>
          <w:p w14:paraId="17D4DF8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录播软件基于B/S架构，采用远程导播管理方式，功能包括导播管理、直播管理、文件管理、设备管理等，具体要求如下：</w:t>
            </w:r>
          </w:p>
          <w:p w14:paraId="1B32607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1.支持通过Web浏览器进行设备管理，包括录播质量设置、导播设置、直播设置、字幕设置、台标设置、课程信息设置、片尾片头设置等功能；</w:t>
            </w:r>
          </w:p>
          <w:p w14:paraId="522D79A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2.支持通过Web浏览器进行远程导播；</w:t>
            </w:r>
          </w:p>
          <w:p w14:paraId="3A056BE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3.主机应支持断网情况的本地视频录制，录制文件保存在主机的内置硬盘中；应支持电影模式与资源模式同步录制，录制分辨率支持1080P@30fps、720P@30fps，支持MP4视频封装格式，支持自定义录制分辨率、码流；</w:t>
            </w:r>
          </w:p>
          <w:p w14:paraId="26A3C35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为便于老师使用，支持在授课大屏上安装录制工具，控制录播主机的录制、暂停、停止、分享二维码直播、下载视频、播放视频、上传对应的个人空间或资源平台；</w:t>
            </w:r>
          </w:p>
          <w:p w14:paraId="2F77944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5.支持全自动、半自动、手动三种导播模式，并支持运行过程中任意切换导播模式；</w:t>
            </w:r>
          </w:p>
          <w:p w14:paraId="1A69A35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手动导播模式下，要求支持手动控制云台，变焦倍数调整等摄像机控制功能，每路摄像机支持8个或以上预置位设置；支持单画面、画中画、双分屏、三分屏、四分屏等6种分屏效果；支持台标、字幕插入功能，支持设置台标透明度和位置设置；支持设置字幕字号、颜色、位置等设置；支持自动生成片头片尾，片头片尾支持自定义图片、时长等并支持通过虚拟软键盘输入字幕内容以及片头片尾内容；</w:t>
            </w:r>
          </w:p>
          <w:p w14:paraId="1642CBC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7.自动导播模式下，要求根据跟踪系统、PC（含双PC）、板书（含双板书）、互联黑板等设备信号进行自动导播；支持导播间隔时间设定，即在导播切换前调节好摄像机的焦距和角度，有效避免垃圾镜头；</w:t>
            </w:r>
          </w:p>
          <w:p w14:paraId="1DA5BED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支持授课电脑画面变化侦测算法，无需在教师授课电脑上安装任何程序就能够探测到教师动鼠标、PPT翻页等动作并将VGA/HDMI画面切入导播画面。同时支持用户手动对电脑变化检测区域进行设定，支持绘制至少4个检测区，从而有限规避因电脑上程序的自动运行而导致的录播画面误切换；</w:t>
            </w:r>
          </w:p>
          <w:p w14:paraId="66CEDB6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9.支持设置跟踪屏蔽区域，所屏蔽的地方系统将不对其进行图像分析跟踪运算，以避免这些地方干扰整体的跟踪效果；</w:t>
            </w:r>
          </w:p>
          <w:p w14:paraId="537573E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跟踪定位系统采用图像识别定位分析技术，智能识别教学行为，根据预设的跟踪分析逻辑触发跟踪信号，与录播主机进行跟踪数据对接，对指定区域进行跟踪分析，具有“模糊防抖”功能，避免人员小幅度活动时引起的摄像机画面抖动现象；支持学生起立特写跟踪；支持多个学生起立学生全景拍摄；支持自定义规定时间间隔自动切换为学生全景画面；支持板书行为跟踪拍摄，当老师书写板书是自动切换为板书特写画面；</w:t>
            </w:r>
          </w:p>
          <w:p w14:paraId="75216E3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11.支持通过浏览器直接登入web端，查看属于自己的资源，支持在线搜索、播放、下载、删除等操作；</w:t>
            </w:r>
          </w:p>
          <w:p w14:paraId="22F8A5E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支持搭配互动遥控器，对教学课程进行控制，如直接调整所控电脑的系统音量大小。支持ppt翻页功能，可直接控制电脑的ppt的翻页功能；</w:t>
            </w:r>
          </w:p>
          <w:p w14:paraId="7F53C98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要求录制下的资源支持本地硬盘存储、云资源管理平台分享及支持直接上传到第三方FTP服务器。支持上传策略设置：闲时上传、定时上传、实时上传；支持上传到网络存储服务器，提供上传网络存储服务器设置选项；</w:t>
            </w:r>
          </w:p>
          <w:p w14:paraId="67853C4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w:t>
            </w: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要求支持三种文件预览和下载方式：（1）录播软件预览，通过助手控制录播停止录制之后可立即播放已录制的视频，可同步下载录制的视频；（2）Web预览，通过Web方式登录到录播主机，可直接预览录制视频效果，可同步下载录制的视频；（3）通过主机一体化屏幕直接进行文件预览，可同步播放声音，可同步下载录制的视频到U盘；</w:t>
            </w:r>
          </w:p>
          <w:p w14:paraId="76853A9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15.支持同步实时直播，通过互动软件自动生成直播海报实现课程的实时旁听，采用二维码分享观看，旁听并发数不少于10000点；支持设置直播评论功能，评论默认打开，用户可以关掉；</w:t>
            </w:r>
          </w:p>
          <w:p w14:paraId="2EA8896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16.支持课后分享：课程结束后直播视频保存至云平台教师个人中心，支持在线回看、下载和分享，老师可以登录教室空间查看和管理视频课程；课程结束自动生成回看直播海报。</w:t>
            </w:r>
          </w:p>
          <w:p w14:paraId="6027E48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4K教师摄像机</w:t>
            </w:r>
          </w:p>
          <w:p w14:paraId="092A8EA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1.采用4KSensor和4K镜头，1/2.7英寸HD CMOS或以上图像传感器，有效像素不少于800万；</w:t>
            </w:r>
          </w:p>
          <w:p w14:paraId="32B6EB3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2.镜头应支持自动对焦，不小于M12镜头卡口，水平视场角不少于44°；</w:t>
            </w:r>
          </w:p>
          <w:p w14:paraId="3E6A171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3.支持自动变焦和手动变焦，变焦倍数≥8倍；</w:t>
            </w:r>
          </w:p>
          <w:p w14:paraId="3017FC6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4.最低照度：0.5Lux@(F1.8，AGC ON)；电子快门1/30s ~ 1/10000s；</w:t>
            </w:r>
          </w:p>
          <w:p w14:paraId="3E8FFE2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5.支持自动、手动等多种白平衡模式；</w:t>
            </w:r>
          </w:p>
          <w:p w14:paraId="55D17BA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6.数字降噪支持2D和3D降噪算法；</w:t>
            </w:r>
          </w:p>
          <w:p w14:paraId="7842A07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7.图像信噪：55dB；</w:t>
            </w:r>
          </w:p>
          <w:p w14:paraId="0D92F61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8.支持背光补偿功能；</w:t>
            </w:r>
          </w:p>
          <w:p w14:paraId="17BA751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9.支持EPTZ电子云台控制方式，实现画面的上下左右移动、放大缩小变焦等操作；</w:t>
            </w:r>
          </w:p>
          <w:p w14:paraId="03E932F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10.视频编码支持不少于H.265/H.264/MJEPG三种格式；</w:t>
            </w:r>
          </w:p>
          <w:p w14:paraId="6BE7BF1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11.单台摄像机支持进行4路视频流编码输出，输出视频分辨率支持4K和1080P等标准视频分辨率格式；视频码率32Kbps~16384Kbps可调；帧率1~30fps可调；</w:t>
            </w:r>
          </w:p>
          <w:p w14:paraId="183EF19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12.音频编码支持不少于AAC/G.711a两种格式；</w:t>
            </w:r>
          </w:p>
          <w:p w14:paraId="4A80049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13.支持TCP/IP、HTTP、RTSP、RTMP、Onvif、DHCP、GB28181、组播等协议；</w:t>
            </w:r>
          </w:p>
          <w:p w14:paraId="59FE17F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14.具有不少于1个USB 2.0接口，支持外接U盘、麦克风等设备；</w:t>
            </w:r>
          </w:p>
          <w:p w14:paraId="58F395B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15.具有不少于1个RJ45接口，支持PoE功能并支持系统管理和RTSP协议网络视频输出；</w:t>
            </w:r>
          </w:p>
          <w:p w14:paraId="4E7D7DF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16.支持通用浏览器直接访问进行管理，支持曝光模式设置、摄像机图像质量调节；</w:t>
            </w:r>
          </w:p>
          <w:p w14:paraId="202F10B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17.音频接口不少于1路3.5mm LINE IN接口和1路3.5mm LINE OUT接口；</w:t>
            </w:r>
          </w:p>
          <w:p w14:paraId="0778B2F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18.供电方式采用POE 供电、电源适配器供电方式，根据环境实际情况可灵活选择。</w:t>
            </w:r>
          </w:p>
          <w:p w14:paraId="34F334E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19.图像翻转：要求支持图像水平、垂直翻转，适应摄像机不同的安装方式要求；</w:t>
            </w:r>
          </w:p>
          <w:p w14:paraId="618A722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视觉体验舒适</w:t>
            </w:r>
          </w:p>
          <w:p w14:paraId="363F2BF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21.支持教师和学生的AI自动识别切换，根据部署位置、模式自主适配教师或学生的跟踪逻辑。</w:t>
            </w:r>
          </w:p>
          <w:p w14:paraId="7802200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22.支持AI人体特征识别，能够自动识别并锁定跟踪人，人物丢失后再进入拍摄区域可以继续识别锁定进行跟踪。</w:t>
            </w:r>
          </w:p>
          <w:p w14:paraId="3EB8B28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23.采用教师角色识别逻辑，可基于站立姿态、面/背向状态等多维判定，快速识别教师，避免学生站立影响；</w:t>
            </w:r>
          </w:p>
          <w:p w14:paraId="592E790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24.支持划分自动跟踪区域，当锁定跟踪人物走出自动跟踪区域时即停止跟踪，直到重新回到区域出现在画面中为止；</w:t>
            </w:r>
          </w:p>
          <w:p w14:paraId="68F5153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25.检测区域设置：支持对接入摄像机的AI跟踪检测区域设置，可根据实景拍摄画面中框选跟踪区域，框选后只在区域中方能触发跟踪。</w:t>
            </w:r>
          </w:p>
          <w:p w14:paraId="4234CE1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26.录制跟踪切换：根据设定的跟踪策略形成跟踪指令，实现多路接入摄像机的全自动AI跟踪画面切换。</w:t>
            </w:r>
          </w:p>
          <w:p w14:paraId="7E1A69C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27.支持设置跟踪屏蔽区域，如主动屏蔽掉教师观摩区、窗户窗帘、教室门口、大屏液晶电视等易干扰跟踪效果的地方，所屏蔽的地方系统将不对其进行AI分析跟踪运算，以避免这些地方干扰整体的跟踪效果。</w:t>
            </w:r>
          </w:p>
          <w:p w14:paraId="6763FAC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4K学生摄像机</w:t>
            </w:r>
          </w:p>
          <w:p w14:paraId="4B43AEE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1.采用4K Sensor和4K镜头，1/2.7英寸HD CMOS或以上图像传感器，有效像素不少于800万；</w:t>
            </w:r>
          </w:p>
          <w:p w14:paraId="1E57E30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2.镜头应支持自动对焦，不小于M12 镜头卡口，水平视场角不少于95°；</w:t>
            </w:r>
          </w:p>
          <w:p w14:paraId="433FC5B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3.支持自动变焦和手动变焦，变焦倍数≥8倍；</w:t>
            </w:r>
          </w:p>
          <w:p w14:paraId="56E11B6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4.最低照度：0.5 Lux@(F1.8，AGC ON)；电子快门1/30s ~ 1/10000s；</w:t>
            </w:r>
          </w:p>
          <w:p w14:paraId="55BE344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5.支持自动、手动等多种白平衡模式；</w:t>
            </w:r>
          </w:p>
          <w:p w14:paraId="78C68A0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6.数字降噪支持2D和3D降噪算法；</w:t>
            </w:r>
          </w:p>
          <w:p w14:paraId="51F0C8A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7.图像信噪：55dB；</w:t>
            </w:r>
          </w:p>
          <w:p w14:paraId="035C5CF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8.支持背光补偿功能；</w:t>
            </w:r>
          </w:p>
          <w:p w14:paraId="59BD656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9.支持EPTZ电子云台控制方式，实现画面的上下左右移动、放大缩小变焦等操作；</w:t>
            </w:r>
          </w:p>
          <w:p w14:paraId="5F9229E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10.视频编码支持不少于H.265/H.264/MJEPG三种格式；</w:t>
            </w:r>
          </w:p>
          <w:p w14:paraId="5871627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11.单台摄像机支持进行4路视频流编码输出，输出视频分辨率支持4K和1080P等标准视频分辨率格式；视频码率32Kbps~16384Kbps可调；帧率1~30fps可调；</w:t>
            </w:r>
          </w:p>
          <w:p w14:paraId="2AA0962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12.音频编码支持不少于AAC/G.711a两种格式；</w:t>
            </w:r>
          </w:p>
          <w:p w14:paraId="5B24A11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13.支持TCP/IP、HTTP、RTSP、RTMP、Onvif、DHCP、GB28181、组播等协议；</w:t>
            </w:r>
          </w:p>
          <w:p w14:paraId="3FA9F97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14.具有不少于1个USB2.0接口，支持外接U盘、麦克风等设备；</w:t>
            </w:r>
          </w:p>
          <w:p w14:paraId="7F43FBE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15.具有不少于1个RJ45接口，支持PoE功能并支持系统管理和RTSP协议网络视频输出；</w:t>
            </w:r>
          </w:p>
          <w:p w14:paraId="7A83D71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16.支持通用浏览器直接访问进行管理，支持曝光模式设置、摄像机图像质量调节；</w:t>
            </w:r>
          </w:p>
          <w:p w14:paraId="3A39DC0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17.音频接口不少于1路3.5mm LINE IN接口和1路3.5mm LINE OUT接口；</w:t>
            </w:r>
          </w:p>
          <w:p w14:paraId="757F180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18.供电方式采用POE 供电、电源适配器供电方式，根据环境实际情况可灵活选择</w:t>
            </w:r>
            <w:r>
              <w:rPr>
                <w:rFonts w:hint="eastAsia" w:ascii="宋体" w:hAnsi="宋体" w:eastAsia="宋体" w:cs="宋体"/>
                <w:sz w:val="24"/>
                <w:szCs w:val="24"/>
                <w:highlight w:val="none"/>
                <w:lang w:val="en-US" w:eastAsia="zh-CN"/>
              </w:rPr>
              <w:t>；</w:t>
            </w:r>
          </w:p>
          <w:p w14:paraId="5EA5BD3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19.图像翻转：要求支持图像水平、垂直翻转，适应摄像机不同的安装方式要求；</w:t>
            </w:r>
          </w:p>
          <w:p w14:paraId="18F9321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视觉体验舒适</w:t>
            </w:r>
            <w:r>
              <w:rPr>
                <w:rFonts w:hint="eastAsia" w:ascii="宋体" w:hAnsi="宋体" w:eastAsia="宋体" w:cs="宋体"/>
                <w:sz w:val="24"/>
                <w:szCs w:val="24"/>
                <w:highlight w:val="none"/>
                <w:lang w:val="en-US" w:eastAsia="zh-CN"/>
              </w:rPr>
              <w:t>；</w:t>
            </w:r>
          </w:p>
          <w:p w14:paraId="57CBCB1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21.支持教师和学生的AI自动识别切换，根据部署位置、模式自主适配教师或学生的跟踪逻辑</w:t>
            </w:r>
            <w:r>
              <w:rPr>
                <w:rFonts w:hint="eastAsia" w:ascii="宋体" w:hAnsi="宋体" w:eastAsia="宋体" w:cs="宋体"/>
                <w:sz w:val="24"/>
                <w:szCs w:val="24"/>
                <w:highlight w:val="none"/>
                <w:lang w:val="en-US" w:eastAsia="zh-CN"/>
              </w:rPr>
              <w:t>；</w:t>
            </w:r>
          </w:p>
          <w:p w14:paraId="597F622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22.支持AI人体特征识别，能够自动识别并锁定跟踪人，人物丢失后再进入拍摄区域可以继续识别锁定进行跟踪</w:t>
            </w:r>
            <w:r>
              <w:rPr>
                <w:rFonts w:hint="eastAsia" w:ascii="宋体" w:hAnsi="宋体" w:eastAsia="宋体" w:cs="宋体"/>
                <w:sz w:val="24"/>
                <w:szCs w:val="24"/>
                <w:highlight w:val="none"/>
                <w:lang w:val="en-US" w:eastAsia="zh-CN"/>
              </w:rPr>
              <w:t>；</w:t>
            </w:r>
          </w:p>
          <w:p w14:paraId="0C50907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23.支持学生智能跟踪，根据学生站立/做下动作状态，进行学生特写跟踪拍摄，并通知录播主机完成画面切换</w:t>
            </w:r>
            <w:r>
              <w:rPr>
                <w:rFonts w:hint="eastAsia" w:ascii="宋体" w:hAnsi="宋体" w:eastAsia="宋体" w:cs="宋体"/>
                <w:sz w:val="24"/>
                <w:szCs w:val="24"/>
                <w:highlight w:val="none"/>
                <w:lang w:val="en-US" w:eastAsia="zh-CN"/>
              </w:rPr>
              <w:t>；</w:t>
            </w:r>
          </w:p>
          <w:p w14:paraId="359A2B5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24.检测区域设置：支持对接入摄像机的AI跟踪检测区域设置，可根据实景拍摄画面中框选跟踪区域，框选后只在区域中方能触发跟踪</w:t>
            </w:r>
            <w:r>
              <w:rPr>
                <w:rFonts w:hint="eastAsia" w:ascii="宋体" w:hAnsi="宋体" w:eastAsia="宋体" w:cs="宋体"/>
                <w:sz w:val="24"/>
                <w:szCs w:val="24"/>
                <w:highlight w:val="none"/>
                <w:lang w:val="en-US" w:eastAsia="zh-CN"/>
              </w:rPr>
              <w:t>；</w:t>
            </w:r>
          </w:p>
          <w:p w14:paraId="25E520B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录制跟踪切换：根据设定的跟踪策略形成跟踪指令，实现多路接入摄像机的全自动AI跟踪画面切换。</w:t>
            </w:r>
          </w:p>
          <w:p w14:paraId="7020E99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25.支持设置跟踪屏蔽区域，如主动屏蔽掉教师观摩区、窗户窗帘、教室门口、大屏液晶电视等易干扰跟踪效果的地方，所屏蔽的地方系统将不对其进行AI分析跟踪运算，以避免这些地方干扰整体的跟踪效果</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音频采集系统</w:t>
            </w:r>
          </w:p>
          <w:p w14:paraId="6E6A8FD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1.类型：电容式</w:t>
            </w:r>
          </w:p>
          <w:p w14:paraId="5AAAC08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2.指向性：全指向</w:t>
            </w:r>
          </w:p>
          <w:p w14:paraId="15CACC6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3.灵敏度：-34dB±3dB(0dB=1V/Pa at 1KHz)</w:t>
            </w:r>
          </w:p>
          <w:p w14:paraId="314126E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4.频率响应：30Hz～18KHz</w:t>
            </w:r>
          </w:p>
          <w:p w14:paraId="5F4CC1F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5.输出阻抗：250Ω平衡输出</w:t>
            </w:r>
          </w:p>
          <w:p w14:paraId="06E2EAC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6.48V幻象供电</w:t>
            </w:r>
          </w:p>
        </w:tc>
        <w:tc>
          <w:tcPr>
            <w:tcW w:w="666" w:type="dxa"/>
            <w:vAlign w:val="center"/>
          </w:tcPr>
          <w:p w14:paraId="357D03C6">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套</w:t>
            </w:r>
          </w:p>
        </w:tc>
        <w:tc>
          <w:tcPr>
            <w:tcW w:w="734" w:type="dxa"/>
            <w:vAlign w:val="center"/>
          </w:tcPr>
          <w:p w14:paraId="4E8D04DB">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p>
        </w:tc>
      </w:tr>
      <w:tr w14:paraId="40A19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E91EA83">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667" w:type="dxa"/>
            <w:vAlign w:val="center"/>
          </w:tcPr>
          <w:p w14:paraId="0F85385F">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录播资源应用管理平台和服务器</w:t>
            </w:r>
          </w:p>
        </w:tc>
        <w:tc>
          <w:tcPr>
            <w:tcW w:w="5750" w:type="dxa"/>
          </w:tcPr>
          <w:p w14:paraId="03B940B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一、应用管理平台基础模块：</w:t>
            </w:r>
          </w:p>
          <w:p w14:paraId="77E2C5D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1.平台采用分权限管理模式，支持按需定义人员角色及权限。不同权限用户开放不同的功能，主要分为游客、普通教师、教研员、管理员等角色类型。</w:t>
            </w:r>
          </w:p>
          <w:p w14:paraId="65C9C24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2.平台采用云端部署方案，模块内容采用B/S架构方式进行设计，支持IE、360等主流浏览器访问，方便进行平台使用管理，云端软件授权使用年限不低于3年。</w:t>
            </w:r>
          </w:p>
          <w:p w14:paraId="4119FDE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3.支持用户上传、编辑、下架或删除自己的资源，管理员可对权限范围内的资源进行下架操作。</w:t>
            </w:r>
          </w:p>
          <w:p w14:paraId="0A7E5A2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二、专递课堂模块：</w:t>
            </w:r>
          </w:p>
          <w:p w14:paraId="5E4A564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平台提供区域开课地图，支持对整个区域的专递课堂教学活动进行管理，“地图”模块汇聚区域各学校平台上的专递课堂开课信息。采用电子地图模式，逐层点击进入模式呈现，用户可按权限点击对应区域进行开课信息查询。</w:t>
            </w:r>
          </w:p>
          <w:p w14:paraId="24B8896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2.教师可查看个人课程计划，管理员可以查看区域内所有教师或指定的某位教师的课程计划，此外还支持管理员查看区域内教室的课程安排。（提供该功能截图，并加盖</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公章）</w:t>
            </w:r>
          </w:p>
          <w:p w14:paraId="29F4372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平台提供区域开课地图，支持对整个区域的专递课堂教学活动进行管理，“地图”模块汇聚区域各学校平台上的专递课堂开课信息。采用电子地图模式，逐层点击进入模式呈现，用户可按权限点击对应区域进行开课信息查询。</w:t>
            </w:r>
          </w:p>
          <w:p w14:paraId="4FB77F3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4.实时统计本区域内的专递课开课数、录播教室数量、受益学生数等数据并形成相应的数据看板。</w:t>
            </w:r>
          </w:p>
          <w:p w14:paraId="451E181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5.支持管理员对所在区域或项目内的学校、教室进行课堂监管，及时的了解课堂动态。</w:t>
            </w:r>
          </w:p>
          <w:p w14:paraId="542CDAE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6.课程信息展示：支持同步显示本课程的信息，包括课程名称、直播时间、主讲人、主讲学校、主讲教室等信息。</w:t>
            </w:r>
          </w:p>
          <w:p w14:paraId="5A61697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7.专递课堂直播评论：支持观看专递课堂直播时进行实时文字评论，在线交流观课体验。</w:t>
            </w:r>
          </w:p>
          <w:p w14:paraId="7B394A8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8.专递课堂直播转发：提供直播转发分享功能，支持二维码分享和一键转发分享至新浪微博、QQ、微信等社交平台中。</w:t>
            </w:r>
          </w:p>
          <w:p w14:paraId="3A606F6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9.课程检索：支持按照课程名称、区域（省/市/区县）、直播状态、起止时间进行课程资源的检索。</w:t>
            </w:r>
          </w:p>
          <w:p w14:paraId="17402E4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10.本地资源上传：支持视频文件，支持word、excel、ppt、pdf、png、压缩包等常见格式。（提供该功能截图，并</w:t>
            </w:r>
            <w:r>
              <w:rPr>
                <w:rFonts w:hint="eastAsia" w:ascii="宋体" w:hAnsi="宋体" w:eastAsia="宋体" w:cs="宋体"/>
                <w:sz w:val="24"/>
                <w:szCs w:val="24"/>
                <w:highlight w:val="none"/>
                <w:lang w:eastAsia="zh-CN"/>
              </w:rPr>
              <w:t>加盖供应商公章</w:t>
            </w:r>
            <w:r>
              <w:rPr>
                <w:rFonts w:hint="eastAsia" w:ascii="宋体" w:hAnsi="宋体" w:eastAsia="宋体" w:cs="宋体"/>
                <w:sz w:val="24"/>
                <w:szCs w:val="24"/>
                <w:highlight w:val="none"/>
              </w:rPr>
              <w:t>）</w:t>
            </w:r>
          </w:p>
          <w:p w14:paraId="4DE00B7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三、名师课堂模块：</w:t>
            </w:r>
          </w:p>
          <w:p w14:paraId="1854C59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1.平台支持管理员对区域内名师进行认证，认证成功后会有对应的名称头衔，方便快速识别和检索。</w:t>
            </w:r>
          </w:p>
          <w:p w14:paraId="1DA3CAF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2.建立专门的展示区域，支持区域内名师的展示，展示内容包括：名师名称、所授学科、学段、所在学校、名师资源数量等，并支持从以上维度进行检索，方便老师快速查找名师资源。 </w:t>
            </w:r>
          </w:p>
          <w:p w14:paraId="1EEE9A2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3.平台支持管理员对区域内名师进行认证，认证成功后会有对应的名称头衔，方便快速识别和检索。</w:t>
            </w:r>
          </w:p>
          <w:p w14:paraId="3BFC8FA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支持点击展示区名师头像进入名师空间，名师空间会展示名师基本信息如名师名称、所在学校、所授学科、年级、课程资源总数、名师简介、关注人数等，此外还支持对该教师所有资源进行汇总展示，包括课程视频资源、课件资源，所有视频皆支持在线观看、浏览，还可进行点赞、评论等操作。（提供该功能截图，并</w:t>
            </w:r>
            <w:r>
              <w:rPr>
                <w:rFonts w:hint="eastAsia" w:ascii="宋体" w:hAnsi="宋体" w:eastAsia="宋体" w:cs="宋体"/>
                <w:sz w:val="24"/>
                <w:szCs w:val="24"/>
                <w:highlight w:val="none"/>
                <w:lang w:eastAsia="zh-CN"/>
              </w:rPr>
              <w:t>加盖供应商公章</w:t>
            </w:r>
            <w:r>
              <w:rPr>
                <w:rFonts w:hint="eastAsia" w:ascii="宋体" w:hAnsi="宋体" w:eastAsia="宋体" w:cs="宋体"/>
                <w:sz w:val="24"/>
                <w:szCs w:val="24"/>
                <w:highlight w:val="none"/>
              </w:rPr>
              <w:t>）</w:t>
            </w:r>
          </w:p>
          <w:p w14:paraId="532C6EA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5.平台支持从最热、最新的维度进行区域内课程资源的统计。</w:t>
            </w:r>
          </w:p>
          <w:p w14:paraId="6377311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支持区域在线听评课活动的预约，包括课例评课、直播评课、现场评课等常用听课、评课活动。预约时可设置活动的主题、开始/结束时间、面向学段、学科、评课表、专家邀请、签到设置等，并支持选择或自定义活动封面。</w:t>
            </w:r>
          </w:p>
          <w:p w14:paraId="082C298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7.支持上传教研活动相关的资源包括视频及课件资源，支持mp4、word、ppt、pdf、png、压缩包等常用格式。（提供该功能截图，并</w:t>
            </w:r>
            <w:r>
              <w:rPr>
                <w:rFonts w:hint="eastAsia" w:ascii="宋体" w:hAnsi="宋体" w:eastAsia="宋体" w:cs="宋体"/>
                <w:sz w:val="24"/>
                <w:szCs w:val="24"/>
                <w:highlight w:val="none"/>
                <w:lang w:eastAsia="zh-CN"/>
              </w:rPr>
              <w:t>加盖供应商公章</w:t>
            </w:r>
            <w:r>
              <w:rPr>
                <w:rFonts w:hint="eastAsia" w:ascii="宋体" w:hAnsi="宋体" w:eastAsia="宋体" w:cs="宋体"/>
                <w:sz w:val="24"/>
                <w:szCs w:val="24"/>
                <w:highlight w:val="none"/>
              </w:rPr>
              <w:t>）</w:t>
            </w:r>
          </w:p>
          <w:p w14:paraId="6F9E123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8.平台提供标准评分模板并支持管理员按需要自定义评分细则和分数。</w:t>
            </w:r>
          </w:p>
          <w:p w14:paraId="5C35DC4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9.听评课活动支持直播观看和点播回看，支持统计活动的参与人数、活动时间、综合评分。</w:t>
            </w:r>
          </w:p>
          <w:p w14:paraId="1B05429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10.听评课活动过程中，支持课件的浏览、发表文字评论、上传教研笔记，评课表评分等操作，对可对文字的评论、评课表评分的数据进行统计分析。</w:t>
            </w:r>
          </w:p>
          <w:p w14:paraId="4EB18CC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11.支持统计并呈现区域内听评课活动的数据，包括活动次数，活动时长、参与人数等。</w:t>
            </w:r>
          </w:p>
          <w:p w14:paraId="0B2E1E4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12.通过名师课堂可以开展多种教研活动，包括且不限于教研活动、远程听评课、优课评比、协同备课、名师工作坊。</w:t>
            </w:r>
          </w:p>
          <w:p w14:paraId="401064D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四、名校网络课堂模块：</w:t>
            </w:r>
          </w:p>
          <w:p w14:paraId="1EB7907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1.平台支持名校的认证，认证成功后会有对应的名称头衔，方便快速识别和检索名校资源。（提供该功能截图，并</w:t>
            </w:r>
            <w:r>
              <w:rPr>
                <w:rFonts w:hint="eastAsia" w:ascii="宋体" w:hAnsi="宋体" w:eastAsia="宋体" w:cs="宋体"/>
                <w:sz w:val="24"/>
                <w:szCs w:val="24"/>
                <w:highlight w:val="none"/>
                <w:lang w:eastAsia="zh-CN"/>
              </w:rPr>
              <w:t>加盖供应商公章</w:t>
            </w:r>
            <w:r>
              <w:rPr>
                <w:rFonts w:hint="eastAsia" w:ascii="宋体" w:hAnsi="宋体" w:eastAsia="宋体" w:cs="宋体"/>
                <w:sz w:val="24"/>
                <w:szCs w:val="24"/>
                <w:highlight w:val="none"/>
              </w:rPr>
              <w:t>）</w:t>
            </w:r>
          </w:p>
          <w:p w14:paraId="2AE3FAA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2.支持以学校为单位生成名校资料卡片并在区域内进行展示，卡片展示的内容包括学校名称、资源总数、访问人数等信息，展示时支持按资源数量进行排序，此外支持用户按学校名校进行检索，快速查找名校。</w:t>
            </w:r>
          </w:p>
          <w:p w14:paraId="35FECC3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点击名校头像后进入名校空间，空间包含名校简介、名校名称等基本信息，此外可对学校课程资源进行统计与展示，课程资源可按学科、学段、名称等进行检索，所有课程支持以点播的形式进行回看，课程支持评论、下载和分享。</w:t>
            </w:r>
          </w:p>
          <w:p w14:paraId="4546538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五、巡课模块：</w:t>
            </w:r>
          </w:p>
          <w:p w14:paraId="6BD5EB9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1.支持通过巡课平台查看每一间教室多媒体设备、录播设备画面；</w:t>
            </w:r>
          </w:p>
          <w:p w14:paraId="06867FB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2.支持授课桌面、学生画面、教师画面按需切换；</w:t>
            </w:r>
          </w:p>
          <w:p w14:paraId="48A68C6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3.支持多间教室集中巡课；</w:t>
            </w:r>
          </w:p>
          <w:p w14:paraId="5D7853E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4.支持按照教室地点、设备类型、分组等多种方式在线巡课，管理员可自定义巡课范围；</w:t>
            </w:r>
          </w:p>
          <w:p w14:paraId="33AF6FF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5.支持按照角色、用户进行巡课权限分配；</w:t>
            </w:r>
          </w:p>
          <w:p w14:paraId="5E28930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6.支持单画面、多画面巡课，支持自动轮询巡课；</w:t>
            </w:r>
          </w:p>
          <w:p w14:paraId="21AD41E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7.支持巡课评价；</w:t>
            </w:r>
          </w:p>
          <w:p w14:paraId="6148D85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8.支持通过手机小程序在线巡课；</w:t>
            </w:r>
          </w:p>
          <w:p w14:paraId="54B0371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六、集控模块：</w:t>
            </w:r>
          </w:p>
          <w:p w14:paraId="2C69399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1.支持过集控平台实现区域内多种不同设备的集中管控，包括且不限于：多媒体设备、录播设备、班牌设备等；</w:t>
            </w:r>
          </w:p>
          <w:p w14:paraId="20F2821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2.多媒体设备的管控要求</w:t>
            </w:r>
          </w:p>
          <w:p w14:paraId="19614D5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支持查看区域内所有多媒体设备的状态详情，包括在线、离线状态，教室名称、内存使用率、CPU使用率、C盘使用率，支持按照设备类型、设备名称进行查询筛选；支持按列表展示以及按缩略图展示；</w:t>
            </w:r>
          </w:p>
          <w:p w14:paraId="3B5C0A5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支持即时操作控制，包括关机、重启、触控切换（屏幕触控锁定、解锁），童锁切换、信号源切换、音量调节、打铃操作等；</w:t>
            </w:r>
          </w:p>
          <w:p w14:paraId="566B304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定时操作控制，可远程对选定的设备做定时关机、定时打铃、定时切换信号源、定时信息发布，实现单次、每日循环、每周循环、每月循环的定时控制。支持定时操作列表查询，并可对具体某项定时操作进行再次编辑；</w:t>
            </w:r>
          </w:p>
          <w:p w14:paraId="50AE138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支持远程桌面控制，可远程控制所选择设备桌面，方便进行远程运维；</w:t>
            </w:r>
          </w:p>
          <w:p w14:paraId="6B4B4C8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支持信息发布，支持向任意选定的设备发布纯文本信息，支持常驻桌面型、滚动发布型及气泡弹出提示，可设置播放时长，支持再次编辑；支持设置字体及字体颜色；</w:t>
            </w:r>
          </w:p>
          <w:p w14:paraId="6084B82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支持文件分发</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支持多文件推送至任意选定的设备，包括文本、图片、pdf、word、excel、ppt、flash、音视频等； </w:t>
            </w:r>
          </w:p>
          <w:p w14:paraId="36A69F2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支持下发</w:t>
            </w:r>
            <w:r>
              <w:rPr>
                <w:rFonts w:hint="eastAsia" w:ascii="宋体" w:hAnsi="宋体" w:eastAsia="宋体" w:cs="宋体"/>
                <w:sz w:val="24"/>
                <w:szCs w:val="24"/>
                <w:highlight w:val="none"/>
                <w:lang w:eastAsia="zh-CN"/>
              </w:rPr>
              <w:t>软件到</w:t>
            </w:r>
            <w:r>
              <w:rPr>
                <w:rFonts w:hint="eastAsia" w:ascii="宋体" w:hAnsi="宋体" w:eastAsia="宋体" w:cs="宋体"/>
                <w:sz w:val="24"/>
                <w:szCs w:val="24"/>
                <w:highlight w:val="none"/>
              </w:rPr>
              <w:t>桌面进行自动运行安装；</w:t>
            </w:r>
          </w:p>
          <w:p w14:paraId="6084D3D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8</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支持远程开启/关闭系统保护；开启系统保护时，可有效避免病毒的入侵和系统破坏，此期间无论安装软件、拷贝文件、删除文件、更改系统配置等操作，设备重启后又将恢复到之前开启保护前状态；</w:t>
            </w:r>
          </w:p>
          <w:p w14:paraId="258C254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3.录播设备的管控要求</w:t>
            </w:r>
          </w:p>
          <w:p w14:paraId="5251FC3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支持录播设备的远程开机、关机、录制、详情查看；</w:t>
            </w:r>
          </w:p>
          <w:p w14:paraId="4B6853F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支持录播固件的OTA升级</w:t>
            </w:r>
            <w:r>
              <w:rPr>
                <w:rFonts w:hint="eastAsia" w:ascii="宋体" w:hAnsi="宋体" w:eastAsia="宋体" w:cs="宋体"/>
                <w:sz w:val="24"/>
                <w:szCs w:val="24"/>
                <w:highlight w:val="none"/>
                <w:lang w:eastAsia="zh-CN"/>
              </w:rPr>
              <w:t>；</w:t>
            </w:r>
          </w:p>
          <w:p w14:paraId="23BF32C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4.班牌设备的管控要求</w:t>
            </w:r>
          </w:p>
          <w:p w14:paraId="621D133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关机、重启、待机、唤醒、详情；</w:t>
            </w:r>
          </w:p>
          <w:p w14:paraId="3A6AB96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支持班牌固件的OTA升级</w:t>
            </w:r>
            <w:r>
              <w:rPr>
                <w:rFonts w:hint="eastAsia" w:ascii="宋体" w:hAnsi="宋体" w:eastAsia="宋体" w:cs="宋体"/>
                <w:sz w:val="24"/>
                <w:szCs w:val="24"/>
                <w:highlight w:val="none"/>
                <w:lang w:eastAsia="zh-CN"/>
              </w:rPr>
              <w:t>；</w:t>
            </w:r>
          </w:p>
          <w:p w14:paraId="1A42BCA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5.支持区域内设备的可视化数据看板</w:t>
            </w:r>
          </w:p>
          <w:p w14:paraId="4C90ABC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七、资源模块：</w:t>
            </w:r>
          </w:p>
          <w:p w14:paraId="749B3C4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1.允许老师在网页端、移动端、电脑端进行内容的选择与组合，快速生成课件并浏览。所有制作的课件均实时保存至云端，老师只需登录即可查</w:t>
            </w:r>
          </w:p>
          <w:p w14:paraId="2DBC6A1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2.课件支持组选：课堂导入，知识讲解，例题与变式，拓展延伸，课外活动等。课件总课时量不少于1000个课时</w:t>
            </w:r>
            <w:r>
              <w:rPr>
                <w:rFonts w:hint="eastAsia" w:ascii="宋体" w:hAnsi="宋体" w:cs="宋体"/>
                <w:sz w:val="24"/>
                <w:szCs w:val="24"/>
                <w:highlight w:val="none"/>
                <w:lang w:val="en-US" w:eastAsia="zh-CN"/>
              </w:rPr>
              <w:t>.</w:t>
            </w:r>
          </w:p>
          <w:p w14:paraId="1B2C4EB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八、教研活动模块：</w:t>
            </w:r>
          </w:p>
          <w:p w14:paraId="483A616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1.支持查看全部教研活动，支持通过关键字搜索相应活动，广场活动支持智能、最新、最热排序，发布研修支持任务总数、提交任务成果总数、人均提交任务成果次数、平均参与度等数据统计；</w:t>
            </w:r>
          </w:p>
          <w:p w14:paraId="41C6722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2.支持</w:t>
            </w:r>
            <w:r>
              <w:rPr>
                <w:rFonts w:hint="eastAsia" w:ascii="宋体" w:hAnsi="宋体" w:eastAsia="宋体" w:cs="宋体"/>
                <w:sz w:val="24"/>
                <w:szCs w:val="24"/>
                <w:highlight w:val="none"/>
                <w:lang w:eastAsia="zh-CN"/>
              </w:rPr>
              <w:t>研究</w:t>
            </w:r>
            <w:r>
              <w:rPr>
                <w:rFonts w:hint="eastAsia" w:ascii="宋体" w:hAnsi="宋体" w:eastAsia="宋体" w:cs="宋体"/>
                <w:sz w:val="24"/>
                <w:szCs w:val="24"/>
                <w:highlight w:val="none"/>
              </w:rPr>
              <w:t>活动任务、添加活动子任务、子任务的排序、任务内容的编辑/删除；</w:t>
            </w:r>
          </w:p>
          <w:p w14:paraId="0B7C2EC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3.支持即时开启、关闭、分享；</w:t>
            </w:r>
          </w:p>
          <w:p w14:paraId="658DD6E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4.支持学科组长/管理员自定义添加人员进入到活动中；</w:t>
            </w:r>
          </w:p>
          <w:p w14:paraId="1C99D5B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5.支持学科组长/管理员指定1位或多位团队成员成为评审员；</w:t>
            </w:r>
          </w:p>
          <w:p w14:paraId="6480037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6.支持学科组长/管理员及评审员进行成果点评（例如：评星、评语、评为优秀成果、成果退回、成果下载等功能）；</w:t>
            </w:r>
          </w:p>
          <w:p w14:paraId="04AE2A8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7.支持学科组长/管理员随时查看活动各项数据统计及成员完成情况；</w:t>
            </w:r>
          </w:p>
          <w:p w14:paraId="19C1ABD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九、听评课模块:</w:t>
            </w:r>
          </w:p>
          <w:p w14:paraId="086ACBE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1.听评课模块支持不少于三种类型：课例听评课、直播听评课、现场听评课；</w:t>
            </w:r>
          </w:p>
          <w:p w14:paraId="5F7C6AC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2.支持教师根据“未开始”“进行中”“已结束”三种听评课状态快速定位某个或某几个听评课活动；支持教师个人根据“我发布的”“我参与的”两种状态检索查看自己参与过的听评课活动；</w:t>
            </w:r>
          </w:p>
          <w:p w14:paraId="23BA9FE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3.支持发布不低于三种类型听评课类型任务，例如：课例听评课、直播听评课、现场听评课等；支持对任务内容的编辑/删除；</w:t>
            </w:r>
          </w:p>
          <w:p w14:paraId="14F8B13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4.支持听评课活动即时分享；</w:t>
            </w:r>
          </w:p>
          <w:p w14:paraId="4BC4989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5.支持自定义创建评课量表，评课量表不少于两种方式；</w:t>
            </w:r>
          </w:p>
          <w:p w14:paraId="70262D9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6.支持学科组长/管理员通过添加人员的方式邀请成员参与；</w:t>
            </w:r>
          </w:p>
          <w:p w14:paraId="030E075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7.支持参与听评课任务的成员评课、讨论、提交笔记、签到、填问卷等；</w:t>
            </w:r>
          </w:p>
          <w:p w14:paraId="6634F1A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8.支持学科组长/管理员查看听评课活动的各项数据统计。</w:t>
            </w:r>
          </w:p>
          <w:p w14:paraId="753C628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十、评优课模块:</w:t>
            </w:r>
          </w:p>
          <w:p w14:paraId="52DBBB2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1.支持“未开始”“进行中”“已结束”三种类型筛选优课活动；支持“我创建的”“我管理的”“我参与的”三种类型优课活动进行快速检索。</w:t>
            </w:r>
          </w:p>
          <w:p w14:paraId="48BAD92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2.支持学科组长/管理员创建优课活动，支持活动设置，例如：“自主报名或邀请特定人员参与”方式，“大众网络评选、评委评审”方式，自定义评分量表、奖项设置、评委是否公开等信息设置；</w:t>
            </w:r>
          </w:p>
          <w:p w14:paraId="234A872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3.支持评优课活动分享，支持活动报名开始前对活动方案进行编辑、删除；</w:t>
            </w:r>
          </w:p>
          <w:p w14:paraId="1935E35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4.支持一线教师“优课报名”，支持提交优质课例；</w:t>
            </w:r>
          </w:p>
          <w:p w14:paraId="3E7F75F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5.支持学科组长/管理员对提交上来的课例做审核，审核通过则会展示到“优课作品”进入评选环节，若审核不通过则退回到提交者的界面并可查看退回原因；</w:t>
            </w:r>
          </w:p>
          <w:p w14:paraId="4EB846E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6.支持用户在“优课作品”列表界面对审核通过的课例做学段、年级、学科（自定义标签）等类型的快速检索筛选；</w:t>
            </w:r>
          </w:p>
          <w:p w14:paraId="6B06338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7.评审时间开始后支持评委对优课作品给出专业打分，大众</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rPr>
              <w:t>作品投票，系统会根据算法规则算出作品的综合排名；</w:t>
            </w:r>
          </w:p>
          <w:p w14:paraId="7342627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8.支持优课公示功能，例如获奖优课展示、活动数据小计概览等功能；</w:t>
            </w:r>
          </w:p>
          <w:p w14:paraId="2E340AA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9.支持学科组长/管理员通过“活动跟进”功能随时查看活动开展情况，例如：报名跟进、评审跟进、优课管理等功能。</w:t>
            </w:r>
          </w:p>
          <w:p w14:paraId="7618258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十一、协同备课模块：</w:t>
            </w:r>
          </w:p>
          <w:p w14:paraId="229D3BB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1.支持“我创建的”“我管理的”“我参与的”小组快速检索功能。</w:t>
            </w:r>
          </w:p>
          <w:p w14:paraId="01E2FFB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2.支持管理者/教研员创建协备课小组，支持添加指定成员为组员，支持设置人员审核的权限。</w:t>
            </w:r>
          </w:p>
          <w:p w14:paraId="249FA3C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3.支持创建者更改小组信息、解散小组</w:t>
            </w:r>
          </w:p>
          <w:p w14:paraId="5DF38E4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4.支持在协作小组内根据“未开始、进行中、已结束”三种状态查看备课课例；支持通过输入备课课例主题名称检索，查看课例协作备课的详细信息。 </w:t>
            </w:r>
          </w:p>
          <w:p w14:paraId="6FF927B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5.支持主备人发起协作备课、编辑/删除课例信息。 </w:t>
            </w:r>
          </w:p>
          <w:p w14:paraId="02943FE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6.主备人发起协作备课时支持不低于两种备课方式：例如：教案文档备课形式、课件备课形式；  </w:t>
            </w:r>
          </w:p>
          <w:p w14:paraId="4EE93D6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7.支持主备人对自己发起的协作备课课例设置访问权限，例如本组成员、协作者、公开等权限。 </w:t>
            </w:r>
          </w:p>
          <w:p w14:paraId="7D7E9CB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8.支持WORD、PPT类型的文件进行协作备课。 </w:t>
            </w:r>
          </w:p>
          <w:p w14:paraId="7A6280A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9.协备课支持多人同时在线协作编辑，同步生成协作记录以便历史过程回显。 </w:t>
            </w:r>
          </w:p>
          <w:p w14:paraId="581BE28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10.支持上传多稿同类型的文档进行协作；支持各稿的预览、下载以及导出终稿及协备课报告；支持发表讨论、上传备课反思文档。 </w:t>
            </w:r>
          </w:p>
          <w:p w14:paraId="6D1B0FF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11.支持创建者移交管理权限给组员，支持组长对协作小组成员进行删除、添加等功能。 </w:t>
            </w:r>
          </w:p>
          <w:p w14:paraId="50EAC66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12.支持管理者/创建者/组长对该协作组沉淀的成果及留存的相关数据统计进行查看。</w:t>
            </w:r>
          </w:p>
          <w:p w14:paraId="480C825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13.支持协作备课小组成员列表展示，并且会对小组成员贡献值作综合排名。</w:t>
            </w:r>
          </w:p>
          <w:p w14:paraId="2189DA8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一、硬件参数：</w:t>
            </w:r>
          </w:p>
          <w:p w14:paraId="751E8C5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1.资源应用平台软件应采用一体化软硬件架构，满足校本资源建设及积累，实现优质资源的展示与分享；</w:t>
            </w:r>
          </w:p>
          <w:p w14:paraId="0602E7D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2.要求平台集优课分享、在线课堂、名师讲堂、网上课程、教研活动、优课评选、教学评估、在线巡课、设备管理等功能于一体；</w:t>
            </w:r>
          </w:p>
          <w:p w14:paraId="0EA8E8A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3.可通过个人空间建立起注册用户间的关注、点赞、收藏、评论等网上沟通交流方式；</w:t>
            </w:r>
          </w:p>
          <w:p w14:paraId="687794B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4.支持视频在线编辑功能，支持创建微课视频；</w:t>
            </w:r>
          </w:p>
          <w:p w14:paraId="2AFFF2F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5.支持远程运维，可实时监看服务器及平台软件的运行状况，简化管理人员的维护工作</w:t>
            </w:r>
            <w:r>
              <w:rPr>
                <w:rFonts w:hint="eastAsia" w:ascii="宋体" w:hAnsi="宋体" w:eastAsia="宋体" w:cs="宋体"/>
                <w:sz w:val="24"/>
                <w:szCs w:val="24"/>
                <w:highlight w:val="none"/>
                <w:lang w:eastAsia="zh-CN"/>
              </w:rPr>
              <w:t>；</w:t>
            </w:r>
          </w:p>
          <w:p w14:paraId="5666B2D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6.平台整体采用Metro UI设计风格，主题简洁明了；</w:t>
            </w:r>
          </w:p>
          <w:p w14:paraId="0081519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7.支持新用户导入，支持用户审核机制，支持管理员、普通用户等角色分配，不同角色拥有不同使用权限；</w:t>
            </w:r>
          </w:p>
          <w:p w14:paraId="6508CB9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8.支持对录播设备的集中管理、集中录制功能；</w:t>
            </w:r>
          </w:p>
          <w:p w14:paraId="716DEE8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9.支持视频自动上传、手动上传；</w:t>
            </w:r>
          </w:p>
          <w:p w14:paraId="3059495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10.支持校内/区域内大规模直播；</w:t>
            </w:r>
          </w:p>
          <w:p w14:paraId="4951E0E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11.支持实时查看服务器CPU及内存情况及平台服务运行情况；</w:t>
            </w:r>
          </w:p>
          <w:p w14:paraId="27A9104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12.支持一键式存储扩展，支持NAS、IPSAN等存储扩展方式；</w:t>
            </w:r>
          </w:p>
          <w:p w14:paraId="21AF921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13.支持用户对资源进行收藏、下载、分享等操作，支持用户对资源进行评论；</w:t>
            </w:r>
          </w:p>
          <w:p w14:paraId="6DE6521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14.支持用户在点播观看课程录像的同时可以对精彩的教学片段进行在线打点记录；</w:t>
            </w:r>
          </w:p>
          <w:p w14:paraId="1DFBBEC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15.支持多种搜索条件进行组合搜索，同时也支持用户可通过标题、主讲人、关键词的文本快速搜索资源。</w:t>
            </w:r>
          </w:p>
          <w:p w14:paraId="502FAD7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16.支持视频量表评分，可根据实际的教学评估要求设置多套评估标准，每套评估标准可设置不同的总分，可设置多项评估项目，可满足不同的评估要求。</w:t>
            </w:r>
          </w:p>
          <w:p w14:paraId="7072D7B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17.为了方便后续观看该视频的人可以快速检索到感兴趣的片段，类似于虚拟切片功能；</w:t>
            </w:r>
          </w:p>
          <w:p w14:paraId="34DF48B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18.支持评论管理，管理员可对每个视频设置是否启用评论功能；</w:t>
            </w:r>
          </w:p>
          <w:p w14:paraId="6AE3602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19.支持自定义专辑，支持自定义专辑内容与发布；支持对视频进行剪辑、打点、修改、删除；</w:t>
            </w:r>
          </w:p>
          <w:p w14:paraId="1F85772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20.支持视频点播，支持按照学段、学科、年级分类筛选；</w:t>
            </w:r>
          </w:p>
          <w:p w14:paraId="0F97A22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21.支持优质课评选活动，支持公告发布到上报优课、专家评选、奖项公布、获奖视频归档等全部流程；</w:t>
            </w:r>
          </w:p>
          <w:p w14:paraId="5B5D975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22.支持直播评论，管理员可自定义每个直播频道是否启用评论功能；</w:t>
            </w:r>
          </w:p>
          <w:p w14:paraId="6CFC019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23.支持公开直播及凭密码直播两种权限；</w:t>
            </w:r>
          </w:p>
          <w:p w14:paraId="4D2CF6C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24.平台支持名师风采展示，内容包含名师个人信息、视频资源、课件资源等；</w:t>
            </w:r>
          </w:p>
          <w:p w14:paraId="5939B34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25.支持对教学课件、教案文档、备授课文件等课件资源的积累，实现文档资源的汇总并作为本地资源建设进行存储；</w:t>
            </w:r>
          </w:p>
          <w:p w14:paraId="187C246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26.支持对教室内的录播画面进行实时在线查看，可查看教室内的老师、学生画面及教室内的实时声音情况，远程了解当前教室内的上课情况；</w:t>
            </w:r>
          </w:p>
          <w:p w14:paraId="492B5E5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27.支持在平台内添加第三方平台应用，支持自定义应用名称、应用图标、模块背景灯；</w:t>
            </w:r>
          </w:p>
          <w:p w14:paraId="0FD235E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28.平台服务器硬件配置不低于4核CPU，16GB内存，128G+6T硬盘</w:t>
            </w:r>
            <w:r>
              <w:rPr>
                <w:rFonts w:hint="eastAsia" w:ascii="宋体" w:hAnsi="宋体" w:eastAsia="宋体" w:cs="宋体"/>
                <w:sz w:val="24"/>
                <w:szCs w:val="24"/>
                <w:highlight w:val="none"/>
                <w:lang w:eastAsia="zh-CN"/>
              </w:rPr>
              <w:t>。</w:t>
            </w:r>
          </w:p>
        </w:tc>
        <w:tc>
          <w:tcPr>
            <w:tcW w:w="666" w:type="dxa"/>
            <w:vAlign w:val="center"/>
          </w:tcPr>
          <w:p w14:paraId="0D4F6577">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套</w:t>
            </w:r>
          </w:p>
        </w:tc>
        <w:tc>
          <w:tcPr>
            <w:tcW w:w="734" w:type="dxa"/>
            <w:vAlign w:val="center"/>
          </w:tcPr>
          <w:p w14:paraId="566ACA34">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r>
      <w:tr w14:paraId="3E8B1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1652E71">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1667" w:type="dxa"/>
            <w:vAlign w:val="center"/>
          </w:tcPr>
          <w:p w14:paraId="0EE8DAAD">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扩声麦克风</w:t>
            </w:r>
          </w:p>
        </w:tc>
        <w:tc>
          <w:tcPr>
            <w:tcW w:w="5750" w:type="dxa"/>
          </w:tcPr>
          <w:p w14:paraId="0F15BD3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1.拾音距离5-8米，能得到最佳现场扩声效果； </w:t>
            </w:r>
          </w:p>
          <w:p w14:paraId="1223A38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2.频率响应 ：100Hz～18KHz； </w:t>
            </w:r>
          </w:p>
          <w:p w14:paraId="2489216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3.灵敏度：-38dB； </w:t>
            </w:r>
          </w:p>
          <w:p w14:paraId="56AA385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4.指向特性：超心型 ≤135； </w:t>
            </w:r>
          </w:p>
          <w:p w14:paraId="43042D7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5.输出阻抗：200Ω±30%； </w:t>
            </w:r>
          </w:p>
          <w:p w14:paraId="25BC59B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6.输出幅度：Max 300m； </w:t>
            </w:r>
          </w:p>
          <w:p w14:paraId="1B3C60A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7.最大承受声压：132dB声压，1kHz于1%T.H.D； </w:t>
            </w:r>
          </w:p>
          <w:p w14:paraId="73017A3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8.动态范围：典型值115dB，1kHz于最高声压； </w:t>
            </w:r>
          </w:p>
          <w:p w14:paraId="1700DA7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9.信噪比：≥70dB（1米120 dB音源SPL）1KHz at 1 Pa； </w:t>
            </w:r>
          </w:p>
          <w:p w14:paraId="7D4A538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10.幻象供电：48V幻象电源供电 ； </w:t>
            </w:r>
          </w:p>
          <w:p w14:paraId="56E7C9D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11.输出连接器：外置式3针卡侬公头XLR-3-12C； </w:t>
            </w:r>
          </w:p>
          <w:p w14:paraId="4822278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12.附属品：防风海绵罩</w:t>
            </w:r>
          </w:p>
          <w:p w14:paraId="2D03A75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13.符合标准:：欧盟CE标准，美国FCC认证，最高检同步录音录像系统建设规范；</w:t>
            </w:r>
          </w:p>
        </w:tc>
        <w:tc>
          <w:tcPr>
            <w:tcW w:w="666" w:type="dxa"/>
            <w:vAlign w:val="center"/>
          </w:tcPr>
          <w:p w14:paraId="7A081988">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台</w:t>
            </w:r>
          </w:p>
        </w:tc>
        <w:tc>
          <w:tcPr>
            <w:tcW w:w="734" w:type="dxa"/>
            <w:vAlign w:val="center"/>
          </w:tcPr>
          <w:p w14:paraId="1194AC6C">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r>
      <w:tr w14:paraId="7F76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2E503CD">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667" w:type="dxa"/>
            <w:vAlign w:val="center"/>
          </w:tcPr>
          <w:p w14:paraId="146528FD">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音频处理器</w:t>
            </w:r>
          </w:p>
        </w:tc>
        <w:tc>
          <w:tcPr>
            <w:tcW w:w="5750" w:type="dxa"/>
          </w:tcPr>
          <w:p w14:paraId="793C95B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1、可同时支持2只吊麦、无线麦克风和课件的扩声，全输入录音，扩声不啸叫，录音高保真，吊麦拾音范围5-8米，做到讲台区域全覆盖；</w:t>
            </w:r>
          </w:p>
          <w:p w14:paraId="528783A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2、可满足符合教室标准的场合的吊麦又扩又录的应用；</w:t>
            </w:r>
          </w:p>
          <w:p w14:paraId="32723E7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3、具备抗混响功能，避免多路语音互相干扰，突出重要语音信号，抗混响等级可调；</w:t>
            </w:r>
          </w:p>
          <w:p w14:paraId="6A46224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4、支持16段EQ调节，满足各种场景应用音量状态实时显示和外部按键控制；</w:t>
            </w:r>
          </w:p>
          <w:p w14:paraId="7A43146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5、外部调试接口：满足网络接口以及RS485接口配置，提供调试界面截图；支持软硬件一键恢复出厂设置；</w:t>
            </w:r>
          </w:p>
          <w:p w14:paraId="07DD5FD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6、集成动态自适应噪音抑制技术（去除包含空调、排气扇等噪音干扰）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保证声音质量；</w:t>
            </w:r>
          </w:p>
          <w:p w14:paraId="76A41C0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7、频率响应: 20Hz～16kHz</w:t>
            </w:r>
          </w:p>
          <w:p w14:paraId="1197C18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8、具备反馈抑制（AFC）：声音增益提升幅度≥15dB；</w:t>
            </w:r>
          </w:p>
          <w:p w14:paraId="549602F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9、处理啸叫抑制延迟能力：128ms，256ms</w:t>
            </w:r>
            <w:r>
              <w:rPr>
                <w:rFonts w:hint="eastAsia" w:ascii="宋体" w:hAnsi="宋体" w:cs="宋体"/>
                <w:sz w:val="24"/>
                <w:szCs w:val="24"/>
                <w:highlight w:val="none"/>
                <w:lang w:eastAsia="zh-CN"/>
              </w:rPr>
              <w:t>；</w:t>
            </w:r>
          </w:p>
          <w:p w14:paraId="3D3101A2">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10、具备回声消除技术（AEC），处理回声延迟能力：128ms，256ms，512ms；</w:t>
            </w:r>
          </w:p>
          <w:p w14:paraId="06F17BA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11、输入阻抗: 10kΩ</w:t>
            </w:r>
          </w:p>
          <w:p w14:paraId="63E910B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12、输出阻抗:100R</w:t>
            </w:r>
          </w:p>
          <w:p w14:paraId="43A774B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13、环境噪声消除:≤30dB</w:t>
            </w:r>
          </w:p>
          <w:p w14:paraId="17758BF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14、无线输入降噪:≤30dB</w:t>
            </w:r>
          </w:p>
          <w:p w14:paraId="10BC4EE4">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15、总谐波失真（THD+N）:≤0.3%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Vo=2Vrms,f=1kHz)</w:t>
            </w:r>
          </w:p>
          <w:p w14:paraId="2871478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16、信噪比（S/N）:98dBA(20Hz～16kHz，A计权</w:t>
            </w:r>
            <w:r>
              <w:rPr>
                <w:rFonts w:hint="eastAsia" w:ascii="宋体" w:hAnsi="宋体" w:cs="宋体"/>
                <w:sz w:val="24"/>
                <w:szCs w:val="24"/>
                <w:highlight w:val="none"/>
                <w:lang w:eastAsia="zh-CN"/>
              </w:rPr>
              <w:t>)</w:t>
            </w:r>
          </w:p>
          <w:p w14:paraId="07E66D5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17、最大输入电平：6dBu</w:t>
            </w:r>
          </w:p>
          <w:p w14:paraId="12676F8B">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18、最大输出电平：12dBu</w:t>
            </w:r>
          </w:p>
          <w:p w14:paraId="0DB6483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19、保护电路：ESD±6kV(contact)±8kV(air)、雷击保护、电源反接保护</w:t>
            </w:r>
          </w:p>
          <w:p w14:paraId="1E56251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20、输入接口：8×凤凰接口差分输入，4×凤凰接口线性输入</w:t>
            </w:r>
          </w:p>
          <w:p w14:paraId="7E414A0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21、输出接口：4×凤凰接口单端输出，2×水晶头功放输出</w:t>
            </w:r>
          </w:p>
          <w:p w14:paraId="6CB30F9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22、电源接口：1×DC24V圆孔插座</w:t>
            </w:r>
          </w:p>
          <w:p w14:paraId="61813226">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23、网络接口：1×RJ45，10Base-T/100Base-TX；控制接口：1×RS485</w:t>
            </w:r>
          </w:p>
          <w:p w14:paraId="1972B75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24、支持4路GPIO口，可外接扩声静音开关；</w:t>
            </w:r>
          </w:p>
          <w:p w14:paraId="4DC73A3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25、可选配控制面板，通过按键控制输出静音，触摸按键来调节输出音量，以及可通过按键调节降噪等级和啸叫抑制等级，提供面板功能截图；</w:t>
            </w:r>
          </w:p>
          <w:p w14:paraId="746EFE7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26、音频主机支持可视化管理模式，支持音频设备运维平台部署，运维平台可统计在线、离线、故障设备数量，统计教室实时环境噪声和信噪比；且可与第三方控制平台对接；</w:t>
            </w:r>
          </w:p>
          <w:p w14:paraId="69CCD80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27、支持调试辅助功能，可通过软件来测试实时频响，提供准确的参数调节指南；（提供可视化软件界面截图）</w:t>
            </w:r>
          </w:p>
          <w:p w14:paraId="5BF1EE4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28、具备交付验收功能，可通过软件来测试安装后的扩声增益、声场不均匀度；（提供可视化软件界面截图）</w:t>
            </w:r>
          </w:p>
          <w:p w14:paraId="2A44A40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29、支持软件远程升级，支持远程监听和对讲；</w:t>
            </w:r>
          </w:p>
          <w:p w14:paraId="11E62755">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w:t>
            </w:r>
            <w:r>
              <w:rPr>
                <w:rFonts w:hint="eastAsia" w:ascii="宋体" w:hAnsi="宋体" w:eastAsia="宋体" w:cs="宋体"/>
                <w:sz w:val="24"/>
                <w:szCs w:val="24"/>
                <w:highlight w:val="none"/>
              </w:rPr>
              <w:t>30、数字音频主机具有可视化环境声场检测软件，可依据国（际）相关声学标准检测出不同教室现场声学各类参数（包括混响时间、背景噪音、语言传输指数等），以应对各类复杂教室声学环境，提供可视化环境声场检测软件检测数据截图；</w:t>
            </w:r>
          </w:p>
          <w:p w14:paraId="4F4C99DE">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33、数字音频主机须具有CQC认证、检验报告（提供相关认证证书、</w:t>
            </w:r>
            <w:r>
              <w:rPr>
                <w:rFonts w:hint="eastAsia" w:ascii="宋体" w:hAnsi="宋体" w:cs="宋体"/>
                <w:sz w:val="24"/>
                <w:szCs w:val="24"/>
                <w:highlight w:val="none"/>
                <w:lang w:val="en-US" w:eastAsia="zh-CN"/>
              </w:rPr>
              <w:t>检测报告</w:t>
            </w:r>
            <w:r>
              <w:rPr>
                <w:rFonts w:hint="eastAsia" w:ascii="宋体" w:hAnsi="宋体" w:eastAsia="宋体" w:cs="宋体"/>
                <w:sz w:val="24"/>
                <w:szCs w:val="24"/>
                <w:highlight w:val="none"/>
              </w:rPr>
              <w:t>复印件并加盖公章）</w:t>
            </w:r>
            <w:r>
              <w:rPr>
                <w:rFonts w:hint="eastAsia" w:ascii="宋体" w:hAnsi="宋体" w:cs="宋体"/>
                <w:sz w:val="24"/>
                <w:szCs w:val="24"/>
                <w:highlight w:val="none"/>
                <w:lang w:eastAsia="zh-CN"/>
              </w:rPr>
              <w:t>。</w:t>
            </w:r>
          </w:p>
        </w:tc>
        <w:tc>
          <w:tcPr>
            <w:tcW w:w="666" w:type="dxa"/>
            <w:vAlign w:val="center"/>
          </w:tcPr>
          <w:p w14:paraId="14604BCC">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台</w:t>
            </w:r>
          </w:p>
        </w:tc>
        <w:tc>
          <w:tcPr>
            <w:tcW w:w="734" w:type="dxa"/>
            <w:vAlign w:val="center"/>
          </w:tcPr>
          <w:p w14:paraId="1A670944">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r>
      <w:tr w14:paraId="35DA7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6843C410">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p>
        </w:tc>
        <w:tc>
          <w:tcPr>
            <w:tcW w:w="1667" w:type="dxa"/>
            <w:vAlign w:val="center"/>
          </w:tcPr>
          <w:p w14:paraId="26416D39">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教学音响</w:t>
            </w:r>
          </w:p>
        </w:tc>
        <w:tc>
          <w:tcPr>
            <w:tcW w:w="5750" w:type="dxa"/>
          </w:tcPr>
          <w:p w14:paraId="6012DD2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1、灵敏度（1W/1m）:94dB</w:t>
            </w:r>
          </w:p>
          <w:p w14:paraId="35E5FA7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2、频响范围:60Hz~19KHz</w:t>
            </w:r>
          </w:p>
          <w:p w14:paraId="0CCDDC3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3、标称阻抗:8Ω</w:t>
            </w:r>
          </w:p>
          <w:p w14:paraId="07112689">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4、额定功率:60W</w:t>
            </w:r>
          </w:p>
          <w:p w14:paraId="56DE2C6F">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5、低音单元:2×4.5”</w:t>
            </w:r>
          </w:p>
          <w:p w14:paraId="7EE6BCD0">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6、高音单元:1×1”</w:t>
            </w:r>
          </w:p>
          <w:p w14:paraId="52B5631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7、最大声压级:114dB</w:t>
            </w:r>
          </w:p>
          <w:p w14:paraId="20409DE8">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、斜角设计，声学优化模型，确保声音能覆盖学生区域</w:t>
            </w:r>
          </w:p>
        </w:tc>
        <w:tc>
          <w:tcPr>
            <w:tcW w:w="666" w:type="dxa"/>
            <w:vAlign w:val="center"/>
          </w:tcPr>
          <w:p w14:paraId="2454B954">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台</w:t>
            </w:r>
          </w:p>
        </w:tc>
        <w:tc>
          <w:tcPr>
            <w:tcW w:w="734" w:type="dxa"/>
            <w:vAlign w:val="center"/>
          </w:tcPr>
          <w:p w14:paraId="52B48F76">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r>
      <w:tr w14:paraId="08EC3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A785DEA">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w:t>
            </w:r>
          </w:p>
        </w:tc>
        <w:tc>
          <w:tcPr>
            <w:tcW w:w="1667" w:type="dxa"/>
            <w:vAlign w:val="center"/>
          </w:tcPr>
          <w:p w14:paraId="3DE6DFE2">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窗帘</w:t>
            </w:r>
          </w:p>
        </w:tc>
        <w:tc>
          <w:tcPr>
            <w:tcW w:w="5750" w:type="dxa"/>
          </w:tcPr>
          <w:p w14:paraId="2BE2C263">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成分:100%涤纶，高密度混仿料</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甲醛含量:mg/kg≤00</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具有重量轻、韧性好、耐锈蚀、通风好、易清洁:</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颜色持久性:长期在阳光与紫外线曝晒下，不会褪色与泛黄</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布料质量:手感柔软，垂坠感好，表面没有明显瑕疵</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阻燃标准B1级，不宜出褶皱，面料平整简约</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按窗帘实际展开长度结算</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报价时应充分了解现场情况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自行勘踏现场</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含轨道、窗帘杆等配件，其中铝合金罗马杆:铝合金2024-T3，壁厚8mm</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铝合金轨道:铝合金2021-Z5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轨道滑轮:塑料-3007:罗马杆挂环:塑料:纳米大环:塑料，其他配件满足</w:t>
            </w:r>
            <w:r>
              <w:rPr>
                <w:rFonts w:hint="eastAsia" w:ascii="宋体" w:hAnsi="宋体" w:eastAsia="宋体" w:cs="宋体"/>
                <w:sz w:val="24"/>
                <w:szCs w:val="24"/>
                <w:highlight w:val="none"/>
                <w:lang w:val="en-US" w:eastAsia="zh-CN"/>
              </w:rPr>
              <w:t>采购人</w:t>
            </w:r>
            <w:r>
              <w:rPr>
                <w:rFonts w:hint="eastAsia" w:ascii="宋体" w:hAnsi="宋体" w:eastAsia="宋体" w:cs="宋体"/>
                <w:sz w:val="24"/>
                <w:szCs w:val="24"/>
                <w:highlight w:val="none"/>
              </w:rPr>
              <w:t>要求</w:t>
            </w:r>
          </w:p>
        </w:tc>
        <w:tc>
          <w:tcPr>
            <w:tcW w:w="666" w:type="dxa"/>
            <w:vAlign w:val="center"/>
          </w:tcPr>
          <w:p w14:paraId="560D93D8">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套</w:t>
            </w:r>
          </w:p>
        </w:tc>
        <w:tc>
          <w:tcPr>
            <w:tcW w:w="734" w:type="dxa"/>
            <w:vAlign w:val="center"/>
          </w:tcPr>
          <w:p w14:paraId="4567F710">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r>
      <w:tr w14:paraId="0A5DD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59A0E53E">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w:t>
            </w:r>
          </w:p>
        </w:tc>
        <w:tc>
          <w:tcPr>
            <w:tcW w:w="1667" w:type="dxa"/>
            <w:vAlign w:val="center"/>
          </w:tcPr>
          <w:p w14:paraId="003FB498">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灯</w:t>
            </w:r>
          </w:p>
        </w:tc>
        <w:tc>
          <w:tcPr>
            <w:tcW w:w="5750" w:type="dxa"/>
          </w:tcPr>
          <w:p w14:paraId="0721ED17">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电压：220V</w:t>
            </w:r>
          </w:p>
          <w:p w14:paraId="3E18E50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色温（K）：4000K</w:t>
            </w:r>
          </w:p>
          <w:p w14:paraId="7F60E8AC">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供电方式：交流电</w:t>
            </w:r>
          </w:p>
          <w:p w14:paraId="01F257CA">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光源类型：LED</w:t>
            </w:r>
          </w:p>
          <w:p w14:paraId="696E114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色温：自然光（3300K-5000K）</w:t>
            </w:r>
          </w:p>
          <w:p w14:paraId="7A81357D">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功率：36W</w:t>
            </w:r>
          </w:p>
          <w:p w14:paraId="0672A171">
            <w:pPr>
              <w:keepNext w:val="0"/>
              <w:keepLines w:val="0"/>
              <w:pageBreakBefore w:val="0"/>
              <w:widowControl w:val="0"/>
              <w:kinsoku/>
              <w:wordWrap/>
              <w:overflowPunct/>
              <w:topLinePunct w:val="0"/>
              <w:autoSpaceDE w:val="0"/>
              <w:autoSpaceDN w:val="0"/>
              <w:bidi w:val="0"/>
              <w:adjustRightInd w:val="0"/>
              <w:snapToGrid w:val="0"/>
              <w:spacing w:line="4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照射面积：10-15㎡</w:t>
            </w:r>
            <w:r>
              <w:rPr>
                <w:rFonts w:hint="eastAsia" w:ascii="宋体" w:hAnsi="宋体" w:cs="宋体"/>
                <w:sz w:val="24"/>
                <w:szCs w:val="24"/>
                <w:highlight w:val="none"/>
                <w:lang w:eastAsia="zh-CN"/>
              </w:rPr>
              <w:t>。</w:t>
            </w:r>
          </w:p>
        </w:tc>
        <w:tc>
          <w:tcPr>
            <w:tcW w:w="666" w:type="dxa"/>
            <w:vAlign w:val="center"/>
          </w:tcPr>
          <w:p w14:paraId="166E91C0">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个</w:t>
            </w:r>
          </w:p>
        </w:tc>
        <w:tc>
          <w:tcPr>
            <w:tcW w:w="734" w:type="dxa"/>
            <w:vAlign w:val="center"/>
          </w:tcPr>
          <w:p w14:paraId="72042C3B">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100</w:t>
            </w:r>
          </w:p>
        </w:tc>
      </w:tr>
      <w:bookmarkEnd w:id="256"/>
    </w:tbl>
    <w:p w14:paraId="1443FD90">
      <w:pPr>
        <w:keepNext w:val="0"/>
        <w:keepLines w:val="0"/>
        <w:pageBreakBefore w:val="0"/>
        <w:kinsoku/>
        <w:wordWrap/>
        <w:overflowPunct w:val="0"/>
        <w:topLinePunct w:val="0"/>
        <w:autoSpaceDE/>
        <w:autoSpaceDN/>
        <w:bidi w:val="0"/>
        <w:adjustRightInd/>
        <w:snapToGrid/>
        <w:spacing w:line="480" w:lineRule="exact"/>
        <w:ind w:firstLine="482" w:firstLineChars="200"/>
        <w:outlineLvl w:val="1"/>
        <w:rPr>
          <w:rFonts w:hint="eastAsia" w:ascii="宋体" w:hAnsi="宋体" w:eastAsia="宋体" w:cs="宋体"/>
          <w:b/>
          <w:bCs/>
          <w:color w:val="auto"/>
          <w:sz w:val="24"/>
          <w:highlight w:val="none"/>
        </w:rPr>
      </w:pPr>
      <w:bookmarkStart w:id="258" w:name="_Toc218935355"/>
      <w:bookmarkStart w:id="259" w:name="_Toc68259625"/>
      <w:bookmarkStart w:id="260" w:name="_Toc216582826"/>
      <w:bookmarkStart w:id="261" w:name="_Toc219175639"/>
      <w:bookmarkStart w:id="262" w:name="_Toc23476"/>
      <w:r>
        <w:rPr>
          <w:rFonts w:hint="eastAsia" w:ascii="宋体" w:hAnsi="宋体" w:eastAsia="宋体" w:cs="宋体"/>
          <w:b/>
          <w:bCs/>
          <w:color w:val="auto"/>
          <w:sz w:val="24"/>
          <w:highlight w:val="none"/>
          <w:lang w:val="en-US" w:eastAsia="zh-CN"/>
        </w:rPr>
        <w:t>备注：</w:t>
      </w:r>
      <w:r>
        <w:rPr>
          <w:rFonts w:hint="eastAsia" w:ascii="宋体" w:hAnsi="宋体" w:eastAsia="宋体" w:cs="宋体"/>
          <w:b/>
          <w:bCs/>
          <w:color w:val="auto"/>
          <w:sz w:val="24"/>
          <w:highlight w:val="none"/>
        </w:rPr>
        <w:t>采购设备所属行业说明：依据《国民经济行业分类》GB/T 4754—2017，以上产品所属行业</w:t>
      </w:r>
      <w:r>
        <w:rPr>
          <w:rFonts w:hint="eastAsia" w:ascii="宋体" w:hAnsi="宋体" w:eastAsia="宋体" w:cs="宋体"/>
          <w:b/>
          <w:bCs/>
          <w:color w:val="auto"/>
          <w:sz w:val="24"/>
          <w:highlight w:val="none"/>
          <w:lang w:val="en-US" w:eastAsia="zh-CN"/>
        </w:rPr>
        <w:t>均</w:t>
      </w:r>
      <w:r>
        <w:rPr>
          <w:rFonts w:hint="eastAsia" w:ascii="宋体" w:hAnsi="宋体" w:eastAsia="宋体" w:cs="宋体"/>
          <w:b/>
          <w:bCs/>
          <w:color w:val="auto"/>
          <w:sz w:val="24"/>
          <w:highlight w:val="none"/>
        </w:rPr>
        <w:t>为工业（</w:t>
      </w:r>
      <w:r>
        <w:rPr>
          <w:rFonts w:hint="eastAsia" w:ascii="宋体" w:hAnsi="宋体" w:cs="宋体"/>
          <w:b/>
          <w:bCs/>
          <w:color w:val="auto"/>
          <w:sz w:val="24"/>
          <w:highlight w:val="none"/>
          <w:lang w:val="en-US" w:eastAsia="zh-CN"/>
        </w:rPr>
        <w:t>制造业</w:t>
      </w:r>
      <w:r>
        <w:rPr>
          <w:rFonts w:hint="eastAsia" w:ascii="宋体" w:hAnsi="宋体" w:eastAsia="宋体" w:cs="宋体"/>
          <w:b/>
          <w:bCs/>
          <w:color w:val="auto"/>
          <w:sz w:val="24"/>
          <w:highlight w:val="none"/>
        </w:rPr>
        <w:t>）。</w:t>
      </w:r>
    </w:p>
    <w:p w14:paraId="4E29AF33">
      <w:pPr>
        <w:keepNext w:val="0"/>
        <w:keepLines w:val="0"/>
        <w:pageBreakBefore w:val="0"/>
        <w:widowControl/>
        <w:kinsoku/>
        <w:wordWrap/>
        <w:overflowPunct/>
        <w:topLinePunct w:val="0"/>
        <w:autoSpaceDE/>
        <w:autoSpaceDN/>
        <w:bidi w:val="0"/>
        <w:adjustRightInd/>
        <w:snapToGrid/>
        <w:spacing w:line="480" w:lineRule="exact"/>
        <w:ind w:left="0" w:leftChars="0" w:firstLine="400" w:firstLineChars="166"/>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二、服务要求</w:t>
      </w:r>
    </w:p>
    <w:p w14:paraId="2655672E">
      <w:pPr>
        <w:keepNext w:val="0"/>
        <w:keepLines w:val="0"/>
        <w:pageBreakBefore w:val="0"/>
        <w:widowControl/>
        <w:kinsoku/>
        <w:wordWrap/>
        <w:overflowPunct/>
        <w:topLinePunct w:val="0"/>
        <w:autoSpaceDE/>
        <w:autoSpaceDN/>
        <w:bidi w:val="0"/>
        <w:adjustRightInd/>
        <w:snapToGrid/>
        <w:spacing w:line="480" w:lineRule="exact"/>
        <w:ind w:left="0" w:leftChars="0" w:firstLine="398" w:firstLineChars="166"/>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1、供货安装周期：</w:t>
      </w:r>
      <w:r>
        <w:rPr>
          <w:rFonts w:hint="eastAsia" w:ascii="宋体" w:hAnsi="宋体" w:eastAsia="宋体" w:cs="宋体"/>
          <w:color w:val="auto"/>
          <w:sz w:val="24"/>
          <w:highlight w:val="none"/>
        </w:rPr>
        <w:t>成交结果确定后</w:t>
      </w:r>
      <w:r>
        <w:rPr>
          <w:rFonts w:hint="eastAsia" w:ascii="宋体" w:hAnsi="宋体" w:cs="宋体"/>
          <w:color w:val="auto"/>
          <w:sz w:val="24"/>
          <w:highlight w:val="none"/>
          <w:lang w:val="en-US" w:eastAsia="zh-CN"/>
        </w:rPr>
        <w:t>15日内供货完毕</w:t>
      </w:r>
      <w:r>
        <w:rPr>
          <w:rFonts w:hint="eastAsia" w:cs="宋体"/>
          <w:b w:val="0"/>
          <w:bCs w:val="0"/>
          <w:color w:val="auto"/>
          <w:sz w:val="24"/>
          <w:highlight w:val="none"/>
          <w:lang w:val="en-US" w:eastAsia="zh-CN"/>
        </w:rPr>
        <w:t>。</w:t>
      </w:r>
    </w:p>
    <w:p w14:paraId="0526347C">
      <w:pPr>
        <w:keepNext w:val="0"/>
        <w:keepLines w:val="0"/>
        <w:pageBreakBefore w:val="0"/>
        <w:widowControl/>
        <w:kinsoku/>
        <w:wordWrap/>
        <w:overflowPunct/>
        <w:topLinePunct w:val="0"/>
        <w:autoSpaceDE/>
        <w:autoSpaceDN/>
        <w:bidi w:val="0"/>
        <w:adjustRightInd/>
        <w:snapToGrid/>
        <w:spacing w:line="480" w:lineRule="exact"/>
        <w:ind w:left="0" w:leftChars="0" w:firstLine="398" w:firstLineChars="166"/>
        <w:textAlignment w:val="auto"/>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2、项目安装的地点：临沂大学指定。</w:t>
      </w:r>
    </w:p>
    <w:p w14:paraId="516CEAE5">
      <w:pPr>
        <w:keepNext w:val="0"/>
        <w:keepLines w:val="0"/>
        <w:pageBreakBefore w:val="0"/>
        <w:widowControl/>
        <w:kinsoku/>
        <w:wordWrap/>
        <w:overflowPunct/>
        <w:topLinePunct w:val="0"/>
        <w:autoSpaceDE/>
        <w:autoSpaceDN/>
        <w:bidi w:val="0"/>
        <w:adjustRightInd/>
        <w:snapToGrid/>
        <w:spacing w:line="480" w:lineRule="exact"/>
        <w:ind w:left="0" w:leftChars="0" w:firstLine="398" w:firstLineChars="166"/>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售后服务效率要求：应提供本地化技术服务支持；提供完整的维护服务方案和维护具体内容与保障措施，并保证能提供7×24小时的故障响应，包含法定节假日。其他要求：免费质保期内，若出现需要维护维修的相关事项，经采购人通过未能及时响应或不响应，采购人有权自行选定第三方相关公司进行质保或维修，所发生的一切费用均由成交人进行承担。</w:t>
      </w:r>
    </w:p>
    <w:p w14:paraId="1FCBF30F">
      <w:pPr>
        <w:keepNext w:val="0"/>
        <w:keepLines w:val="0"/>
        <w:pageBreakBefore w:val="0"/>
        <w:widowControl/>
        <w:kinsoku/>
        <w:wordWrap/>
        <w:overflowPunct/>
        <w:topLinePunct w:val="0"/>
        <w:autoSpaceDE/>
        <w:autoSpaceDN/>
        <w:bidi w:val="0"/>
        <w:adjustRightInd/>
        <w:snapToGrid/>
        <w:spacing w:line="480" w:lineRule="exact"/>
        <w:ind w:left="0" w:leftChars="0" w:firstLine="398" w:firstLineChars="166"/>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4、采购标的的验收标准：</w:t>
      </w:r>
    </w:p>
    <w:p w14:paraId="0D8C54DE">
      <w:pPr>
        <w:keepNext w:val="0"/>
        <w:keepLines w:val="0"/>
        <w:pageBreakBefore w:val="0"/>
        <w:widowControl/>
        <w:kinsoku/>
        <w:wordWrap/>
        <w:overflowPunct/>
        <w:topLinePunct w:val="0"/>
        <w:autoSpaceDE/>
        <w:autoSpaceDN/>
        <w:bidi w:val="0"/>
        <w:adjustRightInd/>
        <w:snapToGrid/>
        <w:spacing w:line="480" w:lineRule="exact"/>
        <w:ind w:left="0" w:leftChars="0" w:firstLine="398" w:firstLineChars="166"/>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货物安装完成正常运行15天后，由供应商提出验收申请，项目单位同意后，按照学校验收程序，主管部门及使用单位人员组成验收小组，验收小组根据采购文件、响应文件、合同等项目文件约定内容对项目进行综合运行验收、对设备进行逐一验收。</w:t>
      </w:r>
    </w:p>
    <w:p w14:paraId="06AAC4DA">
      <w:pPr>
        <w:keepNext w:val="0"/>
        <w:keepLines w:val="0"/>
        <w:pageBreakBefore w:val="0"/>
        <w:widowControl/>
        <w:kinsoku/>
        <w:wordWrap/>
        <w:overflowPunct/>
        <w:topLinePunct w:val="0"/>
        <w:autoSpaceDE/>
        <w:autoSpaceDN/>
        <w:bidi w:val="0"/>
        <w:adjustRightInd/>
        <w:snapToGrid/>
        <w:spacing w:line="480" w:lineRule="exact"/>
        <w:ind w:left="0" w:leftChars="0" w:firstLine="398" w:firstLineChars="166"/>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如验收达不到规定要求，采购人有权要求更换货物或拒绝付款，成交供应商若违约，采购人将依法追究相应法律责任。</w:t>
      </w:r>
    </w:p>
    <w:p w14:paraId="55069BED">
      <w:pPr>
        <w:keepNext w:val="0"/>
        <w:keepLines w:val="0"/>
        <w:pageBreakBefore w:val="0"/>
        <w:widowControl/>
        <w:kinsoku/>
        <w:wordWrap/>
        <w:overflowPunct/>
        <w:topLinePunct w:val="0"/>
        <w:autoSpaceDE/>
        <w:autoSpaceDN/>
        <w:bidi w:val="0"/>
        <w:adjustRightInd/>
        <w:snapToGrid/>
        <w:spacing w:line="480" w:lineRule="exact"/>
        <w:ind w:left="0" w:leftChars="0" w:firstLine="398" w:firstLineChars="166"/>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5、本项目免费质量保证期要求不低于3年。免费质量保证期从货物供货、安装、调试正常且经采购人综合运行验收合格后开始计算。</w:t>
      </w:r>
    </w:p>
    <w:p w14:paraId="20A182AA">
      <w:pPr>
        <w:keepNext w:val="0"/>
        <w:keepLines w:val="0"/>
        <w:pageBreakBefore w:val="0"/>
        <w:kinsoku w:val="0"/>
        <w:wordWrap/>
        <w:topLinePunct/>
        <w:autoSpaceDE w:val="0"/>
        <w:autoSpaceDN w:val="0"/>
        <w:bidi w:val="0"/>
        <w:adjustRightInd w:val="0"/>
        <w:snapToGrid w:val="0"/>
        <w:spacing w:line="480" w:lineRule="exact"/>
        <w:ind w:firstLine="480" w:firstLineChars="200"/>
        <w:rPr>
          <w:rFonts w:hint="eastAsia" w:ascii="宋体" w:hAnsi="宋体" w:eastAsia="宋体" w:cs="宋体"/>
          <w:color w:val="auto"/>
          <w:sz w:val="24"/>
          <w:highlight w:val="none"/>
          <w:lang w:val="en-US" w:eastAsia="zh-CN"/>
        </w:rPr>
      </w:pPr>
    </w:p>
    <w:p w14:paraId="45AC9183">
      <w:pPr>
        <w:widowControl/>
        <w:ind w:firstLine="420" w:firstLineChars="200"/>
        <w:jc w:val="left"/>
        <w:rPr>
          <w:rFonts w:hint="eastAsia" w:ascii="宋体" w:hAnsi="宋体" w:eastAsia="宋体" w:cs="宋体"/>
          <w:b/>
          <w:color w:val="auto"/>
          <w:kern w:val="44"/>
          <w:sz w:val="32"/>
          <w:szCs w:val="20"/>
          <w:highlight w:val="none"/>
        </w:rPr>
      </w:pPr>
      <w:r>
        <w:rPr>
          <w:rFonts w:hint="eastAsia" w:ascii="宋体" w:hAnsi="宋体" w:eastAsia="宋体" w:cs="宋体"/>
          <w:color w:val="auto"/>
          <w:highlight w:val="none"/>
        </w:rPr>
        <w:br w:type="page"/>
      </w:r>
    </w:p>
    <w:p w14:paraId="5C1EDA7B">
      <w:pPr>
        <w:rPr>
          <w:rFonts w:hint="eastAsia" w:ascii="宋体" w:hAnsi="宋体" w:eastAsia="宋体" w:cs="宋体"/>
          <w:color w:val="auto"/>
          <w:highlight w:val="none"/>
        </w:rPr>
        <w:sectPr>
          <w:headerReference r:id="rId11" w:type="default"/>
          <w:footerReference r:id="rId12"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02B27611">
      <w:pPr>
        <w:pStyle w:val="2"/>
        <w:tabs>
          <w:tab w:val="left" w:pos="0"/>
        </w:tabs>
        <w:spacing w:before="0" w:after="0" w:line="480" w:lineRule="exact"/>
        <w:ind w:firstLine="2249" w:firstLineChars="7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第5章  </w:t>
      </w:r>
      <w:bookmarkStart w:id="263" w:name="_Toc515647832"/>
      <w:bookmarkStart w:id="264" w:name="_Toc4766816"/>
      <w:bookmarkStart w:id="265" w:name="_Toc32647"/>
      <w:bookmarkStart w:id="266" w:name="_Toc7971"/>
      <w:bookmarkStart w:id="267" w:name="_Toc507399907"/>
      <w:r>
        <w:rPr>
          <w:rFonts w:hint="eastAsia" w:ascii="宋体" w:hAnsi="宋体" w:eastAsia="宋体" w:cs="宋体"/>
          <w:color w:val="auto"/>
          <w:highlight w:val="none"/>
        </w:rPr>
        <w:t>评审方法和标准</w:t>
      </w:r>
      <w:bookmarkEnd w:id="258"/>
      <w:bookmarkEnd w:id="259"/>
      <w:bookmarkEnd w:id="260"/>
      <w:bookmarkEnd w:id="261"/>
      <w:bookmarkEnd w:id="262"/>
      <w:bookmarkEnd w:id="263"/>
      <w:bookmarkEnd w:id="264"/>
      <w:bookmarkEnd w:id="265"/>
      <w:bookmarkEnd w:id="266"/>
      <w:bookmarkEnd w:id="267"/>
    </w:p>
    <w:p w14:paraId="285B2D62">
      <w:pPr>
        <w:pStyle w:val="9"/>
        <w:tabs>
          <w:tab w:val="clear" w:pos="567"/>
        </w:tabs>
        <w:spacing w:before="0" w:line="480" w:lineRule="exact"/>
        <w:ind w:firstLine="540" w:firstLineChars="225"/>
        <w:rPr>
          <w:rFonts w:hint="eastAsia" w:ascii="宋体" w:hAnsi="宋体" w:eastAsia="宋体" w:cs="宋体"/>
          <w:color w:val="auto"/>
          <w:highlight w:val="none"/>
        </w:rPr>
      </w:pPr>
    </w:p>
    <w:p w14:paraId="6786C87A">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本项目将按照竞争性磋商文件第一章供应商须知中“五 提交响应文件截止及磋商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六 确定成交”及本章的规定评审。</w:t>
      </w:r>
    </w:p>
    <w:p w14:paraId="38636EB8">
      <w:pPr>
        <w:pStyle w:val="9"/>
        <w:tabs>
          <w:tab w:val="clear" w:pos="567"/>
        </w:tabs>
        <w:spacing w:before="0" w:line="480" w:lineRule="exact"/>
        <w:ind w:firstLine="540" w:firstLineChars="225"/>
        <w:rPr>
          <w:rFonts w:hint="eastAsia" w:ascii="宋体" w:hAnsi="宋体" w:eastAsia="宋体" w:cs="宋体"/>
          <w:color w:val="auto"/>
          <w:highlight w:val="none"/>
        </w:rPr>
      </w:pPr>
      <w:r>
        <w:rPr>
          <w:rFonts w:hint="eastAsia" w:ascii="宋体" w:hAnsi="宋体" w:eastAsia="宋体" w:cs="宋体"/>
          <w:color w:val="auto"/>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68" w:name="percentDesc"/>
      <w:bookmarkEnd w:id="268"/>
    </w:p>
    <w:p w14:paraId="56245E3B">
      <w:pPr>
        <w:pStyle w:val="3"/>
        <w:bidi w:val="0"/>
        <w:rPr>
          <w:rFonts w:hint="eastAsia" w:ascii="宋体" w:hAnsi="宋体" w:eastAsia="宋体" w:cs="宋体"/>
          <w:color w:val="auto"/>
          <w:highlight w:val="none"/>
        </w:rPr>
      </w:pPr>
      <w:bookmarkStart w:id="269" w:name="_Toc68259626"/>
      <w:bookmarkStart w:id="270" w:name="_Toc46136844"/>
      <w:bookmarkStart w:id="271" w:name="_Toc45562497"/>
      <w:bookmarkStart w:id="272" w:name="_Toc499"/>
      <w:bookmarkStart w:id="273" w:name="_Toc46238261"/>
      <w:r>
        <w:rPr>
          <w:rFonts w:hint="eastAsia" w:ascii="宋体" w:hAnsi="宋体" w:eastAsia="宋体" w:cs="宋体"/>
          <w:color w:val="auto"/>
          <w:highlight w:val="none"/>
        </w:rPr>
        <w:t>（一）初步评审</w:t>
      </w:r>
      <w:bookmarkEnd w:id="269"/>
      <w:bookmarkEnd w:id="270"/>
      <w:bookmarkEnd w:id="271"/>
      <w:bookmarkEnd w:id="272"/>
      <w:bookmarkEnd w:id="273"/>
    </w:p>
    <w:tbl>
      <w:tblPr>
        <w:tblStyle w:val="29"/>
        <w:tblW w:w="9678" w:type="dxa"/>
        <w:jc w:val="center"/>
        <w:tblLayout w:type="fixed"/>
        <w:tblCellMar>
          <w:top w:w="0" w:type="dxa"/>
          <w:left w:w="0" w:type="dxa"/>
          <w:bottom w:w="0" w:type="dxa"/>
          <w:right w:w="0" w:type="dxa"/>
        </w:tblCellMar>
      </w:tblPr>
      <w:tblGrid>
        <w:gridCol w:w="825"/>
        <w:gridCol w:w="527"/>
        <w:gridCol w:w="6157"/>
        <w:gridCol w:w="2169"/>
      </w:tblGrid>
      <w:tr w14:paraId="7CEAED69">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noWrap w:val="0"/>
            <w:vAlign w:val="center"/>
          </w:tcPr>
          <w:p w14:paraId="5CA83B8C">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评审</w:t>
            </w:r>
          </w:p>
          <w:p w14:paraId="5808D4BB">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BDFA7B0">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序</w:t>
            </w:r>
          </w:p>
          <w:p w14:paraId="6A935FF0">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号</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11D8DCB">
            <w:pPr>
              <w:spacing w:line="480" w:lineRule="exact"/>
              <w:ind w:left="142" w:hanging="141" w:hangingChars="59"/>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评审因素</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E2D9066">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是否符合</w:t>
            </w:r>
          </w:p>
        </w:tc>
      </w:tr>
      <w:tr w14:paraId="070D8987">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noWrap w:val="0"/>
            <w:vAlign w:val="center"/>
          </w:tcPr>
          <w:p w14:paraId="14800FF6">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9B3C6F6">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0A941614">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以竞争性磋商文件规定的方式获取竞争性磋商文件</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8A01DA8">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是否在规定时间内获取</w:t>
            </w:r>
          </w:p>
        </w:tc>
      </w:tr>
      <w:tr w14:paraId="4AA231E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58AFE0E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DA178B2">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DA6EAB1">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在中华人民共和国境内注册</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4130B166">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注册地是否符合</w:t>
            </w:r>
          </w:p>
        </w:tc>
      </w:tr>
      <w:tr w14:paraId="0D58A38C">
        <w:tblPrEx>
          <w:tblCellMar>
            <w:top w:w="0" w:type="dxa"/>
            <w:left w:w="0" w:type="dxa"/>
            <w:bottom w:w="0" w:type="dxa"/>
            <w:right w:w="0" w:type="dxa"/>
          </w:tblCellMar>
        </w:tblPrEx>
        <w:trPr>
          <w:trHeight w:val="501"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12EB10FD">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67A7E59">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E7C10FA">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营业执照副本</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175AE36">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441A0064">
        <w:tblPrEx>
          <w:tblCellMar>
            <w:top w:w="0" w:type="dxa"/>
            <w:left w:w="0" w:type="dxa"/>
            <w:bottom w:w="0" w:type="dxa"/>
            <w:right w:w="0" w:type="dxa"/>
          </w:tblCellMar>
        </w:tblPrEx>
        <w:trPr>
          <w:trHeight w:val="100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64C7021C">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30ACDA3">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EB91D78">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法定代表人/负责人身份证明书或法定代表人/负责人授权委托书</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1DF9175">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格式及内容是否完整</w:t>
            </w:r>
          </w:p>
        </w:tc>
      </w:tr>
      <w:tr w14:paraId="2A436778">
        <w:tblPrEx>
          <w:tblCellMar>
            <w:top w:w="0" w:type="dxa"/>
            <w:left w:w="0" w:type="dxa"/>
            <w:bottom w:w="0" w:type="dxa"/>
            <w:right w:w="0" w:type="dxa"/>
          </w:tblCellMar>
        </w:tblPrEx>
        <w:trPr>
          <w:trHeight w:val="624"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0C902065">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E3DE2A5">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9E5E04D">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具有良好的商业信誉和健全的财务会计制度的</w:t>
            </w:r>
            <w:r>
              <w:rPr>
                <w:rFonts w:hint="eastAsia" w:ascii="宋体" w:hAnsi="宋体" w:eastAsia="宋体" w:cs="宋体"/>
                <w:color w:val="auto"/>
                <w:kern w:val="0"/>
                <w:position w:val="-2"/>
                <w:sz w:val="24"/>
                <w:highlight w:val="none"/>
                <w:lang w:val="en-US" w:eastAsia="zh-CN"/>
              </w:rPr>
              <w:t>证明材料</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6CF6D8C">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5A93FC7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3809EDF0">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A55BD2B">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2E6F01C">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依法缴纳税收和社会保障资金承诺函</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2EF862C">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15C9992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7D11BE6F">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088E6AD">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ACDDD83">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无重大违法记录的书面声明</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09C995B">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6984E07B">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3E984CD4">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322392F">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DA814E1">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信用记录（由代理机构</w:t>
            </w:r>
            <w:r>
              <w:rPr>
                <w:rFonts w:hint="eastAsia" w:ascii="宋体" w:hAnsi="宋体" w:eastAsia="宋体" w:cs="宋体"/>
                <w:color w:val="auto"/>
                <w:kern w:val="0"/>
                <w:position w:val="-2"/>
                <w:sz w:val="24"/>
                <w:highlight w:val="none"/>
                <w:lang w:val="en-US" w:eastAsia="zh-CN"/>
              </w:rPr>
              <w:t>查询</w:t>
            </w:r>
            <w:r>
              <w:rPr>
                <w:rFonts w:hint="eastAsia" w:ascii="宋体" w:hAnsi="宋体" w:eastAsia="宋体" w:cs="宋体"/>
                <w:color w:val="auto"/>
                <w:kern w:val="0"/>
                <w:position w:val="-2"/>
                <w:sz w:val="24"/>
                <w:highlight w:val="none"/>
              </w:rPr>
              <w:t>）</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6CA0AD3">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45AA8B4E">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773A944F">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0C5AED0">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C497E61">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供应商须知资料表中要求的供应商其他资格要求</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40321876">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是否存在不良记录</w:t>
            </w:r>
          </w:p>
        </w:tc>
      </w:tr>
      <w:tr w14:paraId="3DC540F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35F6FFA0">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360AFF9">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E57C4B2">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其他内容</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9180C82">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是否按要求提供</w:t>
            </w:r>
          </w:p>
        </w:tc>
      </w:tr>
      <w:tr w14:paraId="1574BC14">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noWrap w:val="0"/>
            <w:vAlign w:val="center"/>
          </w:tcPr>
          <w:p w14:paraId="6194B5BC">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F91C30C">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138481C">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未按照磋商文件规定要求签署、盖章的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71D9025">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561D7FA3">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2545A27">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6155DFF9">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6181DB56">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报价一览表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D432E65">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01809843">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FE1C0B9">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132034E">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9304DD5">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分项报价表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5956092">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530AAF9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00AD033">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065CD31">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749F363">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技术明细表（含偏离）</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27FD07B">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75A723DF">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61E0834">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90F7BB1">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1941D05">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“第4章 采购需求一览表及技术规格”中实质性要求条款情况</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40BB890D">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w:t>
            </w:r>
          </w:p>
        </w:tc>
      </w:tr>
      <w:tr w14:paraId="621BA84E">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EAC7AC7">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88D069C">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08ADC0D">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未按规定提供强制节能产品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436A612B">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14:paraId="77E3446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7C51F07">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74D094A">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332CF9C">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未按规定提供进口产品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8E0B933">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14:paraId="772B5E5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D87312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F38B5F0">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26FF6A5">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报价超过项目预算或最高限价的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40F0A32">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是否超出</w:t>
            </w:r>
          </w:p>
        </w:tc>
      </w:tr>
      <w:tr w14:paraId="03333F7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30C5192">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74935D4">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8DFE81B">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响应文件有效期不足的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4DE836C">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是否满足磋商文件要求</w:t>
            </w:r>
          </w:p>
        </w:tc>
      </w:tr>
      <w:tr w14:paraId="5AC6779A">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EE7A987">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F85519B">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20A6318F">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联合体响应文件未附联合体响应文件协议书的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1A6AAF8">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position w:val="-2"/>
                <w:sz w:val="24"/>
                <w:highlight w:val="none"/>
              </w:rPr>
              <w:t>本项目不接受</w:t>
            </w:r>
          </w:p>
        </w:tc>
      </w:tr>
      <w:tr w14:paraId="23F59B7B">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263F9E42">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F43C66A">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DD9C1D0">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不符合磋商文件中有关分包规定的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4577ADD">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r w14:paraId="4E943F6F">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DC62C9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7732158">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2E9DA859">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属于串通投标，或者依法被视为串通投标</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3B636B11">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3582E45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04F6BC93">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F54E5AC">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r>
              <w:rPr>
                <w:rFonts w:hint="eastAsia" w:ascii="宋体" w:hAnsi="宋体" w:eastAsia="宋体" w:cs="宋体"/>
                <w:color w:val="auto"/>
                <w:kern w:val="0"/>
                <w:position w:val="-2"/>
                <w:sz w:val="24"/>
                <w:highlight w:val="none"/>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A68D1D6">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响应文件含有采购人不能接受的附加条件的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C0D0E0D">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0105AE2E">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19ECA25">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AB62EA1">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9CA6E63">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属于磋商文件规定的其他无效响应情形</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481A192">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5FAAE9D8">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6019090">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691C98C">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6369ED45">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不符合法规和磋商文件中规定的其他实质性要求的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44517D9D">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bl>
    <w:p w14:paraId="774BDBD3">
      <w:pPr>
        <w:pStyle w:val="3"/>
        <w:numPr>
          <w:ilvl w:val="0"/>
          <w:numId w:val="4"/>
        </w:numPr>
        <w:spacing w:line="480" w:lineRule="exact"/>
        <w:rPr>
          <w:rFonts w:hint="eastAsia" w:ascii="宋体" w:hAnsi="宋体" w:eastAsia="宋体" w:cs="宋体"/>
          <w:color w:val="auto"/>
          <w:sz w:val="24"/>
          <w:szCs w:val="22"/>
          <w:highlight w:val="none"/>
        </w:rPr>
      </w:pPr>
      <w:bookmarkStart w:id="274" w:name="_Toc3860"/>
      <w:bookmarkStart w:id="275" w:name="_Toc68259627"/>
      <w:r>
        <w:rPr>
          <w:rFonts w:hint="eastAsia" w:ascii="宋体" w:hAnsi="宋体" w:eastAsia="宋体" w:cs="宋体"/>
          <w:color w:val="auto"/>
          <w:sz w:val="24"/>
          <w:szCs w:val="22"/>
          <w:highlight w:val="none"/>
        </w:rPr>
        <w:t>评分细则</w:t>
      </w:r>
      <w:bookmarkEnd w:id="274"/>
      <w:bookmarkEnd w:id="275"/>
    </w:p>
    <w:p w14:paraId="7B0FC890">
      <w:pPr>
        <w:numPr>
          <w:ilvl w:val="0"/>
          <w:numId w:val="0"/>
        </w:numPr>
        <w:rPr>
          <w:rFonts w:hint="eastAsia" w:ascii="宋体" w:hAnsi="宋体" w:eastAsia="宋体" w:cs="宋体"/>
          <w:b/>
          <w:bCs/>
          <w:color w:val="auto"/>
          <w:sz w:val="24"/>
          <w:szCs w:val="24"/>
          <w:highlight w:val="none"/>
          <w:lang w:val="en-US" w:eastAsia="zh-CN"/>
        </w:rPr>
      </w:pPr>
    </w:p>
    <w:tbl>
      <w:tblPr>
        <w:tblStyle w:val="29"/>
        <w:tblW w:w="56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194"/>
        <w:gridCol w:w="7725"/>
      </w:tblGrid>
      <w:tr w14:paraId="712B4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3A3C9E7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caps/>
                <w:sz w:val="24"/>
                <w:szCs w:val="24"/>
                <w:highlight w:val="none"/>
              </w:rPr>
              <w:t>总分100分</w:t>
            </w:r>
          </w:p>
        </w:tc>
      </w:tr>
      <w:tr w14:paraId="38C1B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375" w:type="pct"/>
            <w:vMerge w:val="restart"/>
            <w:tcBorders>
              <w:top w:val="single" w:color="auto" w:sz="4" w:space="0"/>
              <w:left w:val="single" w:color="auto" w:sz="4" w:space="0"/>
              <w:bottom w:val="single" w:color="auto" w:sz="4" w:space="0"/>
              <w:right w:val="single" w:color="auto" w:sz="4" w:space="0"/>
            </w:tcBorders>
            <w:noWrap w:val="0"/>
            <w:vAlign w:val="center"/>
          </w:tcPr>
          <w:p w14:paraId="30533290">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总分组成</w:t>
            </w:r>
          </w:p>
        </w:tc>
        <w:tc>
          <w:tcPr>
            <w:tcW w:w="619" w:type="pct"/>
            <w:tcBorders>
              <w:top w:val="single" w:color="auto" w:sz="4" w:space="0"/>
              <w:left w:val="single" w:color="auto" w:sz="4" w:space="0"/>
              <w:bottom w:val="single" w:color="auto" w:sz="4" w:space="0"/>
              <w:right w:val="single" w:color="auto" w:sz="4" w:space="0"/>
            </w:tcBorders>
            <w:noWrap w:val="0"/>
            <w:vAlign w:val="center"/>
          </w:tcPr>
          <w:p w14:paraId="30E4DEFB">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价格</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244909DB">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rPr>
              <w:t>3</w:t>
            </w:r>
            <w:r>
              <w:rPr>
                <w:rFonts w:hint="eastAsia" w:ascii="宋体" w:hAnsi="宋体" w:eastAsia="宋体" w:cs="宋体"/>
                <w:bCs/>
                <w:sz w:val="24"/>
                <w:szCs w:val="24"/>
                <w:highlight w:val="none"/>
                <w:lang w:val="en-US" w:eastAsia="zh-CN"/>
              </w:rPr>
              <w:t>5</w:t>
            </w:r>
          </w:p>
        </w:tc>
      </w:tr>
      <w:tr w14:paraId="29B0C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375" w:type="pct"/>
            <w:vMerge w:val="continue"/>
            <w:tcBorders>
              <w:top w:val="single" w:color="auto" w:sz="4" w:space="0"/>
              <w:left w:val="single" w:color="auto" w:sz="4" w:space="0"/>
              <w:bottom w:val="single" w:color="auto" w:sz="4" w:space="0"/>
              <w:right w:val="single" w:color="auto" w:sz="4" w:space="0"/>
            </w:tcBorders>
            <w:noWrap w:val="0"/>
            <w:vAlign w:val="center"/>
          </w:tcPr>
          <w:p w14:paraId="032DA5A5">
            <w:pPr>
              <w:keepNext w:val="0"/>
              <w:keepLines w:val="0"/>
              <w:pageBreakBefore w:val="0"/>
              <w:widowControl/>
              <w:kinsoku/>
              <w:wordWrap/>
              <w:overflowPunct/>
              <w:topLinePunct w:val="0"/>
              <w:bidi w:val="0"/>
              <w:spacing w:line="500" w:lineRule="exact"/>
              <w:ind w:firstLine="0" w:firstLineChars="0"/>
              <w:textAlignment w:val="auto"/>
              <w:rPr>
                <w:rFonts w:hint="eastAsia" w:ascii="宋体" w:hAnsi="宋体" w:eastAsia="宋体" w:cs="宋体"/>
                <w:sz w:val="24"/>
                <w:szCs w:val="24"/>
                <w:highlight w:val="none"/>
              </w:rPr>
            </w:pPr>
          </w:p>
        </w:tc>
        <w:tc>
          <w:tcPr>
            <w:tcW w:w="619" w:type="pct"/>
            <w:tcBorders>
              <w:top w:val="single" w:color="auto" w:sz="4" w:space="0"/>
              <w:left w:val="single" w:color="auto" w:sz="4" w:space="0"/>
              <w:bottom w:val="single" w:color="auto" w:sz="4" w:space="0"/>
              <w:right w:val="single" w:color="auto" w:sz="4" w:space="0"/>
            </w:tcBorders>
            <w:noWrap w:val="0"/>
            <w:vAlign w:val="center"/>
          </w:tcPr>
          <w:p w14:paraId="51C21CFB">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技术</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5B8CBEB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50</w:t>
            </w:r>
          </w:p>
        </w:tc>
      </w:tr>
      <w:tr w14:paraId="71D34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375" w:type="pct"/>
            <w:vMerge w:val="continue"/>
            <w:tcBorders>
              <w:top w:val="single" w:color="auto" w:sz="4" w:space="0"/>
              <w:left w:val="single" w:color="auto" w:sz="4" w:space="0"/>
              <w:bottom w:val="single" w:color="auto" w:sz="4" w:space="0"/>
              <w:right w:val="single" w:color="auto" w:sz="4" w:space="0"/>
            </w:tcBorders>
            <w:noWrap w:val="0"/>
            <w:vAlign w:val="center"/>
          </w:tcPr>
          <w:p w14:paraId="61CB7850">
            <w:pPr>
              <w:keepNext w:val="0"/>
              <w:keepLines w:val="0"/>
              <w:pageBreakBefore w:val="0"/>
              <w:widowControl/>
              <w:kinsoku/>
              <w:wordWrap/>
              <w:overflowPunct/>
              <w:topLinePunct w:val="0"/>
              <w:bidi w:val="0"/>
              <w:spacing w:line="500" w:lineRule="exact"/>
              <w:ind w:firstLine="0" w:firstLineChars="0"/>
              <w:textAlignment w:val="auto"/>
              <w:rPr>
                <w:rFonts w:hint="eastAsia" w:ascii="宋体" w:hAnsi="宋体" w:eastAsia="宋体" w:cs="宋体"/>
                <w:sz w:val="24"/>
                <w:szCs w:val="24"/>
                <w:highlight w:val="none"/>
              </w:rPr>
            </w:pPr>
          </w:p>
        </w:tc>
        <w:tc>
          <w:tcPr>
            <w:tcW w:w="619" w:type="pct"/>
            <w:tcBorders>
              <w:top w:val="single" w:color="auto" w:sz="4" w:space="0"/>
              <w:left w:val="single" w:color="auto" w:sz="4" w:space="0"/>
              <w:bottom w:val="single" w:color="auto" w:sz="4" w:space="0"/>
              <w:right w:val="single" w:color="auto" w:sz="4" w:space="0"/>
            </w:tcBorders>
            <w:noWrap w:val="0"/>
            <w:vAlign w:val="center"/>
          </w:tcPr>
          <w:p w14:paraId="42524975">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商务</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1EA190D1">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lang w:val="en-US" w:eastAsia="zh-CN"/>
              </w:rPr>
              <w:t>15</w:t>
            </w:r>
          </w:p>
        </w:tc>
      </w:tr>
      <w:tr w14:paraId="395E0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375" w:type="pct"/>
            <w:tcBorders>
              <w:top w:val="single" w:color="auto" w:sz="4" w:space="0"/>
              <w:left w:val="single" w:color="auto" w:sz="4" w:space="0"/>
              <w:bottom w:val="single" w:color="auto" w:sz="4" w:space="0"/>
              <w:right w:val="single" w:color="auto" w:sz="4" w:space="0"/>
            </w:tcBorders>
            <w:noWrap w:val="0"/>
            <w:vAlign w:val="center"/>
          </w:tcPr>
          <w:p w14:paraId="192B5892">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报价部分</w:t>
            </w:r>
          </w:p>
          <w:p w14:paraId="497B450D">
            <w:pPr>
              <w:pStyle w:val="37"/>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35分</w:t>
            </w:r>
          </w:p>
        </w:tc>
        <w:tc>
          <w:tcPr>
            <w:tcW w:w="619" w:type="pct"/>
            <w:tcBorders>
              <w:top w:val="single" w:color="auto" w:sz="4" w:space="0"/>
              <w:left w:val="single" w:color="auto" w:sz="4" w:space="0"/>
              <w:bottom w:val="single" w:color="auto" w:sz="4" w:space="0"/>
              <w:right w:val="single" w:color="auto" w:sz="4" w:space="0"/>
            </w:tcBorders>
            <w:noWrap w:val="0"/>
            <w:vAlign w:val="center"/>
          </w:tcPr>
          <w:p w14:paraId="1B50AB69">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投标报价</w:t>
            </w:r>
          </w:p>
          <w:p w14:paraId="591B1ED7">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38860D7F">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以满足磋商文件要求且最后报价最低的供应商的价格为磋商基准价，其价格分为满分3</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分，其他供应商的价格分统一按照下列公式计算：磋商报价得分=（磋商基准价/最后磋商报价）×3</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%×100。</w:t>
            </w:r>
          </w:p>
        </w:tc>
      </w:tr>
      <w:tr w14:paraId="36BA2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375" w:type="pct"/>
            <w:vMerge w:val="restart"/>
            <w:tcBorders>
              <w:top w:val="single" w:color="auto" w:sz="4" w:space="0"/>
              <w:left w:val="single" w:color="auto" w:sz="4" w:space="0"/>
              <w:right w:val="single" w:color="auto" w:sz="4" w:space="0"/>
            </w:tcBorders>
            <w:noWrap w:val="0"/>
            <w:vAlign w:val="center"/>
          </w:tcPr>
          <w:p w14:paraId="0EE382D1">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技术部分</w:t>
            </w:r>
          </w:p>
          <w:p w14:paraId="74A8C26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50分</w:t>
            </w:r>
          </w:p>
        </w:tc>
        <w:tc>
          <w:tcPr>
            <w:tcW w:w="619" w:type="pct"/>
            <w:tcBorders>
              <w:top w:val="single" w:color="auto" w:sz="4" w:space="0"/>
              <w:left w:val="single" w:color="auto" w:sz="4" w:space="0"/>
              <w:bottom w:val="single" w:color="auto" w:sz="4" w:space="0"/>
              <w:right w:val="single" w:color="auto" w:sz="4" w:space="0"/>
            </w:tcBorders>
            <w:noWrap w:val="0"/>
            <w:vAlign w:val="center"/>
          </w:tcPr>
          <w:p w14:paraId="733DB334">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投标产品技术响应</w:t>
            </w:r>
          </w:p>
          <w:p w14:paraId="247930A9">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780B3B7D">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完全满足磋商文件技术要求得3</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分。每存在一条</w:t>
            </w:r>
            <w:r>
              <w:rPr>
                <w:rFonts w:hint="eastAsia" w:ascii="宋体" w:hAnsi="宋体" w:eastAsia="宋体" w:cs="宋体"/>
                <w:sz w:val="24"/>
                <w:szCs w:val="24"/>
                <w:highlight w:val="none"/>
                <w:lang w:val="en-US" w:eastAsia="zh-CN"/>
              </w:rPr>
              <w:t>一般条款</w:t>
            </w:r>
            <w:r>
              <w:rPr>
                <w:rFonts w:hint="eastAsia" w:ascii="宋体" w:hAnsi="宋体" w:eastAsia="宋体" w:cs="宋体"/>
                <w:sz w:val="24"/>
                <w:szCs w:val="24"/>
                <w:highlight w:val="none"/>
              </w:rPr>
              <w:t>负偏离扣</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每存在一条标“*”条款扣</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分</w:t>
            </w:r>
            <w:r>
              <w:rPr>
                <w:rFonts w:hint="eastAsia" w:ascii="宋体" w:hAnsi="宋体" w:eastAsia="宋体" w:cs="宋体"/>
                <w:sz w:val="24"/>
                <w:szCs w:val="24"/>
                <w:highlight w:val="none"/>
              </w:rPr>
              <w:t>，扣完为止。</w:t>
            </w:r>
          </w:p>
          <w:p w14:paraId="1FB33311">
            <w:pPr>
              <w:keepNext w:val="0"/>
              <w:keepLines w:val="0"/>
              <w:pageBreakBefore w:val="0"/>
              <w:kinsoku/>
              <w:wordWrap/>
              <w:overflowPunct/>
              <w:topLinePunct w:val="0"/>
              <w:bidi w:val="0"/>
              <w:adjustRightInd w:val="0"/>
              <w:snapToGrid w:val="0"/>
              <w:spacing w:line="500" w:lineRule="exact"/>
              <w:ind w:firstLine="482" w:firstLineChars="200"/>
              <w:jc w:val="both"/>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注：供应商需提供所投产品彩页或相应技术参数的厂家使用说明书或检测报告全本清晰影印件等作为技术证明文件佐证材料，否则磋商小组有权视相应技术参数为负偏离。</w:t>
            </w:r>
          </w:p>
        </w:tc>
      </w:tr>
      <w:tr w14:paraId="0ADC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75" w:type="pct"/>
            <w:vMerge w:val="continue"/>
            <w:tcBorders>
              <w:left w:val="single" w:color="auto" w:sz="4" w:space="0"/>
              <w:right w:val="single" w:color="auto" w:sz="4" w:space="0"/>
            </w:tcBorders>
            <w:noWrap w:val="0"/>
            <w:vAlign w:val="center"/>
          </w:tcPr>
          <w:p w14:paraId="59431694">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p>
        </w:tc>
        <w:tc>
          <w:tcPr>
            <w:tcW w:w="619" w:type="pct"/>
            <w:tcBorders>
              <w:top w:val="single" w:color="auto" w:sz="4" w:space="0"/>
              <w:left w:val="single" w:color="auto" w:sz="4" w:space="0"/>
              <w:bottom w:val="single" w:color="auto" w:sz="4" w:space="0"/>
              <w:right w:val="single" w:color="auto" w:sz="4" w:space="0"/>
            </w:tcBorders>
            <w:noWrap w:val="0"/>
            <w:vAlign w:val="center"/>
          </w:tcPr>
          <w:p w14:paraId="5945D7BC">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产品整体综合评价</w:t>
            </w:r>
          </w:p>
          <w:p w14:paraId="38B3AA82">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25980100">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1、整体技术性能：所投产品的整体技术性能成熟、可扩展性强，得4分；产品整体技术性能较为成熟、有一定的扩展性，得2分；产品整体技术性能不够稳定成熟、可扩展性一般，得1分。</w:t>
            </w:r>
            <w:bookmarkStart w:id="357" w:name="_GoBack"/>
            <w:bookmarkEnd w:id="357"/>
          </w:p>
          <w:p w14:paraId="1143B7CC">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2、产品整体配置：所投产品整体配置全面、高于或满足磋商文件要求得4分，整体配置较为全面得2分，整体配置不完善得1分。</w:t>
            </w:r>
          </w:p>
          <w:p w14:paraId="17F6C176">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3、使用成本、易于维护性：所投产品的后期使用成本低、易于维护得4分；后期使用成本较低、易于维护性一般得2分；使用成本较高、不易维护得1分。</w:t>
            </w:r>
          </w:p>
        </w:tc>
      </w:tr>
      <w:tr w14:paraId="08496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375" w:type="pct"/>
            <w:vMerge w:val="continue"/>
            <w:tcBorders>
              <w:left w:val="single" w:color="auto" w:sz="4" w:space="0"/>
              <w:right w:val="single" w:color="auto" w:sz="4" w:space="0"/>
            </w:tcBorders>
            <w:noWrap w:val="0"/>
            <w:vAlign w:val="center"/>
          </w:tcPr>
          <w:p w14:paraId="22EA11D9">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p>
        </w:tc>
        <w:tc>
          <w:tcPr>
            <w:tcW w:w="619" w:type="pct"/>
            <w:tcBorders>
              <w:top w:val="single" w:color="auto" w:sz="4" w:space="0"/>
              <w:left w:val="single" w:color="auto" w:sz="4" w:space="0"/>
              <w:bottom w:val="single" w:color="auto" w:sz="4" w:space="0"/>
              <w:right w:val="single" w:color="auto" w:sz="4" w:space="0"/>
            </w:tcBorders>
            <w:noWrap w:val="0"/>
            <w:vAlign w:val="center"/>
          </w:tcPr>
          <w:p w14:paraId="585C3375">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项目实施方案</w:t>
            </w:r>
          </w:p>
          <w:p w14:paraId="7B220DD9">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lang w:val="en-US" w:eastAsia="zh-CN"/>
              </w:rPr>
              <w:t>8</w:t>
            </w:r>
            <w:r>
              <w:rPr>
                <w:rFonts w:hint="eastAsia" w:ascii="宋体" w:hAnsi="宋体" w:eastAsia="宋体" w:cs="宋体"/>
                <w:bCs/>
                <w:sz w:val="24"/>
                <w:szCs w:val="24"/>
                <w:highlight w:val="none"/>
              </w:rPr>
              <w:t>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51B90CB5">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1、供货方案：对供应商的供货方案进行综合评价，包括供货组织计划、供货保障措施两个方面，每项</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分，满分</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分。每有一处问题或不完善扣</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分，扣完为止，缺项不得分。</w:t>
            </w:r>
          </w:p>
          <w:p w14:paraId="2DAD28F9">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2、安装调试方案：对供应商的安装调试方案进行综合评价，包括安装进度计划、调试方案及技术措施、验收方案三个方面，每项</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分，满分</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分。每有一处问题或不完善扣</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分，扣完为止，缺项不得分。</w:t>
            </w:r>
          </w:p>
        </w:tc>
      </w:tr>
      <w:tr w14:paraId="7B92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atLeast"/>
          <w:jc w:val="center"/>
        </w:trPr>
        <w:tc>
          <w:tcPr>
            <w:tcW w:w="375" w:type="pct"/>
            <w:vMerge w:val="restart"/>
            <w:tcBorders>
              <w:top w:val="single" w:color="auto" w:sz="4" w:space="0"/>
              <w:left w:val="single" w:color="auto" w:sz="4" w:space="0"/>
              <w:right w:val="single" w:color="auto" w:sz="4" w:space="0"/>
            </w:tcBorders>
            <w:noWrap w:val="0"/>
            <w:vAlign w:val="center"/>
          </w:tcPr>
          <w:p w14:paraId="79AB8110">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商务部分</w:t>
            </w:r>
          </w:p>
          <w:p w14:paraId="3F7194C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分</w:t>
            </w:r>
          </w:p>
        </w:tc>
        <w:tc>
          <w:tcPr>
            <w:tcW w:w="619" w:type="pct"/>
            <w:tcBorders>
              <w:top w:val="single" w:color="auto" w:sz="4" w:space="0"/>
              <w:left w:val="single" w:color="auto" w:sz="4" w:space="0"/>
              <w:bottom w:val="single" w:color="auto" w:sz="4" w:space="0"/>
              <w:right w:val="single" w:color="auto" w:sz="4" w:space="0"/>
            </w:tcBorders>
            <w:noWrap w:val="0"/>
            <w:vAlign w:val="center"/>
          </w:tcPr>
          <w:p w14:paraId="51D4E08A">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业绩</w:t>
            </w:r>
          </w:p>
          <w:p w14:paraId="18D928F6">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323931C9">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供应商自202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月1日以来同类项目业绩（以合同签订时间为准），每提供一份业绩得1分，最多得5分。</w:t>
            </w:r>
          </w:p>
          <w:p w14:paraId="6CA03852">
            <w:pPr>
              <w:keepNext w:val="0"/>
              <w:keepLines w:val="0"/>
              <w:pageBreakBefore w:val="0"/>
              <w:kinsoku/>
              <w:wordWrap/>
              <w:overflowPunct/>
              <w:topLinePunct w:val="0"/>
              <w:bidi w:val="0"/>
              <w:adjustRightInd w:val="0"/>
              <w:snapToGrid w:val="0"/>
              <w:spacing w:line="500" w:lineRule="exact"/>
              <w:ind w:firstLine="0" w:firstLineChars="0"/>
              <w:jc w:val="both"/>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注：供应商需在响应文件中提供</w:t>
            </w:r>
            <w:r>
              <w:rPr>
                <w:rFonts w:hint="eastAsia" w:ascii="宋体" w:hAnsi="宋体" w:eastAsia="宋体" w:cs="宋体"/>
                <w:b/>
                <w:bCs/>
                <w:sz w:val="24"/>
                <w:szCs w:val="24"/>
                <w:highlight w:val="none"/>
              </w:rPr>
              <w:t>成交通知书和</w:t>
            </w:r>
            <w:r>
              <w:rPr>
                <w:rFonts w:hint="eastAsia" w:ascii="宋体" w:hAnsi="宋体" w:eastAsia="宋体" w:cs="宋体"/>
                <w:b/>
                <w:sz w:val="24"/>
                <w:szCs w:val="24"/>
                <w:highlight w:val="none"/>
              </w:rPr>
              <w:t>完整合同复印件并加盖供应商公章，同时在报价时递交成交通知书和合同原件核验，未按上述要求提供的业绩均不予认可。</w:t>
            </w:r>
          </w:p>
        </w:tc>
      </w:tr>
      <w:tr w14:paraId="7FE7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375" w:type="pct"/>
            <w:vMerge w:val="continue"/>
            <w:tcBorders>
              <w:left w:val="single" w:color="auto" w:sz="4" w:space="0"/>
              <w:right w:val="single" w:color="auto" w:sz="4" w:space="0"/>
            </w:tcBorders>
            <w:noWrap w:val="0"/>
            <w:vAlign w:val="center"/>
          </w:tcPr>
          <w:p w14:paraId="741E14ED">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p>
        </w:tc>
        <w:tc>
          <w:tcPr>
            <w:tcW w:w="619" w:type="pct"/>
            <w:tcBorders>
              <w:top w:val="single" w:color="auto" w:sz="4" w:space="0"/>
              <w:left w:val="single" w:color="auto" w:sz="4" w:space="0"/>
              <w:bottom w:val="single" w:color="auto" w:sz="4" w:space="0"/>
              <w:right w:val="single" w:color="auto" w:sz="4" w:space="0"/>
            </w:tcBorders>
            <w:noWrap w:val="0"/>
            <w:vAlign w:val="center"/>
          </w:tcPr>
          <w:p w14:paraId="409B86F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售后服务</w:t>
            </w:r>
          </w:p>
          <w:p w14:paraId="7A3504EC">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方案</w:t>
            </w:r>
          </w:p>
          <w:p w14:paraId="4E1A994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7FA7CCEE">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对供应商售后服务方案进行综合评价，包括售后服务机构及人员设置、服务响应时间、响应程度、服务标准承诺、故障（含紧急故障）排除时间承诺五个方面，每项1分，满分5分。每项每有一处问题或不完善扣0.5分，扣完为止，缺项不得分。</w:t>
            </w:r>
          </w:p>
        </w:tc>
      </w:tr>
      <w:tr w14:paraId="4161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375" w:type="pct"/>
            <w:vMerge w:val="continue"/>
            <w:tcBorders>
              <w:left w:val="single" w:color="auto" w:sz="4" w:space="0"/>
              <w:right w:val="single" w:color="auto" w:sz="4" w:space="0"/>
            </w:tcBorders>
            <w:noWrap w:val="0"/>
            <w:vAlign w:val="center"/>
          </w:tcPr>
          <w:p w14:paraId="00A80F4E">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p>
        </w:tc>
        <w:tc>
          <w:tcPr>
            <w:tcW w:w="619" w:type="pct"/>
            <w:tcBorders>
              <w:top w:val="single" w:color="auto" w:sz="4" w:space="0"/>
              <w:left w:val="single" w:color="auto" w:sz="4" w:space="0"/>
              <w:bottom w:val="single" w:color="auto" w:sz="4" w:space="0"/>
              <w:right w:val="single" w:color="auto" w:sz="4" w:space="0"/>
            </w:tcBorders>
            <w:noWrap w:val="0"/>
            <w:vAlign w:val="center"/>
          </w:tcPr>
          <w:p w14:paraId="3A856568">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优惠条款</w:t>
            </w:r>
          </w:p>
          <w:p w14:paraId="0745AF37">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70F9CEDD">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供应商提供磋商文件要求之外的其它优惠条款（不含耗材及备品备件），由磋商小组认可为实质性优惠条款的，每提供1条得1分，最多得3分；无实质性优惠条款或优惠条款未得到磋商小组认可的得0分。</w:t>
            </w:r>
          </w:p>
        </w:tc>
      </w:tr>
      <w:tr w14:paraId="1DD09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375" w:type="pct"/>
            <w:vMerge w:val="continue"/>
            <w:tcBorders>
              <w:left w:val="single" w:color="auto" w:sz="4" w:space="0"/>
              <w:right w:val="single" w:color="auto" w:sz="4" w:space="0"/>
            </w:tcBorders>
            <w:noWrap w:val="0"/>
            <w:vAlign w:val="center"/>
          </w:tcPr>
          <w:p w14:paraId="37F87D8B">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p>
        </w:tc>
        <w:tc>
          <w:tcPr>
            <w:tcW w:w="619" w:type="pct"/>
            <w:tcBorders>
              <w:top w:val="single" w:color="auto" w:sz="4" w:space="0"/>
              <w:left w:val="single" w:color="auto" w:sz="4" w:space="0"/>
              <w:bottom w:val="single" w:color="auto" w:sz="4" w:space="0"/>
              <w:right w:val="single" w:color="auto" w:sz="4" w:space="0"/>
            </w:tcBorders>
            <w:noWrap w:val="0"/>
            <w:vAlign w:val="center"/>
          </w:tcPr>
          <w:p w14:paraId="3B2B36F9">
            <w:pPr>
              <w:keepNext w:val="0"/>
              <w:keepLines w:val="0"/>
              <w:pageBreakBefore w:val="0"/>
              <w:kinsoku/>
              <w:wordWrap/>
              <w:overflowPunct/>
              <w:topLinePunct w:val="0"/>
              <w:bidi w:val="0"/>
              <w:adjustRightIn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质保期</w:t>
            </w:r>
          </w:p>
          <w:p w14:paraId="5E0CD4AE">
            <w:pPr>
              <w:keepNext w:val="0"/>
              <w:keepLines w:val="0"/>
              <w:pageBreakBefore w:val="0"/>
              <w:kinsoku/>
              <w:wordWrap/>
              <w:overflowPunct/>
              <w:topLinePunct w:val="0"/>
              <w:bidi w:val="0"/>
              <w:adjustRightIn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2分</w:t>
            </w:r>
          </w:p>
        </w:tc>
        <w:tc>
          <w:tcPr>
            <w:tcW w:w="4004" w:type="pct"/>
            <w:tcBorders>
              <w:top w:val="single" w:color="auto" w:sz="4" w:space="0"/>
              <w:left w:val="single" w:color="auto" w:sz="4" w:space="0"/>
              <w:bottom w:val="single" w:color="auto" w:sz="4" w:space="0"/>
              <w:right w:val="single" w:color="auto" w:sz="4" w:space="0"/>
            </w:tcBorders>
            <w:noWrap w:val="0"/>
            <w:vAlign w:val="center"/>
          </w:tcPr>
          <w:p w14:paraId="799CE028">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质保期</w:t>
            </w:r>
            <w:r>
              <w:rPr>
                <w:rFonts w:hint="eastAsia" w:ascii="宋体" w:hAnsi="宋体" w:eastAsia="宋体" w:cs="宋体"/>
                <w:sz w:val="24"/>
                <w:szCs w:val="24"/>
                <w:highlight w:val="none"/>
                <w:lang w:val="en-US" w:eastAsia="zh-CN"/>
              </w:rPr>
              <w:t>3年及以下不得</w:t>
            </w:r>
            <w:r>
              <w:rPr>
                <w:rFonts w:hint="eastAsia" w:ascii="宋体" w:hAnsi="宋体" w:eastAsia="宋体" w:cs="宋体"/>
                <w:sz w:val="24"/>
                <w:szCs w:val="24"/>
                <w:highlight w:val="none"/>
              </w:rPr>
              <w:t>分，整体质保每增加一年1分，最多得2分。仅单一产品增加质保期不计分。</w:t>
            </w:r>
          </w:p>
        </w:tc>
      </w:tr>
    </w:tbl>
    <w:p w14:paraId="087C7ACE">
      <w:pPr>
        <w:keepNext w:val="0"/>
        <w:keepLines w:val="0"/>
        <w:pageBreakBefore w:val="0"/>
        <w:wordWrap/>
        <w:overflowPunct w:val="0"/>
        <w:bidi w:val="0"/>
        <w:spacing w:line="48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政府采购政策落实措施说明：</w:t>
      </w:r>
    </w:p>
    <w:p w14:paraId="33474D76">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（1）政策文件：</w:t>
      </w:r>
    </w:p>
    <w:p w14:paraId="2430C259">
      <w:pPr>
        <w:keepNext w:val="0"/>
        <w:keepLines w:val="0"/>
        <w:pageBreakBefore w:val="0"/>
        <w:wordWrap/>
        <w:overflowPunct w:val="0"/>
        <w:bidi w:val="0"/>
        <w:spacing w:line="480" w:lineRule="exact"/>
        <w:ind w:firstLine="480" w:firstLineChars="200"/>
        <w:rPr>
          <w:rFonts w:hint="eastAsia" w:ascii="宋体" w:hAnsi="宋体" w:eastAsia="宋体" w:cs="宋体"/>
          <w:color w:val="auto"/>
          <w:position w:val="-3"/>
          <w:sz w:val="24"/>
          <w:highlight w:val="none"/>
        </w:rPr>
      </w:pPr>
      <w:r>
        <w:rPr>
          <w:rFonts w:hint="eastAsia" w:ascii="宋体" w:hAnsi="宋体" w:eastAsia="宋体" w:cs="宋体"/>
          <w:color w:val="auto"/>
          <w:position w:val="-3"/>
          <w:sz w:val="24"/>
          <w:highlight w:val="none"/>
        </w:rPr>
        <w:t>《</w:t>
      </w:r>
      <w:r>
        <w:rPr>
          <w:rFonts w:hint="eastAsia" w:ascii="宋体" w:hAnsi="宋体" w:eastAsia="宋体" w:cs="宋体"/>
          <w:color w:val="auto"/>
          <w:position w:val="-3"/>
          <w:sz w:val="24"/>
          <w:highlight w:val="none"/>
          <w:lang w:eastAsia="zh-CN"/>
        </w:rPr>
        <w:t>政府采购促进中小企业发展管理办法</w:t>
      </w:r>
      <w:r>
        <w:rPr>
          <w:rFonts w:hint="eastAsia" w:ascii="宋体" w:hAnsi="宋体" w:eastAsia="宋体" w:cs="宋体"/>
          <w:color w:val="auto"/>
          <w:position w:val="-3"/>
          <w:sz w:val="24"/>
          <w:highlight w:val="none"/>
        </w:rPr>
        <w:t>》（财</w:t>
      </w:r>
      <w:r>
        <w:rPr>
          <w:rFonts w:hint="eastAsia" w:ascii="宋体" w:hAnsi="宋体" w:eastAsia="宋体" w:cs="宋体"/>
          <w:color w:val="auto"/>
          <w:spacing w:val="1"/>
          <w:position w:val="-3"/>
          <w:sz w:val="24"/>
          <w:highlight w:val="none"/>
        </w:rPr>
        <w:t>库</w:t>
      </w:r>
      <w:r>
        <w:rPr>
          <w:rFonts w:hint="eastAsia" w:ascii="宋体" w:hAnsi="宋体" w:eastAsia="宋体" w:cs="宋体"/>
          <w:color w:val="auto"/>
          <w:position w:val="-3"/>
          <w:sz w:val="24"/>
          <w:highlight w:val="none"/>
        </w:rPr>
        <w:t>[2020]46号）；</w:t>
      </w:r>
    </w:p>
    <w:p w14:paraId="74914D49">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司法部关于政府采购支持监狱企业发展有关问题的通知》（财库〔2014〕68号）；</w:t>
      </w:r>
    </w:p>
    <w:p w14:paraId="179D6CDB">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《三部门联合发布关于促进残疾人就业政府采购政策的通知》（财库〔2017〕141号）；</w:t>
      </w:r>
    </w:p>
    <w:p w14:paraId="3F53146C">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财政部国家发展改革委关于印发《节能产品政府采购实施意见》的通知（财库〔2004〕185号）；</w:t>
      </w:r>
    </w:p>
    <w:p w14:paraId="08708917">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发展改革委 生态环境部 市场监管总局关于调整优化节能产品、环境标志产品政府采购执行机制的通知》财库〔2019〕9号；</w:t>
      </w:r>
    </w:p>
    <w:p w14:paraId="2D7DA422">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《关于印发环境标志产品政府采购品目清单的通知》财库〔2019〕18号；</w:t>
      </w:r>
    </w:p>
    <w:p w14:paraId="244A81FE">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《关于印发节能产品政府采购品目清单的通知》财库〔2019〕19号；</w:t>
      </w:r>
    </w:p>
    <w:p w14:paraId="42550483">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《山东省节能环保产品政府采购评审办法》（鲁财库〔2007〕32号）。</w:t>
      </w:r>
    </w:p>
    <w:p w14:paraId="4AD90A4D">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（2）政策要求</w:t>
      </w:r>
    </w:p>
    <w:p w14:paraId="76C45749">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对满足价格扣除条件且在投标（响应）文件中提交了《中小企业声明函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残疾人福利性单位声明函》或省级以上监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hAnsi="宋体" w:eastAsia="宋体" w:cs="宋体"/>
          <w:color w:val="auto"/>
          <w:sz w:val="24"/>
          <w:highlight w:val="none"/>
          <w:lang w:eastAsia="zh-CN"/>
        </w:rPr>
        <w:t>政府采购促进中小企业发展管理办法</w:t>
      </w:r>
      <w:r>
        <w:rPr>
          <w:rFonts w:hint="eastAsia" w:ascii="宋体" w:hAnsi="宋体" w:eastAsia="宋体" w:cs="宋体"/>
          <w:color w:val="auto"/>
          <w:sz w:val="24"/>
          <w:highlight w:val="none"/>
        </w:rPr>
        <w:t>》所指中小企业（含中型、小型、微型企业，下同）应当同时符合以下条件：</w:t>
      </w:r>
    </w:p>
    <w:p w14:paraId="0200BAC2">
      <w:pPr>
        <w:keepNext w:val="0"/>
        <w:keepLines w:val="0"/>
        <w:pageBreakBefore w:val="0"/>
        <w:tabs>
          <w:tab w:val="left" w:pos="993"/>
          <w:tab w:val="left" w:pos="1440"/>
        </w:tabs>
        <w:wordWrap/>
        <w:bidi w:val="0"/>
        <w:spacing w:line="480" w:lineRule="exact"/>
        <w:ind w:firstLine="708" w:firstLineChars="295"/>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1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①</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 xml:space="preserve">符合中小企业划分标准； </w:t>
      </w:r>
    </w:p>
    <w:p w14:paraId="76CD4BD4">
      <w:pPr>
        <w:keepNext w:val="0"/>
        <w:keepLines w:val="0"/>
        <w:pageBreakBefore w:val="0"/>
        <w:tabs>
          <w:tab w:val="left" w:pos="993"/>
          <w:tab w:val="left" w:pos="1440"/>
        </w:tabs>
        <w:wordWrap/>
        <w:bidi w:val="0"/>
        <w:spacing w:line="480" w:lineRule="exact"/>
        <w:ind w:left="283" w:leftChars="135" w:firstLine="424" w:firstLineChars="177"/>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2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②</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提供本企业制造的货物、承担的工程或者服务，或者提供其他中小企业制造的货物。本项所称货物不包括使用大型企业注册商标的货物。</w:t>
      </w:r>
    </w:p>
    <w:p w14:paraId="6DBF6CBD">
      <w:pPr>
        <w:keepNext w:val="0"/>
        <w:keepLines w:val="0"/>
        <w:pageBreakBefore w:val="0"/>
        <w:wordWrap/>
        <w:overflowPunct w:val="0"/>
        <w:bidi w:val="0"/>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在本次货物采购项目中，供应商提供的货物既有中小企业制造货物，也有大型企业制造货物的，不享受本办法规定的中小企业扶持政策。</w:t>
      </w:r>
    </w:p>
    <w:p w14:paraId="37A03C81">
      <w:pPr>
        <w:keepNext w:val="0"/>
        <w:keepLines w:val="0"/>
        <w:pageBreakBefore w:val="0"/>
        <w:tabs>
          <w:tab w:val="left" w:pos="1440"/>
        </w:tabs>
        <w:wordWrap/>
        <w:bidi w:val="0"/>
        <w:spacing w:line="480" w:lineRule="exact"/>
        <w:ind w:left="284"/>
        <w:rPr>
          <w:rFonts w:hint="eastAsia" w:ascii="宋体" w:hAnsi="宋体" w:eastAsia="宋体" w:cs="宋体"/>
          <w:color w:val="auto"/>
          <w:highlight w:val="none"/>
        </w:rPr>
      </w:pPr>
      <w:r>
        <w:rPr>
          <w:rFonts w:hint="eastAsia" w:ascii="宋体" w:hAnsi="宋体" w:eastAsia="宋体" w:cs="宋体"/>
          <w:color w:val="auto"/>
          <w:kern w:val="11"/>
          <w:sz w:val="24"/>
          <w:highlight w:val="none"/>
        </w:rPr>
        <w:t xml:space="preserve">    中小企业划分标准以《工业和信息化部、国家统计局、国家发展和改革委员会、财政部关于印发中小企业划型标准规定的通知》（工信部联企业[2011]300号）规定的划分标准为准。</w:t>
      </w:r>
    </w:p>
    <w:p w14:paraId="3A91FFA9">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根据《国务院办公厅关于建立政府强制采购节能产品制度的通知》（国办发</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51号）文件、《财政部</w:t>
      </w:r>
      <w:r>
        <w:rPr>
          <w:rFonts w:hint="eastAsia" w:ascii="宋体" w:hAnsi="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发展改革委 生态环境部 市场监管总局关于调整优化节能产品、环境标志产品政府采购执行机制的通知》（财库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9号）、《财政部 发展改革委关于印发节能产品政府采购品目清单的通知》（财库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具体品目以“★”标注</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 xml:space="preserve">。其他品目为政府优先采购的节能产品。               </w:t>
      </w:r>
    </w:p>
    <w:p w14:paraId="408A29D5">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14:paraId="21C07D02">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14:paraId="12C24F6E">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14:paraId="1E7C61F9">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14:paraId="1A021AAC">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w:t>
      </w:r>
      <w:bookmarkStart w:id="276" w:name="_Toc4832_WPSOffice_Level2"/>
      <w:r>
        <w:rPr>
          <w:rFonts w:hint="eastAsia" w:ascii="宋体" w:hAnsi="宋体" w:eastAsia="宋体" w:cs="宋体"/>
          <w:color w:val="auto"/>
          <w:sz w:val="24"/>
          <w:szCs w:val="28"/>
          <w:highlight w:val="none"/>
        </w:rPr>
        <w:t>品目清单》范围</w:t>
      </w:r>
      <w:bookmarkEnd w:id="276"/>
      <w:r>
        <w:rPr>
          <w:rFonts w:hint="eastAsia" w:ascii="宋体" w:hAnsi="宋体" w:eastAsia="宋体" w:cs="宋体"/>
          <w:color w:val="auto"/>
          <w:sz w:val="24"/>
          <w:szCs w:val="28"/>
          <w:highlight w:val="none"/>
        </w:rPr>
        <w:t>的产品；环保产品是指列入财政部、生态环境部制定的《环境标志产品政府采购品目清单》范围的产品；2.产品是否属于享受政府采购政策的上述类</w:t>
      </w:r>
      <w:bookmarkStart w:id="277" w:name="_Toc17013_WPSOffice_Level2"/>
      <w:r>
        <w:rPr>
          <w:rFonts w:hint="eastAsia" w:ascii="宋体" w:hAnsi="宋体" w:eastAsia="宋体" w:cs="宋体"/>
          <w:color w:val="auto"/>
          <w:sz w:val="24"/>
          <w:szCs w:val="28"/>
          <w:highlight w:val="none"/>
        </w:rPr>
        <w:t>型，</w:t>
      </w:r>
      <w:bookmarkEnd w:id="277"/>
      <w:r>
        <w:rPr>
          <w:rFonts w:hint="eastAsia" w:ascii="宋体" w:hAnsi="宋体" w:eastAsia="宋体" w:cs="宋体"/>
          <w:color w:val="auto"/>
          <w:sz w:val="24"/>
          <w:szCs w:val="28"/>
          <w:highlight w:val="none"/>
        </w:rPr>
        <w:t>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14:paraId="3624A5EA">
      <w:pPr>
        <w:pStyle w:val="2"/>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78" w:name="_Toc518923106"/>
      <w:bookmarkStart w:id="279" w:name="_Toc68259628"/>
      <w:bookmarkStart w:id="280" w:name="_Toc46235126"/>
      <w:bookmarkStart w:id="281" w:name="_Toc216582812"/>
      <w:bookmarkStart w:id="282" w:name="_Toc15882"/>
      <w:r>
        <w:rPr>
          <w:rFonts w:hint="eastAsia" w:ascii="宋体" w:hAnsi="宋体" w:eastAsia="宋体" w:cs="宋体"/>
          <w:color w:val="auto"/>
          <w:highlight w:val="none"/>
        </w:rPr>
        <w:t>第6章 响应文件格式</w:t>
      </w:r>
      <w:bookmarkEnd w:id="278"/>
      <w:bookmarkEnd w:id="279"/>
      <w:bookmarkEnd w:id="280"/>
      <w:bookmarkEnd w:id="281"/>
      <w:bookmarkEnd w:id="282"/>
    </w:p>
    <w:p w14:paraId="45F55F98">
      <w:pPr>
        <w:pStyle w:val="3"/>
        <w:spacing w:line="480" w:lineRule="exact"/>
        <w:ind w:left="774" w:hanging="722" w:hangingChars="257"/>
        <w:rPr>
          <w:rFonts w:hint="eastAsia" w:ascii="宋体" w:hAnsi="宋体" w:eastAsia="宋体" w:cs="宋体"/>
          <w:color w:val="auto"/>
          <w:highlight w:val="none"/>
        </w:rPr>
      </w:pPr>
      <w:bookmarkStart w:id="283" w:name="_Toc46235127"/>
      <w:bookmarkStart w:id="284" w:name="_Toc27723"/>
      <w:bookmarkStart w:id="285" w:name="_Toc68259629"/>
      <w:r>
        <w:rPr>
          <w:rFonts w:hint="eastAsia" w:ascii="宋体" w:hAnsi="宋体" w:eastAsia="宋体" w:cs="宋体"/>
          <w:color w:val="auto"/>
          <w:highlight w:val="none"/>
        </w:rPr>
        <w:t>一、封面格式</w:t>
      </w:r>
      <w:bookmarkEnd w:id="283"/>
      <w:bookmarkEnd w:id="284"/>
      <w:bookmarkEnd w:id="285"/>
    </w:p>
    <w:tbl>
      <w:tblPr>
        <w:tblStyle w:val="29"/>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3CC4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6A1A143F">
            <w:pPr>
              <w:spacing w:line="480" w:lineRule="exact"/>
              <w:jc w:val="center"/>
              <w:rPr>
                <w:rFonts w:hint="eastAsia" w:ascii="宋体" w:hAnsi="宋体" w:eastAsia="宋体" w:cs="宋体"/>
                <w:color w:val="auto"/>
                <w:highlight w:val="none"/>
              </w:rPr>
            </w:pPr>
          </w:p>
          <w:p w14:paraId="37095993">
            <w:pPr>
              <w:spacing w:line="48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响应文件</w:t>
            </w:r>
          </w:p>
          <w:p w14:paraId="64BCEBFD">
            <w:pPr>
              <w:spacing w:line="480" w:lineRule="exact"/>
              <w:jc w:val="center"/>
              <w:rPr>
                <w:rFonts w:hint="eastAsia" w:ascii="宋体" w:hAnsi="宋体" w:eastAsia="宋体" w:cs="宋体"/>
                <w:b/>
                <w:color w:val="auto"/>
                <w:sz w:val="30"/>
                <w:szCs w:val="30"/>
                <w:highlight w:val="none"/>
              </w:rPr>
            </w:pPr>
          </w:p>
          <w:p w14:paraId="3CD4BD9C">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项目编号：</w:t>
            </w:r>
          </w:p>
          <w:p w14:paraId="5F611077">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p w14:paraId="32B2837B">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项目包号：</w:t>
            </w:r>
          </w:p>
          <w:p w14:paraId="6959A413">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14:paraId="583C1165">
            <w:pPr>
              <w:spacing w:line="48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日 期</w:t>
            </w:r>
            <w:r>
              <w:rPr>
                <w:rFonts w:hint="eastAsia" w:ascii="宋体" w:hAnsi="宋体" w:eastAsia="宋体" w:cs="宋体"/>
                <w:color w:val="auto"/>
                <w:highlight w:val="none"/>
                <w:lang w:eastAsia="zh-CN"/>
              </w:rPr>
              <w:t>：</w:t>
            </w:r>
          </w:p>
          <w:p w14:paraId="2F347B65">
            <w:pPr>
              <w:spacing w:line="480" w:lineRule="exact"/>
              <w:rPr>
                <w:rFonts w:hint="eastAsia" w:ascii="宋体" w:hAnsi="宋体" w:eastAsia="宋体" w:cs="宋体"/>
                <w:color w:val="auto"/>
                <w:highlight w:val="none"/>
              </w:rPr>
            </w:pPr>
          </w:p>
        </w:tc>
      </w:tr>
    </w:tbl>
    <w:p w14:paraId="7F36DFD4">
      <w:pPr>
        <w:rPr>
          <w:rFonts w:hint="eastAsia" w:ascii="宋体" w:hAnsi="宋体" w:eastAsia="宋体" w:cs="宋体"/>
          <w:color w:val="auto"/>
          <w:highlight w:val="none"/>
        </w:rPr>
      </w:pPr>
      <w:bookmarkStart w:id="286" w:name="_Toc46235128"/>
      <w:bookmarkStart w:id="287" w:name="_Toc518923108"/>
      <w:bookmarkStart w:id="288" w:name="_Toc68259630"/>
      <w:r>
        <w:rPr>
          <w:rFonts w:hint="eastAsia" w:ascii="宋体" w:hAnsi="宋体" w:eastAsia="宋体" w:cs="宋体"/>
          <w:color w:val="auto"/>
          <w:highlight w:val="none"/>
        </w:rPr>
        <w:br w:type="page"/>
      </w:r>
    </w:p>
    <w:p w14:paraId="63A77C27">
      <w:pPr>
        <w:pStyle w:val="3"/>
        <w:spacing w:line="480" w:lineRule="exact"/>
        <w:ind w:left="774" w:hanging="722" w:hangingChars="257"/>
        <w:rPr>
          <w:rFonts w:hint="eastAsia" w:ascii="宋体" w:hAnsi="宋体" w:eastAsia="宋体" w:cs="宋体"/>
          <w:color w:val="auto"/>
          <w:highlight w:val="none"/>
        </w:rPr>
      </w:pPr>
      <w:bookmarkStart w:id="289" w:name="_Toc13711"/>
      <w:r>
        <w:rPr>
          <w:rFonts w:hint="eastAsia" w:ascii="宋体" w:hAnsi="宋体" w:eastAsia="宋体" w:cs="宋体"/>
          <w:color w:val="auto"/>
          <w:highlight w:val="none"/>
        </w:rPr>
        <w:t>二、评审因素索引表</w:t>
      </w:r>
      <w:bookmarkEnd w:id="289"/>
    </w:p>
    <w:p w14:paraId="6A690CE3">
      <w:pPr>
        <w:pStyle w:val="46"/>
        <w:spacing w:line="480" w:lineRule="exact"/>
        <w:ind w:left="0" w:firstLine="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致供应商：</w:t>
      </w:r>
    </w:p>
    <w:p w14:paraId="1AAB438B">
      <w:pPr>
        <w:pStyle w:val="46"/>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为了使评委专家能够在有限的时间内，对您的产品或项目情况进行充分</w:t>
      </w:r>
      <w:r>
        <w:rPr>
          <w:rFonts w:hint="eastAsia" w:ascii="宋体" w:hAnsi="宋体" w:cs="宋体"/>
          <w:color w:val="auto"/>
          <w:sz w:val="24"/>
          <w:highlight w:val="none"/>
          <w:lang w:eastAsia="zh-CN"/>
        </w:rPr>
        <w:t>的</w:t>
      </w:r>
      <w:r>
        <w:rPr>
          <w:rFonts w:hint="eastAsia" w:ascii="宋体" w:hAnsi="宋体" w:eastAsia="宋体" w:cs="宋体"/>
          <w:color w:val="auto"/>
          <w:sz w:val="24"/>
          <w:highlight w:val="none"/>
        </w:rPr>
        <w:t>了解及熟悉，提升综合全面评审水平，做到更加客观、公正、科学地进行评价评分。请高度重视，务必清晰准确地填写该表栏目</w:t>
      </w:r>
      <w:r>
        <w:rPr>
          <w:rFonts w:hint="eastAsia" w:ascii="宋体" w:hAnsi="宋体" w:eastAsia="宋体" w:cs="宋体"/>
          <w:b/>
          <w:bCs/>
          <w:color w:val="auto"/>
          <w:sz w:val="24"/>
          <w:highlight w:val="none"/>
          <w:u w:val="single"/>
        </w:rPr>
        <w:t>（报价或价格项不必填写）</w:t>
      </w:r>
      <w:r>
        <w:rPr>
          <w:rFonts w:hint="eastAsia" w:ascii="宋体" w:hAnsi="宋体" w:eastAsia="宋体" w:cs="宋体"/>
          <w:color w:val="auto"/>
          <w:sz w:val="24"/>
          <w:highlight w:val="none"/>
        </w:rPr>
        <w:t>。</w:t>
      </w:r>
    </w:p>
    <w:tbl>
      <w:tblPr>
        <w:tblStyle w:val="29"/>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500"/>
        <w:gridCol w:w="816"/>
      </w:tblGrid>
      <w:tr w14:paraId="72847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14:paraId="4BF216E8">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30" w:type="pct"/>
            <w:tcBorders>
              <w:top w:val="single" w:color="auto" w:sz="4" w:space="0"/>
              <w:left w:val="single" w:color="auto" w:sz="4" w:space="0"/>
              <w:bottom w:val="single" w:color="auto" w:sz="4" w:space="0"/>
              <w:right w:val="single" w:color="auto" w:sz="4" w:space="0"/>
            </w:tcBorders>
            <w:noWrap/>
            <w:vAlign w:val="center"/>
          </w:tcPr>
          <w:p w14:paraId="01CC9BD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14:paraId="329F8E5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378" w:type="pct"/>
            <w:tcBorders>
              <w:top w:val="single" w:color="auto" w:sz="4" w:space="0"/>
              <w:left w:val="single" w:color="auto" w:sz="4" w:space="0"/>
              <w:bottom w:val="single" w:color="auto" w:sz="4" w:space="0"/>
              <w:right w:val="single" w:color="auto" w:sz="4" w:space="0"/>
            </w:tcBorders>
            <w:noWrap/>
            <w:vAlign w:val="center"/>
          </w:tcPr>
          <w:p w14:paraId="7AA9A68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14:paraId="2A434D4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109B152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14:paraId="2BC85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14:paraId="3406932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14:paraId="5518C14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14:paraId="30D20EC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14:paraId="5C677FE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14:paraId="550B930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14:paraId="49A3CDF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5BB6DB2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14:paraId="5782D47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7A66501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14:paraId="738CC19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14:paraId="6BBA944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14:paraId="3283F7D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14:paraId="537324D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30" w:type="pct"/>
            <w:tcBorders>
              <w:top w:val="single" w:color="auto" w:sz="4" w:space="0"/>
              <w:left w:val="single" w:color="auto" w:sz="4" w:space="0"/>
              <w:bottom w:val="single" w:color="auto" w:sz="4" w:space="0"/>
              <w:right w:val="single" w:color="auto" w:sz="4" w:space="0"/>
            </w:tcBorders>
            <w:noWrap/>
            <w:vAlign w:val="center"/>
          </w:tcPr>
          <w:p w14:paraId="428BED8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378" w:type="pct"/>
            <w:tcBorders>
              <w:top w:val="single" w:color="auto" w:sz="4" w:space="0"/>
              <w:left w:val="single" w:color="auto" w:sz="4" w:space="0"/>
              <w:bottom w:val="single" w:color="auto" w:sz="4" w:space="0"/>
              <w:right w:val="single" w:color="auto" w:sz="4" w:space="0"/>
            </w:tcBorders>
            <w:noWrap/>
            <w:vAlign w:val="center"/>
          </w:tcPr>
          <w:p w14:paraId="762AA27E">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函</w:t>
            </w:r>
          </w:p>
        </w:tc>
        <w:tc>
          <w:tcPr>
            <w:tcW w:w="424" w:type="pct"/>
            <w:tcBorders>
              <w:top w:val="single" w:color="auto" w:sz="4" w:space="0"/>
              <w:left w:val="single" w:color="auto" w:sz="4" w:space="0"/>
              <w:bottom w:val="single" w:color="auto" w:sz="4" w:space="0"/>
              <w:right w:val="single" w:color="auto" w:sz="4" w:space="0"/>
            </w:tcBorders>
            <w:noWrap/>
            <w:vAlign w:val="center"/>
          </w:tcPr>
          <w:p w14:paraId="042B8A00">
            <w:pPr>
              <w:spacing w:line="300" w:lineRule="auto"/>
              <w:rPr>
                <w:rFonts w:hint="eastAsia" w:ascii="宋体" w:hAnsi="宋体" w:eastAsia="宋体" w:cs="宋体"/>
                <w:b w:val="0"/>
                <w:bCs/>
                <w:color w:val="auto"/>
                <w:kern w:val="2"/>
                <w:sz w:val="24"/>
                <w:szCs w:val="24"/>
                <w:highlight w:val="none"/>
                <w:lang w:val="en-US" w:eastAsia="zh-CN" w:bidi="ar-SA"/>
              </w:rPr>
            </w:pPr>
          </w:p>
        </w:tc>
      </w:tr>
      <w:tr w14:paraId="5DBC2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7EC2C079">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14EA7B3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378" w:type="pct"/>
            <w:tcBorders>
              <w:top w:val="single" w:color="auto" w:sz="4" w:space="0"/>
              <w:left w:val="single" w:color="auto" w:sz="4" w:space="0"/>
              <w:bottom w:val="single" w:color="auto" w:sz="4" w:space="0"/>
              <w:right w:val="single" w:color="auto" w:sz="4" w:space="0"/>
            </w:tcBorders>
            <w:noWrap/>
            <w:vAlign w:val="center"/>
          </w:tcPr>
          <w:p w14:paraId="5373C162">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14:paraId="58CE2C04">
            <w:pPr>
              <w:spacing w:line="300" w:lineRule="auto"/>
              <w:rPr>
                <w:rFonts w:hint="eastAsia" w:ascii="宋体" w:hAnsi="宋体" w:eastAsia="宋体" w:cs="宋体"/>
                <w:b w:val="0"/>
                <w:bCs/>
                <w:color w:val="auto"/>
                <w:kern w:val="2"/>
                <w:sz w:val="24"/>
                <w:szCs w:val="24"/>
                <w:highlight w:val="none"/>
                <w:lang w:val="en-US" w:eastAsia="zh-CN" w:bidi="ar-SA"/>
              </w:rPr>
            </w:pPr>
          </w:p>
        </w:tc>
      </w:tr>
      <w:tr w14:paraId="5A268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54AC2F47">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4440552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378" w:type="pct"/>
            <w:tcBorders>
              <w:top w:val="single" w:color="auto" w:sz="4" w:space="0"/>
              <w:left w:val="single" w:color="auto" w:sz="4" w:space="0"/>
              <w:bottom w:val="single" w:color="auto" w:sz="4" w:space="0"/>
              <w:right w:val="single" w:color="auto" w:sz="4" w:space="0"/>
            </w:tcBorders>
            <w:noWrap/>
            <w:vAlign w:val="center"/>
          </w:tcPr>
          <w:p w14:paraId="4CE2275A">
            <w:pPr>
              <w:pStyle w:val="3"/>
              <w:keepNext w:val="0"/>
              <w:jc w:val="left"/>
              <w:rPr>
                <w:rFonts w:hint="eastAsia" w:ascii="宋体" w:hAnsi="宋体" w:eastAsia="宋体" w:cs="宋体"/>
                <w:b w:val="0"/>
                <w:bCs/>
                <w:color w:val="auto"/>
                <w:kern w:val="2"/>
                <w:sz w:val="24"/>
                <w:szCs w:val="24"/>
                <w:highlight w:val="none"/>
                <w:lang w:val="en-US" w:eastAsia="zh-CN" w:bidi="ar-SA"/>
              </w:rPr>
            </w:pPr>
            <w:bookmarkStart w:id="290" w:name="_Toc3417"/>
            <w:r>
              <w:rPr>
                <w:rFonts w:hint="eastAsia" w:ascii="宋体" w:hAnsi="宋体" w:eastAsia="宋体" w:cs="宋体"/>
                <w:b w:val="0"/>
                <w:bCs/>
                <w:color w:val="auto"/>
                <w:kern w:val="2"/>
                <w:sz w:val="24"/>
                <w:szCs w:val="24"/>
                <w:highlight w:val="none"/>
                <w:lang w:val="en-US" w:eastAsia="zh-CN" w:bidi="ar-SA"/>
              </w:rPr>
              <w:t>法定代表人身份证明书</w:t>
            </w:r>
            <w:bookmarkEnd w:id="290"/>
          </w:p>
        </w:tc>
        <w:tc>
          <w:tcPr>
            <w:tcW w:w="424" w:type="pct"/>
            <w:tcBorders>
              <w:top w:val="single" w:color="auto" w:sz="4" w:space="0"/>
              <w:left w:val="single" w:color="auto" w:sz="4" w:space="0"/>
              <w:bottom w:val="single" w:color="auto" w:sz="4" w:space="0"/>
              <w:right w:val="single" w:color="auto" w:sz="4" w:space="0"/>
            </w:tcBorders>
            <w:noWrap/>
            <w:vAlign w:val="center"/>
          </w:tcPr>
          <w:p w14:paraId="7503970C">
            <w:pPr>
              <w:spacing w:line="300" w:lineRule="auto"/>
              <w:rPr>
                <w:rFonts w:hint="eastAsia" w:ascii="宋体" w:hAnsi="宋体" w:eastAsia="宋体" w:cs="宋体"/>
                <w:b w:val="0"/>
                <w:bCs/>
                <w:color w:val="auto"/>
                <w:kern w:val="2"/>
                <w:sz w:val="24"/>
                <w:szCs w:val="24"/>
                <w:highlight w:val="none"/>
                <w:lang w:val="en-US" w:eastAsia="zh-CN" w:bidi="ar-SA"/>
              </w:rPr>
            </w:pPr>
          </w:p>
        </w:tc>
      </w:tr>
      <w:tr w14:paraId="2CEFF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20F4F9CD">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4ABB635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378" w:type="pct"/>
            <w:tcBorders>
              <w:top w:val="single" w:color="auto" w:sz="4" w:space="0"/>
              <w:left w:val="single" w:color="auto" w:sz="4" w:space="0"/>
              <w:bottom w:val="single" w:color="auto" w:sz="4" w:space="0"/>
              <w:right w:val="single" w:color="auto" w:sz="4" w:space="0"/>
            </w:tcBorders>
            <w:noWrap/>
            <w:vAlign w:val="center"/>
          </w:tcPr>
          <w:p w14:paraId="3DC7F2ED">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14:paraId="7BA641F2">
            <w:pPr>
              <w:spacing w:line="300" w:lineRule="auto"/>
              <w:rPr>
                <w:rFonts w:hint="eastAsia" w:ascii="宋体" w:hAnsi="宋体" w:eastAsia="宋体" w:cs="宋体"/>
                <w:b w:val="0"/>
                <w:bCs/>
                <w:color w:val="auto"/>
                <w:kern w:val="2"/>
                <w:sz w:val="24"/>
                <w:szCs w:val="24"/>
                <w:highlight w:val="none"/>
                <w:lang w:val="en-US" w:eastAsia="zh-CN" w:bidi="ar-SA"/>
              </w:rPr>
            </w:pPr>
          </w:p>
        </w:tc>
      </w:tr>
      <w:tr w14:paraId="518BE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45C8F46C">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5CBC2C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14:paraId="4A4A8483">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营业执照等证明文件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605F9E9E">
            <w:pPr>
              <w:spacing w:line="300" w:lineRule="auto"/>
              <w:rPr>
                <w:rFonts w:hint="eastAsia" w:ascii="宋体" w:hAnsi="宋体" w:eastAsia="宋体" w:cs="宋体"/>
                <w:b w:val="0"/>
                <w:bCs/>
                <w:color w:val="auto"/>
                <w:kern w:val="2"/>
                <w:sz w:val="24"/>
                <w:szCs w:val="24"/>
                <w:highlight w:val="none"/>
                <w:lang w:val="en-US" w:eastAsia="zh-CN" w:bidi="ar-SA"/>
              </w:rPr>
            </w:pPr>
          </w:p>
        </w:tc>
      </w:tr>
      <w:tr w14:paraId="73AA6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5D653405">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58663C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378" w:type="pct"/>
            <w:tcBorders>
              <w:top w:val="single" w:color="auto" w:sz="4" w:space="0"/>
              <w:left w:val="single" w:color="auto" w:sz="4" w:space="0"/>
              <w:bottom w:val="single" w:color="auto" w:sz="4" w:space="0"/>
              <w:right w:val="single" w:color="auto" w:sz="4" w:space="0"/>
            </w:tcBorders>
            <w:noWrap/>
            <w:vAlign w:val="center"/>
          </w:tcPr>
          <w:p w14:paraId="296B7B2B">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0637059D">
            <w:pPr>
              <w:spacing w:line="300" w:lineRule="auto"/>
              <w:rPr>
                <w:rFonts w:hint="eastAsia" w:ascii="宋体" w:hAnsi="宋体" w:eastAsia="宋体" w:cs="宋体"/>
                <w:b w:val="0"/>
                <w:bCs/>
                <w:color w:val="auto"/>
                <w:kern w:val="2"/>
                <w:sz w:val="24"/>
                <w:szCs w:val="24"/>
                <w:highlight w:val="none"/>
                <w:lang w:val="en-US" w:eastAsia="zh-CN" w:bidi="ar-SA"/>
              </w:rPr>
            </w:pPr>
          </w:p>
        </w:tc>
      </w:tr>
      <w:tr w14:paraId="4FA7F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46CA468D">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1EF4ECD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378" w:type="pct"/>
            <w:tcBorders>
              <w:top w:val="single" w:color="auto" w:sz="4" w:space="0"/>
              <w:left w:val="single" w:color="auto" w:sz="4" w:space="0"/>
              <w:bottom w:val="single" w:color="auto" w:sz="4" w:space="0"/>
              <w:right w:val="single" w:color="auto" w:sz="4" w:space="0"/>
            </w:tcBorders>
            <w:noWrap/>
            <w:vAlign w:val="center"/>
          </w:tcPr>
          <w:p w14:paraId="415C993C">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依法缴纳税收和社会保障资金承诺函</w:t>
            </w:r>
          </w:p>
        </w:tc>
        <w:tc>
          <w:tcPr>
            <w:tcW w:w="424" w:type="pct"/>
            <w:tcBorders>
              <w:top w:val="single" w:color="auto" w:sz="4" w:space="0"/>
              <w:left w:val="single" w:color="auto" w:sz="4" w:space="0"/>
              <w:bottom w:val="single" w:color="auto" w:sz="4" w:space="0"/>
              <w:right w:val="single" w:color="auto" w:sz="4" w:space="0"/>
            </w:tcBorders>
            <w:noWrap/>
            <w:vAlign w:val="center"/>
          </w:tcPr>
          <w:p w14:paraId="467A0CBC">
            <w:pPr>
              <w:spacing w:line="300" w:lineRule="auto"/>
              <w:rPr>
                <w:rFonts w:hint="eastAsia" w:ascii="宋体" w:hAnsi="宋体" w:eastAsia="宋体" w:cs="宋体"/>
                <w:b w:val="0"/>
                <w:bCs/>
                <w:color w:val="auto"/>
                <w:kern w:val="2"/>
                <w:sz w:val="24"/>
                <w:szCs w:val="24"/>
                <w:highlight w:val="none"/>
                <w:lang w:val="en-US" w:eastAsia="zh-CN" w:bidi="ar-SA"/>
              </w:rPr>
            </w:pPr>
          </w:p>
        </w:tc>
      </w:tr>
      <w:tr w14:paraId="70E5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0BC0C338">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3272B0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378" w:type="pct"/>
            <w:tcBorders>
              <w:top w:val="single" w:color="auto" w:sz="4" w:space="0"/>
              <w:left w:val="single" w:color="auto" w:sz="4" w:space="0"/>
              <w:bottom w:val="single" w:color="auto" w:sz="4" w:space="0"/>
              <w:right w:val="single" w:color="auto" w:sz="4" w:space="0"/>
            </w:tcBorders>
            <w:noWrap/>
            <w:vAlign w:val="center"/>
          </w:tcPr>
          <w:p w14:paraId="1000C262">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14:paraId="527DF0D9">
            <w:pPr>
              <w:spacing w:line="300" w:lineRule="auto"/>
              <w:rPr>
                <w:rFonts w:hint="eastAsia" w:ascii="宋体" w:hAnsi="宋体" w:eastAsia="宋体" w:cs="宋体"/>
                <w:b w:val="0"/>
                <w:bCs/>
                <w:color w:val="auto"/>
                <w:kern w:val="2"/>
                <w:sz w:val="24"/>
                <w:szCs w:val="24"/>
                <w:highlight w:val="none"/>
                <w:lang w:val="en-US" w:eastAsia="zh-CN" w:bidi="ar-SA"/>
              </w:rPr>
            </w:pPr>
          </w:p>
        </w:tc>
      </w:tr>
      <w:tr w14:paraId="6426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68E69E9F">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7237B9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378" w:type="pct"/>
            <w:tcBorders>
              <w:top w:val="single" w:color="auto" w:sz="4" w:space="0"/>
              <w:left w:val="single" w:color="auto" w:sz="4" w:space="0"/>
              <w:bottom w:val="single" w:color="auto" w:sz="4" w:space="0"/>
              <w:right w:val="single" w:color="auto" w:sz="4" w:space="0"/>
            </w:tcBorders>
            <w:noWrap/>
            <w:vAlign w:val="center"/>
          </w:tcPr>
          <w:p w14:paraId="5DA51EEF">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14:paraId="6DBD7F29">
            <w:pPr>
              <w:spacing w:line="300" w:lineRule="auto"/>
              <w:rPr>
                <w:rFonts w:hint="eastAsia" w:ascii="宋体" w:hAnsi="宋体" w:eastAsia="宋体" w:cs="宋体"/>
                <w:b w:val="0"/>
                <w:bCs/>
                <w:color w:val="auto"/>
                <w:kern w:val="2"/>
                <w:sz w:val="24"/>
                <w:szCs w:val="24"/>
                <w:highlight w:val="none"/>
                <w:lang w:val="en-US" w:eastAsia="zh-CN" w:bidi="ar-SA"/>
              </w:rPr>
            </w:pPr>
          </w:p>
        </w:tc>
      </w:tr>
      <w:tr w14:paraId="25D5E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33CBFD7F">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14:paraId="1F8DE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14:paraId="76D03287">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630" w:type="pct"/>
            <w:tcBorders>
              <w:left w:val="single" w:color="auto" w:sz="4" w:space="0"/>
              <w:bottom w:val="single" w:color="auto" w:sz="4" w:space="0"/>
              <w:right w:val="single" w:color="auto" w:sz="4" w:space="0"/>
            </w:tcBorders>
            <w:noWrap/>
            <w:vAlign w:val="center"/>
          </w:tcPr>
          <w:p w14:paraId="0FC3E4BA">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378" w:type="pct"/>
            <w:tcBorders>
              <w:left w:val="single" w:color="auto" w:sz="4" w:space="0"/>
              <w:bottom w:val="single" w:color="auto" w:sz="4" w:space="0"/>
              <w:right w:val="single" w:color="auto" w:sz="4" w:space="0"/>
            </w:tcBorders>
            <w:noWrap/>
            <w:vAlign w:val="center"/>
          </w:tcPr>
          <w:p w14:paraId="64A3140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14:paraId="3894F734">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14:paraId="44E3A677">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14:paraId="6749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noWrap/>
            <w:vAlign w:val="center"/>
          </w:tcPr>
          <w:p w14:paraId="2C7B8BA0">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报价部分</w:t>
            </w:r>
          </w:p>
          <w:p w14:paraId="00C01558">
            <w:pPr>
              <w:pStyle w:val="37"/>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bidi="ar-SA"/>
              </w:rPr>
            </w:pPr>
            <w:r>
              <w:rPr>
                <w:rFonts w:hint="eastAsia" w:ascii="宋体" w:hAnsi="宋体" w:eastAsia="宋体" w:cs="宋体"/>
                <w:sz w:val="24"/>
                <w:szCs w:val="24"/>
                <w:highlight w:val="none"/>
                <w:lang w:val="en-US" w:eastAsia="zh-CN"/>
              </w:rPr>
              <w:t>35分</w:t>
            </w:r>
          </w:p>
        </w:tc>
        <w:tc>
          <w:tcPr>
            <w:tcW w:w="630" w:type="pct"/>
            <w:tcBorders>
              <w:top w:val="single" w:color="auto" w:sz="4" w:space="0"/>
              <w:left w:val="single" w:color="auto" w:sz="4" w:space="0"/>
              <w:bottom w:val="single" w:color="auto" w:sz="4" w:space="0"/>
              <w:right w:val="single" w:color="auto" w:sz="4" w:space="0"/>
            </w:tcBorders>
            <w:noWrap/>
            <w:vAlign w:val="center"/>
          </w:tcPr>
          <w:p w14:paraId="6E0D4C85">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投标报价</w:t>
            </w:r>
          </w:p>
          <w:p w14:paraId="2880C9DC">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1572A933">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以满足磋商文件要求且最后报价最低的供应商的价格为磋商基准价，其价格分为满分3</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分，其他供应商的价格分统一按照下列公式计算：磋商报价得分=（磋商基准价/最后磋商报价）×3</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%×100。</w:t>
            </w:r>
          </w:p>
        </w:tc>
        <w:tc>
          <w:tcPr>
            <w:tcW w:w="424" w:type="pct"/>
            <w:tcBorders>
              <w:top w:val="single" w:color="auto" w:sz="4" w:space="0"/>
              <w:left w:val="single" w:color="auto" w:sz="4" w:space="0"/>
              <w:bottom w:val="single" w:color="auto" w:sz="4" w:space="0"/>
              <w:right w:val="single" w:color="auto" w:sz="4" w:space="0"/>
            </w:tcBorders>
            <w:noWrap/>
            <w:vAlign w:val="center"/>
          </w:tcPr>
          <w:p w14:paraId="7DE4F86D">
            <w:pPr>
              <w:spacing w:line="300" w:lineRule="auto"/>
              <w:rPr>
                <w:rFonts w:hint="eastAsia" w:ascii="宋体" w:hAnsi="宋体" w:eastAsia="宋体" w:cs="宋体"/>
                <w:b w:val="0"/>
                <w:bCs/>
                <w:color w:val="auto"/>
                <w:sz w:val="24"/>
                <w:szCs w:val="24"/>
                <w:highlight w:val="none"/>
                <w:vertAlign w:val="baseline"/>
                <w:lang w:val="en-US" w:eastAsia="zh-CN"/>
              </w:rPr>
            </w:pPr>
          </w:p>
        </w:tc>
      </w:tr>
      <w:tr w14:paraId="6B90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vMerge w:val="restart"/>
            <w:tcBorders>
              <w:top w:val="single" w:color="auto" w:sz="4" w:space="0"/>
              <w:left w:val="single" w:color="auto" w:sz="4" w:space="0"/>
              <w:right w:val="single" w:color="auto" w:sz="4" w:space="0"/>
            </w:tcBorders>
            <w:noWrap/>
            <w:vAlign w:val="center"/>
          </w:tcPr>
          <w:p w14:paraId="00595480">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技术部分</w:t>
            </w:r>
          </w:p>
          <w:p w14:paraId="77F7FE02">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50分</w:t>
            </w:r>
          </w:p>
        </w:tc>
        <w:tc>
          <w:tcPr>
            <w:tcW w:w="630" w:type="pct"/>
            <w:tcBorders>
              <w:top w:val="single" w:color="auto" w:sz="4" w:space="0"/>
              <w:left w:val="single" w:color="auto" w:sz="4" w:space="0"/>
              <w:bottom w:val="single" w:color="auto" w:sz="4" w:space="0"/>
              <w:right w:val="single" w:color="auto" w:sz="4" w:space="0"/>
            </w:tcBorders>
            <w:noWrap/>
            <w:vAlign w:val="center"/>
          </w:tcPr>
          <w:p w14:paraId="62C4BE44">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投标产品技术响应</w:t>
            </w:r>
          </w:p>
          <w:p w14:paraId="451F34D7">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0A9C09F7">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完全满足磋商文件技术要求得3</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分。每存在一条</w:t>
            </w:r>
            <w:r>
              <w:rPr>
                <w:rFonts w:hint="eastAsia" w:ascii="宋体" w:hAnsi="宋体" w:eastAsia="宋体" w:cs="宋体"/>
                <w:sz w:val="24"/>
                <w:szCs w:val="24"/>
                <w:highlight w:val="none"/>
                <w:lang w:val="en-US" w:eastAsia="zh-CN"/>
              </w:rPr>
              <w:t>一般条款</w:t>
            </w:r>
            <w:r>
              <w:rPr>
                <w:rFonts w:hint="eastAsia" w:ascii="宋体" w:hAnsi="宋体" w:eastAsia="宋体" w:cs="宋体"/>
                <w:sz w:val="24"/>
                <w:szCs w:val="24"/>
                <w:highlight w:val="none"/>
              </w:rPr>
              <w:t>负偏离扣</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每存在一条标“*”条款扣</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分</w:t>
            </w:r>
            <w:r>
              <w:rPr>
                <w:rFonts w:hint="eastAsia" w:ascii="宋体" w:hAnsi="宋体" w:eastAsia="宋体" w:cs="宋体"/>
                <w:sz w:val="24"/>
                <w:szCs w:val="24"/>
                <w:highlight w:val="none"/>
              </w:rPr>
              <w:t>，扣完为止。</w:t>
            </w:r>
          </w:p>
          <w:p w14:paraId="26C29FA1">
            <w:pPr>
              <w:keepNext w:val="0"/>
              <w:keepLines w:val="0"/>
              <w:pageBreakBefore w:val="0"/>
              <w:kinsoku/>
              <w:wordWrap/>
              <w:overflowPunct/>
              <w:topLinePunct w:val="0"/>
              <w:bidi w:val="0"/>
              <w:adjustRightInd w:val="0"/>
              <w:snapToGrid w:val="0"/>
              <w:spacing w:line="500" w:lineRule="exact"/>
              <w:ind w:firstLine="482"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b/>
                <w:bCs/>
                <w:sz w:val="24"/>
                <w:szCs w:val="24"/>
                <w:highlight w:val="none"/>
              </w:rPr>
              <w:t>注：供应商需提供所投产品彩页或相应技术参数的厂家使用说明书或检测报告全本清晰影印件等作为技术证明文件佐证材料，否则磋商小组有权视相应技术参数为负偏离。</w:t>
            </w:r>
          </w:p>
        </w:tc>
        <w:tc>
          <w:tcPr>
            <w:tcW w:w="424" w:type="pct"/>
            <w:tcBorders>
              <w:top w:val="single" w:color="auto" w:sz="4" w:space="0"/>
              <w:left w:val="single" w:color="auto" w:sz="4" w:space="0"/>
              <w:bottom w:val="single" w:color="auto" w:sz="4" w:space="0"/>
              <w:right w:val="single" w:color="auto" w:sz="4" w:space="0"/>
            </w:tcBorders>
            <w:noWrap/>
            <w:vAlign w:val="center"/>
          </w:tcPr>
          <w:p w14:paraId="1FA7B712">
            <w:pPr>
              <w:spacing w:line="300" w:lineRule="auto"/>
              <w:rPr>
                <w:rFonts w:hint="eastAsia" w:ascii="宋体" w:hAnsi="宋体" w:eastAsia="宋体" w:cs="宋体"/>
                <w:b w:val="0"/>
                <w:bCs/>
                <w:color w:val="auto"/>
                <w:sz w:val="24"/>
                <w:szCs w:val="24"/>
                <w:highlight w:val="none"/>
                <w:vertAlign w:val="baseline"/>
                <w:lang w:val="en-US" w:eastAsia="zh-CN"/>
              </w:rPr>
            </w:pPr>
          </w:p>
        </w:tc>
      </w:tr>
      <w:tr w14:paraId="26D6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vMerge w:val="continue"/>
            <w:tcBorders>
              <w:left w:val="single" w:color="auto" w:sz="4" w:space="0"/>
              <w:right w:val="single" w:color="auto" w:sz="4" w:space="0"/>
            </w:tcBorders>
            <w:noWrap/>
            <w:vAlign w:val="center"/>
          </w:tcPr>
          <w:p w14:paraId="5E45B23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08873A5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产品整体综合评价</w:t>
            </w:r>
          </w:p>
          <w:p w14:paraId="7B7654B6">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default" w:ascii="宋体" w:hAnsi="宋体" w:eastAsia="宋体" w:cs="宋体"/>
                <w:bCs/>
                <w:kern w:val="2"/>
                <w:sz w:val="24"/>
                <w:szCs w:val="24"/>
                <w:highlight w:val="none"/>
                <w:lang w:val="en-US" w:eastAsia="zh-CN" w:bidi="ar-SA"/>
              </w:rPr>
            </w:pPr>
            <w:r>
              <w:rPr>
                <w:rFonts w:hint="eastAsia" w:ascii="宋体" w:hAnsi="宋体" w:eastAsia="宋体" w:cs="宋体"/>
                <w:bCs/>
                <w:sz w:val="24"/>
                <w:szCs w:val="24"/>
                <w:highlight w:val="none"/>
              </w:rPr>
              <w:t>12分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5D57087A">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1、整体技术性能：所投产品的整体技术性能成熟、可扩展性强，得4分；产品整体技术性能较为成熟、有一定的扩展性，得2分；产品整体技术性能不够稳定成熟、可扩展性一般，得1分。</w:t>
            </w:r>
          </w:p>
          <w:p w14:paraId="65BBC6B0">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2、产品整体配置：所投产品整体配置全面、高于或满足磋商文件要求得4分，整体配置较为全面得2分，整体配置不完善得1分。</w:t>
            </w:r>
          </w:p>
          <w:p w14:paraId="1821DEDE">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3、使用成本、易于维护性：所投产品的后期使用成本低、易于维护得4分；后期使用成本较低、易于维护性一般得2分；使用成本较高、不易维护得1分。</w:t>
            </w:r>
          </w:p>
        </w:tc>
        <w:tc>
          <w:tcPr>
            <w:tcW w:w="424" w:type="pct"/>
            <w:tcBorders>
              <w:top w:val="single" w:color="auto" w:sz="4" w:space="0"/>
              <w:left w:val="single" w:color="auto" w:sz="4" w:space="0"/>
              <w:bottom w:val="single" w:color="auto" w:sz="4" w:space="0"/>
              <w:right w:val="single" w:color="auto" w:sz="4" w:space="0"/>
            </w:tcBorders>
            <w:noWrap/>
            <w:vAlign w:val="center"/>
          </w:tcPr>
          <w:p w14:paraId="0D3C3498">
            <w:pPr>
              <w:spacing w:line="300" w:lineRule="auto"/>
              <w:rPr>
                <w:rFonts w:hint="eastAsia" w:ascii="宋体" w:hAnsi="宋体" w:eastAsia="宋体" w:cs="宋体"/>
                <w:b w:val="0"/>
                <w:bCs/>
                <w:color w:val="auto"/>
                <w:sz w:val="24"/>
                <w:szCs w:val="24"/>
                <w:highlight w:val="none"/>
                <w:vertAlign w:val="baseline"/>
                <w:lang w:val="en-US" w:eastAsia="zh-CN"/>
              </w:rPr>
            </w:pPr>
          </w:p>
        </w:tc>
      </w:tr>
      <w:tr w14:paraId="62725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vMerge w:val="continue"/>
            <w:tcBorders>
              <w:left w:val="single" w:color="auto" w:sz="4" w:space="0"/>
              <w:right w:val="single" w:color="auto" w:sz="4" w:space="0"/>
            </w:tcBorders>
            <w:noWrap/>
            <w:vAlign w:val="center"/>
          </w:tcPr>
          <w:p w14:paraId="68AA054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45A42F03">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项目实施方案</w:t>
            </w:r>
          </w:p>
          <w:p w14:paraId="437D0E4E">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bCs/>
                <w:sz w:val="24"/>
                <w:szCs w:val="24"/>
                <w:highlight w:val="none"/>
                <w:lang w:val="en-US" w:eastAsia="zh-CN"/>
              </w:rPr>
              <w:t>8</w:t>
            </w:r>
            <w:r>
              <w:rPr>
                <w:rFonts w:hint="eastAsia" w:ascii="宋体" w:hAnsi="宋体" w:eastAsia="宋体" w:cs="宋体"/>
                <w:bCs/>
                <w:sz w:val="24"/>
                <w:szCs w:val="24"/>
                <w:highlight w:val="none"/>
              </w:rPr>
              <w:t>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113535B4">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1、供货方案：对供应商的供货方案进行综合评价，包括供货组织计划、供货保障措施两个方面，每项</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分，满分</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分。每有一处问题或不完善扣</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分，扣完为止，缺项不得分。</w:t>
            </w:r>
          </w:p>
          <w:p w14:paraId="66A6CF65">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2、安装调试方案：对供应商的安装调试方案进行综合评价，包括安装进度计划、调试方案及技术措施、验收方案三个方面，每项</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分，满分</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分。每有一处问题或不完善扣</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分，扣完为止，缺项不得分。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327A192D">
            <w:pPr>
              <w:spacing w:line="300" w:lineRule="auto"/>
              <w:rPr>
                <w:rFonts w:hint="eastAsia" w:ascii="宋体" w:hAnsi="宋体" w:eastAsia="宋体" w:cs="宋体"/>
                <w:b w:val="0"/>
                <w:bCs/>
                <w:color w:val="auto"/>
                <w:sz w:val="24"/>
                <w:szCs w:val="24"/>
                <w:highlight w:val="none"/>
                <w:vertAlign w:val="baseline"/>
                <w:lang w:val="en-US" w:eastAsia="zh-CN"/>
              </w:rPr>
            </w:pPr>
          </w:p>
        </w:tc>
      </w:tr>
      <w:tr w14:paraId="4599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vMerge w:val="restart"/>
            <w:tcBorders>
              <w:top w:val="single" w:color="auto" w:sz="4" w:space="0"/>
              <w:left w:val="single" w:color="auto" w:sz="4" w:space="0"/>
              <w:right w:val="single" w:color="auto" w:sz="4" w:space="0"/>
            </w:tcBorders>
            <w:noWrap/>
            <w:vAlign w:val="center"/>
          </w:tcPr>
          <w:p w14:paraId="6C15DD06">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商务部分</w:t>
            </w:r>
          </w:p>
          <w:p w14:paraId="2301555E">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分</w:t>
            </w:r>
          </w:p>
        </w:tc>
        <w:tc>
          <w:tcPr>
            <w:tcW w:w="630" w:type="pct"/>
            <w:tcBorders>
              <w:top w:val="single" w:color="auto" w:sz="4" w:space="0"/>
              <w:left w:val="single" w:color="auto" w:sz="4" w:space="0"/>
              <w:bottom w:val="single" w:color="auto" w:sz="4" w:space="0"/>
              <w:right w:val="single" w:color="auto" w:sz="4" w:space="0"/>
            </w:tcBorders>
            <w:noWrap/>
            <w:vAlign w:val="center"/>
          </w:tcPr>
          <w:p w14:paraId="72EB7D45">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业绩</w:t>
            </w:r>
          </w:p>
          <w:p w14:paraId="13E700C0">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5分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38B0977D">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供应商自202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月1日以来同类项目业绩（以合同签订时间为准），每提供一份业绩得1分，最多得5分。</w:t>
            </w:r>
          </w:p>
          <w:p w14:paraId="6DB5D2FB">
            <w:pPr>
              <w:keepNext w:val="0"/>
              <w:keepLines w:val="0"/>
              <w:pageBreakBefore w:val="0"/>
              <w:kinsoku/>
              <w:wordWrap/>
              <w:overflowPunct/>
              <w:topLinePunct w:val="0"/>
              <w:bidi w:val="0"/>
              <w:adjustRightInd w:val="0"/>
              <w:snapToGrid w:val="0"/>
              <w:spacing w:line="500" w:lineRule="exact"/>
              <w:ind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b/>
                <w:sz w:val="24"/>
                <w:szCs w:val="24"/>
                <w:highlight w:val="none"/>
              </w:rPr>
              <w:t>注：供应商需在响应文件中提供</w:t>
            </w:r>
            <w:r>
              <w:rPr>
                <w:rFonts w:hint="eastAsia" w:ascii="宋体" w:hAnsi="宋体" w:eastAsia="宋体" w:cs="宋体"/>
                <w:b/>
                <w:bCs/>
                <w:sz w:val="24"/>
                <w:szCs w:val="24"/>
                <w:highlight w:val="none"/>
              </w:rPr>
              <w:t>成交通知书和</w:t>
            </w:r>
            <w:r>
              <w:rPr>
                <w:rFonts w:hint="eastAsia" w:ascii="宋体" w:hAnsi="宋体" w:eastAsia="宋体" w:cs="宋体"/>
                <w:b/>
                <w:sz w:val="24"/>
                <w:szCs w:val="24"/>
                <w:highlight w:val="none"/>
              </w:rPr>
              <w:t>完整合同复印件并加盖供应商公章，同时在报价时递交成交通知书和合同原件核验，未按上述要求提供的业绩均不予认可。</w:t>
            </w:r>
          </w:p>
        </w:tc>
        <w:tc>
          <w:tcPr>
            <w:tcW w:w="424" w:type="pct"/>
            <w:tcBorders>
              <w:top w:val="single" w:color="auto" w:sz="4" w:space="0"/>
              <w:left w:val="single" w:color="auto" w:sz="4" w:space="0"/>
              <w:bottom w:val="single" w:color="auto" w:sz="4" w:space="0"/>
              <w:right w:val="single" w:color="auto" w:sz="4" w:space="0"/>
            </w:tcBorders>
            <w:noWrap/>
            <w:vAlign w:val="center"/>
          </w:tcPr>
          <w:p w14:paraId="6CA1C3B0">
            <w:pPr>
              <w:spacing w:line="300" w:lineRule="auto"/>
              <w:rPr>
                <w:rFonts w:hint="eastAsia" w:ascii="宋体" w:hAnsi="宋体" w:eastAsia="宋体" w:cs="宋体"/>
                <w:b w:val="0"/>
                <w:bCs/>
                <w:color w:val="auto"/>
                <w:sz w:val="24"/>
                <w:szCs w:val="24"/>
                <w:highlight w:val="none"/>
                <w:vertAlign w:val="baseline"/>
                <w:lang w:val="en-US" w:eastAsia="zh-CN"/>
              </w:rPr>
            </w:pPr>
          </w:p>
        </w:tc>
      </w:tr>
      <w:tr w14:paraId="435DB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vMerge w:val="continue"/>
            <w:tcBorders>
              <w:left w:val="single" w:color="auto" w:sz="4" w:space="0"/>
              <w:right w:val="single" w:color="auto" w:sz="4" w:space="0"/>
            </w:tcBorders>
            <w:noWrap/>
            <w:vAlign w:val="center"/>
          </w:tcPr>
          <w:p w14:paraId="0FDABC8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13BFE369">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售后服务</w:t>
            </w:r>
          </w:p>
          <w:p w14:paraId="6FABD85D">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方案</w:t>
            </w:r>
          </w:p>
          <w:p w14:paraId="2936FC86">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5分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5C13745B">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对供应商售后服务方案进行综合评价，包括售后服务机构及人员设置、服务响应时间、响应程度、服务标准承诺、故障（含紧急故障）排除时间承诺五个方面，每项1分，满分5分。每项每有一处问题或不完善扣0.5分，扣完为止，缺项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09554C51">
            <w:pPr>
              <w:keepNext w:val="0"/>
              <w:keepLines w:val="0"/>
              <w:pageBreakBefore w:val="0"/>
              <w:kinsoku/>
              <w:overflowPunct/>
              <w:bidi w:val="0"/>
              <w:adjustRightInd/>
              <w:snapToGrid/>
              <w:spacing w:line="500" w:lineRule="exact"/>
              <w:jc w:val="center"/>
              <w:textAlignment w:val="auto"/>
              <w:rPr>
                <w:rFonts w:hint="eastAsia" w:ascii="宋体" w:hAnsi="宋体" w:eastAsia="宋体" w:cs="宋体"/>
                <w:b w:val="0"/>
                <w:bCs/>
                <w:color w:val="auto"/>
                <w:sz w:val="24"/>
                <w:szCs w:val="24"/>
                <w:highlight w:val="none"/>
                <w:vertAlign w:val="baseline"/>
                <w:lang w:val="en-US" w:eastAsia="zh-CN"/>
              </w:rPr>
            </w:pPr>
          </w:p>
        </w:tc>
      </w:tr>
      <w:tr w14:paraId="08FA2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vMerge w:val="continue"/>
            <w:tcBorders>
              <w:left w:val="single" w:color="auto" w:sz="4" w:space="0"/>
              <w:right w:val="single" w:color="auto" w:sz="4" w:space="0"/>
            </w:tcBorders>
            <w:noWrap/>
            <w:vAlign w:val="center"/>
          </w:tcPr>
          <w:p w14:paraId="2B9F76F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5945D67E">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优惠条款</w:t>
            </w:r>
          </w:p>
          <w:p w14:paraId="6218CE30">
            <w:pPr>
              <w:keepNext w:val="0"/>
              <w:keepLines w:val="0"/>
              <w:pageBreakBefore w:val="0"/>
              <w:kinsoku/>
              <w:wordWrap/>
              <w:overflowPunct/>
              <w:topLinePunct w:val="0"/>
              <w:bidi w:val="0"/>
              <w:adjustRightInd w:val="0"/>
              <w:snapToGrid w:val="0"/>
              <w:spacing w:line="500" w:lineRule="exact"/>
              <w:ind w:firstLine="0" w:firstLineChars="0"/>
              <w:jc w:val="center"/>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3分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24AED1F6">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供应商提供磋商文件要求之外的其它优惠条款（不含耗材及备品备件），由磋商小组认可为实质性优惠条款的，每提供1条得1分，最多得3分；无实质性优惠条款或优惠条款未得到磋商小组认可的得0分。</w:t>
            </w:r>
          </w:p>
        </w:tc>
        <w:tc>
          <w:tcPr>
            <w:tcW w:w="424" w:type="pct"/>
            <w:tcBorders>
              <w:top w:val="single" w:color="auto" w:sz="4" w:space="0"/>
              <w:left w:val="single" w:color="auto" w:sz="4" w:space="0"/>
              <w:bottom w:val="single" w:color="auto" w:sz="4" w:space="0"/>
              <w:right w:val="single" w:color="auto" w:sz="4" w:space="0"/>
            </w:tcBorders>
            <w:noWrap/>
            <w:vAlign w:val="center"/>
          </w:tcPr>
          <w:p w14:paraId="4EA3E582">
            <w:pPr>
              <w:keepNext w:val="0"/>
              <w:keepLines w:val="0"/>
              <w:pageBreakBefore w:val="0"/>
              <w:widowControl/>
              <w:kinsoku/>
              <w:overflowPunct/>
              <w:bidi w:val="0"/>
              <w:adjustRightInd/>
              <w:snapToGrid/>
              <w:spacing w:line="500" w:lineRule="exact"/>
              <w:textAlignment w:val="auto"/>
              <w:rPr>
                <w:rFonts w:hint="eastAsia" w:ascii="宋体" w:hAnsi="宋体" w:eastAsia="宋体" w:cs="宋体"/>
                <w:b w:val="0"/>
                <w:bCs/>
                <w:color w:val="auto"/>
                <w:sz w:val="24"/>
                <w:szCs w:val="24"/>
                <w:highlight w:val="none"/>
              </w:rPr>
            </w:pPr>
          </w:p>
        </w:tc>
      </w:tr>
      <w:tr w14:paraId="0E0EA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vMerge w:val="continue"/>
            <w:tcBorders>
              <w:left w:val="single" w:color="auto" w:sz="4" w:space="0"/>
              <w:right w:val="single" w:color="auto" w:sz="4" w:space="0"/>
            </w:tcBorders>
            <w:noWrap/>
            <w:vAlign w:val="center"/>
          </w:tcPr>
          <w:p w14:paraId="6BCB210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1D13CE06">
            <w:pPr>
              <w:keepNext w:val="0"/>
              <w:keepLines w:val="0"/>
              <w:pageBreakBefore w:val="0"/>
              <w:kinsoku/>
              <w:wordWrap/>
              <w:overflowPunct/>
              <w:topLinePunct w:val="0"/>
              <w:bidi w:val="0"/>
              <w:adjustRightInd w:val="0"/>
              <w:spacing w:line="500" w:lineRule="exact"/>
              <w:ind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质保期</w:t>
            </w:r>
          </w:p>
          <w:p w14:paraId="254F021B">
            <w:pPr>
              <w:keepNext w:val="0"/>
              <w:keepLines w:val="0"/>
              <w:pageBreakBefore w:val="0"/>
              <w:kinsoku/>
              <w:wordWrap/>
              <w:overflowPunct/>
              <w:topLinePunct w:val="0"/>
              <w:bidi w:val="0"/>
              <w:adjustRightInd w:val="0"/>
              <w:spacing w:line="500" w:lineRule="exact"/>
              <w:ind w:firstLine="0" w:firstLineChars="0"/>
              <w:jc w:val="center"/>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6CC91E68">
            <w:pPr>
              <w:keepNext w:val="0"/>
              <w:keepLines w:val="0"/>
              <w:pageBreakBefore w:val="0"/>
              <w:kinsoku/>
              <w:wordWrap/>
              <w:overflowPunct/>
              <w:topLinePunct w:val="0"/>
              <w:bidi w:val="0"/>
              <w:adjustRightInd w:val="0"/>
              <w:snapToGrid w:val="0"/>
              <w:spacing w:line="5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质保期</w:t>
            </w:r>
            <w:r>
              <w:rPr>
                <w:rFonts w:hint="eastAsia" w:ascii="宋体" w:hAnsi="宋体" w:eastAsia="宋体" w:cs="宋体"/>
                <w:sz w:val="24"/>
                <w:szCs w:val="24"/>
                <w:highlight w:val="none"/>
                <w:lang w:val="en-US" w:eastAsia="zh-CN"/>
              </w:rPr>
              <w:t>3年及以下不得</w:t>
            </w:r>
            <w:r>
              <w:rPr>
                <w:rFonts w:hint="eastAsia" w:ascii="宋体" w:hAnsi="宋体" w:eastAsia="宋体" w:cs="宋体"/>
                <w:sz w:val="24"/>
                <w:szCs w:val="24"/>
                <w:highlight w:val="none"/>
              </w:rPr>
              <w:t>分，整体质保每增加一年1分，最多得2分。仅单一产品增加质保期不计分。</w:t>
            </w:r>
          </w:p>
        </w:tc>
        <w:tc>
          <w:tcPr>
            <w:tcW w:w="424" w:type="pct"/>
            <w:tcBorders>
              <w:top w:val="single" w:color="auto" w:sz="4" w:space="0"/>
              <w:left w:val="single" w:color="auto" w:sz="4" w:space="0"/>
              <w:bottom w:val="single" w:color="auto" w:sz="4" w:space="0"/>
              <w:right w:val="single" w:color="auto" w:sz="4" w:space="0"/>
            </w:tcBorders>
            <w:noWrap/>
            <w:vAlign w:val="center"/>
          </w:tcPr>
          <w:p w14:paraId="202848CC">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val="0"/>
                <w:bCs/>
                <w:color w:val="auto"/>
                <w:sz w:val="24"/>
                <w:szCs w:val="24"/>
                <w:highlight w:val="none"/>
              </w:rPr>
            </w:pPr>
          </w:p>
        </w:tc>
      </w:tr>
    </w:tbl>
    <w:p w14:paraId="0CF9D79E">
      <w:pPr>
        <w:pStyle w:val="46"/>
        <w:spacing w:line="480" w:lineRule="exact"/>
        <w:ind w:left="0"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说明：该表的位置应封装在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（响应文件）目录之前。</w:t>
      </w:r>
    </w:p>
    <w:p w14:paraId="59E834EE">
      <w:pPr>
        <w:pStyle w:val="37"/>
        <w:rPr>
          <w:rFonts w:hint="eastAsia" w:ascii="宋体" w:hAnsi="宋体" w:eastAsia="宋体" w:cs="宋体"/>
          <w:color w:val="auto"/>
          <w:sz w:val="24"/>
          <w:szCs w:val="24"/>
          <w:highlight w:val="none"/>
        </w:rPr>
      </w:pPr>
    </w:p>
    <w:p w14:paraId="43E65E15">
      <w:pPr>
        <w:rPr>
          <w:rFonts w:hint="eastAsia" w:ascii="宋体" w:hAnsi="宋体" w:eastAsia="宋体" w:cs="宋体"/>
          <w:color w:val="auto"/>
          <w:highlight w:val="none"/>
        </w:rPr>
      </w:pPr>
    </w:p>
    <w:p w14:paraId="70886EEB">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28E1EBF">
      <w:pPr>
        <w:pStyle w:val="5"/>
        <w:rPr>
          <w:rFonts w:hint="eastAsia" w:ascii="宋体" w:hAnsi="宋体" w:eastAsia="宋体" w:cs="宋体"/>
          <w:color w:val="auto"/>
          <w:highlight w:val="none"/>
        </w:rPr>
      </w:pPr>
    </w:p>
    <w:p w14:paraId="7BDB76B7">
      <w:pPr>
        <w:pStyle w:val="3"/>
        <w:numPr>
          <w:ilvl w:val="0"/>
          <w:numId w:val="0"/>
        </w:numPr>
        <w:spacing w:line="480" w:lineRule="exact"/>
        <w:ind w:leftChars="177"/>
        <w:jc w:val="center"/>
        <w:rPr>
          <w:rFonts w:hint="eastAsia" w:ascii="宋体" w:hAnsi="宋体" w:eastAsia="宋体" w:cs="宋体"/>
          <w:color w:val="auto"/>
          <w:highlight w:val="none"/>
        </w:rPr>
      </w:pPr>
      <w:bookmarkStart w:id="291" w:name="_Toc7206"/>
      <w:r>
        <w:rPr>
          <w:rFonts w:hint="eastAsia" w:ascii="宋体" w:hAnsi="宋体" w:cs="宋体"/>
          <w:color w:val="auto"/>
          <w:highlight w:val="none"/>
          <w:lang w:val="en-US" w:eastAsia="zh-CN"/>
        </w:rPr>
        <w:t>三、</w:t>
      </w:r>
      <w:r>
        <w:rPr>
          <w:rFonts w:hint="eastAsia" w:ascii="宋体" w:hAnsi="宋体" w:eastAsia="宋体" w:cs="宋体"/>
          <w:color w:val="auto"/>
          <w:highlight w:val="none"/>
        </w:rPr>
        <w:t>报价一览表</w:t>
      </w:r>
      <w:bookmarkEnd w:id="286"/>
      <w:bookmarkEnd w:id="287"/>
      <w:bookmarkEnd w:id="288"/>
      <w:bookmarkEnd w:id="291"/>
    </w:p>
    <w:p w14:paraId="3BE00234">
      <w:pPr>
        <w:numPr>
          <w:ilvl w:val="0"/>
          <w:numId w:val="0"/>
        </w:numPr>
        <w:ind w:leftChars="177"/>
        <w:rPr>
          <w:rFonts w:hint="eastAsia" w:ascii="宋体" w:hAnsi="宋体" w:eastAsia="宋体" w:cs="宋体"/>
          <w:color w:val="auto"/>
          <w:highlight w:val="none"/>
        </w:rPr>
      </w:pPr>
    </w:p>
    <w:p w14:paraId="09D8083F">
      <w:pPr>
        <w:spacing w:line="300" w:lineRule="auto"/>
        <w:ind w:firstLine="3631"/>
        <w:rPr>
          <w:rFonts w:hint="eastAsia" w:ascii="宋体" w:hAnsi="宋体" w:cs="仿宋_GB2312"/>
          <w:color w:val="auto"/>
          <w:sz w:val="28"/>
          <w:szCs w:val="28"/>
          <w:highlight w:val="none"/>
        </w:rPr>
      </w:pPr>
      <w:bookmarkStart w:id="292" w:name="_Hlt520356241"/>
      <w:bookmarkEnd w:id="292"/>
      <w:bookmarkStart w:id="293" w:name="_Toc480942349"/>
      <w:bookmarkStart w:id="294" w:name="_Ref467988698"/>
      <w:bookmarkStart w:id="295" w:name="_Toc216582813"/>
      <w:bookmarkStart w:id="296" w:name="_Toc520356217"/>
      <w:r>
        <w:rPr>
          <w:rFonts w:hint="eastAsia" w:ascii="宋体" w:hAnsi="宋体"/>
          <w:color w:val="auto"/>
          <w:sz w:val="24"/>
          <w:szCs w:val="24"/>
          <w:highlight w:val="none"/>
        </w:rPr>
        <w:t xml:space="preserve">                    </w:t>
      </w:r>
      <w:r>
        <w:rPr>
          <w:rFonts w:hint="eastAsia" w:ascii="宋体" w:hAnsi="宋体" w:cs="仿宋_GB2312"/>
          <w:color w:val="auto"/>
          <w:sz w:val="28"/>
          <w:szCs w:val="28"/>
          <w:highlight w:val="none"/>
        </w:rPr>
        <w:t xml:space="preserve"> 金额单位：元</w:t>
      </w:r>
    </w:p>
    <w:tbl>
      <w:tblPr>
        <w:tblStyle w:val="29"/>
        <w:tblW w:w="10019" w:type="dxa"/>
        <w:jc w:val="center"/>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83"/>
        <w:gridCol w:w="7136"/>
      </w:tblGrid>
      <w:tr w14:paraId="3089CCA4">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75" w:hRule="atLeast"/>
          <w:jc w:val="center"/>
        </w:trPr>
        <w:tc>
          <w:tcPr>
            <w:tcW w:w="2883" w:type="dxa"/>
            <w:tcBorders>
              <w:right w:val="single" w:color="auto" w:sz="4" w:space="0"/>
            </w:tcBorders>
            <w:noWrap w:val="0"/>
            <w:vAlign w:val="center"/>
          </w:tcPr>
          <w:p w14:paraId="1DE508F3">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项目名称</w:t>
            </w:r>
          </w:p>
        </w:tc>
        <w:tc>
          <w:tcPr>
            <w:tcW w:w="7136" w:type="dxa"/>
            <w:tcBorders>
              <w:left w:val="single" w:color="auto" w:sz="4" w:space="0"/>
            </w:tcBorders>
            <w:noWrap w:val="0"/>
            <w:vAlign w:val="center"/>
          </w:tcPr>
          <w:p w14:paraId="4C90C956">
            <w:pPr>
              <w:spacing w:line="300" w:lineRule="auto"/>
              <w:jc w:val="both"/>
              <w:rPr>
                <w:rFonts w:hint="eastAsia" w:ascii="宋体" w:hAnsi="宋体"/>
                <w:color w:val="auto"/>
                <w:sz w:val="24"/>
                <w:szCs w:val="24"/>
                <w:highlight w:val="none"/>
              </w:rPr>
            </w:pPr>
          </w:p>
        </w:tc>
      </w:tr>
      <w:tr w14:paraId="45886406">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3" w:hRule="atLeast"/>
          <w:jc w:val="center"/>
        </w:trPr>
        <w:tc>
          <w:tcPr>
            <w:tcW w:w="2883" w:type="dxa"/>
            <w:tcBorders>
              <w:right w:val="single" w:color="auto" w:sz="4" w:space="0"/>
            </w:tcBorders>
            <w:noWrap w:val="0"/>
            <w:vAlign w:val="center"/>
          </w:tcPr>
          <w:p w14:paraId="3D8652A8">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项目编号</w:t>
            </w:r>
          </w:p>
        </w:tc>
        <w:tc>
          <w:tcPr>
            <w:tcW w:w="7136" w:type="dxa"/>
            <w:tcBorders>
              <w:left w:val="single" w:color="auto" w:sz="4" w:space="0"/>
            </w:tcBorders>
            <w:noWrap w:val="0"/>
            <w:vAlign w:val="center"/>
          </w:tcPr>
          <w:p w14:paraId="2CA7B681">
            <w:pPr>
              <w:spacing w:line="300" w:lineRule="auto"/>
              <w:jc w:val="both"/>
              <w:rPr>
                <w:rFonts w:hint="eastAsia" w:ascii="宋体" w:hAnsi="宋体" w:eastAsia="宋体"/>
                <w:color w:val="auto"/>
                <w:sz w:val="24"/>
                <w:szCs w:val="24"/>
                <w:highlight w:val="none"/>
                <w:lang w:eastAsia="zh-CN"/>
              </w:rPr>
            </w:pPr>
          </w:p>
        </w:tc>
      </w:tr>
      <w:tr w14:paraId="65CB1E93">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3" w:hRule="atLeast"/>
          <w:jc w:val="center"/>
        </w:trPr>
        <w:tc>
          <w:tcPr>
            <w:tcW w:w="2883" w:type="dxa"/>
            <w:tcBorders>
              <w:right w:val="single" w:color="auto" w:sz="4" w:space="0"/>
            </w:tcBorders>
            <w:noWrap w:val="0"/>
            <w:vAlign w:val="center"/>
          </w:tcPr>
          <w:p w14:paraId="0D3EAFC5">
            <w:pPr>
              <w:spacing w:line="300" w:lineRule="auto"/>
              <w:jc w:val="center"/>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项目包号</w:t>
            </w:r>
          </w:p>
        </w:tc>
        <w:tc>
          <w:tcPr>
            <w:tcW w:w="7136" w:type="dxa"/>
            <w:tcBorders>
              <w:left w:val="single" w:color="auto" w:sz="4" w:space="0"/>
            </w:tcBorders>
            <w:noWrap w:val="0"/>
            <w:vAlign w:val="center"/>
          </w:tcPr>
          <w:p w14:paraId="70842426">
            <w:pPr>
              <w:spacing w:line="300" w:lineRule="auto"/>
              <w:jc w:val="center"/>
              <w:rPr>
                <w:rFonts w:hint="default" w:ascii="宋体" w:hAnsi="宋体"/>
                <w:color w:val="auto"/>
                <w:sz w:val="24"/>
                <w:szCs w:val="24"/>
                <w:highlight w:val="none"/>
                <w:lang w:val="en-US" w:eastAsia="zh-CN"/>
              </w:rPr>
            </w:pPr>
            <w:r>
              <w:rPr>
                <w:rFonts w:hint="eastAsia" w:ascii="宋体" w:hAnsi="宋体"/>
                <w:color w:val="auto"/>
                <w:sz w:val="24"/>
                <w:szCs w:val="24"/>
                <w:highlight w:val="none"/>
                <w:lang w:val="en-US" w:eastAsia="zh-CN"/>
              </w:rPr>
              <w:t>/</w:t>
            </w:r>
          </w:p>
        </w:tc>
      </w:tr>
      <w:tr w14:paraId="18E88D31">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6" w:hRule="atLeast"/>
          <w:jc w:val="center"/>
        </w:trPr>
        <w:tc>
          <w:tcPr>
            <w:tcW w:w="2883" w:type="dxa"/>
            <w:tcBorders>
              <w:right w:val="single" w:color="auto" w:sz="4" w:space="0"/>
            </w:tcBorders>
            <w:noWrap w:val="0"/>
            <w:vAlign w:val="center"/>
          </w:tcPr>
          <w:p w14:paraId="20653410">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报价</w:t>
            </w:r>
            <w:r>
              <w:rPr>
                <w:rFonts w:ascii="宋体" w:hAnsi="宋体"/>
                <w:color w:val="auto"/>
                <w:sz w:val="24"/>
                <w:szCs w:val="24"/>
                <w:highlight w:val="none"/>
              </w:rPr>
              <w:t>总金额</w:t>
            </w:r>
          </w:p>
        </w:tc>
        <w:tc>
          <w:tcPr>
            <w:tcW w:w="7136" w:type="dxa"/>
            <w:tcBorders>
              <w:left w:val="single" w:color="auto" w:sz="4" w:space="0"/>
            </w:tcBorders>
            <w:noWrap w:val="0"/>
            <w:vAlign w:val="center"/>
          </w:tcPr>
          <w:p w14:paraId="7D3D2B5A">
            <w:pPr>
              <w:spacing w:line="300" w:lineRule="auto"/>
              <w:jc w:val="both"/>
              <w:rPr>
                <w:rFonts w:hint="eastAsia" w:ascii="宋体" w:hAnsi="宋体"/>
                <w:color w:val="auto"/>
                <w:sz w:val="24"/>
                <w:szCs w:val="24"/>
                <w:highlight w:val="none"/>
              </w:rPr>
            </w:pPr>
            <w:r>
              <w:rPr>
                <w:rFonts w:hint="eastAsia" w:ascii="宋体" w:hAnsi="宋体"/>
                <w:color w:val="auto"/>
                <w:sz w:val="24"/>
                <w:szCs w:val="24"/>
                <w:highlight w:val="none"/>
              </w:rPr>
              <w:t>（小写）</w:t>
            </w:r>
          </w:p>
          <w:p w14:paraId="6D77D4FB">
            <w:pPr>
              <w:spacing w:line="300" w:lineRule="auto"/>
              <w:jc w:val="both"/>
              <w:rPr>
                <w:rFonts w:hint="eastAsia" w:ascii="宋体" w:hAnsi="宋体"/>
                <w:color w:val="auto"/>
                <w:sz w:val="24"/>
                <w:szCs w:val="24"/>
                <w:highlight w:val="none"/>
              </w:rPr>
            </w:pPr>
            <w:r>
              <w:rPr>
                <w:rFonts w:hint="eastAsia" w:ascii="宋体" w:hAnsi="宋体"/>
                <w:color w:val="auto"/>
                <w:sz w:val="24"/>
                <w:szCs w:val="24"/>
                <w:highlight w:val="none"/>
              </w:rPr>
              <w:t>（大写）</w:t>
            </w:r>
          </w:p>
        </w:tc>
      </w:tr>
      <w:tr w14:paraId="19B32B5D">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1" w:hRule="atLeast"/>
          <w:jc w:val="center"/>
        </w:trPr>
        <w:tc>
          <w:tcPr>
            <w:tcW w:w="2883" w:type="dxa"/>
            <w:tcBorders>
              <w:right w:val="single" w:color="auto" w:sz="4" w:space="0"/>
            </w:tcBorders>
            <w:noWrap w:val="0"/>
            <w:vAlign w:val="center"/>
          </w:tcPr>
          <w:p w14:paraId="2FBFA25A">
            <w:pPr>
              <w:spacing w:line="300" w:lineRule="auto"/>
              <w:jc w:val="center"/>
              <w:rPr>
                <w:rFonts w:ascii="宋体" w:hAnsi="宋体"/>
                <w:color w:val="auto"/>
                <w:sz w:val="24"/>
                <w:szCs w:val="24"/>
                <w:highlight w:val="none"/>
              </w:rPr>
            </w:pPr>
            <w:r>
              <w:rPr>
                <w:rFonts w:hint="eastAsia" w:ascii="宋体" w:hAnsi="宋体"/>
                <w:color w:val="auto"/>
                <w:sz w:val="24"/>
                <w:szCs w:val="24"/>
                <w:highlight w:val="none"/>
              </w:rPr>
              <w:t>完成周期</w:t>
            </w:r>
            <w:r>
              <w:rPr>
                <w:rFonts w:ascii="宋体" w:hAnsi="宋体"/>
                <w:color w:val="auto"/>
                <w:sz w:val="24"/>
                <w:szCs w:val="24"/>
                <w:highlight w:val="none"/>
              </w:rPr>
              <w:t>承诺</w:t>
            </w:r>
          </w:p>
        </w:tc>
        <w:tc>
          <w:tcPr>
            <w:tcW w:w="7136" w:type="dxa"/>
            <w:tcBorders>
              <w:left w:val="single" w:color="auto" w:sz="4" w:space="0"/>
            </w:tcBorders>
            <w:noWrap w:val="0"/>
            <w:vAlign w:val="center"/>
          </w:tcPr>
          <w:p w14:paraId="409DBF17">
            <w:pPr>
              <w:spacing w:line="240" w:lineRule="atLeast"/>
              <w:rPr>
                <w:rFonts w:ascii="宋体" w:hAnsi="宋体"/>
                <w:color w:val="auto"/>
                <w:sz w:val="24"/>
                <w:szCs w:val="24"/>
                <w:highlight w:val="none"/>
              </w:rPr>
            </w:pPr>
          </w:p>
        </w:tc>
      </w:tr>
      <w:tr w14:paraId="7F99E3CC">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6" w:hRule="atLeast"/>
          <w:jc w:val="center"/>
        </w:trPr>
        <w:tc>
          <w:tcPr>
            <w:tcW w:w="2883" w:type="dxa"/>
            <w:tcBorders>
              <w:right w:val="single" w:color="auto" w:sz="4" w:space="0"/>
            </w:tcBorders>
            <w:noWrap w:val="0"/>
            <w:vAlign w:val="center"/>
          </w:tcPr>
          <w:p w14:paraId="7AF22D5D">
            <w:pPr>
              <w:spacing w:line="300" w:lineRule="auto"/>
              <w:jc w:val="center"/>
              <w:rPr>
                <w:rFonts w:ascii="宋体" w:hAnsi="宋体"/>
                <w:color w:val="auto"/>
                <w:sz w:val="24"/>
                <w:szCs w:val="24"/>
                <w:highlight w:val="none"/>
              </w:rPr>
            </w:pPr>
            <w:r>
              <w:rPr>
                <w:rFonts w:hint="eastAsia" w:ascii="宋体" w:hAnsi="宋体"/>
                <w:color w:val="auto"/>
                <w:sz w:val="24"/>
                <w:szCs w:val="24"/>
                <w:highlight w:val="none"/>
                <w:lang w:val="en-US" w:eastAsia="zh-CN"/>
              </w:rPr>
              <w:t>质保</w:t>
            </w:r>
            <w:r>
              <w:rPr>
                <w:rFonts w:hint="eastAsia" w:ascii="宋体" w:hAnsi="宋体"/>
                <w:color w:val="auto"/>
                <w:sz w:val="24"/>
                <w:szCs w:val="24"/>
                <w:highlight w:val="none"/>
              </w:rPr>
              <w:t>期承诺</w:t>
            </w:r>
          </w:p>
        </w:tc>
        <w:tc>
          <w:tcPr>
            <w:tcW w:w="7136" w:type="dxa"/>
            <w:tcBorders>
              <w:left w:val="single" w:color="auto" w:sz="4" w:space="0"/>
            </w:tcBorders>
            <w:noWrap w:val="0"/>
            <w:vAlign w:val="center"/>
          </w:tcPr>
          <w:p w14:paraId="34BB3A09">
            <w:pPr>
              <w:spacing w:line="240" w:lineRule="atLeast"/>
              <w:rPr>
                <w:rFonts w:ascii="宋体" w:hAnsi="宋体"/>
                <w:color w:val="auto"/>
                <w:sz w:val="24"/>
                <w:szCs w:val="24"/>
                <w:highlight w:val="none"/>
              </w:rPr>
            </w:pPr>
          </w:p>
        </w:tc>
      </w:tr>
    </w:tbl>
    <w:p w14:paraId="4D0CD963">
      <w:pPr>
        <w:tabs>
          <w:tab w:val="left" w:pos="567"/>
          <w:tab w:val="left" w:pos="1146"/>
          <w:tab w:val="left" w:pos="1719"/>
          <w:tab w:val="left" w:pos="2483"/>
        </w:tabs>
        <w:spacing w:before="120" w:line="480" w:lineRule="exact"/>
        <w:ind w:leftChars="-135" w:hanging="283" w:hangingChars="118"/>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 1、报价一览表中“总价”是指提供服务及货物的全部费用的报价。</w:t>
      </w:r>
    </w:p>
    <w:p w14:paraId="4D94151E">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szCs w:val="21"/>
          <w:highlight w:val="none"/>
        </w:rPr>
        <w:t>2、</w:t>
      </w:r>
      <w:r>
        <w:rPr>
          <w:rFonts w:hint="eastAsia" w:ascii="宋体" w:hAnsi="宋体" w:eastAsia="宋体" w:cs="宋体"/>
          <w:color w:val="auto"/>
          <w:sz w:val="24"/>
          <w:highlight w:val="none"/>
        </w:rPr>
        <w:t>总价应和分项报价表的合计总价相一致。</w:t>
      </w:r>
    </w:p>
    <w:p w14:paraId="14C8208D">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3、本表后附分项报价表。</w:t>
      </w:r>
    </w:p>
    <w:p w14:paraId="4F19F590">
      <w:pPr>
        <w:pStyle w:val="15"/>
        <w:spacing w:line="480" w:lineRule="exact"/>
        <w:ind w:firstLine="480" w:firstLineChars="200"/>
        <w:rPr>
          <w:rFonts w:hint="eastAsia" w:ascii="宋体" w:hAnsi="宋体" w:eastAsia="宋体" w:cs="宋体"/>
          <w:color w:val="auto"/>
          <w:sz w:val="24"/>
          <w:szCs w:val="24"/>
          <w:highlight w:val="none"/>
        </w:rPr>
      </w:pPr>
    </w:p>
    <w:p w14:paraId="2833B6C7">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75ACC5AF">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78328916">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5CC7C6C2">
      <w:pPr>
        <w:tabs>
          <w:tab w:val="left" w:pos="567"/>
          <w:tab w:val="left" w:pos="1146"/>
          <w:tab w:val="left" w:pos="1719"/>
          <w:tab w:val="left" w:pos="2483"/>
        </w:tabs>
        <w:spacing w:before="120" w:line="480" w:lineRule="exact"/>
        <w:ind w:left="377" w:leftChars="46" w:hanging="280" w:hangingChars="117"/>
        <w:rPr>
          <w:rFonts w:hint="eastAsia" w:ascii="宋体" w:hAnsi="宋体" w:eastAsia="宋体" w:cs="宋体"/>
          <w:color w:val="auto"/>
          <w:sz w:val="24"/>
          <w:szCs w:val="21"/>
          <w:highlight w:val="none"/>
        </w:rPr>
      </w:pPr>
    </w:p>
    <w:p w14:paraId="16388C52">
      <w:pPr>
        <w:tabs>
          <w:tab w:val="left" w:pos="567"/>
          <w:tab w:val="left" w:pos="1146"/>
          <w:tab w:val="left" w:pos="1719"/>
          <w:tab w:val="left" w:pos="2483"/>
        </w:tabs>
        <w:spacing w:before="120" w:line="480" w:lineRule="exact"/>
        <w:ind w:left="377" w:leftChars="46" w:hanging="280" w:hangingChars="117"/>
        <w:rPr>
          <w:rFonts w:hint="eastAsia" w:ascii="宋体" w:hAnsi="宋体" w:eastAsia="宋体" w:cs="宋体"/>
          <w:color w:val="auto"/>
          <w:sz w:val="24"/>
          <w:szCs w:val="21"/>
          <w:highlight w:val="none"/>
        </w:rPr>
      </w:pPr>
    </w:p>
    <w:p w14:paraId="304DCF2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74444C4">
      <w:pPr>
        <w:pStyle w:val="3"/>
        <w:bidi w:val="0"/>
        <w:rPr>
          <w:rFonts w:hint="eastAsia" w:ascii="宋体" w:hAnsi="宋体" w:eastAsia="宋体" w:cs="宋体"/>
          <w:color w:val="auto"/>
          <w:sz w:val="24"/>
          <w:highlight w:val="none"/>
        </w:rPr>
      </w:pPr>
      <w:bookmarkStart w:id="297" w:name="_Toc46235130"/>
      <w:bookmarkStart w:id="298" w:name="_Toc45562505"/>
      <w:bookmarkStart w:id="299" w:name="_Toc23154"/>
      <w:bookmarkStart w:id="300" w:name="_Toc68259631"/>
      <w:r>
        <w:rPr>
          <w:rFonts w:hint="eastAsia" w:ascii="宋体" w:hAnsi="宋体" w:eastAsia="宋体" w:cs="宋体"/>
          <w:color w:val="auto"/>
          <w:highlight w:val="none"/>
        </w:rPr>
        <w:t>四、资格证明文件</w:t>
      </w:r>
      <w:bookmarkEnd w:id="297"/>
      <w:bookmarkEnd w:id="298"/>
      <w:bookmarkEnd w:id="299"/>
      <w:bookmarkEnd w:id="300"/>
    </w:p>
    <w:p w14:paraId="74594BEB">
      <w:pPr>
        <w:pStyle w:val="4"/>
        <w:spacing w:line="480" w:lineRule="exact"/>
        <w:rPr>
          <w:rFonts w:hint="eastAsia" w:ascii="宋体" w:hAnsi="宋体" w:eastAsia="宋体" w:cs="宋体"/>
          <w:color w:val="auto"/>
          <w:highlight w:val="none"/>
          <w:u w:val="none"/>
        </w:rPr>
      </w:pPr>
      <w:bookmarkStart w:id="301" w:name="_Toc46235131"/>
      <w:bookmarkStart w:id="302" w:name="_Toc518923109"/>
      <w:r>
        <w:rPr>
          <w:rFonts w:hint="eastAsia" w:ascii="宋体" w:hAnsi="宋体" w:eastAsia="宋体" w:cs="宋体"/>
          <w:color w:val="auto"/>
          <w:highlight w:val="none"/>
          <w:u w:val="none"/>
        </w:rPr>
        <w:t>2.法人或者其他组织的营业执照等证明文件或自然人的身份证明</w:t>
      </w:r>
      <w:bookmarkEnd w:id="301"/>
      <w:bookmarkEnd w:id="302"/>
    </w:p>
    <w:p w14:paraId="4E20FF7B">
      <w:pPr>
        <w:tabs>
          <w:tab w:val="left" w:pos="5580"/>
        </w:tabs>
        <w:spacing w:line="480" w:lineRule="exac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说明：1.提供有效的营业执照等证明文件复印件。</w:t>
      </w:r>
    </w:p>
    <w:p w14:paraId="34E9C458">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 供应商为自然人的，应提供身份证明的复印件。</w:t>
      </w:r>
    </w:p>
    <w:p w14:paraId="3D52AA47">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3.联合体响应文件应提供联合体各方满足以上要求的证明文件。</w:t>
      </w:r>
    </w:p>
    <w:p w14:paraId="51BB160E">
      <w:pPr>
        <w:tabs>
          <w:tab w:val="left" w:pos="5580"/>
        </w:tabs>
        <w:spacing w:line="480" w:lineRule="exact"/>
        <w:ind w:firstLine="720" w:firstLineChars="300"/>
        <w:rPr>
          <w:rFonts w:hint="eastAsia" w:ascii="宋体" w:hAnsi="宋体" w:eastAsia="宋体" w:cs="宋体"/>
          <w:color w:val="auto"/>
          <w:sz w:val="24"/>
          <w:szCs w:val="20"/>
          <w:highlight w:val="none"/>
        </w:rPr>
      </w:pPr>
    </w:p>
    <w:p w14:paraId="3A1F051C">
      <w:pPr>
        <w:pStyle w:val="4"/>
        <w:spacing w:line="480" w:lineRule="exact"/>
        <w:rPr>
          <w:rFonts w:hint="eastAsia" w:ascii="宋体" w:hAnsi="宋体" w:eastAsia="宋体" w:cs="宋体"/>
          <w:color w:val="auto"/>
          <w:highlight w:val="none"/>
          <w:u w:val="none"/>
        </w:rPr>
      </w:pPr>
      <w:bookmarkStart w:id="303" w:name="_Toc46235132"/>
      <w:bookmarkStart w:id="304" w:name="_Toc2583670"/>
      <w:bookmarkStart w:id="305" w:name="_Toc518923110"/>
      <w:r>
        <w:rPr>
          <w:rFonts w:hint="eastAsia" w:ascii="宋体" w:hAnsi="宋体" w:eastAsia="宋体" w:cs="宋体"/>
          <w:color w:val="auto"/>
          <w:highlight w:val="none"/>
          <w:u w:val="none"/>
        </w:rPr>
        <w:t>3.法定代表人或负责人身份证明书</w:t>
      </w:r>
      <w:bookmarkEnd w:id="303"/>
      <w:bookmarkEnd w:id="304"/>
    </w:p>
    <w:p w14:paraId="02752ACF">
      <w:pPr>
        <w:tabs>
          <w:tab w:val="left" w:pos="5580"/>
        </w:tabs>
        <w:spacing w:line="480" w:lineRule="exact"/>
        <w:ind w:left="1100" w:leftChars="-29" w:hanging="116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致：临沂市沂蒙国际招标有限公司</w:t>
      </w:r>
      <w:r>
        <w:rPr>
          <w:rFonts w:hint="eastAsia" w:ascii="宋体" w:hAnsi="宋体" w:eastAsia="宋体" w:cs="宋体"/>
          <w:color w:val="auto"/>
          <w:sz w:val="24"/>
          <w:szCs w:val="20"/>
          <w:highlight w:val="none"/>
        </w:rPr>
        <w:t>：</w:t>
      </w:r>
    </w:p>
    <w:p w14:paraId="69112756">
      <w:pPr>
        <w:tabs>
          <w:tab w:val="left" w:pos="5580"/>
        </w:tabs>
        <w:spacing w:line="480" w:lineRule="exact"/>
        <w:ind w:left="-113" w:leftChars="-54"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（姓名、性别、年龄、身份证号码）</w:t>
      </w:r>
      <w:r>
        <w:rPr>
          <w:rFonts w:hint="eastAsia" w:ascii="宋体" w:hAnsi="宋体" w:eastAsia="宋体" w:cs="宋体"/>
          <w:color w:val="auto"/>
          <w:sz w:val="24"/>
          <w:szCs w:val="20"/>
          <w:highlight w:val="none"/>
        </w:rPr>
        <w:t>在我单位任</w:t>
      </w:r>
      <w:r>
        <w:rPr>
          <w:rFonts w:hint="eastAsia" w:ascii="宋体" w:hAnsi="宋体" w:eastAsia="宋体" w:cs="宋体"/>
          <w:color w:val="auto"/>
          <w:sz w:val="24"/>
          <w:szCs w:val="20"/>
          <w:highlight w:val="none"/>
          <w:u w:val="single"/>
        </w:rPr>
        <w:t>（董事长、总经理等）</w:t>
      </w:r>
      <w:r>
        <w:rPr>
          <w:rFonts w:hint="eastAsia" w:ascii="宋体" w:hAnsi="宋体" w:eastAsia="宋体" w:cs="宋体"/>
          <w:color w:val="auto"/>
          <w:sz w:val="24"/>
          <w:szCs w:val="20"/>
          <w:highlight w:val="none"/>
        </w:rPr>
        <w:t>职务，是我单位的法定代表人/负责人。</w:t>
      </w:r>
    </w:p>
    <w:p w14:paraId="4CA4739D">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特此证明。</w:t>
      </w:r>
    </w:p>
    <w:p w14:paraId="4D0D586E">
      <w:pPr>
        <w:spacing w:line="480" w:lineRule="exact"/>
        <w:rPr>
          <w:rFonts w:hint="eastAsia" w:ascii="宋体" w:hAnsi="宋体" w:eastAsia="宋体" w:cs="宋体"/>
          <w:color w:val="auto"/>
          <w:sz w:val="24"/>
          <w:highlight w:val="none"/>
        </w:rPr>
      </w:pPr>
    </w:p>
    <w:p w14:paraId="3C5D1CD9">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供应商（盖公章）：</w:t>
      </w:r>
    </w:p>
    <w:p w14:paraId="14F10B15">
      <w:pPr>
        <w:tabs>
          <w:tab w:val="left" w:pos="5580"/>
        </w:tabs>
        <w:spacing w:line="480" w:lineRule="exact"/>
        <w:ind w:firstLine="360" w:firstLineChars="150"/>
        <w:rPr>
          <w:rFonts w:hint="eastAsia" w:ascii="宋体" w:hAnsi="宋体" w:eastAsia="宋体" w:cs="宋体"/>
          <w:color w:val="auto"/>
          <w:sz w:val="24"/>
          <w:szCs w:val="20"/>
          <w:highlight w:val="none"/>
        </w:rPr>
      </w:pPr>
    </w:p>
    <w:p w14:paraId="0161D818">
      <w:pPr>
        <w:tabs>
          <w:tab w:val="left" w:pos="5580"/>
        </w:tabs>
        <w:spacing w:line="480" w:lineRule="exact"/>
        <w:ind w:firstLine="360" w:firstLineChars="150"/>
        <w:rPr>
          <w:rFonts w:hint="eastAsia" w:ascii="宋体" w:hAnsi="宋体" w:eastAsia="宋体" w:cs="宋体"/>
          <w:color w:val="auto"/>
          <w:sz w:val="24"/>
          <w:szCs w:val="20"/>
          <w:highlight w:val="none"/>
        </w:rPr>
      </w:pPr>
    </w:p>
    <w:p w14:paraId="2335C229">
      <w:pPr>
        <w:pStyle w:val="4"/>
        <w:spacing w:line="480" w:lineRule="exact"/>
        <w:rPr>
          <w:rFonts w:hint="eastAsia" w:ascii="宋体" w:hAnsi="宋体" w:eastAsia="宋体" w:cs="宋体"/>
          <w:color w:val="auto"/>
          <w:highlight w:val="none"/>
          <w:u w:val="none"/>
        </w:rPr>
      </w:pPr>
      <w:bookmarkStart w:id="306" w:name="_Toc46235133"/>
      <w:r>
        <w:rPr>
          <w:rFonts w:hint="eastAsia" w:ascii="宋体" w:hAnsi="宋体" w:eastAsia="宋体" w:cs="宋体"/>
          <w:color w:val="auto"/>
          <w:highlight w:val="none"/>
          <w:u w:val="none"/>
        </w:rPr>
        <w:t>4.法定代表人或负责人授权书</w:t>
      </w:r>
      <w:bookmarkEnd w:id="305"/>
      <w:bookmarkEnd w:id="306"/>
    </w:p>
    <w:p w14:paraId="6B6CC4A3">
      <w:pPr>
        <w:tabs>
          <w:tab w:val="left" w:pos="5580"/>
        </w:tabs>
        <w:spacing w:line="480" w:lineRule="exact"/>
        <w:ind w:firstLine="48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本授权书声明：注册于</w:t>
      </w:r>
      <w:r>
        <w:rPr>
          <w:rFonts w:hint="eastAsia" w:ascii="宋体" w:hAnsi="宋体" w:eastAsia="宋体" w:cs="宋体"/>
          <w:color w:val="auto"/>
          <w:sz w:val="24"/>
          <w:szCs w:val="20"/>
          <w:highlight w:val="none"/>
          <w:u w:val="single"/>
        </w:rPr>
        <w:t>（国家或地区的名称）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供应商</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法定代表人</w:t>
      </w:r>
      <w:r>
        <w:rPr>
          <w:rFonts w:hint="eastAsia" w:ascii="宋体" w:hAnsi="宋体" w:eastAsia="宋体" w:cs="宋体"/>
          <w:color w:val="auto"/>
          <w:sz w:val="24"/>
          <w:szCs w:val="20"/>
          <w:highlight w:val="none"/>
          <w:u w:val="single"/>
        </w:rPr>
        <w:t>/负责人</w:t>
      </w:r>
      <w:r>
        <w:rPr>
          <w:rFonts w:hint="eastAsia" w:ascii="宋体" w:hAnsi="宋体" w:eastAsia="宋体" w:cs="宋体"/>
          <w:i/>
          <w:color w:val="auto"/>
          <w:sz w:val="24"/>
          <w:szCs w:val="20"/>
          <w:highlight w:val="none"/>
          <w:u w:val="single"/>
        </w:rPr>
        <w:t>姓名、职务</w:t>
      </w:r>
      <w:r>
        <w:rPr>
          <w:rFonts w:hint="eastAsia" w:ascii="宋体" w:hAnsi="宋体" w:eastAsia="宋体" w:cs="宋体"/>
          <w:color w:val="auto"/>
          <w:sz w:val="24"/>
          <w:szCs w:val="20"/>
          <w:highlight w:val="none"/>
        </w:rPr>
        <w:t>）代表我单位授权（</w:t>
      </w:r>
      <w:r>
        <w:rPr>
          <w:rFonts w:hint="eastAsia" w:ascii="宋体" w:hAnsi="宋体" w:eastAsia="宋体" w:cs="宋体"/>
          <w:i/>
          <w:color w:val="auto"/>
          <w:sz w:val="24"/>
          <w:szCs w:val="20"/>
          <w:highlight w:val="none"/>
          <w:u w:val="single"/>
        </w:rPr>
        <w:t>单位名称</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被授权人的姓名、职务</w:t>
      </w:r>
      <w:r>
        <w:rPr>
          <w:rFonts w:hint="eastAsia" w:ascii="宋体" w:hAnsi="宋体" w:eastAsia="宋体" w:cs="宋体"/>
          <w:color w:val="auto"/>
          <w:sz w:val="24"/>
          <w:szCs w:val="20"/>
          <w:highlight w:val="none"/>
        </w:rPr>
        <w:t>）为我单位的合法代理人，就（</w:t>
      </w:r>
      <w:r>
        <w:rPr>
          <w:rFonts w:hint="eastAsia" w:ascii="宋体" w:hAnsi="宋体" w:eastAsia="宋体" w:cs="宋体"/>
          <w:i/>
          <w:color w:val="auto"/>
          <w:sz w:val="24"/>
          <w:szCs w:val="20"/>
          <w:highlight w:val="none"/>
          <w:u w:val="single"/>
        </w:rPr>
        <w:t>项目名称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包号</w:t>
      </w:r>
      <w:r>
        <w:rPr>
          <w:rFonts w:hint="eastAsia" w:ascii="宋体" w:hAnsi="宋体" w:eastAsia="宋体" w:cs="宋体"/>
          <w:color w:val="auto"/>
          <w:sz w:val="24"/>
          <w:szCs w:val="20"/>
          <w:highlight w:val="none"/>
        </w:rPr>
        <w:t>）响应文件，以我单位名义处理一切与之有关的事务。</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w:t>
      </w:r>
    </w:p>
    <w:p w14:paraId="362A2AE2">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本授权书于</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rPr>
        <w:t>年</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rPr>
        <w:t>月</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rPr>
        <w:t>日</w:t>
      </w:r>
      <w:r>
        <w:rPr>
          <w:rFonts w:hint="eastAsia" w:ascii="宋体" w:hAnsi="宋体" w:eastAsia="宋体" w:cs="宋体"/>
          <w:color w:val="auto"/>
          <w:sz w:val="24"/>
          <w:szCs w:val="20"/>
          <w:highlight w:val="none"/>
        </w:rPr>
        <w:t>签字生效</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特此声明。</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xml:space="preserve">       供应商（盖单位公章）：</w:t>
      </w:r>
    </w:p>
    <w:p w14:paraId="41EF2BCF">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签章</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w:t>
      </w:r>
    </w:p>
    <w:p w14:paraId="0A3938F6">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法定代表人/负责人身份证号码：</w:t>
      </w:r>
    </w:p>
    <w:p w14:paraId="66E50E0C">
      <w:pPr>
        <w:tabs>
          <w:tab w:val="left" w:pos="5580"/>
        </w:tabs>
        <w:spacing w:line="480" w:lineRule="exact"/>
        <w:ind w:firstLine="360" w:firstLineChars="15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委托代理人身份证号码：</w:t>
      </w:r>
    </w:p>
    <w:p w14:paraId="7136B731">
      <w:pPr>
        <w:pStyle w:val="4"/>
        <w:spacing w:line="480" w:lineRule="exact"/>
        <w:rPr>
          <w:rFonts w:hint="eastAsia" w:ascii="宋体" w:hAnsi="宋体" w:eastAsia="宋体" w:cs="宋体"/>
          <w:color w:val="auto"/>
          <w:highlight w:val="none"/>
          <w:u w:val="none"/>
        </w:rPr>
      </w:pPr>
      <w:bookmarkStart w:id="307" w:name="_Toc46235134"/>
      <w:r>
        <w:rPr>
          <w:rFonts w:hint="eastAsia" w:ascii="宋体" w:hAnsi="宋体" w:eastAsia="宋体" w:cs="宋体"/>
          <w:color w:val="auto"/>
          <w:highlight w:val="none"/>
          <w:u w:val="none"/>
        </w:rPr>
        <w:t>5.具有良好的商业信誉和健全的财务会计制度的</w:t>
      </w:r>
      <w:bookmarkEnd w:id="307"/>
      <w:r>
        <w:rPr>
          <w:rFonts w:hint="eastAsia" w:ascii="宋体" w:hAnsi="宋体" w:eastAsia="宋体" w:cs="宋体"/>
          <w:color w:val="auto"/>
          <w:highlight w:val="none"/>
          <w:u w:val="none"/>
        </w:rPr>
        <w:t>证明文件</w:t>
      </w:r>
    </w:p>
    <w:p w14:paraId="0EA0DEE1">
      <w:pPr>
        <w:tabs>
          <w:tab w:val="left" w:pos="5580"/>
        </w:tabs>
        <w:spacing w:line="480" w:lineRule="exac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1AEBB5B8">
      <w:pPr>
        <w:tabs>
          <w:tab w:val="left" w:pos="5580"/>
        </w:tabs>
        <w:spacing w:line="480" w:lineRule="exact"/>
        <w:ind w:firstLine="480" w:firstLineChars="200"/>
        <w:rPr>
          <w:rFonts w:hint="eastAsia" w:ascii="宋体" w:hAnsi="宋体" w:eastAsia="宋体" w:cs="宋体"/>
          <w:bCs/>
          <w:color w:val="auto"/>
          <w:sz w:val="24"/>
          <w:highlight w:val="none"/>
        </w:rPr>
      </w:pPr>
      <w:bookmarkStart w:id="308" w:name="_Toc518923111"/>
      <w:r>
        <w:rPr>
          <w:rFonts w:hint="eastAsia" w:ascii="宋体" w:hAnsi="宋体" w:eastAsia="宋体" w:cs="宋体"/>
          <w:color w:val="auto"/>
          <w:sz w:val="24"/>
          <w:highlight w:val="none"/>
        </w:rPr>
        <w:t>1、如提供本单位上年度经会计师事务所出具的审计报告复印件，须加盖</w:t>
      </w:r>
      <w:r>
        <w:rPr>
          <w:rFonts w:hint="eastAsia" w:ascii="宋体" w:hAnsi="宋体" w:eastAsia="宋体" w:cs="宋体"/>
          <w:bCs/>
          <w:color w:val="auto"/>
          <w:sz w:val="24"/>
          <w:highlight w:val="none"/>
        </w:rPr>
        <w:t>本单位章。</w:t>
      </w:r>
    </w:p>
    <w:p w14:paraId="66A93F98">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14:paraId="46FEDB99">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3、如果是联合体响应文件，联合体各方均需提供上述证明。</w:t>
      </w:r>
    </w:p>
    <w:p w14:paraId="372910F7">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4、如采用合格的磋商担保函的，可提供磋商担保函复印件替代。</w:t>
      </w:r>
    </w:p>
    <w:p w14:paraId="3C0351B9">
      <w:pPr>
        <w:tabs>
          <w:tab w:val="left" w:pos="5580"/>
        </w:tabs>
        <w:wordWrap w:val="0"/>
        <w:spacing w:line="52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b/>
          <w:bCs/>
          <w:color w:val="auto"/>
          <w:sz w:val="24"/>
          <w:highlight w:val="none"/>
        </w:rPr>
        <w:t>如采用承诺方式的，承诺函格式下载地址：</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"http://www.ymzb.com/news/?1868.html。" </w:instrText>
      </w:r>
      <w:r>
        <w:rPr>
          <w:rFonts w:hint="eastAsia" w:ascii="宋体" w:hAnsi="宋体" w:eastAsia="宋体" w:cs="宋体"/>
          <w:b/>
          <w:bCs/>
          <w:color w:val="auto"/>
          <w:sz w:val="24"/>
          <w:highlight w:val="none"/>
        </w:rPr>
        <w:fldChar w:fldCharType="separate"/>
      </w:r>
      <w:r>
        <w:rPr>
          <w:rStyle w:val="35"/>
          <w:rFonts w:hint="eastAsia" w:ascii="宋体" w:hAnsi="宋体" w:eastAsia="宋体" w:cs="宋体"/>
          <w:b/>
          <w:bCs/>
          <w:color w:val="auto"/>
          <w:sz w:val="24"/>
          <w:highlight w:val="none"/>
        </w:rPr>
        <w:t>http://www.ymzb.com/news/?1868.html。</w:t>
      </w:r>
      <w:r>
        <w:rPr>
          <w:rFonts w:hint="eastAsia" w:ascii="宋体" w:hAnsi="宋体" w:eastAsia="宋体" w:cs="宋体"/>
          <w:b/>
          <w:bCs/>
          <w:color w:val="auto"/>
          <w:sz w:val="24"/>
          <w:highlight w:val="none"/>
        </w:rPr>
        <w:fldChar w:fldCharType="end"/>
      </w:r>
    </w:p>
    <w:p w14:paraId="33F358CF">
      <w:pPr>
        <w:pStyle w:val="5"/>
        <w:rPr>
          <w:rFonts w:hint="eastAsia" w:ascii="宋体" w:hAnsi="宋体" w:eastAsia="宋体" w:cs="宋体"/>
          <w:color w:val="auto"/>
          <w:highlight w:val="none"/>
        </w:rPr>
      </w:pPr>
    </w:p>
    <w:p w14:paraId="1D764009">
      <w:pPr>
        <w:pStyle w:val="4"/>
        <w:spacing w:line="480" w:lineRule="exact"/>
        <w:rPr>
          <w:rFonts w:hint="eastAsia" w:ascii="宋体" w:hAnsi="宋体" w:eastAsia="宋体" w:cs="宋体"/>
          <w:color w:val="auto"/>
          <w:highlight w:val="none"/>
          <w:u w:val="none"/>
        </w:rPr>
      </w:pPr>
      <w:bookmarkStart w:id="309" w:name="_Toc46235135"/>
      <w:r>
        <w:rPr>
          <w:rFonts w:hint="eastAsia" w:ascii="宋体" w:hAnsi="宋体" w:eastAsia="宋体" w:cs="宋体"/>
          <w:color w:val="auto"/>
          <w:highlight w:val="none"/>
          <w:u w:val="none"/>
        </w:rPr>
        <w:t>6.</w:t>
      </w:r>
      <w:bookmarkEnd w:id="309"/>
      <w:r>
        <w:rPr>
          <w:rFonts w:hint="eastAsia" w:ascii="宋体" w:hAnsi="宋体" w:eastAsia="宋体" w:cs="宋体"/>
          <w:color w:val="auto"/>
          <w:highlight w:val="none"/>
          <w:u w:val="none"/>
        </w:rPr>
        <w:t>依法缴纳税收和社会保障资金承诺函</w:t>
      </w:r>
    </w:p>
    <w:p w14:paraId="353F7926">
      <w:pPr>
        <w:spacing w:line="271" w:lineRule="auto"/>
        <w:rPr>
          <w:rFonts w:hint="eastAsia" w:ascii="宋体" w:hAnsi="宋体" w:eastAsia="宋体" w:cs="宋体"/>
          <w:color w:val="auto"/>
          <w:sz w:val="21"/>
          <w:highlight w:val="none"/>
        </w:rPr>
      </w:pPr>
    </w:p>
    <w:p w14:paraId="085711BA">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临沂大学/临沂市沂蒙国际招标有限公司</w:t>
      </w:r>
      <w:r>
        <w:rPr>
          <w:rFonts w:hint="eastAsia" w:ascii="宋体" w:hAnsi="宋体" w:eastAsia="宋体" w:cs="宋体"/>
          <w:color w:val="auto"/>
          <w:sz w:val="24"/>
          <w:highlight w:val="none"/>
        </w:rPr>
        <w:t>:</w:t>
      </w:r>
    </w:p>
    <w:p w14:paraId="4E4F502F">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我方在参加</w:t>
      </w:r>
      <w:r>
        <w:rPr>
          <w:rFonts w:hint="eastAsia" w:ascii="宋体" w:hAnsi="宋体" w:eastAsia="宋体" w:cs="宋体"/>
          <w:i/>
          <w:iCs/>
          <w:color w:val="auto"/>
          <w:sz w:val="24"/>
          <w:highlight w:val="none"/>
          <w:u w:val="single"/>
        </w:rPr>
        <w:t>项目名称</w:t>
      </w:r>
      <w:r>
        <w:rPr>
          <w:rFonts w:hint="eastAsia" w:ascii="宋体" w:hAnsi="宋体" w:eastAsia="宋体" w:cs="宋体"/>
          <w:i/>
          <w:iCs/>
          <w:color w:val="auto"/>
          <w:sz w:val="24"/>
          <w:highlight w:val="none"/>
          <w:u w:val="single"/>
          <w:lang w:eastAsia="zh-CN"/>
        </w:rPr>
        <w:t>（</w:t>
      </w:r>
      <w:r>
        <w:rPr>
          <w:rFonts w:hint="eastAsia" w:ascii="宋体" w:hAnsi="宋体" w:eastAsia="宋体" w:cs="宋体"/>
          <w:i/>
          <w:iCs/>
          <w:color w:val="auto"/>
          <w:sz w:val="24"/>
          <w:highlight w:val="none"/>
          <w:u w:val="single"/>
        </w:rPr>
        <w:t>项目编号、包号</w:t>
      </w:r>
      <w:r>
        <w:rPr>
          <w:rFonts w:hint="eastAsia" w:ascii="宋体" w:hAnsi="宋体" w:eastAsia="宋体" w:cs="宋体"/>
          <w:i/>
          <w:iCs/>
          <w:color w:val="auto"/>
          <w:sz w:val="24"/>
          <w:highlight w:val="none"/>
          <w:u w:val="single"/>
          <w:lang w:eastAsia="zh-CN"/>
        </w:rPr>
        <w:t>）</w:t>
      </w:r>
      <w:r>
        <w:rPr>
          <w:rFonts w:hint="eastAsia" w:ascii="宋体" w:hAnsi="宋体" w:eastAsia="宋体" w:cs="宋体"/>
          <w:color w:val="auto"/>
          <w:sz w:val="24"/>
          <w:highlight w:val="none"/>
        </w:rPr>
        <w:t>政府采购活动前，已依法缴纳税收和社会保障资金，符合《中华人民共和国政府采购法实施条例》第十七条第一款第二项规定和</w:t>
      </w:r>
      <w:r>
        <w:rPr>
          <w:rFonts w:hint="eastAsia" w:ascii="宋体" w:hAnsi="宋体" w:eastAsia="宋体" w:cs="宋体"/>
          <w:color w:val="auto"/>
          <w:sz w:val="24"/>
          <w:highlight w:val="none"/>
          <w:lang w:val="en-US" w:eastAsia="zh-CN"/>
        </w:rPr>
        <w:t>磋商文件</w:t>
      </w:r>
      <w:r>
        <w:rPr>
          <w:rFonts w:hint="eastAsia" w:ascii="宋体" w:hAnsi="宋体" w:eastAsia="宋体" w:cs="宋体"/>
          <w:color w:val="auto"/>
          <w:sz w:val="24"/>
          <w:highlight w:val="none"/>
        </w:rPr>
        <w:t>关于缴纳税收和社会保障资金的资格要求。</w:t>
      </w:r>
    </w:p>
    <w:p w14:paraId="2B3CF106">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3FE1B8D8">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我方对上述承诺真实性、合法性、有效性负责，如有虚假承诺，依法承担相应责任并接受处罚。</w:t>
      </w:r>
    </w:p>
    <w:p w14:paraId="650E31D8">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供应商全称: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盖公司公章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w:t>
      </w:r>
    </w:p>
    <w:p w14:paraId="64BC63B5">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14:paraId="08585716">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699D4AAC">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1.依法免税或不需要缴纳社会保障资金的供应商，应提供相关证明材料。</w:t>
      </w:r>
    </w:p>
    <w:p w14:paraId="33C10E26">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2.未在山东省内缴纳税收和社会保障资金的供应商，须按采购文件要求提供缴纳税收和社会保障资金的证明材料。</w:t>
      </w:r>
    </w:p>
    <w:p w14:paraId="11D54D28">
      <w:pPr>
        <w:spacing w:line="480" w:lineRule="exact"/>
        <w:ind w:left="0" w:leftChars="0" w:firstLine="422" w:firstLineChars="175"/>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3.供应商必须在“中国山东政府采购网”（以供应商身份登录，网址http://www.ccgp-shandong.gov.cn/sdgp2017/login.jsp）提前查询本单位缴纳税收和社保保障资金情况，未在“中国山东政府采购网”注册的供应商须先注册并完善相关信息后再查询。</w:t>
      </w:r>
    </w:p>
    <w:p w14:paraId="2692C81B">
      <w:pPr>
        <w:spacing w:line="480" w:lineRule="exact"/>
        <w:ind w:left="0" w:leftChars="0" w:firstLine="422" w:firstLineChars="175"/>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4.供应商对于“中国山东政府采购网”自查反馈有税收和社保资金缴费信息的，视为“有依法缴纳税收和社会保障资金的良好记录”；对于反馈无相关信息的，必须提供近三个月依法缴纳税收和社会保障</w:t>
      </w:r>
      <w:r>
        <w:rPr>
          <w:rFonts w:hint="eastAsia" w:ascii="宋体" w:hAnsi="宋体" w:eastAsia="宋体" w:cs="宋体"/>
          <w:b/>
          <w:bCs/>
          <w:color w:val="auto"/>
          <w:sz w:val="24"/>
          <w:highlight w:val="none"/>
          <w:lang w:eastAsia="zh-CN"/>
        </w:rPr>
        <w:t>资金的证明材料，否则按未缴纳处理。</w:t>
      </w:r>
    </w:p>
    <w:p w14:paraId="48742FFF">
      <w:pPr>
        <w:pStyle w:val="37"/>
        <w:rPr>
          <w:rFonts w:hint="eastAsia"/>
          <w:color w:val="auto"/>
          <w:highlight w:val="none"/>
          <w:lang w:eastAsia="zh-CN"/>
        </w:rPr>
      </w:pPr>
    </w:p>
    <w:p w14:paraId="7C92A1AB">
      <w:pPr>
        <w:pStyle w:val="4"/>
        <w:spacing w:line="480" w:lineRule="exact"/>
        <w:rPr>
          <w:rFonts w:hint="eastAsia" w:ascii="宋体" w:hAnsi="宋体" w:eastAsia="宋体" w:cs="宋体"/>
          <w:color w:val="auto"/>
          <w:highlight w:val="none"/>
        </w:rPr>
      </w:pPr>
      <w:bookmarkStart w:id="310" w:name="_Toc518923112"/>
      <w:bookmarkStart w:id="311" w:name="_Toc46235136"/>
      <w:r>
        <w:rPr>
          <w:rFonts w:hint="eastAsia" w:ascii="宋体" w:hAnsi="宋体" w:eastAsia="宋体" w:cs="宋体"/>
          <w:color w:val="auto"/>
          <w:highlight w:val="none"/>
          <w:u w:val="none"/>
        </w:rPr>
        <w:t>7.参加政府采购活动前3年内</w:t>
      </w:r>
      <w:bookmarkEnd w:id="310"/>
      <w:bookmarkStart w:id="312" w:name="_Toc518923113"/>
      <w:r>
        <w:rPr>
          <w:rFonts w:hint="eastAsia" w:ascii="宋体" w:hAnsi="宋体" w:eastAsia="宋体" w:cs="宋体"/>
          <w:color w:val="auto"/>
          <w:highlight w:val="none"/>
          <w:u w:val="none"/>
        </w:rPr>
        <w:t>在经营活动中没有重大违法记录的</w:t>
      </w:r>
      <w:bookmarkEnd w:id="312"/>
      <w:r>
        <w:rPr>
          <w:rFonts w:hint="eastAsia" w:ascii="宋体" w:hAnsi="宋体" w:eastAsia="宋体" w:cs="宋体"/>
          <w:color w:val="auto"/>
          <w:highlight w:val="none"/>
          <w:u w:val="none"/>
        </w:rPr>
        <w:t>书面声明</w:t>
      </w:r>
      <w:bookmarkEnd w:id="311"/>
    </w:p>
    <w:p w14:paraId="58019D37">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14:paraId="6E45F6FA">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我单位在参加采购活动前三年内在经营活动中没有《政府采购法》第二十二条第一款第</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项所称重大违法记录，包括：</w:t>
      </w:r>
    </w:p>
    <w:p w14:paraId="4F8C0FDA">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14:paraId="4A060B8A">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9562E5B">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4ECE1B6E">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506F1180">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49C864F1">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说明：1供应商应按照相关法规规定如实作出说明。</w:t>
      </w:r>
    </w:p>
    <w:p w14:paraId="2F20DC8A">
      <w:pPr>
        <w:pStyle w:val="15"/>
        <w:tabs>
          <w:tab w:val="left" w:pos="5580"/>
        </w:tabs>
        <w:spacing w:line="480" w:lineRule="exact"/>
        <w:ind w:left="645" w:leftChars="307"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2．按照磋商文件的规定加盖本单位章（自然人投标的无需盖章，需要签字）。</w:t>
      </w:r>
    </w:p>
    <w:p w14:paraId="2896B4B7">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      3.如果是联合体响应文件，联合体各方均需提供上述证明。</w:t>
      </w:r>
    </w:p>
    <w:p w14:paraId="6D405E7B">
      <w:pPr>
        <w:rPr>
          <w:rFonts w:hint="eastAsia" w:ascii="宋体" w:hAnsi="宋体" w:eastAsia="宋体" w:cs="宋体"/>
          <w:color w:val="auto"/>
          <w:highlight w:val="none"/>
        </w:rPr>
      </w:pPr>
      <w:bookmarkStart w:id="313" w:name="_Toc518923114"/>
    </w:p>
    <w:p w14:paraId="3B70DEFD">
      <w:pPr>
        <w:pStyle w:val="4"/>
        <w:spacing w:line="480" w:lineRule="exact"/>
        <w:rPr>
          <w:rFonts w:hint="eastAsia" w:ascii="宋体" w:hAnsi="宋体" w:eastAsia="宋体" w:cs="宋体"/>
          <w:color w:val="auto"/>
          <w:highlight w:val="none"/>
          <w:u w:val="none"/>
        </w:rPr>
      </w:pPr>
      <w:bookmarkStart w:id="314" w:name="_Toc46235137"/>
      <w:r>
        <w:rPr>
          <w:rFonts w:hint="eastAsia" w:ascii="宋体" w:hAnsi="宋体" w:eastAsia="宋体" w:cs="宋体"/>
          <w:color w:val="auto"/>
          <w:highlight w:val="none"/>
          <w:u w:val="none"/>
          <w:lang w:val="en-US" w:eastAsia="zh-CN"/>
        </w:rPr>
        <w:t>8</w:t>
      </w:r>
      <w:r>
        <w:rPr>
          <w:rFonts w:hint="eastAsia" w:ascii="宋体" w:hAnsi="宋体" w:eastAsia="宋体" w:cs="宋体"/>
          <w:color w:val="auto"/>
          <w:highlight w:val="none"/>
          <w:u w:val="none"/>
        </w:rPr>
        <w:t>.</w:t>
      </w:r>
      <w:bookmarkEnd w:id="313"/>
      <w:bookmarkEnd w:id="314"/>
      <w:r>
        <w:rPr>
          <w:rFonts w:hint="eastAsia" w:ascii="宋体" w:hAnsi="宋体" w:eastAsia="宋体" w:cs="宋体"/>
          <w:color w:val="auto"/>
          <w:highlight w:val="none"/>
          <w:u w:val="none"/>
        </w:rPr>
        <w:t>供应商反商业贿赂承诺书</w:t>
      </w:r>
    </w:p>
    <w:bookmarkEnd w:id="308"/>
    <w:p w14:paraId="523B4D0D">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bookmarkStart w:id="315" w:name="_Toc518923115"/>
      <w:r>
        <w:rPr>
          <w:rFonts w:hint="eastAsia" w:ascii="宋体" w:hAnsi="宋体" w:eastAsia="宋体" w:cs="宋体"/>
          <w:color w:val="auto"/>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3416D5EA">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一、认真学习并遵守国家相关的法律、法规及社会公德，树立质量为本的理念，诚实守信，依法参与政府采购活动，坚决杜绝不正当交易行为。</w:t>
      </w:r>
    </w:p>
    <w:p w14:paraId="6B07E7F7">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二、在政府采购活动中，自觉遵守政府采购的法律法规，依法依规进行政府采购项目的投标及公平交易行为，树立投标诚信、价格诚信、合同诚信、履约诚信、服务诚信等企业诚信体系。</w:t>
      </w:r>
    </w:p>
    <w:p w14:paraId="70F8C80A">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三、杜绝弄虚作假，骗取政府采购供应商资格；杜绝提供虚假资质文件谋取中标或成交；杜绝出借、转让、出卖资质（资格）证书；杜绝他人以本企业名义承接或承揽政府采购业务。</w:t>
      </w:r>
    </w:p>
    <w:p w14:paraId="5C9B3BA0">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四、杜绝采取或参与“围标、陪标、串标”等违法行为获得政府采购订单；杜绝采取不正当手段诋毁、排挤其他供应商参与竞争。</w:t>
      </w:r>
    </w:p>
    <w:p w14:paraId="7FE8A19D">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五、在政府采购活动中，承诺不与采购人、采购代理机构及其工作人员和其他供应商串通，损害国家利益、社会公共利益和其他相关</w:t>
      </w:r>
      <w:r>
        <w:rPr>
          <w:rFonts w:hint="eastAsia" w:ascii="宋体" w:hAnsi="宋体" w:eastAsia="宋体" w:cs="宋体"/>
          <w:color w:val="auto"/>
          <w:highlight w:val="none"/>
          <w:lang w:eastAsia="zh-CN"/>
        </w:rPr>
        <w:t>人员</w:t>
      </w:r>
      <w:r>
        <w:rPr>
          <w:rFonts w:hint="eastAsia" w:ascii="宋体" w:hAnsi="宋体" w:eastAsia="宋体" w:cs="宋体"/>
          <w:color w:val="auto"/>
          <w:highlight w:val="none"/>
        </w:rPr>
        <w:t>的合法权益。</w:t>
      </w:r>
    </w:p>
    <w:p w14:paraId="3387CEBB">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499A2592">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14:paraId="74F74067">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八、自觉接受政府采购监管部门的监督管理，积极配合检查和调查，并如实反映情况和提供材料。</w:t>
      </w:r>
    </w:p>
    <w:p w14:paraId="5BB0C117">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我们将严格遵守上述承诺事项，自愿接受主管（监管）部门和社会各方面的监督， 如有违反，自愿接受执法执纪机关和监督管理部门的处理。</w:t>
      </w:r>
    </w:p>
    <w:p w14:paraId="2A5201F6">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p>
    <w:p w14:paraId="27AA1335">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2400" w:firstLineChars="1000"/>
        <w:textAlignment w:val="auto"/>
        <w:rPr>
          <w:rFonts w:hint="eastAsia" w:ascii="宋体" w:hAnsi="宋体" w:eastAsia="宋体" w:cs="宋体"/>
          <w:color w:val="auto"/>
          <w:highlight w:val="none"/>
        </w:rPr>
      </w:pPr>
      <w:r>
        <w:rPr>
          <w:rFonts w:hint="eastAsia" w:ascii="宋体" w:hAnsi="宋体" w:eastAsia="宋体" w:cs="宋体"/>
          <w:color w:val="auto"/>
          <w:highlight w:val="none"/>
        </w:rPr>
        <w:t>承诺单位（公章）：</w:t>
      </w:r>
    </w:p>
    <w:p w14:paraId="6BC03B05">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1680" w:firstLineChars="700"/>
        <w:textAlignment w:val="auto"/>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p>
    <w:p w14:paraId="0EE36D57">
      <w:pPr>
        <w:keepNext w:val="0"/>
        <w:keepLines w:val="0"/>
        <w:pageBreakBefore w:val="0"/>
        <w:widowControl w:val="0"/>
        <w:kinsoku/>
        <w:wordWrap/>
        <w:overflowPunct/>
        <w:topLinePunct w:val="0"/>
        <w:autoSpaceDE w:val="0"/>
        <w:autoSpaceDN w:val="0"/>
        <w:bidi w:val="0"/>
        <w:adjustRightInd w:val="0"/>
        <w:snapToGrid w:val="0"/>
        <w:spacing w:line="440" w:lineRule="exact"/>
        <w:ind w:left="-420" w:leftChars="-200" w:right="-470" w:rightChars="-224" w:firstLine="6885" w:firstLineChars="3279"/>
        <w:textAlignment w:val="auto"/>
        <w:rPr>
          <w:rFonts w:hint="eastAsia" w:ascii="宋体" w:hAnsi="宋体" w:eastAsia="宋体" w:cs="宋体"/>
          <w:color w:val="auto"/>
          <w:sz w:val="30"/>
          <w:szCs w:val="30"/>
          <w:highlight w:val="none"/>
        </w:rPr>
      </w:pPr>
      <w:r>
        <w:rPr>
          <w:rFonts w:hint="eastAsia" w:ascii="宋体" w:hAnsi="宋体" w:eastAsia="宋体" w:cs="宋体"/>
          <w:color w:val="auto"/>
          <w:highlight w:val="none"/>
        </w:rPr>
        <w:t>年</w:t>
      </w:r>
      <w:r>
        <w:rPr>
          <w:rFonts w:hint="eastAsia" w:ascii="宋体" w:hAnsi="宋体" w:eastAsia="宋体" w:cs="宋体"/>
          <w:color w:val="auto"/>
          <w:highlight w:val="none"/>
        </w:rPr>
        <w:tab/>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月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日</w:t>
      </w:r>
    </w:p>
    <w:p w14:paraId="13A72D7A">
      <w:pPr>
        <w:rPr>
          <w:rFonts w:hint="eastAsia" w:ascii="宋体" w:hAnsi="宋体" w:eastAsia="宋体" w:cs="宋体"/>
          <w:color w:val="auto"/>
          <w:sz w:val="24"/>
          <w:szCs w:val="20"/>
          <w:highlight w:val="none"/>
        </w:rPr>
      </w:pPr>
    </w:p>
    <w:p w14:paraId="52CAA962">
      <w:pPr>
        <w:pStyle w:val="3"/>
        <w:spacing w:line="480" w:lineRule="exact"/>
        <w:ind w:left="774" w:hanging="722" w:hangingChars="257"/>
        <w:rPr>
          <w:rFonts w:hint="eastAsia" w:ascii="宋体" w:hAnsi="宋体" w:eastAsia="宋体" w:cs="宋体"/>
          <w:color w:val="auto"/>
          <w:highlight w:val="none"/>
        </w:rPr>
      </w:pPr>
      <w:bookmarkStart w:id="316" w:name="_Toc68259632"/>
      <w:bookmarkStart w:id="317" w:name="_Toc46235139"/>
      <w:bookmarkStart w:id="318" w:name="_Toc6115"/>
      <w:r>
        <w:rPr>
          <w:rFonts w:hint="eastAsia" w:ascii="宋体" w:hAnsi="宋体" w:eastAsia="宋体" w:cs="宋体"/>
          <w:color w:val="auto"/>
          <w:highlight w:val="none"/>
        </w:rPr>
        <w:t>五、商务及技术文件</w:t>
      </w:r>
      <w:bookmarkEnd w:id="315"/>
      <w:bookmarkEnd w:id="316"/>
      <w:bookmarkEnd w:id="317"/>
      <w:bookmarkEnd w:id="318"/>
    </w:p>
    <w:p w14:paraId="7CEFFA8D">
      <w:pPr>
        <w:pStyle w:val="4"/>
        <w:spacing w:line="480" w:lineRule="exact"/>
        <w:rPr>
          <w:rFonts w:hint="eastAsia" w:ascii="宋体" w:hAnsi="宋体" w:eastAsia="宋体" w:cs="宋体"/>
          <w:color w:val="auto"/>
          <w:highlight w:val="none"/>
          <w:u w:val="none"/>
        </w:rPr>
      </w:pPr>
      <w:bookmarkStart w:id="319" w:name="_Hlt520355504"/>
      <w:bookmarkEnd w:id="319"/>
      <w:bookmarkStart w:id="320" w:name="_Toc518923116"/>
      <w:bookmarkStart w:id="321" w:name="_Toc46235140"/>
      <w:r>
        <w:rPr>
          <w:rFonts w:hint="eastAsia" w:ascii="宋体" w:hAnsi="宋体" w:eastAsia="宋体" w:cs="宋体"/>
          <w:color w:val="auto"/>
          <w:highlight w:val="none"/>
          <w:u w:val="none"/>
          <w:lang w:val="en-US" w:eastAsia="zh-CN"/>
        </w:rPr>
        <w:t>9</w:t>
      </w:r>
      <w:r>
        <w:rPr>
          <w:rFonts w:hint="eastAsia" w:ascii="宋体" w:hAnsi="宋体" w:eastAsia="宋体" w:cs="宋体"/>
          <w:color w:val="auto"/>
          <w:highlight w:val="none"/>
          <w:u w:val="none"/>
        </w:rPr>
        <w:t>.响应文件</w:t>
      </w:r>
      <w:bookmarkEnd w:id="293"/>
      <w:bookmarkEnd w:id="294"/>
      <w:r>
        <w:rPr>
          <w:rFonts w:hint="eastAsia" w:ascii="宋体" w:hAnsi="宋体" w:eastAsia="宋体" w:cs="宋体"/>
          <w:color w:val="auto"/>
          <w:highlight w:val="none"/>
          <w:u w:val="none"/>
        </w:rPr>
        <w:t>书</w:t>
      </w:r>
      <w:bookmarkEnd w:id="295"/>
      <w:bookmarkEnd w:id="296"/>
      <w:bookmarkEnd w:id="320"/>
      <w:bookmarkEnd w:id="321"/>
    </w:p>
    <w:p w14:paraId="09284EA1">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hanging="10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szCs w:val="20"/>
          <w:highlight w:val="none"/>
          <w:u w:val="single"/>
        </w:rPr>
        <w:t>临沂市沂蒙国际招标有限公司</w:t>
      </w:r>
    </w:p>
    <w:p w14:paraId="725171BB">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2" w:leftChars="1" w:firstLine="480" w:firstLineChars="20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根据贵方</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项目名称</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项目的响应文件邀请</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项目编号</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签字代表</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姓名、职务</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经正式授权并代表供应商（</w:t>
      </w:r>
      <w:r>
        <w:rPr>
          <w:rFonts w:hint="eastAsia" w:ascii="宋体" w:hAnsi="宋体" w:eastAsia="宋体" w:cs="宋体"/>
          <w:i/>
          <w:color w:val="auto"/>
          <w:sz w:val="24"/>
          <w:szCs w:val="20"/>
          <w:highlight w:val="none"/>
          <w:u w:val="single"/>
        </w:rPr>
        <w:t>名称、地址</w:t>
      </w:r>
      <w:r>
        <w:rPr>
          <w:rFonts w:hint="eastAsia" w:ascii="宋体" w:hAnsi="宋体" w:eastAsia="宋体" w:cs="宋体"/>
          <w:color w:val="auto"/>
          <w:sz w:val="24"/>
          <w:szCs w:val="20"/>
          <w:highlight w:val="none"/>
        </w:rPr>
        <w:t>）据此，签字代表宣布同意如下：</w:t>
      </w:r>
    </w:p>
    <w:p w14:paraId="4401C644">
      <w:pPr>
        <w:pStyle w:val="15"/>
        <w:keepNext w:val="0"/>
        <w:keepLines w:val="0"/>
        <w:pageBreakBefore w:val="0"/>
        <w:widowControl w:val="0"/>
        <w:tabs>
          <w:tab w:val="left" w:pos="720"/>
          <w:tab w:val="left" w:pos="90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报价价格表中规定</w:t>
      </w:r>
      <w:r>
        <w:rPr>
          <w:rFonts w:hint="eastAsia" w:ascii="宋体" w:hAnsi="宋体" w:eastAsia="宋体" w:cs="宋体"/>
          <w:color w:val="auto"/>
          <w:sz w:val="24"/>
          <w:highlight w:val="none"/>
          <w:u w:val="none"/>
        </w:rPr>
        <w:t>的应提供服务的总价详见报价一览表，</w:t>
      </w:r>
      <w:r>
        <w:rPr>
          <w:rFonts w:hint="eastAsia" w:ascii="宋体" w:hAnsi="宋体" w:eastAsia="宋体" w:cs="宋体"/>
          <w:color w:val="auto"/>
          <w:sz w:val="24"/>
          <w:highlight w:val="none"/>
          <w:u w:val="none"/>
          <w:lang w:val="en-US" w:eastAsia="zh-CN"/>
        </w:rPr>
        <w:t>均由我公司承担</w:t>
      </w:r>
      <w:r>
        <w:rPr>
          <w:rFonts w:hint="eastAsia" w:ascii="宋体" w:hAnsi="宋体" w:eastAsia="宋体" w:cs="宋体"/>
          <w:color w:val="auto"/>
          <w:sz w:val="24"/>
          <w:highlight w:val="none"/>
        </w:rPr>
        <w:t>。</w:t>
      </w:r>
    </w:p>
    <w:p w14:paraId="0ED56346">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（2）本响应文件有效期为自响应文件截止之日起</w:t>
      </w:r>
      <w:r>
        <w:rPr>
          <w:rFonts w:hint="eastAsia" w:ascii="宋体" w:hAnsi="宋体" w:cs="宋体"/>
          <w:color w:val="auto"/>
          <w:sz w:val="24"/>
          <w:szCs w:val="20"/>
          <w:highlight w:val="none"/>
          <w:u w:val="single"/>
          <w:lang w:val="en-US" w:eastAsia="zh-CN"/>
        </w:rPr>
        <w:t xml:space="preserve"> 90 </w:t>
      </w:r>
      <w:r>
        <w:rPr>
          <w:rFonts w:hint="eastAsia" w:ascii="宋体" w:hAnsi="宋体" w:eastAsia="宋体" w:cs="宋体"/>
          <w:color w:val="auto"/>
          <w:sz w:val="24"/>
          <w:szCs w:val="20"/>
          <w:highlight w:val="none"/>
        </w:rPr>
        <w:t>个日历日。</w:t>
      </w:r>
    </w:p>
    <w:p w14:paraId="4D9EF1EE">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（3）联合体中的大中型企业和其他自然人、法人或者其他组织，与联合体中的小型、微型企业之间</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u w:val="single"/>
          <w:lang w:val="en-US" w:eastAsia="zh-CN"/>
        </w:rPr>
        <w:t>/</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存在、不存在）投资关系（如果联合体的话）。</w:t>
      </w:r>
    </w:p>
    <w:p w14:paraId="21B66F3E">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（4）已详细审查全部竞争性磋商文件，包括所有补充通知（如果有的话），完全理解并同意放弃对这方面有不明、误解和质疑的</w:t>
      </w:r>
      <w:r>
        <w:rPr>
          <w:rFonts w:hint="eastAsia" w:ascii="宋体" w:hAnsi="宋体" w:cs="宋体"/>
          <w:color w:val="auto"/>
          <w:sz w:val="24"/>
          <w:szCs w:val="20"/>
          <w:highlight w:val="none"/>
          <w:lang w:eastAsia="zh-CN"/>
        </w:rPr>
        <w:t>权利</w:t>
      </w:r>
      <w:r>
        <w:rPr>
          <w:rFonts w:hint="eastAsia" w:ascii="宋体" w:hAnsi="宋体" w:eastAsia="宋体" w:cs="宋体"/>
          <w:color w:val="auto"/>
          <w:sz w:val="24"/>
          <w:szCs w:val="20"/>
          <w:highlight w:val="none"/>
        </w:rPr>
        <w:t>。</w:t>
      </w:r>
    </w:p>
    <w:p w14:paraId="2EE04729">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（5）我方不是为本项目提供整体设计、规范编制或者项目管理、监理、检测等服务的供应商，我方不是采购代理机构的附属机构。</w:t>
      </w:r>
    </w:p>
    <w:p w14:paraId="535D6E08">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（6）按照贵方可能要求，提供与其响应文件有关的一切数据或资料，完全理解贵方不一定接受最低价的响应文件或收到的任何响应文件。</w:t>
      </w:r>
    </w:p>
    <w:p w14:paraId="074DA577">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（7）我方保证所提供宣传内容、方案不侵犯他人知识产权，否则，由此产生的一切法律责任由我方承担。</w:t>
      </w:r>
    </w:p>
    <w:p w14:paraId="16BFFD62">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（8）在领取成交通知书的同时按磋商文件规定的形式，向贵方一次性支付成交服务费。</w:t>
      </w:r>
    </w:p>
    <w:p w14:paraId="7CE3D679">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（9） 按照竞争性磋商文件的规定履行合同责任和义务。</w:t>
      </w:r>
    </w:p>
    <w:p w14:paraId="4C91EA75">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359" w:leftChars="68" w:hanging="216" w:hangingChars="9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与本响应文件有关的一切正式往来信函请寄：</w:t>
      </w:r>
    </w:p>
    <w:p w14:paraId="3A8AAADC">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地址：     传真：</w:t>
      </w:r>
    </w:p>
    <w:p w14:paraId="194BCFBF">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b/>
          <w:color w:val="auto"/>
          <w:sz w:val="24"/>
          <w:szCs w:val="20"/>
          <w:highlight w:val="none"/>
        </w:rPr>
      </w:pPr>
      <w:r>
        <w:rPr>
          <w:rFonts w:hint="eastAsia" w:ascii="宋体" w:hAnsi="宋体" w:eastAsia="宋体" w:cs="宋体"/>
          <w:color w:val="auto"/>
          <w:sz w:val="24"/>
          <w:szCs w:val="20"/>
          <w:highlight w:val="none"/>
        </w:rPr>
        <w:t>电话：     电子函件：</w:t>
      </w:r>
    </w:p>
    <w:p w14:paraId="327FF551">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0D731A21">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供应商名称（全称）：-----------------</w:t>
      </w:r>
    </w:p>
    <w:p w14:paraId="41769D9F">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供应商开户银行（全称）：　　　　　　 </w:t>
      </w:r>
    </w:p>
    <w:p w14:paraId="2745F5EE">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供应商银行</w:t>
      </w:r>
      <w:r>
        <w:rPr>
          <w:rFonts w:hint="eastAsia" w:hAnsi="宋体" w:cs="宋体"/>
          <w:color w:val="auto"/>
          <w:sz w:val="24"/>
          <w:highlight w:val="none"/>
          <w:lang w:eastAsia="zh-CN"/>
        </w:rPr>
        <w:t>账</w:t>
      </w:r>
      <w:r>
        <w:rPr>
          <w:rFonts w:hint="eastAsia" w:ascii="宋体" w:hAnsi="宋体" w:eastAsia="宋体" w:cs="宋体"/>
          <w:color w:val="auto"/>
          <w:sz w:val="24"/>
          <w:highlight w:val="none"/>
        </w:rPr>
        <w:t>号：　　　　　　　　 　　</w:t>
      </w:r>
    </w:p>
    <w:p w14:paraId="099D7C34">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供应商单位章：-------------------------</w:t>
      </w:r>
    </w:p>
    <w:p w14:paraId="7D66E8C2">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szCs w:val="24"/>
          <w:highlight w:val="none"/>
        </w:rPr>
        <w:t>______年____月____日</w:t>
      </w:r>
    </w:p>
    <w:p w14:paraId="6BB80AC2">
      <w:pPr>
        <w:pStyle w:val="4"/>
        <w:spacing w:line="600" w:lineRule="exact"/>
        <w:rPr>
          <w:rFonts w:hint="eastAsia" w:ascii="宋体" w:hAnsi="宋体" w:eastAsia="宋体" w:cs="宋体"/>
          <w:color w:val="auto"/>
          <w:highlight w:val="none"/>
        </w:rPr>
      </w:pPr>
      <w:bookmarkStart w:id="322" w:name="_Hlt520356243"/>
      <w:bookmarkEnd w:id="322"/>
      <w:bookmarkStart w:id="323" w:name="_Hlt520355938"/>
      <w:bookmarkEnd w:id="323"/>
      <w:bookmarkStart w:id="324" w:name="_Toc51257752"/>
      <w:bookmarkStart w:id="325" w:name="_Toc60669160"/>
      <w:bookmarkStart w:id="326" w:name="_Toc4198"/>
      <w:bookmarkStart w:id="327" w:name="_Toc46238282"/>
      <w:bookmarkStart w:id="328" w:name="_Toc46136865"/>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w:t>
      </w:r>
      <w:bookmarkEnd w:id="324"/>
      <w:bookmarkEnd w:id="325"/>
      <w:r>
        <w:rPr>
          <w:rFonts w:hint="eastAsia" w:ascii="宋体" w:hAnsi="宋体" w:eastAsia="宋体" w:cs="宋体"/>
          <w:color w:val="auto"/>
          <w:highlight w:val="none"/>
        </w:rPr>
        <w:t>落实政府采购政策需满足的资格要求</w:t>
      </w:r>
      <w:bookmarkEnd w:id="326"/>
    </w:p>
    <w:p w14:paraId="1E3A76BB">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329" w:name="_Toc28869"/>
      <w:bookmarkStart w:id="330" w:name="_Toc60669161"/>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.1、中小企业声明函</w:t>
      </w:r>
      <w:bookmarkEnd w:id="329"/>
      <w:bookmarkEnd w:id="330"/>
    </w:p>
    <w:p w14:paraId="58D25DBC">
      <w:pPr>
        <w:keepNext w:val="0"/>
        <w:keepLines w:val="0"/>
        <w:pageBreakBefore w:val="0"/>
        <w:widowControl w:val="0"/>
        <w:tabs>
          <w:tab w:val="left" w:pos="146"/>
        </w:tabs>
        <w:kinsoku/>
        <w:wordWrap/>
        <w:overflowPunct/>
        <w:topLinePunct w:val="0"/>
        <w:autoSpaceDE/>
        <w:autoSpaceDN/>
        <w:bidi w:val="0"/>
        <w:adjustRightInd/>
        <w:snapToGrid/>
        <w:spacing w:line="520" w:lineRule="exact"/>
        <w:ind w:left="11" w:right="260" w:firstLine="49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本公司郑重声明，根据《政府采购促进中小企业发展管理办法》（财库﹝2020﹞46号）的规定，本公司</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rPr>
        <w:t>参加（单位名称）的</w:t>
      </w:r>
      <w:r>
        <w:rPr>
          <w:rFonts w:hint="eastAsia" w:ascii="宋体" w:hAnsi="宋体" w:eastAsia="宋体" w:cs="宋体"/>
          <w:color w:val="auto"/>
          <w:spacing w:val="0"/>
          <w:sz w:val="24"/>
          <w:szCs w:val="24"/>
          <w:highlight w:val="none"/>
          <w:u w:val="single"/>
        </w:rPr>
        <w:t xml:space="preserve">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（项目名称） </w:t>
      </w:r>
      <w:r>
        <w:rPr>
          <w:rFonts w:hint="eastAsia" w:ascii="宋体" w:hAnsi="宋体" w:eastAsia="宋体" w:cs="宋体"/>
          <w:color w:val="auto"/>
          <w:spacing w:val="0"/>
          <w:sz w:val="24"/>
          <w:szCs w:val="24"/>
          <w:highlight w:val="none"/>
        </w:rPr>
        <w:t>采购活动，服务全部由符合政策要求的中小企业承接 。相关企业的具体情况如下：</w:t>
      </w:r>
    </w:p>
    <w:p w14:paraId="61097AA9">
      <w:pPr>
        <w:keepNext w:val="0"/>
        <w:keepLines w:val="0"/>
        <w:pageBreakBefore w:val="0"/>
        <w:widowControl w:val="0"/>
        <w:kinsoku/>
        <w:wordWrap/>
        <w:overflowPunct/>
        <w:topLinePunct w:val="0"/>
        <w:autoSpaceDE/>
        <w:autoSpaceDN/>
        <w:bidi w:val="0"/>
        <w:adjustRightInd/>
        <w:snapToGrid/>
        <w:spacing w:line="520" w:lineRule="exact"/>
        <w:ind w:left="23" w:right="301" w:firstLine="495"/>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eastAsia="宋体" w:cs="宋体"/>
          <w:color w:val="auto"/>
          <w:spacing w:val="0"/>
          <w:sz w:val="24"/>
          <w:szCs w:val="24"/>
          <w:highlight w:val="none"/>
          <w:u w:val="single" w:color="auto"/>
        </w:rPr>
        <w:t xml:space="preserve">（标的名称） </w:t>
      </w:r>
      <w:r>
        <w:rPr>
          <w:rFonts w:hint="eastAsia" w:ascii="宋体" w:hAnsi="宋体" w:eastAsia="宋体" w:cs="宋体"/>
          <w:color w:val="auto"/>
          <w:spacing w:val="0"/>
          <w:sz w:val="24"/>
          <w:szCs w:val="24"/>
          <w:highlight w:val="none"/>
        </w:rPr>
        <w:t>，属于（</w:t>
      </w:r>
      <w:r>
        <w:rPr>
          <w:rFonts w:hint="eastAsia" w:ascii="宋体" w:hAnsi="宋体" w:eastAsia="宋体" w:cs="宋体"/>
          <w:color w:val="auto"/>
          <w:spacing w:val="0"/>
          <w:sz w:val="24"/>
          <w:szCs w:val="24"/>
          <w:highlight w:val="none"/>
          <w:lang w:val="en-US" w:eastAsia="zh-CN"/>
        </w:rPr>
        <w:t>工业</w:t>
      </w:r>
      <w:r>
        <w:rPr>
          <w:rFonts w:hint="eastAsia" w:ascii="宋体" w:hAnsi="宋体" w:eastAsia="宋体" w:cs="宋体"/>
          <w:color w:val="auto"/>
          <w:spacing w:val="0"/>
          <w:sz w:val="24"/>
          <w:szCs w:val="24"/>
          <w:highlight w:val="none"/>
          <w:u w:val="none" w:color="auto"/>
        </w:rPr>
        <w:t xml:space="preserve">） </w:t>
      </w:r>
      <w:r>
        <w:rPr>
          <w:rFonts w:hint="eastAsia" w:ascii="宋体" w:hAnsi="宋体" w:eastAsia="宋体" w:cs="宋体"/>
          <w:color w:val="auto"/>
          <w:spacing w:val="0"/>
          <w:sz w:val="24"/>
          <w:szCs w:val="24"/>
          <w:highlight w:val="none"/>
        </w:rPr>
        <w:t>；承建（承接） 企业为</w:t>
      </w:r>
      <w:r>
        <w:rPr>
          <w:rFonts w:hint="eastAsia" w:ascii="宋体" w:hAnsi="宋体" w:eastAsia="宋体" w:cs="宋体"/>
          <w:color w:val="auto"/>
          <w:spacing w:val="0"/>
          <w:sz w:val="24"/>
          <w:szCs w:val="24"/>
          <w:highlight w:val="none"/>
          <w:u w:val="single" w:color="auto"/>
        </w:rPr>
        <w:t xml:space="preserve">（企业名称） </w:t>
      </w:r>
      <w:r>
        <w:rPr>
          <w:rFonts w:hint="eastAsia" w:ascii="宋体" w:hAnsi="宋体" w:eastAsia="宋体" w:cs="宋体"/>
          <w:color w:val="auto"/>
          <w:spacing w:val="0"/>
          <w:sz w:val="24"/>
          <w:szCs w:val="24"/>
          <w:highlight w:val="none"/>
        </w:rPr>
        <w:t>， 从业人员</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人，营业收入为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万元，资产总额为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万元，属于</w:t>
      </w:r>
      <w:r>
        <w:rPr>
          <w:rFonts w:hint="eastAsia" w:ascii="宋体" w:hAnsi="宋体" w:eastAsia="宋体" w:cs="宋体"/>
          <w:color w:val="auto"/>
          <w:spacing w:val="0"/>
          <w:sz w:val="24"/>
          <w:szCs w:val="24"/>
          <w:highlight w:val="none"/>
          <w:u w:val="single" w:color="auto"/>
        </w:rPr>
        <w:t>（中型</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u w:val="single" w:color="auto"/>
        </w:rPr>
        <w:t xml:space="preserve">企业、小型企业、微型企业） </w:t>
      </w:r>
      <w:r>
        <w:rPr>
          <w:rFonts w:hint="eastAsia" w:ascii="宋体" w:hAnsi="宋体" w:eastAsia="宋体" w:cs="宋体"/>
          <w:color w:val="auto"/>
          <w:spacing w:val="0"/>
          <w:sz w:val="24"/>
          <w:szCs w:val="24"/>
          <w:highlight w:val="none"/>
        </w:rPr>
        <w:t>；</w:t>
      </w:r>
    </w:p>
    <w:p w14:paraId="2295A629">
      <w:pPr>
        <w:keepNext w:val="0"/>
        <w:keepLines w:val="0"/>
        <w:pageBreakBefore w:val="0"/>
        <w:widowControl w:val="0"/>
        <w:kinsoku/>
        <w:wordWrap/>
        <w:overflowPunct/>
        <w:topLinePunct w:val="0"/>
        <w:autoSpaceDE/>
        <w:autoSpaceDN/>
        <w:bidi w:val="0"/>
        <w:adjustRightInd/>
        <w:snapToGrid/>
        <w:spacing w:line="520" w:lineRule="exact"/>
        <w:ind w:firstLine="528"/>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position w:val="21"/>
          <w:sz w:val="24"/>
          <w:szCs w:val="24"/>
          <w:highlight w:val="none"/>
        </w:rPr>
        <w:t>以上企业，不属于大企业的分支机构，不存在控股股东为大企业的情形，</w:t>
      </w:r>
    </w:p>
    <w:p w14:paraId="431A1C52">
      <w:pPr>
        <w:keepNext w:val="0"/>
        <w:keepLines w:val="0"/>
        <w:pageBreakBefore w:val="0"/>
        <w:widowControl w:val="0"/>
        <w:kinsoku/>
        <w:wordWrap/>
        <w:overflowPunct/>
        <w:topLinePunct w:val="0"/>
        <w:autoSpaceDE/>
        <w:autoSpaceDN/>
        <w:bidi w:val="0"/>
        <w:adjustRightInd/>
        <w:snapToGrid/>
        <w:spacing w:line="520" w:lineRule="exact"/>
        <w:ind w:firstLine="25"/>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也不存在与大企业的负责人为同一人的情形。</w:t>
      </w:r>
    </w:p>
    <w:p w14:paraId="2C97048D">
      <w:pPr>
        <w:keepNext w:val="0"/>
        <w:keepLines w:val="0"/>
        <w:pageBreakBefore w:val="0"/>
        <w:widowControl w:val="0"/>
        <w:kinsoku/>
        <w:wordWrap/>
        <w:overflowPunct/>
        <w:topLinePunct w:val="0"/>
        <w:autoSpaceDE/>
        <w:autoSpaceDN/>
        <w:bidi w:val="0"/>
        <w:adjustRightInd/>
        <w:snapToGrid/>
        <w:spacing w:line="520" w:lineRule="exact"/>
        <w:ind w:firstLine="502"/>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本企业对上述声明内容的真实性负责。如有虚假，将依法承担相应责任。</w:t>
      </w:r>
    </w:p>
    <w:p w14:paraId="48CE748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pacing w:val="0"/>
          <w:sz w:val="21"/>
          <w:highlight w:val="none"/>
        </w:rPr>
      </w:pPr>
    </w:p>
    <w:p w14:paraId="246C500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1"/>
          <w:highlight w:val="none"/>
        </w:rPr>
      </w:pPr>
    </w:p>
    <w:p w14:paraId="0CCE018F">
      <w:pPr>
        <w:keepNext w:val="0"/>
        <w:keepLines w:val="0"/>
        <w:pageBreakBefore w:val="0"/>
        <w:widowControl w:val="0"/>
        <w:kinsoku/>
        <w:wordWrap/>
        <w:overflowPunct/>
        <w:topLinePunct w:val="0"/>
        <w:autoSpaceDE/>
        <w:autoSpaceDN/>
        <w:bidi w:val="0"/>
        <w:adjustRightInd/>
        <w:snapToGrid/>
        <w:spacing w:line="480" w:lineRule="exact"/>
        <w:ind w:firstLine="4083"/>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position w:val="20"/>
          <w:sz w:val="24"/>
          <w:szCs w:val="24"/>
          <w:highlight w:val="none"/>
        </w:rPr>
        <w:t>企业名称（盖章</w:t>
      </w:r>
      <w:r>
        <w:rPr>
          <w:rFonts w:hint="eastAsia" w:ascii="宋体" w:hAnsi="宋体" w:eastAsia="宋体" w:cs="宋体"/>
          <w:color w:val="auto"/>
          <w:spacing w:val="-67"/>
          <w:position w:val="20"/>
          <w:sz w:val="24"/>
          <w:szCs w:val="24"/>
          <w:highlight w:val="none"/>
        </w:rPr>
        <w:t>）</w:t>
      </w:r>
      <w:r>
        <w:rPr>
          <w:rFonts w:hint="eastAsia" w:ascii="宋体" w:hAnsi="宋体" w:eastAsia="宋体" w:cs="宋体"/>
          <w:color w:val="auto"/>
          <w:spacing w:val="-19"/>
          <w:position w:val="20"/>
          <w:sz w:val="24"/>
          <w:szCs w:val="24"/>
          <w:highlight w:val="none"/>
        </w:rPr>
        <w:t xml:space="preserve"> </w:t>
      </w:r>
      <w:r>
        <w:rPr>
          <w:rFonts w:hint="eastAsia" w:ascii="宋体" w:hAnsi="宋体" w:eastAsia="宋体" w:cs="宋体"/>
          <w:color w:val="auto"/>
          <w:spacing w:val="-67"/>
          <w:position w:val="20"/>
          <w:sz w:val="24"/>
          <w:szCs w:val="24"/>
          <w:highlight w:val="none"/>
        </w:rPr>
        <w:t>：</w:t>
      </w:r>
    </w:p>
    <w:p w14:paraId="6536CE75">
      <w:pPr>
        <w:keepNext w:val="0"/>
        <w:keepLines w:val="0"/>
        <w:pageBreakBefore w:val="0"/>
        <w:widowControl w:val="0"/>
        <w:kinsoku/>
        <w:wordWrap/>
        <w:overflowPunct/>
        <w:topLinePunct w:val="0"/>
        <w:autoSpaceDE/>
        <w:autoSpaceDN/>
        <w:bidi w:val="0"/>
        <w:adjustRightInd/>
        <w:snapToGrid/>
        <w:spacing w:line="480" w:lineRule="exact"/>
        <w:ind w:firstLine="412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7"/>
          <w:sz w:val="24"/>
          <w:szCs w:val="24"/>
          <w:highlight w:val="none"/>
        </w:rPr>
        <w:t>日期：</w:t>
      </w:r>
    </w:p>
    <w:p w14:paraId="29A69243">
      <w:pPr>
        <w:pStyle w:val="37"/>
        <w:pageBreakBefore w:val="0"/>
        <w:widowControl w:val="0"/>
        <w:kinsoku/>
        <w:wordWrap/>
        <w:overflowPunct/>
        <w:topLinePunct w:val="0"/>
        <w:bidi w:val="0"/>
        <w:snapToGrid/>
        <w:spacing w:line="480" w:lineRule="exact"/>
        <w:textAlignment w:val="auto"/>
        <w:rPr>
          <w:rFonts w:hint="eastAsia" w:ascii="宋体" w:hAnsi="宋体" w:eastAsia="宋体" w:cs="宋体"/>
          <w:color w:val="auto"/>
          <w:highlight w:val="none"/>
        </w:rPr>
      </w:pPr>
    </w:p>
    <w:p w14:paraId="0E3E55B0">
      <w:pPr>
        <w:pStyle w:val="37"/>
        <w:spacing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14:paraId="77A31333">
      <w:pPr>
        <w:pStyle w:val="37"/>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14:paraId="25E76965">
      <w:pPr>
        <w:pStyle w:val="37"/>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本项目以工业为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0A2C5AD">
      <w:pPr>
        <w:pStyle w:val="37"/>
        <w:wordWrap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3、为保证自行认定企业类型的准确性，供应商可通过国务院客户端小程序自行测试企业类型；登录国务院客户端小程序-企业-涉企查询更多-中小企业规模类型自测。</w:t>
      </w:r>
    </w:p>
    <w:p w14:paraId="5A07260F">
      <w:pPr>
        <w:pStyle w:val="4"/>
        <w:spacing w:line="600" w:lineRule="exact"/>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lang w:val="en-US" w:eastAsia="zh-CN"/>
        </w:rPr>
        <w:t>10</w:t>
      </w:r>
      <w:r>
        <w:rPr>
          <w:rFonts w:hint="eastAsia" w:ascii="宋体" w:hAnsi="宋体" w:eastAsia="宋体" w:cs="宋体"/>
          <w:color w:val="auto"/>
          <w:highlight w:val="none"/>
          <w:u w:val="none"/>
        </w:rPr>
        <w:t>、残疾人福利性单位声明函</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p w14:paraId="0CA5486B">
      <w:pPr>
        <w:spacing w:line="480" w:lineRule="exact"/>
        <w:ind w:firstLine="567"/>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单位的</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项目采购活动提供本单位制造的货物，或者提供其他残疾人福利性单位制造的货物（不包括使用非残疾人福利性单位注册商标的货物）。</w:t>
      </w:r>
    </w:p>
    <w:p w14:paraId="7F2FC660">
      <w:pPr>
        <w:spacing w:line="480" w:lineRule="exact"/>
        <w:ind w:left="1080" w:leftChars="257" w:hanging="54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本单位对上述声明的真实性负责。如有虚假，将依法承担相应责任。</w:t>
      </w:r>
    </w:p>
    <w:p w14:paraId="38B2E029">
      <w:pPr>
        <w:pStyle w:val="4"/>
        <w:spacing w:line="60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lang w:val="en-US" w:eastAsia="zh-CN"/>
        </w:rPr>
        <w:t>10</w:t>
      </w:r>
      <w:r>
        <w:rPr>
          <w:rFonts w:hint="eastAsia" w:ascii="宋体" w:hAnsi="宋体" w:eastAsia="宋体" w:cs="宋体"/>
          <w:color w:val="auto"/>
          <w:highlight w:val="none"/>
          <w:u w:val="none"/>
        </w:rPr>
        <w:t>、省级以上监狱管理局、戒毒管理局（含新疆生产建设兵团） 出具的属于监狱企业的证明文件复印件</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bookmarkEnd w:id="327"/>
    <w:bookmarkEnd w:id="328"/>
    <w:p w14:paraId="2993E169">
      <w:pPr>
        <w:pStyle w:val="4"/>
        <w:spacing w:line="480" w:lineRule="exact"/>
        <w:rPr>
          <w:rFonts w:hint="eastAsia" w:ascii="宋体" w:hAnsi="宋体" w:eastAsia="宋体" w:cs="宋体"/>
          <w:color w:val="auto"/>
          <w:highlight w:val="none"/>
          <w:u w:val="none"/>
        </w:rPr>
      </w:pPr>
      <w:bookmarkStart w:id="331" w:name="_Toc46136871"/>
      <w:bookmarkStart w:id="332" w:name="_Toc46238288"/>
      <w:bookmarkStart w:id="333" w:name="_Toc518923122"/>
      <w:r>
        <w:rPr>
          <w:rFonts w:hint="eastAsia" w:ascii="宋体" w:hAnsi="宋体" w:eastAsia="宋体" w:cs="宋体"/>
          <w:color w:val="auto"/>
          <w:highlight w:val="none"/>
          <w:u w:val="none"/>
        </w:rPr>
        <w:t>11.分项报价表</w:t>
      </w:r>
    </w:p>
    <w:p w14:paraId="6009393D">
      <w:pPr>
        <w:spacing w:line="600" w:lineRule="exact"/>
        <w:jc w:val="left"/>
        <w:rPr>
          <w:rFonts w:hint="eastAsia" w:ascii="宋体" w:hAnsi="宋体" w:eastAsia="宋体" w:cs="宋体"/>
          <w:color w:val="auto"/>
          <w:kern w:val="0"/>
          <w:position w:val="-2"/>
          <w:szCs w:val="21"/>
          <w:highlight w:val="none"/>
        </w:rPr>
      </w:pPr>
      <w:r>
        <w:rPr>
          <w:rFonts w:hint="eastAsia" w:ascii="宋体" w:hAnsi="宋体" w:eastAsia="宋体" w:cs="宋体"/>
          <w:color w:val="auto"/>
          <w:sz w:val="24"/>
          <w:highlight w:val="none"/>
        </w:rPr>
        <w:t>项目编号、包号: 　　报价单位：人民币元</w:t>
      </w:r>
    </w:p>
    <w:tbl>
      <w:tblPr>
        <w:tblStyle w:val="29"/>
        <w:tblW w:w="9515"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4"/>
        <w:gridCol w:w="1075"/>
        <w:gridCol w:w="780"/>
        <w:gridCol w:w="780"/>
        <w:gridCol w:w="1042"/>
        <w:gridCol w:w="1025"/>
        <w:gridCol w:w="1025"/>
        <w:gridCol w:w="1025"/>
        <w:gridCol w:w="1829"/>
      </w:tblGrid>
      <w:tr w14:paraId="61785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34" w:type="dxa"/>
            <w:tcBorders>
              <w:top w:val="single" w:color="000000" w:sz="4" w:space="0"/>
              <w:left w:val="single" w:color="000000" w:sz="4" w:space="0"/>
              <w:bottom w:val="single" w:color="000000" w:sz="4" w:space="0"/>
              <w:right w:val="single" w:color="000000" w:sz="4" w:space="0"/>
            </w:tcBorders>
            <w:noWrap w:val="0"/>
            <w:vAlign w:val="center"/>
          </w:tcPr>
          <w:p w14:paraId="64391FAD">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编号</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14:paraId="484762F3">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货物名称</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E52C0DD">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default" w:ascii="宋体" w:hAnsi="宋体" w:eastAsia="宋体" w:cs="宋体"/>
                <w:color w:val="auto"/>
                <w:kern w:val="0"/>
                <w:position w:val="-2"/>
                <w:szCs w:val="21"/>
                <w:highlight w:val="none"/>
                <w:lang w:val="en-US" w:eastAsia="zh-CN"/>
              </w:rPr>
            </w:pPr>
            <w:r>
              <w:rPr>
                <w:rFonts w:hint="eastAsia" w:ascii="宋体" w:hAnsi="宋体" w:cs="宋体"/>
                <w:color w:val="auto"/>
                <w:kern w:val="0"/>
                <w:position w:val="-2"/>
                <w:szCs w:val="21"/>
                <w:highlight w:val="none"/>
                <w:lang w:val="en-US" w:eastAsia="zh-CN"/>
              </w:rPr>
              <w:t>品牌型号</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4429B300">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default" w:ascii="宋体" w:hAnsi="宋体" w:eastAsia="宋体" w:cs="宋体"/>
                <w:color w:val="auto"/>
                <w:kern w:val="0"/>
                <w:position w:val="-2"/>
                <w:szCs w:val="21"/>
                <w:highlight w:val="none"/>
                <w:lang w:val="en-US" w:eastAsia="zh-CN"/>
              </w:rPr>
            </w:pPr>
            <w:r>
              <w:rPr>
                <w:rFonts w:hint="eastAsia" w:ascii="宋体" w:hAnsi="宋体" w:cs="宋体"/>
                <w:color w:val="auto"/>
                <w:kern w:val="0"/>
                <w:position w:val="-2"/>
                <w:szCs w:val="21"/>
                <w:highlight w:val="none"/>
                <w:lang w:val="en-US" w:eastAsia="zh-CN"/>
              </w:rPr>
              <w:t>制造商</w:t>
            </w: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4EF76341">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default" w:ascii="宋体" w:hAnsi="宋体" w:eastAsia="宋体" w:cs="宋体"/>
                <w:color w:val="auto"/>
                <w:kern w:val="0"/>
                <w:position w:val="-2"/>
                <w:szCs w:val="21"/>
                <w:highlight w:val="none"/>
                <w:lang w:val="en-US" w:eastAsia="zh-CN"/>
              </w:rPr>
            </w:pPr>
            <w:r>
              <w:rPr>
                <w:rFonts w:hint="eastAsia" w:ascii="宋体" w:hAnsi="宋体" w:cs="宋体"/>
                <w:color w:val="auto"/>
                <w:kern w:val="0"/>
                <w:position w:val="-2"/>
                <w:szCs w:val="21"/>
                <w:highlight w:val="none"/>
                <w:lang w:val="en-US" w:eastAsia="zh-CN"/>
              </w:rPr>
              <w:t>技术参数</w:t>
            </w: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173C982A">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default" w:ascii="宋体" w:hAnsi="宋体" w:eastAsia="宋体" w:cs="宋体"/>
                <w:color w:val="auto"/>
                <w:kern w:val="0"/>
                <w:position w:val="-2"/>
                <w:szCs w:val="21"/>
                <w:highlight w:val="none"/>
                <w:lang w:val="en-US" w:eastAsia="zh-CN"/>
              </w:rPr>
            </w:pPr>
            <w:r>
              <w:rPr>
                <w:rFonts w:hint="eastAsia" w:ascii="宋体" w:hAnsi="宋体" w:cs="宋体"/>
                <w:color w:val="auto"/>
                <w:kern w:val="0"/>
                <w:position w:val="-2"/>
                <w:szCs w:val="21"/>
                <w:highlight w:val="none"/>
                <w:lang w:val="en-US" w:eastAsia="zh-CN"/>
              </w:rPr>
              <w:t>数量</w:t>
            </w: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6D160B28">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单价</w:t>
            </w: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39DC773F">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合价</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47D9292">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是否为小微企业产品</w:t>
            </w:r>
          </w:p>
        </w:tc>
      </w:tr>
      <w:tr w14:paraId="2A032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1" w:hRule="atLeast"/>
        </w:trPr>
        <w:tc>
          <w:tcPr>
            <w:tcW w:w="934" w:type="dxa"/>
            <w:tcBorders>
              <w:top w:val="single" w:color="000000" w:sz="4" w:space="0"/>
              <w:left w:val="single" w:color="000000" w:sz="4" w:space="0"/>
              <w:bottom w:val="single" w:color="000000" w:sz="4" w:space="0"/>
              <w:right w:val="single" w:color="000000" w:sz="4" w:space="0"/>
            </w:tcBorders>
            <w:noWrap w:val="0"/>
            <w:vAlign w:val="center"/>
          </w:tcPr>
          <w:p w14:paraId="11B3E5A6">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.1</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14:paraId="00FD361F">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1490BA3">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720E5DE5">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11868E55">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06B542AC">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58BDC78C">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04415340">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9D8D124">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r>
      <w:tr w14:paraId="6E1564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1" w:hRule="atLeast"/>
        </w:trPr>
        <w:tc>
          <w:tcPr>
            <w:tcW w:w="934" w:type="dxa"/>
            <w:tcBorders>
              <w:top w:val="single" w:color="000000" w:sz="4" w:space="0"/>
              <w:left w:val="single" w:color="000000" w:sz="4" w:space="0"/>
              <w:bottom w:val="single" w:color="000000" w:sz="4" w:space="0"/>
              <w:right w:val="single" w:color="000000" w:sz="4" w:space="0"/>
            </w:tcBorders>
            <w:noWrap w:val="0"/>
            <w:vAlign w:val="center"/>
          </w:tcPr>
          <w:p w14:paraId="2944491C">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.2</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14:paraId="0633BD19">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D771FCB">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21C461D">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2CE32DD8">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239987D7">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7D4C0CBA">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56FC926F">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701D39A8">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r>
      <w:tr w14:paraId="63AF2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1" w:hRule="atLeast"/>
        </w:trPr>
        <w:tc>
          <w:tcPr>
            <w:tcW w:w="934" w:type="dxa"/>
            <w:tcBorders>
              <w:top w:val="single" w:color="000000" w:sz="4" w:space="0"/>
              <w:left w:val="single" w:color="000000" w:sz="4" w:space="0"/>
              <w:bottom w:val="single" w:color="000000" w:sz="4" w:space="0"/>
              <w:right w:val="single" w:color="000000" w:sz="4" w:space="0"/>
            </w:tcBorders>
            <w:noWrap w:val="0"/>
            <w:vAlign w:val="center"/>
          </w:tcPr>
          <w:p w14:paraId="75406DEF">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.3</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14:paraId="2E3A136D">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rPr>
            </w:pPr>
            <w:r>
              <w:rPr>
                <w:rFonts w:hint="eastAsia" w:ascii="宋体" w:hAnsi="宋体" w:eastAsia="宋体" w:cs="宋体"/>
                <w:color w:val="auto"/>
                <w:kern w:val="0"/>
                <w:position w:val="-2"/>
                <w:szCs w:val="21"/>
                <w:highlight w:val="none"/>
              </w:rPr>
              <w:t>…</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7E95A282">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279A04E">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79C4F843">
            <w:pPr>
              <w:keepNext w:val="0"/>
              <w:keepLines w:val="0"/>
              <w:pageBreakBefore w:val="0"/>
              <w:widowControl w:val="0"/>
              <w:kinsoku/>
              <w:wordWrap/>
              <w:overflowPunct/>
              <w:topLinePunct w:val="0"/>
              <w:autoSpaceDE/>
              <w:autoSpaceDN/>
              <w:bidi w:val="0"/>
              <w:adjustRightInd/>
              <w:snapToGrid/>
              <w:spacing w:after="200" w:line="440" w:lineRule="exact"/>
              <w:ind w:right="-23"/>
              <w:jc w:val="center"/>
              <w:textAlignment w:val="auto"/>
              <w:rPr>
                <w:rFonts w:hint="eastAsia" w:ascii="宋体" w:hAnsi="宋体" w:eastAsia="宋体" w:cs="宋体"/>
                <w:color w:val="auto"/>
                <w:kern w:val="0"/>
                <w:position w:val="-2"/>
                <w:szCs w:val="21"/>
                <w:highlight w:val="none"/>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6FC8B063">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22D68D04">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025" w:type="dxa"/>
            <w:tcBorders>
              <w:top w:val="single" w:color="000000" w:sz="4" w:space="0"/>
              <w:left w:val="single" w:color="000000" w:sz="4" w:space="0"/>
              <w:bottom w:val="single" w:color="000000" w:sz="4" w:space="0"/>
              <w:right w:val="single" w:color="000000" w:sz="4" w:space="0"/>
            </w:tcBorders>
            <w:noWrap w:val="0"/>
            <w:vAlign w:val="center"/>
          </w:tcPr>
          <w:p w14:paraId="0A381E70">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4F57186F">
            <w:pPr>
              <w:keepNext w:val="0"/>
              <w:keepLines w:val="0"/>
              <w:pageBreakBefore w:val="0"/>
              <w:widowControl w:val="0"/>
              <w:kinsoku/>
              <w:wordWrap/>
              <w:overflowPunct/>
              <w:topLinePunct w:val="0"/>
              <w:autoSpaceDE/>
              <w:autoSpaceDN/>
              <w:bidi w:val="0"/>
              <w:adjustRightInd/>
              <w:snapToGrid/>
              <w:spacing w:after="200" w:line="440" w:lineRule="exact"/>
              <w:ind w:left="124" w:right="-23"/>
              <w:jc w:val="center"/>
              <w:textAlignment w:val="auto"/>
              <w:rPr>
                <w:rFonts w:hint="eastAsia" w:ascii="宋体" w:hAnsi="宋体" w:eastAsia="宋体" w:cs="宋体"/>
                <w:color w:val="auto"/>
                <w:kern w:val="0"/>
                <w:position w:val="-2"/>
                <w:szCs w:val="21"/>
                <w:highlight w:val="none"/>
                <w:lang w:eastAsia="en-US"/>
              </w:rPr>
            </w:pPr>
          </w:p>
        </w:tc>
      </w:tr>
    </w:tbl>
    <w:p w14:paraId="246845EF">
      <w:pPr>
        <w:spacing w:line="600" w:lineRule="exact"/>
        <w:jc w:val="left"/>
        <w:rPr>
          <w:rFonts w:hint="eastAsia" w:ascii="宋体" w:hAnsi="宋体" w:eastAsia="宋体" w:cs="宋体"/>
          <w:color w:val="auto"/>
          <w:sz w:val="24"/>
          <w:szCs w:val="22"/>
          <w:highlight w:val="none"/>
        </w:rPr>
      </w:pPr>
      <w:r>
        <w:rPr>
          <w:rFonts w:hint="eastAsia" w:ascii="宋体" w:hAnsi="宋体" w:eastAsia="宋体" w:cs="宋体"/>
          <w:color w:val="auto"/>
          <w:sz w:val="24"/>
          <w:highlight w:val="none"/>
        </w:rPr>
        <w:t>说明： 1、</w:t>
      </w:r>
      <w:r>
        <w:rPr>
          <w:rFonts w:hint="eastAsia" w:ascii="宋体" w:hAnsi="宋体" w:eastAsia="宋体" w:cs="宋体"/>
          <w:color w:val="auto"/>
          <w:sz w:val="24"/>
          <w:szCs w:val="22"/>
          <w:highlight w:val="none"/>
        </w:rPr>
        <w:t>供应商须填写相关内容</w:t>
      </w:r>
      <w:r>
        <w:rPr>
          <w:rFonts w:hint="eastAsia" w:ascii="宋体" w:hAnsi="宋体" w:eastAsia="宋体" w:cs="宋体"/>
          <w:color w:val="auto"/>
          <w:sz w:val="24"/>
          <w:highlight w:val="none"/>
        </w:rPr>
        <w:t>。</w:t>
      </w:r>
    </w:p>
    <w:p w14:paraId="2A16C45C">
      <w:pPr>
        <w:spacing w:line="600" w:lineRule="exact"/>
        <w:ind w:firstLine="849" w:firstLineChars="354"/>
        <w:jc w:val="left"/>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、如所投产品为强制性认证产品，应如实、准确填报。</w:t>
      </w:r>
    </w:p>
    <w:p w14:paraId="6A6B063D">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6D860C73">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761A51B6">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6C1BBB2A">
      <w:pPr>
        <w:rPr>
          <w:rFonts w:hint="eastAsia" w:ascii="宋体" w:hAnsi="宋体" w:eastAsia="宋体" w:cs="宋体"/>
          <w:color w:val="auto"/>
          <w:highlight w:val="none"/>
          <w:u w:val="none"/>
        </w:rPr>
      </w:pPr>
      <w:bookmarkStart w:id="334" w:name="_Toc18299"/>
      <w:bookmarkStart w:id="335" w:name="_Toc46136868"/>
      <w:bookmarkStart w:id="336" w:name="_Toc46238285"/>
      <w:r>
        <w:rPr>
          <w:rFonts w:hint="eastAsia" w:ascii="宋体" w:hAnsi="宋体" w:eastAsia="宋体" w:cs="宋体"/>
          <w:color w:val="auto"/>
          <w:highlight w:val="none"/>
          <w:u w:val="none"/>
        </w:rPr>
        <w:br w:type="page"/>
      </w:r>
    </w:p>
    <w:p w14:paraId="50568337">
      <w:pPr>
        <w:pStyle w:val="4"/>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12</w:t>
      </w:r>
      <w:r>
        <w:rPr>
          <w:rFonts w:hint="eastAsia" w:ascii="宋体" w:hAnsi="宋体" w:eastAsia="宋体" w:cs="宋体"/>
          <w:color w:val="auto"/>
          <w:sz w:val="30"/>
          <w:highlight w:val="none"/>
          <w:u w:val="none"/>
        </w:rPr>
        <w:t>.</w:t>
      </w:r>
      <w:r>
        <w:rPr>
          <w:rFonts w:hint="eastAsia" w:ascii="宋体" w:hAnsi="宋体" w:eastAsia="宋体" w:cs="宋体"/>
          <w:color w:val="auto"/>
          <w:highlight w:val="none"/>
          <w:u w:val="none"/>
        </w:rPr>
        <w:t>环境标志产品明细表</w:t>
      </w:r>
      <w:bookmarkEnd w:id="334"/>
      <w:bookmarkEnd w:id="335"/>
      <w:bookmarkEnd w:id="336"/>
    </w:p>
    <w:p w14:paraId="145EDAF2">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9"/>
        <w:tblpPr w:leftFromText="180" w:rightFromText="180" w:vertAnchor="text" w:horzAnchor="margin" w:tblpXSpec="center" w:tblpY="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88"/>
        <w:gridCol w:w="1489"/>
        <w:gridCol w:w="3232"/>
        <w:gridCol w:w="900"/>
        <w:gridCol w:w="900"/>
        <w:gridCol w:w="900"/>
      </w:tblGrid>
      <w:tr w14:paraId="2C15A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14:paraId="60BBD45A">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488" w:type="dxa"/>
            <w:vMerge w:val="restart"/>
            <w:tcBorders>
              <w:top w:val="single" w:color="auto" w:sz="12" w:space="0"/>
              <w:left w:val="single" w:color="auto" w:sz="4" w:space="0"/>
              <w:bottom w:val="single" w:color="auto" w:sz="4" w:space="0"/>
              <w:right w:val="single" w:color="auto" w:sz="4" w:space="0"/>
            </w:tcBorders>
            <w:noWrap w:val="0"/>
            <w:vAlign w:val="center"/>
          </w:tcPr>
          <w:p w14:paraId="6656B6D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489" w:type="dxa"/>
            <w:vMerge w:val="restart"/>
            <w:tcBorders>
              <w:top w:val="single" w:color="auto" w:sz="12" w:space="0"/>
              <w:left w:val="single" w:color="auto" w:sz="4" w:space="0"/>
              <w:bottom w:val="single" w:color="auto" w:sz="4" w:space="0"/>
              <w:right w:val="single" w:color="auto" w:sz="4" w:space="0"/>
            </w:tcBorders>
            <w:noWrap w:val="0"/>
            <w:vAlign w:val="center"/>
          </w:tcPr>
          <w:p w14:paraId="7AF77F6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3232" w:type="dxa"/>
            <w:vMerge w:val="restart"/>
            <w:tcBorders>
              <w:top w:val="single" w:color="auto" w:sz="12" w:space="0"/>
              <w:left w:val="single" w:color="auto" w:sz="4" w:space="0"/>
              <w:bottom w:val="single" w:color="auto" w:sz="4" w:space="0"/>
              <w:right w:val="single" w:color="auto" w:sz="4" w:space="0"/>
            </w:tcBorders>
            <w:noWrap w:val="0"/>
            <w:vAlign w:val="center"/>
          </w:tcPr>
          <w:p w14:paraId="6A9EA91C">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中国环境标志认证证书编号</w:t>
            </w:r>
          </w:p>
        </w:tc>
        <w:tc>
          <w:tcPr>
            <w:tcW w:w="2700" w:type="dxa"/>
            <w:gridSpan w:val="3"/>
            <w:tcBorders>
              <w:top w:val="single" w:color="auto" w:sz="12" w:space="0"/>
              <w:left w:val="single" w:color="auto" w:sz="4" w:space="0"/>
              <w:bottom w:val="single" w:color="auto" w:sz="4" w:space="0"/>
              <w:right w:val="single" w:color="auto" w:sz="12" w:space="0"/>
            </w:tcBorders>
            <w:noWrap w:val="0"/>
            <w:vAlign w:val="center"/>
          </w:tcPr>
          <w:p w14:paraId="0F78AB32">
            <w:pPr>
              <w:autoSpaceDE w:val="0"/>
              <w:autoSpaceDN w:val="0"/>
              <w:adjustRightInd w:val="0"/>
              <w:spacing w:line="480" w:lineRule="exact"/>
              <w:ind w:firstLine="840" w:firstLineChars="3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7F0D5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14:paraId="7D0EC6E5">
            <w:pPr>
              <w:widowControl/>
              <w:spacing w:line="480" w:lineRule="exact"/>
              <w:jc w:val="left"/>
              <w:rPr>
                <w:rFonts w:hint="eastAsia" w:ascii="宋体" w:hAnsi="宋体" w:eastAsia="宋体" w:cs="宋体"/>
                <w:color w:val="auto"/>
                <w:kern w:val="0"/>
                <w:sz w:val="24"/>
                <w:szCs w:val="20"/>
                <w:highlight w:val="none"/>
              </w:rPr>
            </w:pPr>
          </w:p>
        </w:tc>
        <w:tc>
          <w:tcPr>
            <w:tcW w:w="1488" w:type="dxa"/>
            <w:vMerge w:val="continue"/>
            <w:tcBorders>
              <w:top w:val="single" w:color="auto" w:sz="12" w:space="0"/>
              <w:left w:val="single" w:color="auto" w:sz="4" w:space="0"/>
              <w:bottom w:val="single" w:color="auto" w:sz="4" w:space="0"/>
              <w:right w:val="single" w:color="auto" w:sz="4" w:space="0"/>
            </w:tcBorders>
            <w:noWrap w:val="0"/>
            <w:vAlign w:val="center"/>
          </w:tcPr>
          <w:p w14:paraId="2C047BA6">
            <w:pPr>
              <w:widowControl/>
              <w:spacing w:line="480" w:lineRule="exact"/>
              <w:jc w:val="left"/>
              <w:rPr>
                <w:rFonts w:hint="eastAsia" w:ascii="宋体" w:hAnsi="宋体" w:eastAsia="宋体" w:cs="宋体"/>
                <w:color w:val="auto"/>
                <w:kern w:val="0"/>
                <w:sz w:val="24"/>
                <w:szCs w:val="20"/>
                <w:highlight w:val="none"/>
              </w:rPr>
            </w:pPr>
          </w:p>
        </w:tc>
        <w:tc>
          <w:tcPr>
            <w:tcW w:w="1489" w:type="dxa"/>
            <w:vMerge w:val="continue"/>
            <w:tcBorders>
              <w:top w:val="single" w:color="auto" w:sz="12" w:space="0"/>
              <w:left w:val="single" w:color="auto" w:sz="4" w:space="0"/>
              <w:bottom w:val="single" w:color="auto" w:sz="4" w:space="0"/>
              <w:right w:val="single" w:color="auto" w:sz="4" w:space="0"/>
            </w:tcBorders>
            <w:noWrap w:val="0"/>
            <w:vAlign w:val="center"/>
          </w:tcPr>
          <w:p w14:paraId="71085540">
            <w:pPr>
              <w:widowControl/>
              <w:spacing w:line="480" w:lineRule="exact"/>
              <w:jc w:val="left"/>
              <w:rPr>
                <w:rFonts w:hint="eastAsia" w:ascii="宋体" w:hAnsi="宋体" w:eastAsia="宋体" w:cs="宋体"/>
                <w:color w:val="auto"/>
                <w:kern w:val="0"/>
                <w:sz w:val="24"/>
                <w:szCs w:val="20"/>
                <w:highlight w:val="none"/>
              </w:rPr>
            </w:pPr>
          </w:p>
        </w:tc>
        <w:tc>
          <w:tcPr>
            <w:tcW w:w="3232" w:type="dxa"/>
            <w:vMerge w:val="continue"/>
            <w:tcBorders>
              <w:top w:val="single" w:color="auto" w:sz="12" w:space="0"/>
              <w:left w:val="single" w:color="auto" w:sz="4" w:space="0"/>
              <w:bottom w:val="single" w:color="auto" w:sz="4" w:space="0"/>
              <w:right w:val="single" w:color="auto" w:sz="4" w:space="0"/>
            </w:tcBorders>
            <w:noWrap w:val="0"/>
            <w:vAlign w:val="center"/>
          </w:tcPr>
          <w:p w14:paraId="2F84EA35">
            <w:pPr>
              <w:widowControl/>
              <w:spacing w:line="480" w:lineRule="exact"/>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DD70068">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035F7C3">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00" w:type="dxa"/>
            <w:tcBorders>
              <w:top w:val="single" w:color="auto" w:sz="4" w:space="0"/>
              <w:left w:val="single" w:color="auto" w:sz="4" w:space="0"/>
              <w:bottom w:val="single" w:color="auto" w:sz="4" w:space="0"/>
              <w:right w:val="single" w:color="auto" w:sz="12" w:space="0"/>
            </w:tcBorders>
            <w:noWrap w:val="0"/>
            <w:vAlign w:val="center"/>
          </w:tcPr>
          <w:p w14:paraId="6BECA0FA">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69C8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08393511">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488" w:type="dxa"/>
            <w:tcBorders>
              <w:top w:val="single" w:color="auto" w:sz="4" w:space="0"/>
              <w:left w:val="single" w:color="auto" w:sz="4" w:space="0"/>
              <w:bottom w:val="single" w:color="auto" w:sz="4" w:space="0"/>
              <w:right w:val="single" w:color="auto" w:sz="4" w:space="0"/>
            </w:tcBorders>
            <w:noWrap w:val="0"/>
            <w:vAlign w:val="center"/>
          </w:tcPr>
          <w:p w14:paraId="3F838B8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14:paraId="036E6E9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14:paraId="6B499E8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D31CD4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B0021A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14:paraId="14049EC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4B850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7BDEC5B0">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488" w:type="dxa"/>
            <w:tcBorders>
              <w:top w:val="single" w:color="auto" w:sz="4" w:space="0"/>
              <w:left w:val="single" w:color="auto" w:sz="4" w:space="0"/>
              <w:bottom w:val="single" w:color="auto" w:sz="4" w:space="0"/>
              <w:right w:val="single" w:color="auto" w:sz="4" w:space="0"/>
            </w:tcBorders>
            <w:noWrap w:val="0"/>
            <w:vAlign w:val="center"/>
          </w:tcPr>
          <w:p w14:paraId="41AA0C0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14:paraId="5689311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14:paraId="200A0F5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29A97E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0D57FC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14:paraId="739DBD2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6386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0F9DD33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488" w:type="dxa"/>
            <w:tcBorders>
              <w:top w:val="single" w:color="auto" w:sz="4" w:space="0"/>
              <w:left w:val="single" w:color="auto" w:sz="4" w:space="0"/>
              <w:bottom w:val="single" w:color="auto" w:sz="4" w:space="0"/>
              <w:right w:val="single" w:color="auto" w:sz="4" w:space="0"/>
            </w:tcBorders>
            <w:noWrap w:val="0"/>
            <w:vAlign w:val="center"/>
          </w:tcPr>
          <w:p w14:paraId="2045B95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489" w:type="dxa"/>
            <w:tcBorders>
              <w:top w:val="single" w:color="auto" w:sz="4" w:space="0"/>
              <w:left w:val="single" w:color="auto" w:sz="4" w:space="0"/>
              <w:bottom w:val="single" w:color="auto" w:sz="4" w:space="0"/>
              <w:right w:val="single" w:color="auto" w:sz="4" w:space="0"/>
            </w:tcBorders>
            <w:noWrap w:val="0"/>
            <w:vAlign w:val="center"/>
          </w:tcPr>
          <w:p w14:paraId="00F5510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14:paraId="28E400D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E37DBE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43B584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14:paraId="693210B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14:paraId="473AC9C4">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说明：1、如所报产品为环保产品，请按要求逐项填写； </w:t>
      </w:r>
    </w:p>
    <w:p w14:paraId="287DB7B3">
      <w:pPr>
        <w:numPr>
          <w:ilvl w:val="0"/>
          <w:numId w:val="5"/>
        </w:numPr>
        <w:autoSpaceDE w:val="0"/>
        <w:autoSpaceDN w:val="0"/>
        <w:adjustRightInd w:val="0"/>
        <w:spacing w:line="480" w:lineRule="exact"/>
        <w:ind w:firstLine="720" w:firstLineChars="3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需附环境标志产品认证证书，且证书内产品型号与所报产品型号完全一致，否则评审时不予加分。</w:t>
      </w:r>
    </w:p>
    <w:p w14:paraId="18B745B1">
      <w:pPr>
        <w:pStyle w:val="15"/>
        <w:spacing w:line="480" w:lineRule="exact"/>
        <w:ind w:firstLine="480" w:firstLineChars="200"/>
        <w:rPr>
          <w:rFonts w:hint="eastAsia" w:ascii="宋体" w:hAnsi="宋体" w:eastAsia="宋体" w:cs="宋体"/>
          <w:color w:val="auto"/>
          <w:sz w:val="24"/>
          <w:szCs w:val="24"/>
          <w:highlight w:val="none"/>
        </w:rPr>
      </w:pPr>
    </w:p>
    <w:p w14:paraId="7CB6DA2A">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24A3CFAF">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0A749504">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48601BEE">
      <w:pPr>
        <w:pStyle w:val="46"/>
        <w:ind w:left="1440" w:firstLine="0"/>
        <w:rPr>
          <w:rFonts w:hint="eastAsia" w:ascii="宋体" w:hAnsi="宋体" w:eastAsia="宋体" w:cs="宋体"/>
          <w:color w:val="auto"/>
          <w:highlight w:val="none"/>
        </w:rPr>
      </w:pPr>
    </w:p>
    <w:p w14:paraId="27FE6796">
      <w:pPr>
        <w:pStyle w:val="4"/>
        <w:spacing w:line="480" w:lineRule="exact"/>
        <w:rPr>
          <w:rFonts w:hint="eastAsia" w:ascii="宋体" w:hAnsi="宋体" w:eastAsia="宋体" w:cs="宋体"/>
          <w:color w:val="auto"/>
          <w:sz w:val="30"/>
          <w:highlight w:val="none"/>
          <w:u w:val="none"/>
        </w:rPr>
      </w:pPr>
      <w:bookmarkStart w:id="337" w:name="_Toc46136869"/>
      <w:bookmarkStart w:id="338" w:name="_Toc6560"/>
      <w:bookmarkStart w:id="339" w:name="_Toc46238286"/>
      <w:r>
        <w:rPr>
          <w:rFonts w:hint="eastAsia" w:ascii="宋体" w:hAnsi="宋体" w:eastAsia="宋体" w:cs="宋体"/>
          <w:color w:val="auto"/>
          <w:highlight w:val="none"/>
          <w:u w:val="none"/>
        </w:rPr>
        <w:t>13.节能产品明细表</w:t>
      </w:r>
      <w:bookmarkEnd w:id="337"/>
      <w:bookmarkEnd w:id="338"/>
      <w:bookmarkEnd w:id="339"/>
    </w:p>
    <w:p w14:paraId="56105E65">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9"/>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55913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14:paraId="0DB0E828">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14:paraId="3579E5DE">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14:paraId="6AC34392">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14:paraId="1EB27819">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14:paraId="5E694485">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7C25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14:paraId="10FD19A9">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14:paraId="783ED0C4">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14:paraId="012D0194">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14:paraId="7B6D38A6">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47BAE7FE">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1A2EBDCD">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14:paraId="5A062FEA">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710A2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508A8536">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09354B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2687A71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037A01A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6570301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E1CA7E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255D68C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B777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789A2C8A">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08576A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30EF839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1D9EB9E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5D80372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DBAA30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06E3598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62D19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401EF80F">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C190F3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529" w:type="dxa"/>
            <w:tcBorders>
              <w:top w:val="single" w:color="auto" w:sz="4" w:space="0"/>
              <w:left w:val="single" w:color="auto" w:sz="4" w:space="0"/>
              <w:bottom w:val="single" w:color="auto" w:sz="4" w:space="0"/>
              <w:right w:val="single" w:color="auto" w:sz="4" w:space="0"/>
            </w:tcBorders>
            <w:noWrap w:val="0"/>
            <w:vAlign w:val="center"/>
          </w:tcPr>
          <w:p w14:paraId="61BA1B4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B16F9C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1702588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6FAC287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5D414B4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14:paraId="4754685C">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说明：1、如所报产品为节能产品，请按要求逐项填写； </w:t>
      </w:r>
    </w:p>
    <w:p w14:paraId="34C36B17">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2、需附节能产品认证证书，且证书内产品型号与所报产品型号完全一致，否则评审时不予加分（非强制节能产品）。</w:t>
      </w:r>
    </w:p>
    <w:p w14:paraId="12E4AC5D">
      <w:pPr>
        <w:pStyle w:val="15"/>
        <w:spacing w:line="480" w:lineRule="exact"/>
        <w:ind w:firstLine="480" w:firstLineChars="200"/>
        <w:rPr>
          <w:rFonts w:hint="eastAsia" w:ascii="宋体" w:hAnsi="宋体" w:eastAsia="宋体" w:cs="宋体"/>
          <w:color w:val="auto"/>
          <w:sz w:val="24"/>
          <w:szCs w:val="24"/>
          <w:highlight w:val="none"/>
        </w:rPr>
      </w:pPr>
    </w:p>
    <w:p w14:paraId="75373556">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2DFF164F">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620C77BF">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5826B448">
      <w:pPr>
        <w:pStyle w:val="4"/>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4</w:t>
      </w:r>
      <w:r>
        <w:rPr>
          <w:rFonts w:hint="eastAsia" w:ascii="宋体" w:hAnsi="宋体" w:eastAsia="宋体" w:cs="宋体"/>
          <w:color w:val="auto"/>
          <w:highlight w:val="none"/>
          <w:u w:val="none"/>
        </w:rPr>
        <w:t>.</w:t>
      </w:r>
      <w:r>
        <w:rPr>
          <w:rFonts w:hint="eastAsia" w:cs="宋体"/>
          <w:color w:val="auto"/>
          <w:highlight w:val="none"/>
          <w:u w:val="none"/>
          <w:lang w:val="en-US" w:eastAsia="zh-CN"/>
        </w:rPr>
        <w:t>强制</w:t>
      </w:r>
      <w:r>
        <w:rPr>
          <w:rFonts w:hint="eastAsia" w:ascii="宋体" w:hAnsi="宋体" w:eastAsia="宋体" w:cs="宋体"/>
          <w:color w:val="auto"/>
          <w:highlight w:val="none"/>
          <w:u w:val="none"/>
        </w:rPr>
        <w:t>节能产品明细表</w:t>
      </w:r>
    </w:p>
    <w:p w14:paraId="4C3F22AD">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9"/>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2C55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14:paraId="62B17547">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14:paraId="7DDE128D">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14:paraId="4C91CFB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14:paraId="6DE9C8EA">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14:paraId="334F55F6">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612D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14:paraId="64BEB7B0">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14:paraId="7AE0DFAC">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14:paraId="6891C7E6">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14:paraId="7ECFCF5A">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3F9C603B">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0E2AA5A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14:paraId="59C0D4B1">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57F9E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1FB7E041">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3EA6CC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71C4B31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136EAFD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2E00253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5568EED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00876B8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DD1A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751728F6">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610692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67D6B29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064204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687936E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1475CE3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45F51CE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53223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7858E55B">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213570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529" w:type="dxa"/>
            <w:tcBorders>
              <w:top w:val="single" w:color="auto" w:sz="4" w:space="0"/>
              <w:left w:val="single" w:color="auto" w:sz="4" w:space="0"/>
              <w:bottom w:val="single" w:color="auto" w:sz="4" w:space="0"/>
              <w:right w:val="single" w:color="auto" w:sz="4" w:space="0"/>
            </w:tcBorders>
            <w:noWrap w:val="0"/>
            <w:vAlign w:val="center"/>
          </w:tcPr>
          <w:p w14:paraId="3E49CE8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5205142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7FEE0A6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E5C9A8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0658A80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14:paraId="2A092604">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说明：1、如所报产品为节能产品，请按要求逐项填写； </w:t>
      </w:r>
    </w:p>
    <w:p w14:paraId="49CF0179">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2、需附节能产品认证证书，且证书内产品型号与所报产品型号完全一致，未提供产品认证证书或证书内产品型号与所报产品型号不完全一致的，将被认定为无效响应。</w:t>
      </w:r>
    </w:p>
    <w:p w14:paraId="18387CBE">
      <w:pPr>
        <w:pStyle w:val="15"/>
        <w:spacing w:line="480" w:lineRule="exact"/>
        <w:ind w:firstLine="480" w:firstLineChars="200"/>
        <w:rPr>
          <w:rFonts w:hint="eastAsia" w:ascii="宋体" w:hAnsi="宋体" w:eastAsia="宋体" w:cs="宋体"/>
          <w:color w:val="auto"/>
          <w:sz w:val="24"/>
          <w:szCs w:val="24"/>
          <w:highlight w:val="none"/>
        </w:rPr>
      </w:pPr>
    </w:p>
    <w:p w14:paraId="4BA55A31">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50731304">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1204A8A1">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2780801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p w14:paraId="3D05D4D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p w14:paraId="00F7DCFE">
      <w:pPr>
        <w:rPr>
          <w:rFonts w:hint="eastAsia" w:ascii="宋体" w:hAnsi="宋体" w:eastAsia="宋体" w:cs="宋体"/>
          <w:color w:val="auto"/>
          <w:highlight w:val="none"/>
          <w:u w:val="none"/>
        </w:rPr>
      </w:pPr>
      <w:bookmarkStart w:id="340" w:name="_Toc16133"/>
      <w:r>
        <w:rPr>
          <w:rFonts w:hint="eastAsia" w:ascii="宋体" w:hAnsi="宋体" w:eastAsia="宋体" w:cs="宋体"/>
          <w:color w:val="auto"/>
          <w:highlight w:val="none"/>
          <w:u w:val="none"/>
        </w:rPr>
        <w:br w:type="page"/>
      </w:r>
    </w:p>
    <w:p w14:paraId="01D7F7FA">
      <w:pPr>
        <w:pStyle w:val="4"/>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5</w:t>
      </w:r>
      <w:r>
        <w:rPr>
          <w:rFonts w:hint="eastAsia" w:ascii="宋体" w:hAnsi="宋体" w:eastAsia="宋体" w:cs="宋体"/>
          <w:color w:val="auto"/>
          <w:highlight w:val="none"/>
          <w:u w:val="none"/>
        </w:rPr>
        <w:t>. 案例一览表</w:t>
      </w:r>
      <w:bookmarkEnd w:id="340"/>
    </w:p>
    <w:p w14:paraId="30E2271D">
      <w:pPr>
        <w:spacing w:line="360" w:lineRule="auto"/>
        <w:ind w:right="187"/>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案例一览表及合同复印件</w:t>
      </w:r>
    </w:p>
    <w:tbl>
      <w:tblPr>
        <w:tblStyle w:val="29"/>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14:paraId="19875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noWrap w:val="0"/>
            <w:vAlign w:val="center"/>
          </w:tcPr>
          <w:p w14:paraId="130C85F5">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noWrap w:val="0"/>
            <w:vAlign w:val="center"/>
          </w:tcPr>
          <w:p w14:paraId="4F20F4D9">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noWrap w:val="0"/>
            <w:vAlign w:val="center"/>
          </w:tcPr>
          <w:p w14:paraId="1B2D62E5">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noWrap w:val="0"/>
            <w:vAlign w:val="center"/>
          </w:tcPr>
          <w:p w14:paraId="504F078C">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noWrap w:val="0"/>
            <w:vAlign w:val="center"/>
          </w:tcPr>
          <w:p w14:paraId="48E4A1B1">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noWrap w:val="0"/>
            <w:vAlign w:val="center"/>
          </w:tcPr>
          <w:p w14:paraId="46EF66C1">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noWrap w:val="0"/>
            <w:vAlign w:val="center"/>
          </w:tcPr>
          <w:p w14:paraId="5F46363A">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noWrap w:val="0"/>
            <w:vAlign w:val="center"/>
          </w:tcPr>
          <w:p w14:paraId="41D19374">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合同复印件等证明材料</w:t>
            </w:r>
          </w:p>
        </w:tc>
      </w:tr>
      <w:tr w14:paraId="21E2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4CFFDB4A">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8D2BB3C">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0268F8AB">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5203F46C">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35DF7BB3">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57976E09">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799D55DE">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43C30458">
            <w:pPr>
              <w:spacing w:line="360" w:lineRule="exact"/>
              <w:jc w:val="center"/>
              <w:rPr>
                <w:rFonts w:hint="eastAsia" w:ascii="宋体" w:hAnsi="宋体" w:eastAsia="宋体" w:cs="宋体"/>
                <w:b/>
                <w:color w:val="auto"/>
                <w:kern w:val="0"/>
                <w:szCs w:val="21"/>
                <w:highlight w:val="none"/>
              </w:rPr>
            </w:pPr>
          </w:p>
        </w:tc>
      </w:tr>
      <w:tr w14:paraId="139C6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73E1CE8A">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3B2733A">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0928EB86">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10E95584">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38B61DB9">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6E5F7974">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1A5D3B6B">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4A348F43">
            <w:pPr>
              <w:spacing w:line="360" w:lineRule="exact"/>
              <w:jc w:val="center"/>
              <w:rPr>
                <w:rFonts w:hint="eastAsia" w:ascii="宋体" w:hAnsi="宋体" w:eastAsia="宋体" w:cs="宋体"/>
                <w:b/>
                <w:color w:val="auto"/>
                <w:kern w:val="0"/>
                <w:szCs w:val="21"/>
                <w:highlight w:val="none"/>
              </w:rPr>
            </w:pPr>
          </w:p>
        </w:tc>
      </w:tr>
      <w:tr w14:paraId="74024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78712D58">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23E8DE5">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092A74B1">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7A7D79EA">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0B2C8BC3">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27F93BA9">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16A42708">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51902FA1">
            <w:pPr>
              <w:spacing w:line="360" w:lineRule="exact"/>
              <w:jc w:val="center"/>
              <w:rPr>
                <w:rFonts w:hint="eastAsia" w:ascii="宋体" w:hAnsi="宋体" w:eastAsia="宋体" w:cs="宋体"/>
                <w:b/>
                <w:color w:val="auto"/>
                <w:kern w:val="0"/>
                <w:szCs w:val="21"/>
                <w:highlight w:val="none"/>
              </w:rPr>
            </w:pPr>
          </w:p>
        </w:tc>
      </w:tr>
      <w:tr w14:paraId="10A9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noWrap w:val="0"/>
            <w:vAlign w:val="center"/>
          </w:tcPr>
          <w:p w14:paraId="25809C21">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noWrap w:val="0"/>
            <w:vAlign w:val="center"/>
          </w:tcPr>
          <w:p w14:paraId="10B4E028">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noWrap w:val="0"/>
            <w:vAlign w:val="center"/>
          </w:tcPr>
          <w:p w14:paraId="13FC1509">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noWrap w:val="0"/>
            <w:vAlign w:val="center"/>
          </w:tcPr>
          <w:p w14:paraId="3C15A98C">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noWrap w:val="0"/>
            <w:vAlign w:val="center"/>
          </w:tcPr>
          <w:p w14:paraId="6308D224">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noWrap w:val="0"/>
            <w:vAlign w:val="top"/>
          </w:tcPr>
          <w:p w14:paraId="0780A4E8">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center"/>
          </w:tcPr>
          <w:p w14:paraId="24D8CFB6">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top"/>
          </w:tcPr>
          <w:p w14:paraId="70B3EAB1">
            <w:pPr>
              <w:spacing w:line="360" w:lineRule="exact"/>
              <w:jc w:val="center"/>
              <w:rPr>
                <w:rFonts w:hint="eastAsia" w:ascii="宋体" w:hAnsi="宋体" w:eastAsia="宋体" w:cs="宋体"/>
                <w:b/>
                <w:color w:val="auto"/>
                <w:kern w:val="0"/>
                <w:szCs w:val="21"/>
                <w:highlight w:val="none"/>
              </w:rPr>
            </w:pPr>
          </w:p>
        </w:tc>
      </w:tr>
    </w:tbl>
    <w:p w14:paraId="1A848CB0">
      <w:pPr>
        <w:spacing w:line="360" w:lineRule="auto"/>
        <w:ind w:right="187"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说明：（1）以上合同案例须真实有效，相关内容在中标</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公告中予以公示。</w:t>
      </w:r>
    </w:p>
    <w:p w14:paraId="48B0540C">
      <w:pPr>
        <w:spacing w:line="360" w:lineRule="auto"/>
        <w:ind w:right="187"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(2) </w:t>
      </w:r>
      <w:r>
        <w:rPr>
          <w:rFonts w:hint="eastAsia" w:ascii="宋体" w:hAnsi="宋体" w:eastAsia="宋体" w:cs="宋体"/>
          <w:color w:val="auto"/>
          <w:kern w:val="0"/>
          <w:sz w:val="24"/>
          <w:highlight w:val="none"/>
        </w:rPr>
        <w:t>提供</w:t>
      </w:r>
      <w:r>
        <w:rPr>
          <w:rFonts w:hint="eastAsia" w:ascii="宋体" w:hAnsi="宋体" w:eastAsia="宋体" w:cs="宋体"/>
          <w:color w:val="auto"/>
          <w:sz w:val="24"/>
          <w:highlight w:val="none"/>
        </w:rPr>
        <w:t>提交</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月1日以来</w:t>
      </w:r>
      <w:r>
        <w:rPr>
          <w:rFonts w:hint="eastAsia" w:ascii="宋体" w:hAnsi="宋体" w:eastAsia="宋体" w:cs="宋体"/>
          <w:color w:val="auto"/>
          <w:kern w:val="0"/>
          <w:sz w:val="24"/>
          <w:highlight w:val="none"/>
        </w:rPr>
        <w:t>的</w:t>
      </w:r>
      <w:r>
        <w:rPr>
          <w:rFonts w:hint="eastAsia" w:ascii="宋体" w:hAnsi="宋体" w:eastAsia="宋体" w:cs="宋体"/>
          <w:color w:val="auto"/>
          <w:kern w:val="0"/>
          <w:sz w:val="24"/>
          <w:highlight w:val="none"/>
          <w:lang w:val="en-US" w:eastAsia="zh-CN"/>
        </w:rPr>
        <w:t>同类项目业绩</w:t>
      </w:r>
      <w:r>
        <w:rPr>
          <w:rFonts w:hint="eastAsia" w:ascii="宋体" w:hAnsi="宋体" w:eastAsia="宋体" w:cs="宋体"/>
          <w:color w:val="auto"/>
          <w:kern w:val="0"/>
          <w:sz w:val="24"/>
          <w:highlight w:val="none"/>
        </w:rPr>
        <w:t>证明材料</w:t>
      </w:r>
      <w:r>
        <w:rPr>
          <w:rFonts w:hint="eastAsia" w:ascii="宋体" w:hAnsi="宋体" w:eastAsia="宋体" w:cs="宋体"/>
          <w:color w:val="auto"/>
          <w:kern w:val="0"/>
          <w:sz w:val="24"/>
          <w:highlight w:val="none"/>
          <w:lang w:eastAsia="zh-CN"/>
        </w:rPr>
        <w:t>。</w:t>
      </w:r>
    </w:p>
    <w:p w14:paraId="65649191">
      <w:pPr>
        <w:spacing w:line="440" w:lineRule="exact"/>
        <w:rPr>
          <w:rFonts w:hint="eastAsia" w:ascii="宋体" w:hAnsi="宋体" w:eastAsia="宋体" w:cs="宋体"/>
          <w:color w:val="auto"/>
          <w:sz w:val="24"/>
          <w:highlight w:val="none"/>
        </w:rPr>
      </w:pPr>
    </w:p>
    <w:p w14:paraId="72D181D7">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供应商名称：（公章）</w:t>
      </w:r>
    </w:p>
    <w:p w14:paraId="4184DB7F">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全权代表：（签字或印章）</w:t>
      </w:r>
    </w:p>
    <w:p w14:paraId="62773F6B">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60A6F9B5">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6</w:t>
      </w:r>
      <w:r>
        <w:rPr>
          <w:rFonts w:hint="eastAsia" w:ascii="宋体" w:hAnsi="宋体" w:eastAsia="宋体" w:cs="宋体"/>
          <w:color w:val="auto"/>
          <w:highlight w:val="none"/>
          <w:u w:val="none"/>
        </w:rPr>
        <w:t>.技术评审文件</w:t>
      </w:r>
      <w:bookmarkEnd w:id="331"/>
      <w:bookmarkEnd w:id="332"/>
    </w:p>
    <w:p w14:paraId="4AE8D363">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技术部分评分中要求的相关技术文件。</w:t>
      </w:r>
    </w:p>
    <w:p w14:paraId="492F4425">
      <w:pPr>
        <w:pStyle w:val="4"/>
        <w:spacing w:line="480" w:lineRule="exact"/>
        <w:rPr>
          <w:rFonts w:hint="eastAsia" w:ascii="宋体" w:hAnsi="宋体" w:eastAsia="宋体" w:cs="宋体"/>
          <w:color w:val="auto"/>
          <w:highlight w:val="none"/>
          <w:u w:val="none"/>
        </w:rPr>
      </w:pPr>
      <w:bookmarkStart w:id="341" w:name="_Toc46238290"/>
      <w:bookmarkStart w:id="342" w:name="_Toc46136873"/>
      <w:r>
        <w:rPr>
          <w:rFonts w:hint="eastAsia" w:ascii="宋体" w:hAnsi="宋体" w:eastAsia="宋体" w:cs="宋体"/>
          <w:color w:val="auto"/>
          <w:highlight w:val="none"/>
          <w:u w:val="none"/>
        </w:rPr>
        <w:t>1</w:t>
      </w:r>
      <w:r>
        <w:rPr>
          <w:rFonts w:hint="eastAsia" w:cs="宋体"/>
          <w:color w:val="auto"/>
          <w:highlight w:val="none"/>
          <w:u w:val="none"/>
          <w:lang w:val="en-US" w:eastAsia="zh-CN"/>
        </w:rPr>
        <w:t>7</w:t>
      </w:r>
      <w:r>
        <w:rPr>
          <w:rFonts w:hint="eastAsia" w:ascii="宋体" w:hAnsi="宋体" w:eastAsia="宋体" w:cs="宋体"/>
          <w:color w:val="auto"/>
          <w:highlight w:val="none"/>
          <w:u w:val="none"/>
        </w:rPr>
        <w:t>.其他用于评分的证明材料</w:t>
      </w:r>
      <w:bookmarkEnd w:id="341"/>
      <w:bookmarkEnd w:id="342"/>
    </w:p>
    <w:p w14:paraId="7899F1CB">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评分中要求的相关文件。</w:t>
      </w:r>
    </w:p>
    <w:p w14:paraId="2A83B0FE">
      <w:pPr>
        <w:pStyle w:val="4"/>
        <w:spacing w:line="480" w:lineRule="exact"/>
        <w:rPr>
          <w:rFonts w:hint="eastAsia" w:ascii="宋体" w:hAnsi="宋体" w:eastAsia="宋体" w:cs="宋体"/>
          <w:color w:val="auto"/>
          <w:highlight w:val="none"/>
          <w:u w:val="none"/>
        </w:rPr>
      </w:pPr>
      <w:bookmarkStart w:id="343" w:name="_Toc46238291"/>
      <w:bookmarkStart w:id="344" w:name="_Toc46136874"/>
      <w:r>
        <w:rPr>
          <w:rFonts w:hint="eastAsia" w:ascii="宋体" w:hAnsi="宋体" w:eastAsia="宋体" w:cs="宋体"/>
          <w:color w:val="auto"/>
          <w:highlight w:val="none"/>
          <w:u w:val="none"/>
        </w:rPr>
        <w:t>1</w:t>
      </w:r>
      <w:r>
        <w:rPr>
          <w:rFonts w:hint="eastAsia" w:cs="宋体"/>
          <w:color w:val="auto"/>
          <w:highlight w:val="none"/>
          <w:u w:val="none"/>
          <w:lang w:val="en-US" w:eastAsia="zh-CN"/>
        </w:rPr>
        <w:t>8</w:t>
      </w:r>
      <w:r>
        <w:rPr>
          <w:rFonts w:hint="eastAsia" w:ascii="宋体" w:hAnsi="宋体" w:eastAsia="宋体" w:cs="宋体"/>
          <w:color w:val="auto"/>
          <w:highlight w:val="none"/>
          <w:u w:val="none"/>
        </w:rPr>
        <w:t>.</w:t>
      </w:r>
      <w:bookmarkEnd w:id="343"/>
      <w:bookmarkEnd w:id="344"/>
      <w:bookmarkStart w:id="345" w:name="_Toc46238292"/>
      <w:bookmarkStart w:id="346" w:name="_Toc46136875"/>
      <w:r>
        <w:rPr>
          <w:rFonts w:hint="eastAsia" w:ascii="宋体" w:hAnsi="宋体" w:eastAsia="宋体" w:cs="宋体"/>
          <w:color w:val="auto"/>
          <w:highlight w:val="none"/>
          <w:u w:val="none"/>
        </w:rPr>
        <w:t>供应商关联单位的说明</w:t>
      </w:r>
      <w:bookmarkEnd w:id="333"/>
      <w:bookmarkEnd w:id="345"/>
      <w:bookmarkEnd w:id="346"/>
    </w:p>
    <w:p w14:paraId="1DA487E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说明：供应商应当如实披露与本单位存在下列关联关系的单位名称：</w:t>
      </w:r>
    </w:p>
    <w:p w14:paraId="75208E9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（1）与供应商单位负责人为同一人的其他单位；</w:t>
      </w:r>
    </w:p>
    <w:p w14:paraId="7F48C90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 （2）与供应商存在直接控股、管理关系的其他单位。</w:t>
      </w:r>
    </w:p>
    <w:p w14:paraId="63B15D0C">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9</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其他材料</w:t>
      </w:r>
    </w:p>
    <w:p w14:paraId="0D7F0853">
      <w:pPr>
        <w:pStyle w:val="2"/>
        <w:rPr>
          <w:rFonts w:hint="eastAsia" w:ascii="宋体" w:hAnsi="宋体" w:eastAsia="宋体" w:cs="宋体"/>
          <w:color w:val="auto"/>
          <w:highlight w:val="none"/>
        </w:rPr>
      </w:pPr>
      <w:r>
        <w:rPr>
          <w:rFonts w:hint="eastAsia" w:ascii="宋体" w:hAnsi="宋体" w:eastAsia="宋体" w:cs="宋体"/>
          <w:i/>
          <w:color w:val="auto"/>
          <w:highlight w:val="none"/>
        </w:rPr>
        <w:br w:type="page"/>
      </w:r>
      <w:bookmarkStart w:id="347" w:name="_Toc3391"/>
      <w:bookmarkStart w:id="348" w:name="_Toc68259633"/>
      <w:r>
        <w:rPr>
          <w:rFonts w:hint="eastAsia" w:ascii="宋体" w:hAnsi="宋体" w:eastAsia="宋体" w:cs="宋体"/>
          <w:color w:val="auto"/>
          <w:highlight w:val="none"/>
        </w:rPr>
        <w:t>第7章  政府采购合同格式</w:t>
      </w:r>
      <w:bookmarkEnd w:id="347"/>
      <w:bookmarkEnd w:id="348"/>
    </w:p>
    <w:tbl>
      <w:tblPr>
        <w:tblStyle w:val="30"/>
        <w:tblpPr w:leftFromText="180" w:rightFromText="180" w:vertAnchor="page" w:horzAnchor="page" w:tblpX="7252" w:tblpY="1749"/>
        <w:tblOverlap w:val="never"/>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2784"/>
      </w:tblGrid>
      <w:tr w14:paraId="6ECF5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right"/>
        </w:trPr>
        <w:tc>
          <w:tcPr>
            <w:tcW w:w="1697" w:type="dxa"/>
            <w:vAlign w:val="center"/>
          </w:tcPr>
          <w:p w14:paraId="43ACE8A9">
            <w:pPr>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备案编号</w:t>
            </w:r>
          </w:p>
        </w:tc>
        <w:tc>
          <w:tcPr>
            <w:tcW w:w="2784" w:type="dxa"/>
            <w:vAlign w:val="center"/>
          </w:tcPr>
          <w:p w14:paraId="5E3438C1">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LD-202</w:t>
            </w:r>
            <w:r>
              <w:rPr>
                <w:rFonts w:hint="eastAsia" w:ascii="宋体" w:hAnsi="宋体" w:cs="宋体"/>
                <w:b/>
                <w:color w:val="auto"/>
                <w:sz w:val="32"/>
                <w:szCs w:val="32"/>
                <w:highlight w:val="none"/>
                <w:lang w:val="en-US" w:eastAsia="zh-CN"/>
              </w:rPr>
              <w:t>4</w:t>
            </w:r>
            <w:r>
              <w:rPr>
                <w:rFonts w:hint="eastAsia" w:ascii="宋体" w:hAnsi="宋体" w:eastAsia="宋体" w:cs="宋体"/>
                <w:b/>
                <w:color w:val="auto"/>
                <w:sz w:val="32"/>
                <w:szCs w:val="32"/>
                <w:highlight w:val="none"/>
              </w:rPr>
              <w:t>-ZB</w:t>
            </w:r>
            <w:r>
              <w:rPr>
                <w:rFonts w:hint="eastAsia" w:ascii="宋体" w:hAnsi="宋体" w:eastAsia="宋体" w:cs="宋体"/>
                <w:b/>
                <w:color w:val="auto"/>
                <w:sz w:val="32"/>
                <w:szCs w:val="32"/>
                <w:highlight w:val="none"/>
                <w:lang w:val="en-US" w:eastAsia="zh-CN"/>
              </w:rPr>
              <w:t>2</w:t>
            </w:r>
            <w:r>
              <w:rPr>
                <w:rFonts w:hint="eastAsia" w:ascii="宋体" w:hAnsi="宋体" w:eastAsia="宋体" w:cs="宋体"/>
                <w:b/>
                <w:color w:val="auto"/>
                <w:sz w:val="32"/>
                <w:szCs w:val="32"/>
                <w:highlight w:val="none"/>
              </w:rPr>
              <w:t>-</w:t>
            </w:r>
          </w:p>
        </w:tc>
      </w:tr>
    </w:tbl>
    <w:p w14:paraId="3C4430E7">
      <w:pPr>
        <w:spacing w:line="320" w:lineRule="atLeas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drawing>
          <wp:inline distT="0" distB="0" distL="114300" distR="114300">
            <wp:extent cx="934720" cy="927735"/>
            <wp:effectExtent l="0" t="0" r="17780" b="5715"/>
            <wp:docPr id="20" name="图片 2"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u=3151740014,3740664874&amp;fm=15&amp;gp=0"/>
                    <pic:cNvPicPr>
                      <a:picLocks noChangeAspect="1"/>
                    </pic:cNvPicPr>
                  </pic:nvPicPr>
                  <pic:blipFill>
                    <a:blip r:embed="rId14"/>
                    <a:stretch>
                      <a:fillRect/>
                    </a:stretch>
                  </pic:blipFill>
                  <pic:spPr>
                    <a:xfrm>
                      <a:off x="0" y="0"/>
                      <a:ext cx="934720" cy="927735"/>
                    </a:xfrm>
                    <a:prstGeom prst="rect">
                      <a:avLst/>
                    </a:prstGeom>
                    <a:noFill/>
                    <a:ln>
                      <a:noFill/>
                    </a:ln>
                  </pic:spPr>
                </pic:pic>
              </a:graphicData>
            </a:graphic>
          </wp:inline>
        </w:drawing>
      </w:r>
      <w:r>
        <w:rPr>
          <w:rFonts w:hint="eastAsia" w:ascii="宋体" w:hAnsi="宋体" w:eastAsia="宋体" w:cs="宋体"/>
          <w:color w:val="auto"/>
          <w:highlight w:val="none"/>
        </w:rPr>
        <w:t xml:space="preserve">          </w:t>
      </w:r>
    </w:p>
    <w:p w14:paraId="7160EAC4">
      <w:pPr>
        <w:spacing w:line="320" w:lineRule="atLeast"/>
        <w:jc w:val="left"/>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t xml:space="preserve"> </w:t>
      </w:r>
      <w:r>
        <w:rPr>
          <w:rFonts w:hint="eastAsia" w:ascii="宋体" w:hAnsi="宋体" w:eastAsia="宋体" w:cs="宋体"/>
          <w:b/>
          <w:bCs/>
          <w:color w:val="auto"/>
          <w:sz w:val="32"/>
          <w:szCs w:val="32"/>
          <w:highlight w:val="none"/>
        </w:rPr>
        <w:t>临沂大学合同</w:t>
      </w:r>
    </w:p>
    <w:p w14:paraId="3CE7B9F7">
      <w:pPr>
        <w:spacing w:line="360" w:lineRule="auto"/>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                    </w:t>
      </w:r>
    </w:p>
    <w:p w14:paraId="54347342">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山东省政府采购合同</w:t>
      </w:r>
    </w:p>
    <w:p w14:paraId="2CD1571D">
      <w:pP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（设备类）</w:t>
      </w:r>
    </w:p>
    <w:p w14:paraId="08E3D0C2">
      <w:pPr>
        <w:snapToGrid w:val="0"/>
        <w:spacing w:line="360" w:lineRule="auto"/>
        <w:jc w:val="center"/>
        <w:rPr>
          <w:rFonts w:hint="eastAsia" w:ascii="宋体" w:hAnsi="宋体" w:eastAsia="宋体" w:cs="宋体"/>
          <w:color w:val="auto"/>
          <w:sz w:val="28"/>
          <w:szCs w:val="28"/>
          <w:highlight w:val="none"/>
        </w:rPr>
      </w:pPr>
    </w:p>
    <w:p w14:paraId="3D10D7AB">
      <w:pPr>
        <w:snapToGrid w:val="0"/>
        <w:spacing w:line="360" w:lineRule="auto"/>
        <w:jc w:val="center"/>
        <w:rPr>
          <w:rFonts w:hint="eastAsia" w:ascii="宋体" w:hAnsi="宋体" w:eastAsia="宋体" w:cs="宋体"/>
          <w:color w:val="auto"/>
          <w:sz w:val="28"/>
          <w:szCs w:val="28"/>
          <w:highlight w:val="none"/>
        </w:rPr>
      </w:pPr>
    </w:p>
    <w:p w14:paraId="0B544B12">
      <w:pPr>
        <w:spacing w:line="360" w:lineRule="auto"/>
        <w:ind w:firstLine="640" w:firstLineChars="200"/>
        <w:rPr>
          <w:rFonts w:hint="eastAsia" w:ascii="宋体" w:hAnsi="宋体" w:eastAsia="宋体" w:cs="宋体"/>
          <w:color w:val="auto"/>
          <w:sz w:val="32"/>
          <w:highlight w:val="none"/>
        </w:rPr>
      </w:pPr>
      <w:r>
        <w:rPr>
          <w:rFonts w:hint="eastAsia" w:ascii="宋体" w:hAnsi="宋体" w:eastAsia="宋体" w:cs="宋体"/>
          <w:color w:val="auto"/>
          <w:sz w:val="32"/>
          <w:highlight w:val="none"/>
        </w:rPr>
        <w:t>项目名称</w:t>
      </w:r>
      <w:r>
        <w:rPr>
          <w:rFonts w:hint="eastAsia" w:ascii="宋体" w:hAnsi="宋体" w:eastAsia="宋体" w:cs="宋体"/>
          <w:b/>
          <w:bCs/>
          <w:color w:val="auto"/>
          <w:sz w:val="32"/>
          <w:highlight w:val="none"/>
        </w:rPr>
        <w:t>:</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临沂大学2024年国际生物资源应用学院致远3号楼教室、休息室设备购置预采购项目</w:t>
      </w:r>
      <w:r>
        <w:rPr>
          <w:rFonts w:hint="eastAsia" w:ascii="宋体" w:hAnsi="宋体" w:eastAsia="宋体" w:cs="宋体"/>
          <w:color w:val="auto"/>
          <w:sz w:val="32"/>
          <w:highlight w:val="none"/>
          <w:u w:val="single"/>
        </w:rPr>
        <w:t xml:space="preserve">   </w:t>
      </w:r>
      <w:r>
        <w:rPr>
          <w:rFonts w:hint="eastAsia" w:ascii="宋体" w:hAnsi="宋体" w:eastAsia="宋体" w:cs="宋体"/>
          <w:color w:val="auto"/>
          <w:sz w:val="32"/>
          <w:highlight w:val="none"/>
        </w:rPr>
        <w:t xml:space="preserve">                 </w:t>
      </w:r>
    </w:p>
    <w:p w14:paraId="244348EF">
      <w:pPr>
        <w:spacing w:line="360" w:lineRule="auto"/>
        <w:ind w:firstLine="640" w:firstLineChars="200"/>
        <w:rPr>
          <w:rFonts w:hint="eastAsia" w:ascii="宋体" w:hAnsi="宋体" w:eastAsia="宋体" w:cs="宋体"/>
          <w:color w:val="auto"/>
          <w:sz w:val="32"/>
          <w:highlight w:val="none"/>
          <w:u w:val="single"/>
        </w:rPr>
      </w:pPr>
      <w:r>
        <w:rPr>
          <w:rFonts w:hint="eastAsia" w:ascii="宋体" w:hAnsi="宋体" w:eastAsia="宋体" w:cs="宋体"/>
          <w:color w:val="auto"/>
          <w:sz w:val="32"/>
          <w:highlight w:val="none"/>
        </w:rPr>
        <w:t>合同编号：</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SDGP370000000202402006789</w:t>
      </w:r>
      <w:r>
        <w:rPr>
          <w:rFonts w:hint="eastAsia" w:ascii="宋体" w:hAnsi="宋体" w:eastAsia="宋体" w:cs="宋体"/>
          <w:color w:val="auto"/>
          <w:sz w:val="32"/>
          <w:highlight w:val="none"/>
          <w:u w:val="single"/>
        </w:rPr>
        <w:t xml:space="preserve">  </w:t>
      </w:r>
    </w:p>
    <w:p w14:paraId="6B235091">
      <w:pPr>
        <w:spacing w:line="360" w:lineRule="auto"/>
        <w:ind w:firstLine="640" w:firstLineChars="200"/>
        <w:rPr>
          <w:rFonts w:hint="eastAsia" w:ascii="宋体" w:hAnsi="宋体" w:eastAsia="宋体" w:cs="宋体"/>
          <w:b/>
          <w:color w:val="auto"/>
          <w:sz w:val="32"/>
          <w:highlight w:val="none"/>
          <w:u w:val="single"/>
        </w:rPr>
      </w:pPr>
      <w:r>
        <w:rPr>
          <w:rFonts w:hint="eastAsia" w:ascii="宋体" w:hAnsi="宋体" w:eastAsia="宋体" w:cs="宋体"/>
          <w:color w:val="auto"/>
          <w:sz w:val="32"/>
          <w:highlight w:val="none"/>
        </w:rPr>
        <w:t>计划编号：</w:t>
      </w:r>
      <w:r>
        <w:rPr>
          <w:rFonts w:hint="eastAsia" w:ascii="宋体" w:hAnsi="宋体" w:eastAsia="宋体" w:cs="宋体"/>
          <w:bCs/>
          <w:color w:val="auto"/>
          <w:sz w:val="32"/>
          <w:highlight w:val="none"/>
          <w:u w:val="single"/>
        </w:rPr>
        <w:t xml:space="preserve">  </w:t>
      </w:r>
      <w:r>
        <w:rPr>
          <w:rFonts w:hint="eastAsia" w:ascii="宋体" w:hAnsi="宋体" w:eastAsia="宋体" w:cs="宋体"/>
          <w:bCs/>
          <w:color w:val="auto"/>
          <w:sz w:val="32"/>
          <w:highlight w:val="none"/>
          <w:u w:val="single"/>
          <w:lang w:val="en-US" w:eastAsia="zh-CN"/>
        </w:rPr>
        <w:t xml:space="preserve">             </w:t>
      </w:r>
      <w:r>
        <w:rPr>
          <w:rFonts w:hint="eastAsia" w:ascii="宋体" w:hAnsi="宋体" w:eastAsia="宋体" w:cs="宋体"/>
          <w:bCs/>
          <w:color w:val="auto"/>
          <w:sz w:val="32"/>
          <w:highlight w:val="none"/>
          <w:u w:val="single"/>
        </w:rPr>
        <w:t xml:space="preserve">  </w:t>
      </w:r>
    </w:p>
    <w:p w14:paraId="588C27D3">
      <w:pPr>
        <w:spacing w:line="360" w:lineRule="auto"/>
        <w:jc w:val="center"/>
        <w:rPr>
          <w:rFonts w:hint="eastAsia" w:ascii="宋体" w:hAnsi="宋体" w:eastAsia="宋体" w:cs="宋体"/>
          <w:b/>
          <w:color w:val="auto"/>
          <w:sz w:val="24"/>
          <w:highlight w:val="none"/>
        </w:rPr>
      </w:pPr>
    </w:p>
    <w:p w14:paraId="5FCA17F1">
      <w:pPr>
        <w:spacing w:line="360" w:lineRule="auto"/>
        <w:jc w:val="center"/>
        <w:rPr>
          <w:rFonts w:hint="eastAsia" w:ascii="宋体" w:hAnsi="宋体" w:eastAsia="宋体" w:cs="宋体"/>
          <w:b/>
          <w:color w:val="auto"/>
          <w:sz w:val="24"/>
          <w:highlight w:val="none"/>
        </w:rPr>
      </w:pPr>
    </w:p>
    <w:p w14:paraId="314B3282">
      <w:pPr>
        <w:spacing w:line="360" w:lineRule="auto"/>
        <w:jc w:val="center"/>
        <w:rPr>
          <w:rFonts w:hint="eastAsia" w:ascii="宋体" w:hAnsi="宋体" w:eastAsia="宋体" w:cs="宋体"/>
          <w:b/>
          <w:color w:val="auto"/>
          <w:sz w:val="24"/>
          <w:highlight w:val="none"/>
        </w:rPr>
      </w:pPr>
    </w:p>
    <w:p w14:paraId="517BE433">
      <w:pPr>
        <w:spacing w:line="360" w:lineRule="auto"/>
        <w:jc w:val="center"/>
        <w:rPr>
          <w:rFonts w:hint="eastAsia" w:ascii="宋体" w:hAnsi="宋体" w:eastAsia="宋体" w:cs="宋体"/>
          <w:b/>
          <w:color w:val="auto"/>
          <w:sz w:val="24"/>
          <w:highlight w:val="none"/>
        </w:rPr>
      </w:pPr>
    </w:p>
    <w:p w14:paraId="3258BA01">
      <w:pPr>
        <w:spacing w:line="360" w:lineRule="auto"/>
        <w:ind w:firstLine="1968" w:firstLineChars="700"/>
        <w:rPr>
          <w:rFonts w:hint="eastAsia" w:ascii="宋体" w:hAnsi="宋体" w:eastAsia="宋体" w:cs="宋体"/>
          <w:b/>
          <w:color w:val="auto"/>
          <w:sz w:val="28"/>
          <w:highlight w:val="none"/>
        </w:rPr>
      </w:pPr>
      <w:r>
        <w:rPr>
          <w:rFonts w:hint="eastAsia" w:ascii="宋体" w:hAnsi="宋体" w:eastAsia="宋体" w:cs="宋体"/>
          <w:b/>
          <w:color w:val="auto"/>
          <w:sz w:val="28"/>
          <w:highlight w:val="none"/>
        </w:rPr>
        <w:t>采 购 人:</w:t>
      </w:r>
      <w:r>
        <w:rPr>
          <w:rFonts w:hint="eastAsia" w:ascii="宋体" w:hAnsi="宋体" w:eastAsia="宋体" w:cs="宋体"/>
          <w:b/>
          <w:color w:val="auto"/>
          <w:sz w:val="28"/>
          <w:highlight w:val="none"/>
          <w:u w:val="single"/>
        </w:rPr>
        <w:t xml:space="preserve">  </w:t>
      </w:r>
      <w:bookmarkStart w:id="349" w:name="unitName"/>
      <w:r>
        <w:rPr>
          <w:rFonts w:hint="eastAsia" w:ascii="宋体" w:hAnsi="宋体" w:eastAsia="宋体" w:cs="宋体"/>
          <w:b/>
          <w:color w:val="auto"/>
          <w:sz w:val="28"/>
          <w:highlight w:val="none"/>
          <w:u w:val="single"/>
        </w:rPr>
        <w:t>临沂大学</w:t>
      </w:r>
      <w:bookmarkEnd w:id="349"/>
      <w:r>
        <w:rPr>
          <w:rFonts w:hint="eastAsia" w:ascii="宋体" w:hAnsi="宋体" w:eastAsia="宋体" w:cs="宋体"/>
          <w:b/>
          <w:color w:val="auto"/>
          <w:sz w:val="28"/>
          <w:highlight w:val="none"/>
          <w:u w:val="single"/>
        </w:rPr>
        <w:t xml:space="preserve">   </w:t>
      </w:r>
    </w:p>
    <w:p w14:paraId="768C1BCF">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供 应 商：</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14:paraId="24D66027">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采购代理机构:</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14:paraId="019A64DB">
      <w:pPr>
        <w:snapToGrid w:val="0"/>
        <w:spacing w:line="360" w:lineRule="auto"/>
        <w:jc w:val="center"/>
        <w:rPr>
          <w:rFonts w:hint="eastAsia" w:ascii="宋体" w:hAnsi="宋体" w:eastAsia="宋体" w:cs="宋体"/>
          <w:color w:val="auto"/>
          <w:sz w:val="30"/>
          <w:szCs w:val="30"/>
          <w:highlight w:val="none"/>
        </w:rPr>
      </w:pPr>
    </w:p>
    <w:p w14:paraId="0E8868E8">
      <w:pPr>
        <w:pStyle w:val="9"/>
        <w:rPr>
          <w:rFonts w:hint="eastAsia" w:ascii="宋体" w:hAnsi="宋体" w:eastAsia="宋体" w:cs="宋体"/>
          <w:color w:val="auto"/>
          <w:highlight w:val="none"/>
        </w:rPr>
      </w:pPr>
    </w:p>
    <w:p w14:paraId="08EDAD36">
      <w:pPr>
        <w:pStyle w:val="9"/>
        <w:rPr>
          <w:rFonts w:hint="eastAsia" w:ascii="宋体" w:hAnsi="宋体" w:eastAsia="宋体" w:cs="宋体"/>
          <w:color w:val="auto"/>
          <w:highlight w:val="none"/>
        </w:rPr>
      </w:pPr>
    </w:p>
    <w:p w14:paraId="212B4D1F">
      <w:pPr>
        <w:snapToGrid w:val="0"/>
        <w:spacing w:line="360" w:lineRule="auto"/>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签订时间：</w:t>
      </w:r>
      <w:bookmarkStart w:id="350" w:name="chineseContractDate"/>
      <w:r>
        <w:rPr>
          <w:rFonts w:hint="eastAsia" w:ascii="宋体" w:hAnsi="宋体" w:eastAsia="宋体" w:cs="宋体"/>
          <w:color w:val="auto"/>
          <w:sz w:val="30"/>
          <w:szCs w:val="30"/>
          <w:highlight w:val="none"/>
        </w:rPr>
        <w:t>二〇二</w:t>
      </w:r>
      <w:r>
        <w:rPr>
          <w:rFonts w:hint="eastAsia" w:ascii="宋体" w:hAnsi="宋体" w:eastAsia="宋体" w:cs="宋体"/>
          <w:color w:val="auto"/>
          <w:sz w:val="30"/>
          <w:szCs w:val="30"/>
          <w:highlight w:val="none"/>
          <w:lang w:val="en-US" w:eastAsia="zh-CN"/>
        </w:rPr>
        <w:t>四</w:t>
      </w:r>
      <w:r>
        <w:rPr>
          <w:rFonts w:hint="eastAsia" w:ascii="宋体" w:hAnsi="宋体" w:eastAsia="宋体" w:cs="宋体"/>
          <w:color w:val="auto"/>
          <w:sz w:val="30"/>
          <w:szCs w:val="30"/>
          <w:highlight w:val="none"/>
        </w:rPr>
        <w:t>年</w:t>
      </w:r>
      <w:r>
        <w:rPr>
          <w:rFonts w:hint="eastAsia" w:ascii="宋体" w:hAnsi="宋体" w:cs="宋体"/>
          <w:color w:val="auto"/>
          <w:sz w:val="30"/>
          <w:szCs w:val="30"/>
          <w:highlight w:val="none"/>
          <w:lang w:val="en-US" w:eastAsia="zh-CN"/>
        </w:rPr>
        <w:t>八</w:t>
      </w:r>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日</w:t>
      </w:r>
      <w:bookmarkEnd w:id="350"/>
    </w:p>
    <w:p w14:paraId="62CB8B5E">
      <w:pPr>
        <w:pStyle w:val="11"/>
        <w:spacing w:line="360" w:lineRule="auto"/>
        <w:ind w:left="0" w:leftChars="0" w:firstLine="0" w:firstLineChars="0"/>
        <w:rPr>
          <w:rFonts w:hint="eastAsia" w:ascii="宋体" w:hAnsi="宋体" w:eastAsia="宋体" w:cs="宋体"/>
          <w:b/>
          <w:bCs/>
          <w:color w:val="auto"/>
          <w:sz w:val="32"/>
          <w:szCs w:val="32"/>
          <w:highlight w:val="none"/>
        </w:rPr>
      </w:pPr>
    </w:p>
    <w:p w14:paraId="79BAAD4D">
      <w:pPr>
        <w:rPr>
          <w:rFonts w:hint="eastAsia" w:ascii="宋体" w:hAnsi="宋体" w:eastAsia="宋体" w:cs="宋体"/>
          <w:color w:val="auto"/>
          <w:highlight w:val="none"/>
        </w:rPr>
      </w:pPr>
    </w:p>
    <w:p w14:paraId="3C06201D">
      <w:pPr>
        <w:spacing w:line="360" w:lineRule="auto"/>
        <w:ind w:firstLine="480" w:firstLineChars="200"/>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采购人全称（</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bookmarkStart w:id="351" w:name="unitName_1"/>
      <w:r>
        <w:rPr>
          <w:rFonts w:hint="eastAsia" w:ascii="宋体" w:hAnsi="宋体" w:eastAsia="宋体" w:cs="宋体"/>
          <w:color w:val="auto"/>
          <w:sz w:val="24"/>
          <w:highlight w:val="none"/>
          <w:u w:val="single"/>
        </w:rPr>
        <w:t>临沂大学</w:t>
      </w:r>
      <w:bookmarkEnd w:id="351"/>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596D32D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供应商全称（</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0668A8BF">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根据《</w:t>
      </w:r>
      <w:r>
        <w:rPr>
          <w:rFonts w:hint="eastAsia" w:ascii="宋体" w:hAnsi="宋体" w:eastAsia="宋体" w:cs="宋体"/>
          <w:color w:val="auto"/>
          <w:sz w:val="24"/>
          <w:highlight w:val="none"/>
          <w:lang w:eastAsia="zh-CN"/>
        </w:rPr>
        <w:t>中华人民共和国民法典</w:t>
      </w:r>
      <w:r>
        <w:rPr>
          <w:rFonts w:hint="eastAsia" w:ascii="宋体" w:hAnsi="宋体" w:eastAsia="宋体" w:cs="宋体"/>
          <w:color w:val="auto"/>
          <w:sz w:val="24"/>
          <w:highlight w:val="none"/>
        </w:rPr>
        <w:t>》、《中华人民共和国产品质量法》及其他有关法律法规，双方经过友好协商，本着诚实守信、互惠互利的原则，就</w:t>
      </w:r>
      <w:r>
        <w:rPr>
          <w:rFonts w:hint="eastAsia" w:ascii="宋体" w:hAnsi="宋体" w:cs="宋体"/>
          <w:color w:val="auto"/>
          <w:sz w:val="24"/>
          <w:highlight w:val="none"/>
          <w:u w:val="single"/>
          <w:lang w:eastAsia="zh-CN"/>
        </w:rPr>
        <w:t>临沂大学2024年国际生物资源应用学院致远3号楼教室、休息室设备购置预采购项目</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eastAsia="zh-CN"/>
        </w:rPr>
        <w:t>SDGP370000000202402006789</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采购与供应事宜签订本合同条款，</w:t>
      </w:r>
      <w:r>
        <w:rPr>
          <w:rFonts w:hint="eastAsia" w:ascii="宋体" w:hAnsi="宋体" w:eastAsia="宋体" w:cs="宋体"/>
          <w:color w:val="auto"/>
          <w:kern w:val="0"/>
          <w:sz w:val="24"/>
          <w:highlight w:val="none"/>
        </w:rPr>
        <w:t>共同达成如下协议：</w:t>
      </w:r>
    </w:p>
    <w:p w14:paraId="25880F9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一、项目概况</w:t>
      </w:r>
    </w:p>
    <w:p w14:paraId="0306BCDB">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1.项目名称：</w:t>
      </w:r>
      <w:r>
        <w:rPr>
          <w:rFonts w:hint="eastAsia" w:ascii="宋体" w:hAnsi="宋体" w:eastAsia="宋体" w:cs="宋体"/>
          <w:color w:val="auto"/>
          <w:kern w:val="0"/>
          <w:sz w:val="24"/>
          <w:highlight w:val="none"/>
          <w:u w:val="single"/>
        </w:rPr>
        <w:t></w:t>
      </w:r>
      <w:bookmarkStart w:id="352" w:name="projectName_2"/>
      <w:r>
        <w:rPr>
          <w:rFonts w:hint="eastAsia" w:ascii="宋体" w:hAnsi="宋体" w:eastAsia="宋体" w:cs="宋体"/>
          <w:color w:val="auto"/>
          <w:kern w:val="0"/>
          <w:sz w:val="24"/>
          <w:highlight w:val="none"/>
          <w:u w:val="single"/>
          <w:lang w:val="en-US" w:eastAsia="zh-CN"/>
        </w:rPr>
        <w:t xml:space="preserve">                       </w:t>
      </w:r>
      <w:bookmarkEnd w:id="352"/>
      <w:r>
        <w:rPr>
          <w:rFonts w:hint="eastAsia" w:ascii="宋体" w:hAnsi="宋体" w:eastAsia="宋体" w:cs="宋体"/>
          <w:color w:val="auto"/>
          <w:kern w:val="0"/>
          <w:sz w:val="24"/>
          <w:highlight w:val="none"/>
          <w:u w:val="single"/>
        </w:rPr>
        <w:t>。</w:t>
      </w:r>
    </w:p>
    <w:p w14:paraId="5715D7EB">
      <w:pPr>
        <w:widowControl/>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lang w:val="en-US" w:eastAsia="zh-CN"/>
        </w:rPr>
        <w:t>项目包号</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14:paraId="746F8B8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.供货地点：</w:t>
      </w:r>
      <w:r>
        <w:rPr>
          <w:rFonts w:hint="eastAsia" w:ascii="宋体" w:hAnsi="宋体" w:eastAsia="宋体" w:cs="宋体"/>
          <w:color w:val="auto"/>
          <w:kern w:val="0"/>
          <w:sz w:val="24"/>
          <w:highlight w:val="none"/>
          <w:u w:val="single"/>
        </w:rPr>
        <w:t></w:t>
      </w:r>
      <w:bookmarkStart w:id="353" w:name="deliveryPlace"/>
      <w:r>
        <w:rPr>
          <w:rFonts w:hint="eastAsia" w:ascii="宋体" w:hAnsi="宋体" w:eastAsia="宋体" w:cs="宋体"/>
          <w:color w:val="auto"/>
          <w:kern w:val="0"/>
          <w:sz w:val="24"/>
          <w:highlight w:val="none"/>
          <w:u w:val="single"/>
        </w:rPr>
        <w:t>临沂大学指定地点</w:t>
      </w:r>
      <w:bookmarkEnd w:id="353"/>
      <w:r>
        <w:rPr>
          <w:rFonts w:hint="eastAsia" w:ascii="宋体" w:hAnsi="宋体" w:eastAsia="宋体" w:cs="宋体"/>
          <w:color w:val="auto"/>
          <w:kern w:val="0"/>
          <w:sz w:val="24"/>
          <w:highlight w:val="none"/>
          <w:u w:val="single"/>
        </w:rPr>
        <w:t xml:space="preserve"> 。</w:t>
      </w:r>
    </w:p>
    <w:p w14:paraId="50C80787">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.供货内容和范围：</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0F80C8B9">
      <w:pPr>
        <w:widowControl/>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二、供货期</w:t>
      </w:r>
      <w:r>
        <w:rPr>
          <w:rFonts w:hint="eastAsia" w:ascii="宋体" w:hAnsi="宋体" w:eastAsia="宋体" w:cs="宋体"/>
          <w:color w:val="auto"/>
          <w:kern w:val="0"/>
          <w:sz w:val="24"/>
          <w:highlight w:val="none"/>
          <w:lang w:val="en-US" w:eastAsia="zh-CN"/>
        </w:rPr>
        <w:t>及质保期</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u w:val="single"/>
          <w:lang w:val="en-US" w:eastAsia="zh-CN"/>
        </w:rPr>
        <w:t xml:space="preserve">                                              </w:t>
      </w:r>
    </w:p>
    <w:p w14:paraId="71C1062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三、质量标准</w:t>
      </w:r>
    </w:p>
    <w:p w14:paraId="58FB161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符合《中华人民共和国产品质量法》标准，符合</w:t>
      </w:r>
      <w:r>
        <w:rPr>
          <w:rFonts w:hint="eastAsia" w:ascii="宋体" w:hAnsi="宋体" w:cs="宋体"/>
          <w:color w:val="auto"/>
          <w:kern w:val="0"/>
          <w:sz w:val="24"/>
          <w:highlight w:val="none"/>
          <w:lang w:eastAsia="zh-CN"/>
        </w:rPr>
        <w:t>竞争性磋商文件</w:t>
      </w:r>
      <w:r>
        <w:rPr>
          <w:rFonts w:hint="eastAsia" w:ascii="宋体" w:hAnsi="宋体" w:eastAsia="宋体" w:cs="宋体"/>
          <w:color w:val="auto"/>
          <w:kern w:val="0"/>
          <w:sz w:val="24"/>
          <w:highlight w:val="none"/>
        </w:rPr>
        <w:t>要求，</w:t>
      </w:r>
      <w:r>
        <w:rPr>
          <w:rFonts w:hint="eastAsia" w:ascii="宋体" w:hAnsi="宋体" w:cs="宋体"/>
          <w:color w:val="auto"/>
          <w:kern w:val="0"/>
          <w:sz w:val="24"/>
          <w:highlight w:val="none"/>
          <w:lang w:eastAsia="zh-CN"/>
        </w:rPr>
        <w:t>响应文件</w:t>
      </w:r>
      <w:r>
        <w:rPr>
          <w:rFonts w:hint="eastAsia" w:ascii="宋体" w:hAnsi="宋体" w:eastAsia="宋体" w:cs="宋体"/>
          <w:color w:val="auto"/>
          <w:kern w:val="0"/>
          <w:sz w:val="24"/>
          <w:highlight w:val="none"/>
        </w:rPr>
        <w:t>及供应商在评审过程中做出的书面澄清及承诺。</w:t>
      </w:r>
    </w:p>
    <w:p w14:paraId="6680A2E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四、签约合同价与合同价格形式</w:t>
      </w:r>
      <w:r>
        <w:rPr>
          <w:rFonts w:hint="eastAsia" w:ascii="宋体" w:hAnsi="宋体" w:eastAsia="宋体" w:cs="宋体"/>
          <w:color w:val="auto"/>
          <w:kern w:val="0"/>
          <w:sz w:val="24"/>
          <w:highlight w:val="none"/>
        </w:rPr>
        <w:tab/>
      </w:r>
    </w:p>
    <w:p w14:paraId="75A7CE80">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1.签约合同价为：</w:t>
      </w:r>
    </w:p>
    <w:p w14:paraId="42DBBE47">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人民币（大写）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14:paraId="38D9DAA4">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2.合同价格形式：</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68A130D0">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五、项目经理</w:t>
      </w:r>
    </w:p>
    <w:p w14:paraId="653B7C4E">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供应商项目经理： </w:t>
      </w:r>
      <w:r>
        <w:rPr>
          <w:rFonts w:hint="eastAsia" w:ascii="宋体" w:hAnsi="宋体" w:eastAsia="宋体" w:cs="宋体"/>
          <w:color w:val="auto"/>
          <w:kern w:val="0"/>
          <w:sz w:val="24"/>
          <w:highlight w:val="none"/>
          <w:u w:val="single"/>
          <w:lang w:val="en-US" w:eastAsia="zh-CN"/>
        </w:rPr>
        <w:t>联系人及电话</w:t>
      </w:r>
      <w:r>
        <w:rPr>
          <w:rFonts w:hint="eastAsia" w:ascii="宋体" w:hAnsi="宋体" w:eastAsia="宋体" w:cs="宋体"/>
          <w:color w:val="auto"/>
          <w:kern w:val="0"/>
          <w:sz w:val="24"/>
          <w:highlight w:val="none"/>
          <w:u w:val="single"/>
        </w:rPr>
        <w:t xml:space="preserve">                  。</w:t>
      </w:r>
    </w:p>
    <w:p w14:paraId="48C3BDEA">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六、资金来源</w:t>
      </w:r>
    </w:p>
    <w:p w14:paraId="790E5106">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预算内资金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元；财政专户资金：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元；自筹资金： </w:t>
      </w:r>
      <w:bookmarkStart w:id="354" w:name="contractSum03"/>
      <w:r>
        <w:rPr>
          <w:rFonts w:hint="eastAsia" w:ascii="宋体" w:hAnsi="宋体" w:eastAsia="宋体" w:cs="宋体"/>
          <w:color w:val="auto"/>
          <w:sz w:val="24"/>
          <w:highlight w:val="none"/>
          <w:u w:val="single"/>
        </w:rPr>
        <w:t>0</w:t>
      </w:r>
      <w:bookmarkEnd w:id="354"/>
      <w:r>
        <w:rPr>
          <w:rFonts w:hint="eastAsia" w:ascii="宋体" w:hAnsi="宋体" w:eastAsia="宋体" w:cs="宋体"/>
          <w:color w:val="auto"/>
          <w:sz w:val="24"/>
          <w:highlight w:val="none"/>
          <w:u w:val="single"/>
        </w:rPr>
        <w:t xml:space="preserve">  元。   </w:t>
      </w:r>
    </w:p>
    <w:p w14:paraId="6B87450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七、付款方式</w:t>
      </w:r>
    </w:p>
    <w:p w14:paraId="24DA7F2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1.合同签订前，成交供应商须向采购人指定的账户交纳合同金额的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%作为履约保证金。</w:t>
      </w:r>
    </w:p>
    <w:p w14:paraId="25518E2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2.采购人于合同签订生效且具备实施条件后5个工作日内支付预付款，货物类项目预付款比例为合同金额的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p>
    <w:p w14:paraId="1D16E99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项目供货安装完毕且经验收合格后，无质量问题，支付至合同金额100%货款（扣除</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%预付款）。项目验收合格</w:t>
      </w:r>
      <w:r>
        <w:rPr>
          <w:rFonts w:hint="eastAsia" w:ascii="宋体" w:hAnsi="宋体" w:eastAsia="宋体" w:cs="宋体"/>
          <w:color w:val="auto"/>
          <w:sz w:val="24"/>
          <w:highlight w:val="none"/>
          <w:lang w:val="en-US" w:eastAsia="zh-CN"/>
        </w:rPr>
        <w:t>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履约保证金一次性无息退还。</w:t>
      </w:r>
    </w:p>
    <w:p w14:paraId="5AA7F30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3.成交供应商未按要求缴纳履约保证金的，视为放弃成交。</w:t>
      </w:r>
    </w:p>
    <w:p w14:paraId="5F66CB5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67EEF22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5.履约保证金缴纳账号</w:t>
      </w:r>
    </w:p>
    <w:p w14:paraId="27943DD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户名：临沂大学</w:t>
      </w:r>
    </w:p>
    <w:p w14:paraId="7720DE2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账号：218243959980</w:t>
      </w:r>
    </w:p>
    <w:p w14:paraId="126777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银行：中国银行临沂兰山支行</w:t>
      </w:r>
    </w:p>
    <w:p w14:paraId="232B973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行号（银行联行号）：104473000078</w:t>
      </w:r>
    </w:p>
    <w:p w14:paraId="11E0E4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社会信用代码（税号）：12370000495184322F</w:t>
      </w:r>
    </w:p>
    <w:p w14:paraId="15DE122C">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保证金缴纳后，请联系0539-</w:t>
      </w:r>
      <w:r>
        <w:rPr>
          <w:rFonts w:hint="eastAsia" w:ascii="宋体" w:hAnsi="宋体" w:eastAsia="宋体" w:cs="宋体"/>
          <w:color w:val="auto"/>
          <w:sz w:val="24"/>
          <w:highlight w:val="none"/>
          <w:lang w:val="en-US" w:eastAsia="zh-CN"/>
        </w:rPr>
        <w:t>7258283</w:t>
      </w:r>
      <w:r>
        <w:rPr>
          <w:rFonts w:hint="eastAsia" w:ascii="宋体" w:hAnsi="宋体" w:eastAsia="宋体" w:cs="宋体"/>
          <w:color w:val="auto"/>
          <w:sz w:val="24"/>
          <w:highlight w:val="none"/>
        </w:rPr>
        <w:t>确认。</w:t>
      </w:r>
    </w:p>
    <w:p w14:paraId="2153C3E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八</w:t>
      </w:r>
      <w:r>
        <w:rPr>
          <w:rFonts w:hint="eastAsia" w:ascii="宋体" w:hAnsi="宋体" w:eastAsia="宋体" w:cs="宋体"/>
          <w:color w:val="auto"/>
          <w:kern w:val="0"/>
          <w:sz w:val="24"/>
          <w:highlight w:val="none"/>
        </w:rPr>
        <w:t>、合同文件构成</w:t>
      </w:r>
    </w:p>
    <w:p w14:paraId="6A44AC3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w:t>
      </w:r>
      <w:r>
        <w:rPr>
          <w:rFonts w:hint="eastAsia" w:ascii="宋体" w:hAnsi="宋体" w:eastAsia="宋体" w:cs="宋体"/>
          <w:color w:val="auto"/>
          <w:kern w:val="0"/>
          <w:sz w:val="24"/>
          <w:highlight w:val="none"/>
          <w:lang w:val="en-US" w:eastAsia="zh-CN"/>
        </w:rPr>
        <w:t>合同</w:t>
      </w:r>
      <w:r>
        <w:rPr>
          <w:rFonts w:hint="eastAsia" w:ascii="宋体" w:hAnsi="宋体" w:eastAsia="宋体" w:cs="宋体"/>
          <w:color w:val="auto"/>
          <w:kern w:val="0"/>
          <w:sz w:val="24"/>
          <w:highlight w:val="none"/>
        </w:rPr>
        <w:t>与下列文件一起构成合同文件：</w:t>
      </w:r>
    </w:p>
    <w:p w14:paraId="6AAAF25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（1）中标或成交通知书；</w:t>
      </w:r>
    </w:p>
    <w:p w14:paraId="701FCF5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（2）投标函及其附录； </w:t>
      </w:r>
    </w:p>
    <w:p w14:paraId="5B6A8EC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本</w:t>
      </w:r>
      <w:r>
        <w:rPr>
          <w:rFonts w:hint="eastAsia" w:ascii="宋体" w:hAnsi="宋体" w:eastAsia="宋体" w:cs="宋体"/>
          <w:color w:val="auto"/>
          <w:kern w:val="0"/>
          <w:sz w:val="24"/>
          <w:highlight w:val="none"/>
        </w:rPr>
        <w:t>合同条款</w:t>
      </w:r>
      <w:r>
        <w:rPr>
          <w:rFonts w:hint="eastAsia" w:ascii="宋体" w:hAnsi="宋体" w:eastAsia="宋体" w:cs="宋体"/>
          <w:color w:val="auto"/>
          <w:kern w:val="0"/>
          <w:sz w:val="24"/>
          <w:highlight w:val="none"/>
          <w:lang w:val="en-US" w:eastAsia="zh-CN"/>
        </w:rPr>
        <w:t>及附表、附件</w:t>
      </w:r>
      <w:r>
        <w:rPr>
          <w:rFonts w:hint="eastAsia" w:ascii="宋体" w:hAnsi="宋体" w:eastAsia="宋体" w:cs="宋体"/>
          <w:color w:val="auto"/>
          <w:kern w:val="0"/>
          <w:sz w:val="24"/>
          <w:highlight w:val="none"/>
        </w:rPr>
        <w:t>；</w:t>
      </w:r>
    </w:p>
    <w:p w14:paraId="4E8BC6A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采购文件（</w:t>
      </w:r>
      <w:r>
        <w:rPr>
          <w:rFonts w:hint="eastAsia" w:ascii="宋体" w:hAnsi="宋体" w:eastAsia="宋体" w:cs="宋体"/>
          <w:color w:val="auto"/>
          <w:kern w:val="0"/>
          <w:sz w:val="24"/>
          <w:highlight w:val="none"/>
        </w:rPr>
        <w:t>技术标准和要求</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w:t>
      </w:r>
    </w:p>
    <w:p w14:paraId="59ECC39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（5）图纸（如果有）；</w:t>
      </w:r>
    </w:p>
    <w:p w14:paraId="4A09ED0F">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（6）供货清单及</w:t>
      </w:r>
      <w:r>
        <w:rPr>
          <w:rFonts w:hint="eastAsia" w:ascii="宋体" w:hAnsi="宋体" w:eastAsia="宋体" w:cs="宋体"/>
          <w:color w:val="auto"/>
          <w:kern w:val="0"/>
          <w:sz w:val="24"/>
          <w:highlight w:val="none"/>
          <w:lang w:val="en-US" w:eastAsia="zh-CN"/>
        </w:rPr>
        <w:t>最终</w:t>
      </w:r>
      <w:r>
        <w:rPr>
          <w:rFonts w:hint="eastAsia" w:ascii="宋体" w:hAnsi="宋体" w:eastAsia="宋体" w:cs="宋体"/>
          <w:color w:val="auto"/>
          <w:kern w:val="0"/>
          <w:sz w:val="24"/>
          <w:highlight w:val="none"/>
        </w:rPr>
        <w:t>报价表</w:t>
      </w:r>
      <w:r>
        <w:rPr>
          <w:rFonts w:hint="eastAsia" w:ascii="宋体" w:hAnsi="宋体" w:eastAsia="宋体" w:cs="宋体"/>
          <w:color w:val="auto"/>
          <w:kern w:val="0"/>
          <w:sz w:val="24"/>
          <w:highlight w:val="none"/>
          <w:lang w:eastAsia="zh-CN"/>
        </w:rPr>
        <w:t>；</w:t>
      </w:r>
    </w:p>
    <w:p w14:paraId="0110961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（7）其他合同文件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含中标方在评审过程中有关澄清、说明、补正及承诺文件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w:t>
      </w:r>
    </w:p>
    <w:p w14:paraId="76D38A1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在合同订立及履行过程中形成的与合同有关的文件均构成合同文件组成部分。</w:t>
      </w:r>
    </w:p>
    <w:p w14:paraId="0F36B23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7A29F98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九</w:t>
      </w:r>
      <w:r>
        <w:rPr>
          <w:rFonts w:hint="eastAsia" w:ascii="宋体" w:hAnsi="宋体" w:eastAsia="宋体" w:cs="宋体"/>
          <w:color w:val="auto"/>
          <w:kern w:val="0"/>
          <w:sz w:val="24"/>
          <w:highlight w:val="none"/>
        </w:rPr>
        <w:t>、承诺</w:t>
      </w:r>
    </w:p>
    <w:p w14:paraId="40555E4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1.采购人承诺按照法律规定履行项目审批手续、筹集项目资金并按照合同约定的期限和方式支付合同价款。</w:t>
      </w:r>
    </w:p>
    <w:p w14:paraId="6718AFA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2.供应商承诺按照法律规定及合同约定供货，确保质量和安全，不进行转包及违法分包，并在缺陷责任期及保修期内承担相应的责任。</w:t>
      </w:r>
    </w:p>
    <w:p w14:paraId="6E712DE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3.采购人和供应商通过招投标形式签订合同的，双方理解并承诺不再就同一项目另行签订与合同实质性内容相背离的协议。</w:t>
      </w:r>
    </w:p>
    <w:p w14:paraId="169B316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十、签订时间</w:t>
      </w:r>
    </w:p>
    <w:p w14:paraId="48CF0C0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本合同于</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签订。</w:t>
      </w:r>
    </w:p>
    <w:p w14:paraId="6C68552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十一、签订地点</w:t>
      </w:r>
    </w:p>
    <w:p w14:paraId="2A9B02B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本合同在</w:t>
      </w:r>
      <w:r>
        <w:rPr>
          <w:rFonts w:hint="eastAsia" w:ascii="宋体" w:hAnsi="宋体" w:eastAsia="宋体" w:cs="宋体"/>
          <w:color w:val="auto"/>
          <w:kern w:val="0"/>
          <w:sz w:val="24"/>
          <w:highlight w:val="none"/>
          <w:u w:val="single"/>
        </w:rPr>
        <w:t xml:space="preserve"> </w:t>
      </w:r>
      <w:bookmarkStart w:id="355" w:name="makeContractAddr"/>
      <w:r>
        <w:rPr>
          <w:rFonts w:hint="eastAsia" w:ascii="宋体" w:hAnsi="宋体" w:eastAsia="宋体" w:cs="宋体"/>
          <w:color w:val="auto"/>
          <w:kern w:val="0"/>
          <w:sz w:val="24"/>
          <w:highlight w:val="none"/>
          <w:u w:val="single"/>
        </w:rPr>
        <w:t>临沂大学</w:t>
      </w:r>
      <w:bookmarkEnd w:id="355"/>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签订。</w:t>
      </w:r>
    </w:p>
    <w:p w14:paraId="2E9C08D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二</w:t>
      </w:r>
      <w:r>
        <w:rPr>
          <w:rFonts w:hint="eastAsia" w:ascii="宋体" w:hAnsi="宋体" w:eastAsia="宋体" w:cs="宋体"/>
          <w:color w:val="auto"/>
          <w:kern w:val="0"/>
          <w:sz w:val="24"/>
          <w:highlight w:val="none"/>
        </w:rPr>
        <w:t>、补充协议</w:t>
      </w:r>
    </w:p>
    <w:p w14:paraId="00676BF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合同未尽事宜，合同当事人另行签订补充协议，补充协议是合同的组成部分。</w:t>
      </w:r>
    </w:p>
    <w:p w14:paraId="13B2139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、合同生效</w:t>
      </w:r>
    </w:p>
    <w:p w14:paraId="19C165D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本合同自</w:t>
      </w:r>
      <w:r>
        <w:rPr>
          <w:rFonts w:hint="eastAsia" w:ascii="宋体" w:hAnsi="宋体" w:eastAsia="宋体" w:cs="宋体"/>
          <w:color w:val="auto"/>
          <w:kern w:val="0"/>
          <w:sz w:val="24"/>
          <w:highlight w:val="none"/>
          <w:u w:val="single"/>
        </w:rPr>
        <w:t>甲乙双方签</w:t>
      </w:r>
      <w:r>
        <w:rPr>
          <w:rFonts w:hint="eastAsia" w:ascii="宋体" w:hAnsi="宋体" w:eastAsia="宋体" w:cs="宋体"/>
          <w:strike w:val="0"/>
          <w:dstrike w:val="0"/>
          <w:color w:val="auto"/>
          <w:kern w:val="0"/>
          <w:sz w:val="24"/>
          <w:highlight w:val="none"/>
          <w:u w:val="single"/>
        </w:rPr>
        <w:t>字盖章</w:t>
      </w:r>
      <w:r>
        <w:rPr>
          <w:rFonts w:hint="eastAsia" w:ascii="宋体" w:hAnsi="宋体" w:eastAsia="宋体" w:cs="宋体"/>
          <w:strike w:val="0"/>
          <w:dstrike w:val="0"/>
          <w:color w:val="auto"/>
          <w:kern w:val="0"/>
          <w:sz w:val="24"/>
          <w:highlight w:val="none"/>
          <w:u w:val="single"/>
          <w:lang w:val="en-US" w:eastAsia="zh-CN"/>
        </w:rPr>
        <w:t>且</w:t>
      </w:r>
      <w:r>
        <w:rPr>
          <w:rFonts w:hint="eastAsia" w:ascii="宋体" w:hAnsi="宋体" w:eastAsia="宋体" w:cs="宋体"/>
          <w:strike w:val="0"/>
          <w:dstrike w:val="0"/>
          <w:color w:val="auto"/>
          <w:kern w:val="0"/>
          <w:sz w:val="24"/>
          <w:highlight w:val="none"/>
          <w:u w:val="single"/>
        </w:rPr>
        <w:t>供应商提交履约保证金后</w:t>
      </w:r>
      <w:r>
        <w:rPr>
          <w:rFonts w:hint="eastAsia" w:ascii="宋体" w:hAnsi="宋体" w:eastAsia="宋体" w:cs="宋体"/>
          <w:color w:val="auto"/>
          <w:kern w:val="0"/>
          <w:sz w:val="24"/>
          <w:highlight w:val="none"/>
        </w:rPr>
        <w:t>生效。</w:t>
      </w:r>
    </w:p>
    <w:p w14:paraId="578DC78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rPr>
        <w:t>、合同份数</w:t>
      </w:r>
    </w:p>
    <w:p w14:paraId="3AB13B1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本合同一式五份，均具有同等法律效力，采购人执</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份，供应商执</w:t>
      </w:r>
      <w:r>
        <w:rPr>
          <w:rFonts w:hint="eastAsia" w:ascii="宋体" w:hAnsi="宋体" w:eastAsia="宋体" w:cs="宋体"/>
          <w:color w:val="auto"/>
          <w:kern w:val="0"/>
          <w:sz w:val="24"/>
          <w:highlight w:val="none"/>
          <w:lang w:val="en-US" w:eastAsia="zh-CN"/>
        </w:rPr>
        <w:t>一</w:t>
      </w:r>
      <w:r>
        <w:rPr>
          <w:rFonts w:hint="eastAsia" w:ascii="宋体" w:hAnsi="宋体" w:eastAsia="宋体" w:cs="宋体"/>
          <w:color w:val="auto"/>
          <w:kern w:val="0"/>
          <w:sz w:val="24"/>
          <w:highlight w:val="none"/>
        </w:rPr>
        <w:t>份，代理机构一份。</w:t>
      </w:r>
    </w:p>
    <w:tbl>
      <w:tblPr>
        <w:tblStyle w:val="30"/>
        <w:tblW w:w="975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66"/>
        <w:gridCol w:w="5193"/>
      </w:tblGrid>
      <w:tr w14:paraId="166ED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4566" w:type="dxa"/>
            <w:vAlign w:val="center"/>
          </w:tcPr>
          <w:p w14:paraId="3FEC372B">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cs="宋体"/>
                <w:color w:val="auto"/>
                <w:sz w:val="24"/>
                <w:szCs w:val="24"/>
                <w:highlight w:val="none"/>
                <w:lang w:eastAsia="zh-CN"/>
              </w:rPr>
              <w:t>）</w:t>
            </w:r>
            <w:r>
              <w:rPr>
                <w:rFonts w:hint="eastAsia" w:ascii="宋体" w:hAnsi="宋体" w:eastAsia="宋体" w:cs="宋体"/>
                <w:color w:val="auto"/>
                <w:sz w:val="24"/>
                <w:highlight w:val="none"/>
              </w:rPr>
              <w:t>临沂大学</w:t>
            </w:r>
          </w:p>
        </w:tc>
        <w:tc>
          <w:tcPr>
            <w:tcW w:w="5193" w:type="dxa"/>
            <w:vAlign w:val="center"/>
          </w:tcPr>
          <w:p w14:paraId="382A0FE1">
            <w:pPr>
              <w:spacing w:line="360" w:lineRule="auto"/>
              <w:ind w:left="-2" w:leftChars="-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供应商：</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val="en-US" w:eastAsia="zh-CN"/>
              </w:rPr>
              <w:t xml:space="preserve">                      </w:t>
            </w:r>
          </w:p>
        </w:tc>
      </w:tr>
      <w:tr w14:paraId="5806D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4566" w:type="dxa"/>
            <w:vAlign w:val="center"/>
          </w:tcPr>
          <w:p w14:paraId="7E7BAB1C">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14:paraId="1CB13566">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（签字或签章）</w:t>
            </w:r>
          </w:p>
        </w:tc>
        <w:tc>
          <w:tcPr>
            <w:tcW w:w="5193" w:type="dxa"/>
            <w:vAlign w:val="center"/>
          </w:tcPr>
          <w:p w14:paraId="252AB480">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14:paraId="17E13A03">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（签字或签章）</w:t>
            </w:r>
          </w:p>
        </w:tc>
      </w:tr>
      <w:tr w14:paraId="2D147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4566" w:type="dxa"/>
            <w:vAlign w:val="center"/>
          </w:tcPr>
          <w:p w14:paraId="0FD882B4">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 xml:space="preserve">： </w:t>
            </w:r>
            <w:bookmarkStart w:id="356" w:name="unitAddress"/>
            <w:r>
              <w:rPr>
                <w:rFonts w:hint="eastAsia" w:ascii="宋体" w:hAnsi="宋体" w:eastAsia="宋体" w:cs="宋体"/>
                <w:color w:val="auto"/>
                <w:sz w:val="24"/>
                <w:szCs w:val="24"/>
                <w:highlight w:val="none"/>
              </w:rPr>
              <w:t>山东省临沂市双岭路中段</w:t>
            </w:r>
            <w:bookmarkEnd w:id="356"/>
          </w:p>
        </w:tc>
        <w:tc>
          <w:tcPr>
            <w:tcW w:w="5193" w:type="dxa"/>
            <w:vAlign w:val="center"/>
          </w:tcPr>
          <w:p w14:paraId="3AD6F5D9">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tc>
      </w:tr>
      <w:tr w14:paraId="19B58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566" w:type="dxa"/>
            <w:vAlign w:val="center"/>
          </w:tcPr>
          <w:p w14:paraId="19F4A6D9">
            <w:pPr>
              <w:pStyle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highlight w:val="none"/>
                <w:lang w:val="en-US" w:eastAsia="zh-CN"/>
              </w:rPr>
              <w:t>0539-7258756</w:t>
            </w:r>
          </w:p>
        </w:tc>
        <w:tc>
          <w:tcPr>
            <w:tcW w:w="5193" w:type="dxa"/>
            <w:vAlign w:val="center"/>
          </w:tcPr>
          <w:p w14:paraId="2157D4D3">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 xml:space="preserve">               </w:t>
            </w:r>
          </w:p>
        </w:tc>
      </w:tr>
      <w:tr w14:paraId="08F56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566" w:type="dxa"/>
            <w:vAlign w:val="center"/>
          </w:tcPr>
          <w:p w14:paraId="00E3E836">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highlight w:val="none"/>
              </w:rPr>
              <w:t>中国银行临沂兰山支行</w:t>
            </w:r>
          </w:p>
        </w:tc>
        <w:tc>
          <w:tcPr>
            <w:tcW w:w="5193" w:type="dxa"/>
            <w:vAlign w:val="center"/>
          </w:tcPr>
          <w:p w14:paraId="46F965FA">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p>
        </w:tc>
      </w:tr>
      <w:tr w14:paraId="2D709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4566" w:type="dxa"/>
            <w:vAlign w:val="center"/>
          </w:tcPr>
          <w:p w14:paraId="7054A1D7">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highlight w:val="none"/>
              </w:rPr>
              <w:t>218243959980</w:t>
            </w:r>
          </w:p>
        </w:tc>
        <w:tc>
          <w:tcPr>
            <w:tcW w:w="5193" w:type="dxa"/>
            <w:vAlign w:val="center"/>
          </w:tcPr>
          <w:p w14:paraId="7D8FCC55">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lang w:val="en-US" w:eastAsia="zh-CN"/>
              </w:rPr>
              <w:t xml:space="preserve">                  </w:t>
            </w:r>
          </w:p>
        </w:tc>
      </w:tr>
      <w:tr w14:paraId="53766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4566" w:type="dxa"/>
            <w:vAlign w:val="center"/>
          </w:tcPr>
          <w:p w14:paraId="3515C0B9">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5193" w:type="dxa"/>
            <w:vAlign w:val="center"/>
          </w:tcPr>
          <w:p w14:paraId="080CED84">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r>
    </w:tbl>
    <w:p w14:paraId="357DE002">
      <w:pP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484C7BCD">
      <w:pPr>
        <w:spacing w:line="360" w:lineRule="auto"/>
        <w:jc w:val="center"/>
        <w:rPr>
          <w:rFonts w:hint="eastAsia" w:ascii="宋体" w:hAnsi="宋体" w:eastAsia="宋体" w:cs="宋体"/>
          <w:color w:val="auto"/>
          <w:sz w:val="24"/>
          <w:highlight w:val="none"/>
        </w:rPr>
      </w:pPr>
    </w:p>
    <w:p w14:paraId="2FF1CA3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p w14:paraId="3E63A5E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1．采购与供应</w:t>
      </w:r>
    </w:p>
    <w:p w14:paraId="1F24294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 本合同价款最终双方以实际验收的数量结算。</w:t>
      </w:r>
    </w:p>
    <w:p w14:paraId="3073638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 本合同所采购与供应设备的数量为暂定量，供应商按附件1《计划采购与供应设备清单》所列品种和规格供货，最终以经采购人验收合格实际数量为准。</w:t>
      </w:r>
    </w:p>
    <w:p w14:paraId="3354CE3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 本合同所采购与供应设备的计价、结算和支付货币均为人民币。</w:t>
      </w:r>
    </w:p>
    <w:p w14:paraId="00F6581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 本合同所采购与供应设备的计量单位，为中华人民共和国法定公制计量单位（除技术规范标准另有规定外）。</w:t>
      </w:r>
    </w:p>
    <w:p w14:paraId="11EC8D5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w:t>
      </w:r>
      <w:r>
        <w:rPr>
          <w:rFonts w:hint="eastAsia" w:ascii="宋体" w:hAnsi="宋体" w:cs="宋体"/>
          <w:color w:val="auto"/>
          <w:sz w:val="24"/>
          <w:highlight w:val="none"/>
          <w:lang w:eastAsia="zh-CN"/>
        </w:rPr>
        <w:t>税费</w:t>
      </w:r>
      <w:r>
        <w:rPr>
          <w:rFonts w:hint="eastAsia" w:ascii="宋体" w:hAnsi="宋体" w:eastAsia="宋体" w:cs="宋体"/>
          <w:color w:val="auto"/>
          <w:sz w:val="24"/>
          <w:highlight w:val="none"/>
        </w:rPr>
        <w:t>，除本合同第1.6条规定的因素外，不得因政府政策变动、市场环境改变、税率调整等而调整。</w:t>
      </w:r>
    </w:p>
    <w:p w14:paraId="557BFD3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1.6本合同综合单价按下列第（1）种办法进行调整。</w:t>
      </w:r>
    </w:p>
    <w:p w14:paraId="4B2058B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（1）综合单价包干，价格不可调整。</w:t>
      </w:r>
    </w:p>
    <w:p w14:paraId="1206F30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（2）具体调价办法： ___</w:t>
      </w:r>
      <w:r>
        <w:rPr>
          <w:rFonts w:hint="eastAsia" w:ascii="宋体" w:hAnsi="宋体" w:eastAsia="宋体" w:cs="宋体"/>
          <w:color w:val="auto"/>
          <w:sz w:val="24"/>
          <w:highlight w:val="none"/>
          <w:u w:val="single"/>
          <w:lang w:val="en-US" w:eastAsia="zh-CN"/>
        </w:rPr>
        <w:t>无</w:t>
      </w:r>
      <w:r>
        <w:rPr>
          <w:rFonts w:hint="eastAsia" w:ascii="宋体" w:hAnsi="宋体" w:eastAsia="宋体" w:cs="宋体"/>
          <w:color w:val="auto"/>
          <w:sz w:val="24"/>
          <w:highlight w:val="none"/>
        </w:rPr>
        <w:t xml:space="preserve">____。  </w:t>
      </w:r>
    </w:p>
    <w:p w14:paraId="06E4152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2．质量要求</w:t>
      </w:r>
    </w:p>
    <w:p w14:paraId="6978E9E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供应商应在交货同时向采购人提供本合同所采购与供应设备制造商出具的书面质量保证书。</w:t>
      </w:r>
    </w:p>
    <w:p w14:paraId="723E8AC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59A108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供应商的设备供应与管理应符合国家有关环保法律、法规和ISO9000质量体系标准。</w:t>
      </w:r>
    </w:p>
    <w:p w14:paraId="776D993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 本合同所采购与供应设备的质量保证期自验收合格之日起</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年。</w:t>
      </w:r>
    </w:p>
    <w:p w14:paraId="6E6A397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2.5质量保证期内，供应商无条件的向采购人提供缺陷产品的免费维修、更换等服务。针对采购人提出的书面要求，供应商必须在3日内给予书面答复。</w:t>
      </w:r>
      <w:r>
        <w:rPr>
          <w:rFonts w:hint="eastAsia" w:ascii="宋体" w:hAnsi="宋体" w:eastAsia="宋体" w:cs="宋体"/>
          <w:b/>
          <w:bCs/>
          <w:color w:val="auto"/>
          <w:sz w:val="24"/>
          <w:highlight w:val="none"/>
          <w:lang w:val="en-US" w:eastAsia="zh-CN"/>
        </w:rPr>
        <w:t>如有</w:t>
      </w:r>
      <w:r>
        <w:rPr>
          <w:rFonts w:hint="eastAsia" w:ascii="宋体" w:hAnsi="宋体" w:eastAsia="宋体" w:cs="宋体"/>
          <w:b/>
          <w:bCs/>
          <w:color w:val="auto"/>
          <w:sz w:val="24"/>
          <w:highlight w:val="none"/>
        </w:rPr>
        <w:t>必要，</w:t>
      </w:r>
      <w:r>
        <w:rPr>
          <w:rFonts w:hint="eastAsia" w:ascii="宋体" w:hAnsi="宋体" w:eastAsia="宋体" w:cs="宋体"/>
          <w:color w:val="auto"/>
          <w:sz w:val="24"/>
          <w:highlight w:val="none"/>
        </w:rPr>
        <w:t>供应商在3日内指派专人到现场解决，因此产生的所有费用均由供应商承担。</w:t>
      </w:r>
    </w:p>
    <w:p w14:paraId="7EBFE39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2.6 </w:t>
      </w:r>
      <w:r>
        <w:rPr>
          <w:rFonts w:hint="eastAsia" w:ascii="宋体" w:hAnsi="宋体" w:eastAsia="宋体" w:cs="宋体"/>
          <w:b/>
          <w:bCs/>
          <w:color w:val="auto"/>
          <w:sz w:val="24"/>
          <w:highlight w:val="none"/>
        </w:rPr>
        <w:t>质量保证期内，</w:t>
      </w:r>
      <w:r>
        <w:rPr>
          <w:rFonts w:hint="eastAsia" w:ascii="宋体" w:hAnsi="宋体" w:eastAsia="宋体" w:cs="宋体"/>
          <w:color w:val="auto"/>
          <w:sz w:val="24"/>
          <w:highlight w:val="none"/>
        </w:rPr>
        <w:t>不论任何原因，供应商借故推脱或拒绝采购人提出的维修、更换等服务请求，采购人有权自行解决，实际发生的维修或更换等费用，</w:t>
      </w:r>
      <w:r>
        <w:rPr>
          <w:rFonts w:hint="eastAsia" w:ascii="宋体" w:hAnsi="宋体" w:eastAsia="宋体" w:cs="宋体"/>
          <w:b/>
          <w:bCs/>
          <w:color w:val="auto"/>
          <w:sz w:val="24"/>
          <w:highlight w:val="none"/>
          <w:lang w:val="en-US" w:eastAsia="zh-CN"/>
        </w:rPr>
        <w:t>由供应商全部承担</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rPr>
        <w:t>并保留进一步索赔的权利。维修或更换设备的质量保证期相应延长6个月</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由乙方负责</w:t>
      </w:r>
      <w:r>
        <w:rPr>
          <w:rFonts w:hint="eastAsia" w:ascii="宋体" w:hAnsi="宋体" w:eastAsia="宋体" w:cs="宋体"/>
          <w:b/>
          <w:bCs/>
          <w:color w:val="auto"/>
          <w:sz w:val="24"/>
          <w:highlight w:val="none"/>
          <w:lang w:eastAsia="zh-CN"/>
        </w:rPr>
        <w:t>）</w:t>
      </w:r>
      <w:r>
        <w:rPr>
          <w:rFonts w:hint="eastAsia" w:ascii="宋体" w:hAnsi="宋体" w:eastAsia="宋体" w:cs="宋体"/>
          <w:color w:val="auto"/>
          <w:sz w:val="24"/>
          <w:highlight w:val="none"/>
        </w:rPr>
        <w:t>。</w:t>
      </w:r>
    </w:p>
    <w:p w14:paraId="583256C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2.7质量保证期内，如因供应商产品质量导致出现项目质量问题，由此造成的一切损失由供应商承担。</w:t>
      </w:r>
    </w:p>
    <w:p w14:paraId="53D29BE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2.8其他质量要求：</w:t>
      </w:r>
      <w:r>
        <w:rPr>
          <w:rFonts w:hint="eastAsia" w:ascii="宋体" w:hAnsi="宋体" w:eastAsia="宋体" w:cs="宋体"/>
          <w:color w:val="auto"/>
          <w:sz w:val="24"/>
          <w:highlight w:val="none"/>
          <w:u w:val="single"/>
        </w:rPr>
        <w:t xml:space="preserve">                     。</w:t>
      </w:r>
    </w:p>
    <w:p w14:paraId="3B59BCD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3．供货时间及地点</w:t>
      </w:r>
    </w:p>
    <w:p w14:paraId="2D8FB92B">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3.1供货及通知方式：</w:t>
      </w:r>
      <w:r>
        <w:rPr>
          <w:rFonts w:hint="eastAsia" w:ascii="宋体" w:hAnsi="宋体" w:eastAsia="宋体" w:cs="宋体"/>
          <w:color w:val="auto"/>
          <w:sz w:val="24"/>
          <w:highlight w:val="none"/>
          <w:u w:val="single"/>
        </w:rPr>
        <w:t>按批次供货，时间及数量以采购人书面通知为准。在运输、装卸过程中发生的安全事故责任，供应商自行承担。</w:t>
      </w:r>
    </w:p>
    <w:p w14:paraId="40D1391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3.2供货地点：供应商负责送货至项目现场卸至采购人指定的卸货地点，并承担费用。</w:t>
      </w:r>
    </w:p>
    <w:p w14:paraId="53ADA69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4．验收标准、方法、地点及期限</w:t>
      </w:r>
    </w:p>
    <w:p w14:paraId="0FF9251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4.1数量验收：甲乙双方在交货现场以过磅、点数、检尺等约定方式进行数量验收，采购人应保证设备随到随验。供应商应对在采购人现场的计量数据进行确认。</w:t>
      </w:r>
    </w:p>
    <w:p w14:paraId="4E1FAA5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4.2质量验收：</w:t>
      </w:r>
    </w:p>
    <w:p w14:paraId="14088E5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（1）进行数量验收的同时，采购人按要求进行尺寸和外观质量验收，尺寸和外观质量符合要求方可卸车，否则不得卸车。</w:t>
      </w:r>
    </w:p>
    <w:p w14:paraId="385E725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6C82B84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（3）经双方验收合格后，由采购人开具签收单作为最终结算依据。</w:t>
      </w:r>
    </w:p>
    <w:p w14:paraId="409DB5C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（4）抽检未发现不合格产品不代表供应商供应产品全部合格，如因供应商产品问题造成采购人供货期、质量、劳务等损失，全部责任均由供应商承担。</w:t>
      </w:r>
    </w:p>
    <w:p w14:paraId="6127D08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（5）外观及检验不合格的设备，供应商应在接采购人通知后24小时内清理出项目现场，并承担本次的检测费用，造成的一切损失由供应商承担。</w:t>
      </w:r>
    </w:p>
    <w:p w14:paraId="3A41DC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（6）其他：现场现货检验，采购人如有异议3日内提出，供应商24小时内负责处理。</w:t>
      </w:r>
    </w:p>
    <w:p w14:paraId="2A7677C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4.3标的物所有权自卸货完毕时起转移，但经验收确认为不合格的，供应商必须根据采购人要求无条件退换。</w:t>
      </w:r>
    </w:p>
    <w:p w14:paraId="135CE8F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5．安全文明施工与环境保护</w:t>
      </w:r>
    </w:p>
    <w:p w14:paraId="0752DFB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5.1安全文明施工</w:t>
      </w:r>
    </w:p>
    <w:p w14:paraId="22CB0B5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5.1.1 项目安全生产的达标目标及相应事项的约定：____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____。</w:t>
      </w:r>
    </w:p>
    <w:p w14:paraId="5A6D140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5.1.2 文明施工</w:t>
      </w:r>
    </w:p>
    <w:p w14:paraId="476016C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合同当事人对文明施工的要求：____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  </w:t>
      </w:r>
    </w:p>
    <w:p w14:paraId="0C7335A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5.1.3 供应商负责在设备供货、指导安装、调试、售后服务整个过程中现场全部人员、设备的安全。供货服务期间发生的一切安全事故，由供应商承担全部责任，并承担由此发生的一切费用。</w:t>
      </w:r>
    </w:p>
    <w:p w14:paraId="1437151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14:paraId="33F8386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6．预付款</w:t>
      </w:r>
    </w:p>
    <w:p w14:paraId="0EEDAA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 预付款的支付时间和金额（或占合同价款的比例）：</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color w:val="auto"/>
          <w:sz w:val="24"/>
          <w:highlight w:val="none"/>
        </w:rPr>
        <w:t>。</w:t>
      </w:r>
    </w:p>
    <w:p w14:paraId="12737A9E">
      <w:pPr>
        <w:spacing w:line="360" w:lineRule="auto"/>
        <w:ind w:firstLine="480" w:firstLineChars="200"/>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7．货款支付：</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b/>
          <w:color w:val="auto"/>
          <w:sz w:val="24"/>
          <w:highlight w:val="none"/>
          <w:u w:val="single"/>
        </w:rPr>
        <w:t>。</w:t>
      </w:r>
    </w:p>
    <w:p w14:paraId="6B5D8D3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7.2供应商按照采购人要求的时间，依据甲乙双方共同确认的结算金额和结算明细向采购人开具结算100%的增值税</w:t>
      </w:r>
      <w:r>
        <w:rPr>
          <w:rFonts w:hint="eastAsia" w:ascii="宋体" w:hAnsi="宋体" w:eastAsia="宋体" w:cs="宋体"/>
          <w:color w:val="auto"/>
          <w:sz w:val="24"/>
          <w:highlight w:val="none"/>
          <w:lang w:val="en-US" w:eastAsia="zh-CN"/>
        </w:rPr>
        <w:t>专用</w:t>
      </w:r>
      <w:r>
        <w:rPr>
          <w:rFonts w:hint="eastAsia" w:ascii="宋体" w:hAnsi="宋体" w:eastAsia="宋体" w:cs="宋体"/>
          <w:color w:val="auto"/>
          <w:sz w:val="24"/>
          <w:highlight w:val="none"/>
        </w:rPr>
        <w:t>发票，否则采购人有权拒绝支付货款且不构成违约。</w:t>
      </w:r>
    </w:p>
    <w:p w14:paraId="2583E41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7.3 货款支付方式可选择银行转账支票、网银转账、银行承兑汇票等常规支付方式的付款方式，具体付款方式以双方每次付款前协商确定为准。</w:t>
      </w:r>
    </w:p>
    <w:p w14:paraId="2176901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7.4其他</w:t>
      </w:r>
    </w:p>
    <w:p w14:paraId="21E89EC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由于不可抗力等原因导致资金不到位的，致使采购人不能按合同付款，采购人不承担延期付款利息及违约金。</w:t>
      </w:r>
    </w:p>
    <w:p w14:paraId="3499D73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若供应商不按要求开立银行账户，导致货款或项目款延期支付，采购人不承担延期付款利息及违约金，供应商不得因此</w:t>
      </w:r>
      <w:r>
        <w:rPr>
          <w:rFonts w:hint="eastAsia" w:ascii="宋体" w:hAnsi="宋体" w:cs="宋体"/>
          <w:color w:val="auto"/>
          <w:sz w:val="24"/>
          <w:highlight w:val="none"/>
          <w:lang w:eastAsia="zh-CN"/>
        </w:rPr>
        <w:t>终止合同</w:t>
      </w:r>
      <w:r>
        <w:rPr>
          <w:rFonts w:hint="eastAsia" w:ascii="宋体" w:hAnsi="宋体" w:eastAsia="宋体" w:cs="宋体"/>
          <w:color w:val="auto"/>
          <w:sz w:val="24"/>
          <w:highlight w:val="none"/>
        </w:rPr>
        <w:t>的履行。</w:t>
      </w:r>
    </w:p>
    <w:p w14:paraId="06747BB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8．合同变更</w:t>
      </w:r>
    </w:p>
    <w:p w14:paraId="613A741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由于项目变更，采购人向供应商提出书面合同变更，供应商应予以接受。甲乙双方共同修订的合同条款，构成本合同的有效组成部分，与本合同具有同等效力。</w:t>
      </w:r>
    </w:p>
    <w:p w14:paraId="504192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8.2 根据项目需要，采购人对所采购设备的数量和送货时间如有变更，及时书面通知供应商，供应商按变更后的数量和送货时间供货，新增或减少的设备价格不变。</w:t>
      </w:r>
    </w:p>
    <w:p w14:paraId="725844A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9．双方责任</w:t>
      </w:r>
    </w:p>
    <w:p w14:paraId="2CAC396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 双方指定现场收货及交货代表。</w:t>
      </w:r>
    </w:p>
    <w:p w14:paraId="4EDCD5C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采购人收货代表：          ，联系电话:             。</w:t>
      </w:r>
    </w:p>
    <w:p w14:paraId="0A642DB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供应商交货代表：          ，联系电话:             。</w:t>
      </w:r>
    </w:p>
    <w:p w14:paraId="44C4DCB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双方更换各自代表时，应及时通知对方，以确保设备顺利交接。</w:t>
      </w:r>
    </w:p>
    <w:p w14:paraId="66B3646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供应商应将设备按合同约定时间运至采购人指定地点，并经采购人指定收货代表和采购人项目所属其他2人及以上签字验收确认后有效。</w:t>
      </w:r>
    </w:p>
    <w:p w14:paraId="2BF370E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0E1BB2F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9.4 除另有规定和协议要求外，供应商提供的全部设备须采用国家、企业、行业标准要求包装，并同时满足方便所供设备长途及短途运输的要求，并有良好的防潮、防震、防锈、防爆等措施。</w:t>
      </w:r>
    </w:p>
    <w:p w14:paraId="564A8EA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9.5 装箱单应注明设备的名称、规格、型号、数量、质量、生产商、发货地、供应商、收货人、交货地、承运人等，并在显著位置标明装卸警示标志。</w:t>
      </w:r>
    </w:p>
    <w:p w14:paraId="580AAFD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9.6 供应商应对项目现场情况和当地政府运输时限和通道限制的正常及临时规定有充分了解和理解，不应因此提出索赔、要求延长或变更供货期限等。</w:t>
      </w:r>
    </w:p>
    <w:p w14:paraId="0918D27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27C1863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9.8 供应商运抵采购人指定现场的设备，交货单据上应详细列明当次供应设备的名称、品牌、产地、生产厂家、规格型号、计量单位、单价、数量、合计金额。</w:t>
      </w:r>
    </w:p>
    <w:p w14:paraId="547A1B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9.9 本合同所采购与供应设备在使用过程中，采购人打开包装进行质量、性能等的检验时，发现质量问题告知供应商，供应商应在三日内予以维修、更换或退货。</w:t>
      </w:r>
    </w:p>
    <w:p w14:paraId="2FDBA09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14:paraId="1B1E542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9.11 采购人、设计、相关内部监督单位审核供应商提交的资料仅是一般性的监督，并不减少供应商与此有关的合同责任。</w:t>
      </w:r>
    </w:p>
    <w:p w14:paraId="29368C4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414D3F6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9.13当一方纳税人信息等关键企业信息发生变化时，必须书面通知对方，否则应承担因此给对方造成的损失。</w:t>
      </w:r>
    </w:p>
    <w:p w14:paraId="13AB1E2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9.14采购人依据本合同（供应商纳税人相关信息）约定收款单位（供应商公司名称）、开户银行、账号向供应商支付货款。</w:t>
      </w:r>
    </w:p>
    <w:p w14:paraId="11A94BB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10．违约与赔偿</w:t>
      </w:r>
    </w:p>
    <w:p w14:paraId="40718EE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14:paraId="0817C1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10.2 对本合同所采购与供应的设备，采购人有权邀请当地有关质量监督管理部门进行检验，并出具检验证书，发现供应商所供设备不符合要求，采购人向供应商提出索赔，供应商应予以接受。</w:t>
      </w:r>
    </w:p>
    <w:p w14:paraId="50B0328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10.3 本合同所采购与供应的设备，在规定质量保证期限内采购人向供应商提出索赔，供应商应按下列条款向采购人赔偿：</w:t>
      </w:r>
    </w:p>
    <w:p w14:paraId="43F2D06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（1）同意采购人拒收设备，并把被拒收设备的预付货款返还采购人。</w:t>
      </w:r>
    </w:p>
    <w:p w14:paraId="46DD1C5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（2）承担退货过程中发生的一切损失和费用，包括利息、银行费用、运输和保险费、检验费、仓储和装卸费以及为保管和保护退货设备所需的其它费用。</w:t>
      </w:r>
    </w:p>
    <w:p w14:paraId="3A5D92A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（3）根据设备的质量缺陷和受损程度以及采购人遭受损失，经双方协商同意降低设备价格。</w:t>
      </w:r>
    </w:p>
    <w:p w14:paraId="0FB47F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（4）更换或修理有缺陷的设备，以达到合同约定的质量和性能，供应商承担一切费用和风险，并承担采购人因此而造成的损失。同时相应延长被更换或修理设备的质量保证期。</w:t>
      </w:r>
    </w:p>
    <w:p w14:paraId="57623F5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10.4 采购人提出索赔通知后，供应商应在28日内答复，如果在28日内未答复，视为供应商已接受该索赔，同时采购人保留进一步要求赔偿的权利。</w:t>
      </w:r>
    </w:p>
    <w:p w14:paraId="072600C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10.5 供应商应按采购人要求及时提供符合本合同约定的增值税发票，供应商必须确保发票票面信息全部真实，相关设备品类、价款等内容与本合同相一致。</w:t>
      </w:r>
    </w:p>
    <w:p w14:paraId="1A013BC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4E872CD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因供应商开具发票不及时给采购人造成无法及时认证、抵扣发票等情形的，供应商应向采购人承担赔偿责任，包括但不限于税款、滞纳金、罚款及相关损失等。</w:t>
      </w:r>
    </w:p>
    <w:p w14:paraId="286FF4B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供应商不得擅自作废或冲红已向采购人提供的发票，否则供应商须按发票金额（含增值税）的20%向采购人支付违约金，并向采购人承担赔偿责任，包括但不限于税款、滞纳金、罚款及相关损失等。</w:t>
      </w:r>
    </w:p>
    <w:p w14:paraId="272F5CF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14:paraId="711E9A9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10.7 未经采购人同意，如供应商单方面终止供货，除承担给采购人造成的经济损失外，还应向采购人支付未供货货款总额（含增值税）20%的违约金。</w:t>
      </w:r>
    </w:p>
    <w:p w14:paraId="2338479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11．不可抗力</w:t>
      </w:r>
    </w:p>
    <w:p w14:paraId="2958F0F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01A50C2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14:paraId="46860C3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11.3 不可抗力事件影响持续60日以上，双方通过友好协商，在合理时间内达成进一步履行或解除合同的协议。</w:t>
      </w:r>
    </w:p>
    <w:p w14:paraId="55BFBF8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11.4 本条款所定义的不可抗力是指不能预见、不能避免并不能克服的客观情况，对于经营状况严重恶化、安排不周及税收政策的调整等情形，无论严重程度如何，均不理解为不可抗力。</w:t>
      </w:r>
    </w:p>
    <w:p w14:paraId="40F444A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12．知识产权和专利权</w:t>
      </w:r>
    </w:p>
    <w:p w14:paraId="3C4E8FE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0C56E8A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13．争议解决</w:t>
      </w:r>
    </w:p>
    <w:p w14:paraId="1F65A81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13.1 遇争议问题双方协商解决，协商不能达成一致意见时，提交下列第</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程序解决：</w:t>
      </w:r>
    </w:p>
    <w:p w14:paraId="7AF4FB6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（1）向</w:t>
      </w:r>
      <w:r>
        <w:rPr>
          <w:rFonts w:hint="eastAsia" w:ascii="宋体" w:hAnsi="宋体" w:eastAsia="宋体" w:cs="宋体"/>
          <w:color w:val="auto"/>
          <w:sz w:val="24"/>
          <w:highlight w:val="none"/>
          <w:lang w:val="en-US" w:eastAsia="zh-CN"/>
        </w:rPr>
        <w:t>临沂</w:t>
      </w:r>
      <w:r>
        <w:rPr>
          <w:rFonts w:hint="eastAsia" w:ascii="宋体" w:hAnsi="宋体" w:eastAsia="宋体" w:cs="宋体"/>
          <w:color w:val="auto"/>
          <w:sz w:val="24"/>
          <w:highlight w:val="none"/>
        </w:rPr>
        <w:t>仲裁委员会申请仲裁。</w:t>
      </w:r>
    </w:p>
    <w:p w14:paraId="672DC7C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（2）向采购人所在地人民法院起诉。</w:t>
      </w:r>
    </w:p>
    <w:p w14:paraId="6DF846F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14．其他</w:t>
      </w:r>
    </w:p>
    <w:p w14:paraId="18F6C45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本合同是双方合作的法律文件，对双方具有法律约束力。本合同解除的条件：按《</w:t>
      </w:r>
      <w:r>
        <w:rPr>
          <w:rFonts w:hint="eastAsia" w:ascii="宋体" w:hAnsi="宋体" w:eastAsia="宋体" w:cs="宋体"/>
          <w:color w:val="auto"/>
          <w:sz w:val="24"/>
          <w:highlight w:val="none"/>
          <w:lang w:eastAsia="zh-CN"/>
        </w:rPr>
        <w:t>民法典</w:t>
      </w:r>
      <w:r>
        <w:rPr>
          <w:rFonts w:hint="eastAsia" w:ascii="宋体" w:hAnsi="宋体" w:eastAsia="宋体" w:cs="宋体"/>
          <w:color w:val="auto"/>
          <w:sz w:val="24"/>
          <w:highlight w:val="none"/>
        </w:rPr>
        <w:t>》有关条款执行。</w:t>
      </w:r>
    </w:p>
    <w:p w14:paraId="1B38EC9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14.2 本合同包括合同履行过程中有关确定和变更合同实质性条件的会议纪要、往来信函、资料等。</w:t>
      </w:r>
    </w:p>
    <w:p w14:paraId="68D1C89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14.3.本合同中供应商注明的电子邮箱需是有效（须保证能够正常使用），若使用电子邮件等数据电文形式的，此数据电文进入供应商提供的电子邮箱运营商服务器即视为收到。</w:t>
      </w:r>
    </w:p>
    <w:p w14:paraId="27A9EE7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供应商电子邮箱（必填）：                    。</w:t>
      </w:r>
    </w:p>
    <w:p w14:paraId="6461AD8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14.4未尽事宜经采购人上级部门同意后，可签订补充协议，与本合同具有同等法律效力。</w:t>
      </w:r>
    </w:p>
    <w:p w14:paraId="24B3372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本合同经双方签字盖章后即行生效，至双方履行完全部合同规定条款后失效。</w:t>
      </w:r>
    </w:p>
    <w:p w14:paraId="6AD2BA7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14.5补充条款：_______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_______。                                                               </w:t>
      </w:r>
    </w:p>
    <w:p w14:paraId="59EA7F6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合同附件：</w:t>
      </w:r>
    </w:p>
    <w:p w14:paraId="05D7644B">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附件1：货物分项报价表</w:t>
      </w:r>
    </w:p>
    <w:p w14:paraId="08D65BC3">
      <w:pPr>
        <w:pStyle w:val="78"/>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rPr>
        <w:t>：售后服务承诺</w:t>
      </w:r>
    </w:p>
    <w:p w14:paraId="64356743">
      <w:pPr>
        <w:pStyle w:val="78"/>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优惠条款</w:t>
      </w:r>
    </w:p>
    <w:p w14:paraId="44417873">
      <w:pPr>
        <w:pStyle w:val="78"/>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最终报价表（扫描件）</w:t>
      </w:r>
    </w:p>
    <w:p w14:paraId="44B15DF2">
      <w:pPr>
        <w:rPr>
          <w:rFonts w:hint="eastAsia" w:ascii="宋体" w:hAnsi="宋体" w:eastAsia="宋体" w:cs="宋体"/>
          <w:i/>
          <w:iCs/>
          <w:color w:val="auto"/>
          <w:highlight w:val="none"/>
        </w:rPr>
      </w:pPr>
    </w:p>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panose1 w:val="03000509000000000000"/>
    <w:charset w:val="88"/>
    <w:family w:val="script"/>
    <w:pitch w:val="default"/>
    <w:sig w:usb0="00000003" w:usb1="082E0000" w:usb2="00000016" w:usb3="00000000" w:csb0="0010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0F1BA">
    <w:pPr>
      <w:pStyle w:val="1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15E02C1F">
                          <w:pPr>
                            <w:pStyle w:val="18"/>
                            <w:rPr>
                              <w:rStyle w:val="33"/>
                            </w:rPr>
                          </w:pPr>
                          <w:r>
                            <w:fldChar w:fldCharType="begin"/>
                          </w:r>
                          <w:r>
                            <w:rPr>
                              <w:rStyle w:val="33"/>
                            </w:rPr>
                            <w:instrText xml:space="preserve">PAGE  </w:instrText>
                          </w:r>
                          <w:r>
                            <w:fldChar w:fldCharType="separate"/>
                          </w:r>
                          <w:r>
                            <w:rPr>
                              <w:rStyle w:val="33"/>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14:paraId="15E02C1F">
                    <w:pPr>
                      <w:pStyle w:val="18"/>
                      <w:rPr>
                        <w:rStyle w:val="33"/>
                      </w:rPr>
                    </w:pPr>
                    <w:r>
                      <w:fldChar w:fldCharType="begin"/>
                    </w:r>
                    <w:r>
                      <w:rPr>
                        <w:rStyle w:val="33"/>
                      </w:rPr>
                      <w:instrText xml:space="preserve">PAGE  </w:instrText>
                    </w:r>
                    <w:r>
                      <w:fldChar w:fldCharType="separate"/>
                    </w:r>
                    <w:r>
                      <w:rPr>
                        <w:rStyle w:val="33"/>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7A2A2">
    <w:pPr>
      <w:pStyle w:val="18"/>
      <w:framePr w:wrap="around" w:vAnchor="text" w:hAnchor="margin" w:xAlign="center" w:y="1"/>
      <w:rPr>
        <w:rStyle w:val="33"/>
      </w:rPr>
    </w:pPr>
    <w:r>
      <w:fldChar w:fldCharType="begin"/>
    </w:r>
    <w:r>
      <w:rPr>
        <w:rStyle w:val="33"/>
      </w:rPr>
      <w:instrText xml:space="preserve">PAGE  </w:instrText>
    </w:r>
    <w:r>
      <w:fldChar w:fldCharType="end"/>
    </w:r>
  </w:p>
  <w:p w14:paraId="0990B221">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E77D9">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393D0A56">
                          <w:pPr>
                            <w:pStyle w:val="18"/>
                            <w:rPr>
                              <w:rStyle w:val="33"/>
                            </w:rPr>
                          </w:pPr>
                          <w:r>
                            <w:fldChar w:fldCharType="begin"/>
                          </w:r>
                          <w:r>
                            <w:rPr>
                              <w:rStyle w:val="33"/>
                            </w:rPr>
                            <w:instrText xml:space="preserve">PAGE  </w:instrText>
                          </w:r>
                          <w:r>
                            <w:fldChar w:fldCharType="separate"/>
                          </w:r>
                          <w:r>
                            <w:rPr>
                              <w:rStyle w:val="33"/>
                            </w:rPr>
                            <w:t>26</w:t>
                          </w:r>
                          <w:r>
                            <w:fldChar w:fldCharType="end"/>
                          </w:r>
                        </w:p>
                      </w:txbxContent>
                    </wps:txbx>
                    <wps:bodyPr vert="horz" wrap="none" lIns="0" tIns="0" rIns="0" bIns="0" anchor="t" anchorCtr="0">
                      <a:spAutoFit/>
                    </wps:bodyPr>
                  </wps:wsp>
                </a:graphicData>
              </a:graphic>
            </wp:anchor>
          </w:drawing>
        </mc:Choice>
        <mc:Fallback>
          <w:pict>
            <v:shape id="文本框 3" o:spid="_x0000_s1026" o:spt="202" type="#_x0000_t202" style="position:absolute;left:0pt;margin-top:0pt;height:11.65pt;width:4.55pt;mso-position-horizontal:center;mso-position-horizontal-relative:margin;mso-wrap-style:none;z-index:251660288;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MNTHYvq&#10;AQAAxwMAAA4AAAAAAAAAAQAgAAAAIAEAAGRycy9lMm9Eb2MueG1sUEsFBgAAAAAGAAYAWQEAAHwF&#10;AAAAAA==&#10;">
              <v:fill on="f" focussize="0,0"/>
              <v:stroke on="f"/>
              <v:imagedata o:title=""/>
              <o:lock v:ext="edit" aspectratio="f"/>
              <v:textbox inset="0mm,0mm,0mm,0mm" style="mso-fit-shape-to-text:t;">
                <w:txbxContent>
                  <w:p w14:paraId="393D0A56">
                    <w:pPr>
                      <w:pStyle w:val="18"/>
                      <w:rPr>
                        <w:rStyle w:val="33"/>
                      </w:rPr>
                    </w:pPr>
                    <w:r>
                      <w:fldChar w:fldCharType="begin"/>
                    </w:r>
                    <w:r>
                      <w:rPr>
                        <w:rStyle w:val="33"/>
                      </w:rPr>
                      <w:instrText xml:space="preserve">PAGE  </w:instrText>
                    </w:r>
                    <w:r>
                      <w:fldChar w:fldCharType="separate"/>
                    </w:r>
                    <w:r>
                      <w:rPr>
                        <w:rStyle w:val="33"/>
                      </w:rPr>
                      <w:t>26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091E8">
    <w:pPr>
      <w:pStyle w:val="18"/>
      <w:framePr w:wrap="around" w:vAnchor="text" w:hAnchor="margin" w:xAlign="center" w:y="1"/>
      <w:rPr>
        <w:rStyle w:val="33"/>
      </w:rPr>
    </w:pPr>
    <w:r>
      <w:fldChar w:fldCharType="begin"/>
    </w:r>
    <w:r>
      <w:rPr>
        <w:rStyle w:val="33"/>
      </w:rPr>
      <w:instrText xml:space="preserve">PAGE  </w:instrText>
    </w:r>
    <w:r>
      <w:fldChar w:fldCharType="end"/>
    </w:r>
  </w:p>
  <w:p w14:paraId="67643B97">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3F05B">
    <w:pPr>
      <w:pStyle w:val="18"/>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14:paraId="228A0FD0">
                          <w:pPr>
                            <w:pStyle w:val="18"/>
                            <w:jc w:val="center"/>
                          </w:pPr>
                          <w:r>
                            <w:fldChar w:fldCharType="begin"/>
                          </w:r>
                          <w:r>
                            <w:instrText xml:space="preserve">PAGE   \* MERGEFORMAT</w:instrText>
                          </w:r>
                          <w:r>
                            <w:fldChar w:fldCharType="separate"/>
                          </w:r>
                          <w:r>
                            <w:rPr>
                              <w:lang w:val="zh-CN"/>
                            </w:rPr>
                            <w:t>29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14:paraId="228A0FD0">
                    <w:pPr>
                      <w:pStyle w:val="18"/>
                      <w:jc w:val="center"/>
                    </w:pPr>
                    <w:r>
                      <w:fldChar w:fldCharType="begin"/>
                    </w:r>
                    <w:r>
                      <w:instrText xml:space="preserve">PAGE   \* MERGEFORMAT</w:instrText>
                    </w:r>
                    <w:r>
                      <w:fldChar w:fldCharType="separate"/>
                    </w:r>
                    <w:r>
                      <w:rPr>
                        <w:lang w:val="zh-CN"/>
                      </w:rPr>
                      <w:t>29</w:t>
                    </w:r>
                    <w:r>
                      <w:fldChar w:fldCharType="end"/>
                    </w:r>
                  </w:p>
                </w:txbxContent>
              </v:textbox>
            </v:shape>
          </w:pict>
        </mc:Fallback>
      </mc:AlternateContent>
    </w:r>
  </w:p>
  <w:p w14:paraId="5426635F">
    <w:pPr>
      <w:pStyle w:val="18"/>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D62EC">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D0E38">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BFE01">
    <w:pPr>
      <w:pStyle w:val="1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45DE1">
    <w:pPr>
      <w:pStyle w:val="1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287C2">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3AB1A"/>
    <w:multiLevelType w:val="singleLevel"/>
    <w:tmpl w:val="A913AB1A"/>
    <w:lvl w:ilvl="0" w:tentative="0">
      <w:start w:val="2"/>
      <w:numFmt w:val="chineseCounting"/>
      <w:suff w:val="nothing"/>
      <w:lvlText w:val="（%1）"/>
      <w:lvlJc w:val="left"/>
      <w:rPr>
        <w:rFonts w:hint="eastAsia"/>
      </w:rPr>
    </w:lvl>
  </w:abstractNum>
  <w:abstractNum w:abstractNumId="1">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3">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
    <w:nsid w:val="798DCADE"/>
    <w:multiLevelType w:val="singleLevel"/>
    <w:tmpl w:val="798DCADE"/>
    <w:lvl w:ilvl="0" w:tentative="0">
      <w:start w:val="2"/>
      <w:numFmt w:val="decimal"/>
      <w:suff w:val="nothing"/>
      <w:lvlText w:val="%1、"/>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6f4900ca-704d-45d6-9023-50cac56b4e63"/>
  </w:docVars>
  <w:rsids>
    <w:rsidRoot w:val="00172A27"/>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142B"/>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2151230"/>
    <w:rsid w:val="02181129"/>
    <w:rsid w:val="025053CA"/>
    <w:rsid w:val="02757C6A"/>
    <w:rsid w:val="028458A8"/>
    <w:rsid w:val="02DF7EB2"/>
    <w:rsid w:val="02F53218"/>
    <w:rsid w:val="030003DF"/>
    <w:rsid w:val="03181948"/>
    <w:rsid w:val="043D0FA7"/>
    <w:rsid w:val="048653C5"/>
    <w:rsid w:val="04AD133B"/>
    <w:rsid w:val="04CB5223"/>
    <w:rsid w:val="04DA736D"/>
    <w:rsid w:val="05123C0E"/>
    <w:rsid w:val="05F316F9"/>
    <w:rsid w:val="06257E2A"/>
    <w:rsid w:val="062E7C9C"/>
    <w:rsid w:val="06334A31"/>
    <w:rsid w:val="074958E1"/>
    <w:rsid w:val="085831B1"/>
    <w:rsid w:val="088B7A6A"/>
    <w:rsid w:val="08BF138C"/>
    <w:rsid w:val="08CC6700"/>
    <w:rsid w:val="09490216"/>
    <w:rsid w:val="096422B6"/>
    <w:rsid w:val="096E7880"/>
    <w:rsid w:val="09A7068B"/>
    <w:rsid w:val="0A442AD6"/>
    <w:rsid w:val="0AC21C94"/>
    <w:rsid w:val="0AD12740"/>
    <w:rsid w:val="0B6D777F"/>
    <w:rsid w:val="0B9E0C00"/>
    <w:rsid w:val="0B9F46D6"/>
    <w:rsid w:val="0BB71C77"/>
    <w:rsid w:val="0BC929B9"/>
    <w:rsid w:val="0C360B29"/>
    <w:rsid w:val="0CC5766E"/>
    <w:rsid w:val="0CFA117D"/>
    <w:rsid w:val="0D7868C1"/>
    <w:rsid w:val="0DC517EF"/>
    <w:rsid w:val="0E3F552B"/>
    <w:rsid w:val="0F3B420A"/>
    <w:rsid w:val="0FE30DF8"/>
    <w:rsid w:val="0FF33245"/>
    <w:rsid w:val="100D3F40"/>
    <w:rsid w:val="10104C3C"/>
    <w:rsid w:val="10481722"/>
    <w:rsid w:val="1097590F"/>
    <w:rsid w:val="110E55EF"/>
    <w:rsid w:val="111B4344"/>
    <w:rsid w:val="12C94A4E"/>
    <w:rsid w:val="13085987"/>
    <w:rsid w:val="13854144"/>
    <w:rsid w:val="139D35FD"/>
    <w:rsid w:val="13B41BCC"/>
    <w:rsid w:val="13BB2A9F"/>
    <w:rsid w:val="13DB1B85"/>
    <w:rsid w:val="14706BA3"/>
    <w:rsid w:val="147F57B4"/>
    <w:rsid w:val="14B57065"/>
    <w:rsid w:val="14D00994"/>
    <w:rsid w:val="15492CDC"/>
    <w:rsid w:val="156661AC"/>
    <w:rsid w:val="15B605E5"/>
    <w:rsid w:val="16291BE3"/>
    <w:rsid w:val="1636260B"/>
    <w:rsid w:val="1689005E"/>
    <w:rsid w:val="16A14DF1"/>
    <w:rsid w:val="16F70A4D"/>
    <w:rsid w:val="1729600A"/>
    <w:rsid w:val="17C8491B"/>
    <w:rsid w:val="17ED2B53"/>
    <w:rsid w:val="180F2CDA"/>
    <w:rsid w:val="190727F7"/>
    <w:rsid w:val="198B7357"/>
    <w:rsid w:val="199F34B3"/>
    <w:rsid w:val="19EE3047"/>
    <w:rsid w:val="1A1A55E6"/>
    <w:rsid w:val="1A3F6DFB"/>
    <w:rsid w:val="1A877CAB"/>
    <w:rsid w:val="1C1A1CDA"/>
    <w:rsid w:val="1C7D6032"/>
    <w:rsid w:val="1C9176B6"/>
    <w:rsid w:val="1CF23A86"/>
    <w:rsid w:val="1D660B43"/>
    <w:rsid w:val="1DE21639"/>
    <w:rsid w:val="1E6B3309"/>
    <w:rsid w:val="1EC61592"/>
    <w:rsid w:val="1F0E185C"/>
    <w:rsid w:val="1F29711F"/>
    <w:rsid w:val="1FC85C44"/>
    <w:rsid w:val="1FE146ED"/>
    <w:rsid w:val="1FE41D32"/>
    <w:rsid w:val="20C41ECA"/>
    <w:rsid w:val="20D671AA"/>
    <w:rsid w:val="21071252"/>
    <w:rsid w:val="21463165"/>
    <w:rsid w:val="22AE59A2"/>
    <w:rsid w:val="237A68C7"/>
    <w:rsid w:val="238607F9"/>
    <w:rsid w:val="239D0DA6"/>
    <w:rsid w:val="239F4588"/>
    <w:rsid w:val="23B60887"/>
    <w:rsid w:val="24044C11"/>
    <w:rsid w:val="24595B0B"/>
    <w:rsid w:val="24BB755C"/>
    <w:rsid w:val="24EB0BA1"/>
    <w:rsid w:val="2527053D"/>
    <w:rsid w:val="253D03DB"/>
    <w:rsid w:val="253D2EFC"/>
    <w:rsid w:val="25920E97"/>
    <w:rsid w:val="25B051A2"/>
    <w:rsid w:val="25BC6A68"/>
    <w:rsid w:val="266B541C"/>
    <w:rsid w:val="267267AA"/>
    <w:rsid w:val="27083730"/>
    <w:rsid w:val="27083E49"/>
    <w:rsid w:val="27D3276D"/>
    <w:rsid w:val="27E572E0"/>
    <w:rsid w:val="27ED7BD0"/>
    <w:rsid w:val="28BA6ED0"/>
    <w:rsid w:val="28D667F6"/>
    <w:rsid w:val="28D73C8C"/>
    <w:rsid w:val="29312005"/>
    <w:rsid w:val="296861A5"/>
    <w:rsid w:val="2AB36C60"/>
    <w:rsid w:val="2B285E40"/>
    <w:rsid w:val="2B473D9B"/>
    <w:rsid w:val="2BF17AA3"/>
    <w:rsid w:val="2C3266E3"/>
    <w:rsid w:val="2CE83322"/>
    <w:rsid w:val="2CF93FE9"/>
    <w:rsid w:val="2D96306F"/>
    <w:rsid w:val="2DF34CBB"/>
    <w:rsid w:val="2E0F48DF"/>
    <w:rsid w:val="2E4A54DC"/>
    <w:rsid w:val="2E7B6CC4"/>
    <w:rsid w:val="2E932284"/>
    <w:rsid w:val="2F496D12"/>
    <w:rsid w:val="2F5D3ABE"/>
    <w:rsid w:val="2FD7142C"/>
    <w:rsid w:val="2FF6672D"/>
    <w:rsid w:val="301466BF"/>
    <w:rsid w:val="30190135"/>
    <w:rsid w:val="30CC1916"/>
    <w:rsid w:val="325B0308"/>
    <w:rsid w:val="32755171"/>
    <w:rsid w:val="32DF521E"/>
    <w:rsid w:val="334311DB"/>
    <w:rsid w:val="33574D5E"/>
    <w:rsid w:val="339338A3"/>
    <w:rsid w:val="34151D71"/>
    <w:rsid w:val="34D905A2"/>
    <w:rsid w:val="350223B3"/>
    <w:rsid w:val="35536751"/>
    <w:rsid w:val="36107446"/>
    <w:rsid w:val="3636341B"/>
    <w:rsid w:val="366E534C"/>
    <w:rsid w:val="36D93CDC"/>
    <w:rsid w:val="37601F9C"/>
    <w:rsid w:val="376A551D"/>
    <w:rsid w:val="387F089F"/>
    <w:rsid w:val="38963DE3"/>
    <w:rsid w:val="38AF02F2"/>
    <w:rsid w:val="38F06EDE"/>
    <w:rsid w:val="392F0E56"/>
    <w:rsid w:val="39320E4B"/>
    <w:rsid w:val="397E08D1"/>
    <w:rsid w:val="39D276DC"/>
    <w:rsid w:val="3A8C3B01"/>
    <w:rsid w:val="3B0024F3"/>
    <w:rsid w:val="3C183361"/>
    <w:rsid w:val="3C3757AC"/>
    <w:rsid w:val="3D590557"/>
    <w:rsid w:val="3D7D3A58"/>
    <w:rsid w:val="3DBC0CCF"/>
    <w:rsid w:val="3DC7489A"/>
    <w:rsid w:val="3DEE10A9"/>
    <w:rsid w:val="3E670C26"/>
    <w:rsid w:val="3E78202C"/>
    <w:rsid w:val="3EED5CE2"/>
    <w:rsid w:val="401F6109"/>
    <w:rsid w:val="40297A82"/>
    <w:rsid w:val="402F3763"/>
    <w:rsid w:val="40C63843"/>
    <w:rsid w:val="40F0625D"/>
    <w:rsid w:val="4100099C"/>
    <w:rsid w:val="412F6391"/>
    <w:rsid w:val="41757628"/>
    <w:rsid w:val="41837F88"/>
    <w:rsid w:val="4212264B"/>
    <w:rsid w:val="42245E14"/>
    <w:rsid w:val="43153E28"/>
    <w:rsid w:val="434834C8"/>
    <w:rsid w:val="43532959"/>
    <w:rsid w:val="43601A0D"/>
    <w:rsid w:val="43C41F12"/>
    <w:rsid w:val="43EA2390"/>
    <w:rsid w:val="43F565F9"/>
    <w:rsid w:val="44AC5EDE"/>
    <w:rsid w:val="44D51F86"/>
    <w:rsid w:val="4522422D"/>
    <w:rsid w:val="452804BB"/>
    <w:rsid w:val="45C62F8F"/>
    <w:rsid w:val="45D87F80"/>
    <w:rsid w:val="473470C5"/>
    <w:rsid w:val="477068A1"/>
    <w:rsid w:val="47C66004"/>
    <w:rsid w:val="48164D90"/>
    <w:rsid w:val="48436FDA"/>
    <w:rsid w:val="48897173"/>
    <w:rsid w:val="48D975D7"/>
    <w:rsid w:val="494C6814"/>
    <w:rsid w:val="4AA3640A"/>
    <w:rsid w:val="4B315A3D"/>
    <w:rsid w:val="4B4B51BF"/>
    <w:rsid w:val="4B653334"/>
    <w:rsid w:val="4C121D12"/>
    <w:rsid w:val="4C81207A"/>
    <w:rsid w:val="4F6B4A2D"/>
    <w:rsid w:val="4F910C8D"/>
    <w:rsid w:val="50A70C7B"/>
    <w:rsid w:val="50CC783B"/>
    <w:rsid w:val="50FA22D5"/>
    <w:rsid w:val="51015E93"/>
    <w:rsid w:val="51596F95"/>
    <w:rsid w:val="51A272E6"/>
    <w:rsid w:val="51AC45D2"/>
    <w:rsid w:val="51C969CF"/>
    <w:rsid w:val="51ED67A5"/>
    <w:rsid w:val="51FF27DF"/>
    <w:rsid w:val="52347646"/>
    <w:rsid w:val="523E6B49"/>
    <w:rsid w:val="525100C0"/>
    <w:rsid w:val="52EC4491"/>
    <w:rsid w:val="52FE2631"/>
    <w:rsid w:val="537A0C18"/>
    <w:rsid w:val="53FF2464"/>
    <w:rsid w:val="5401124B"/>
    <w:rsid w:val="544A3C66"/>
    <w:rsid w:val="54814508"/>
    <w:rsid w:val="55323A38"/>
    <w:rsid w:val="56282BD5"/>
    <w:rsid w:val="5637484F"/>
    <w:rsid w:val="56BF0549"/>
    <w:rsid w:val="572B1ADD"/>
    <w:rsid w:val="574216FD"/>
    <w:rsid w:val="57772E7B"/>
    <w:rsid w:val="57D6563F"/>
    <w:rsid w:val="57E44562"/>
    <w:rsid w:val="58D02D39"/>
    <w:rsid w:val="591640E5"/>
    <w:rsid w:val="59266DFD"/>
    <w:rsid w:val="598D06AE"/>
    <w:rsid w:val="5A1F1C28"/>
    <w:rsid w:val="5A4B39E2"/>
    <w:rsid w:val="5A56101C"/>
    <w:rsid w:val="5A585274"/>
    <w:rsid w:val="5A6C467C"/>
    <w:rsid w:val="5A9E774D"/>
    <w:rsid w:val="5AE519B6"/>
    <w:rsid w:val="5AFA37B8"/>
    <w:rsid w:val="5B3B3231"/>
    <w:rsid w:val="5C2F00C3"/>
    <w:rsid w:val="5C86163E"/>
    <w:rsid w:val="5C974816"/>
    <w:rsid w:val="5CCC159B"/>
    <w:rsid w:val="5D592B21"/>
    <w:rsid w:val="5D675B62"/>
    <w:rsid w:val="5D681792"/>
    <w:rsid w:val="5E181C7E"/>
    <w:rsid w:val="5E2C4052"/>
    <w:rsid w:val="5E4D256F"/>
    <w:rsid w:val="5E854744"/>
    <w:rsid w:val="5F204776"/>
    <w:rsid w:val="5F781673"/>
    <w:rsid w:val="5FB31CAD"/>
    <w:rsid w:val="60D84E80"/>
    <w:rsid w:val="615362B5"/>
    <w:rsid w:val="62740BD9"/>
    <w:rsid w:val="62B40C5B"/>
    <w:rsid w:val="635970B3"/>
    <w:rsid w:val="646C3855"/>
    <w:rsid w:val="64915AE7"/>
    <w:rsid w:val="64BA041E"/>
    <w:rsid w:val="65390F50"/>
    <w:rsid w:val="65B85087"/>
    <w:rsid w:val="66F836B2"/>
    <w:rsid w:val="676677EB"/>
    <w:rsid w:val="6848285A"/>
    <w:rsid w:val="6912464A"/>
    <w:rsid w:val="69302598"/>
    <w:rsid w:val="69D56401"/>
    <w:rsid w:val="69EB25CF"/>
    <w:rsid w:val="6AA8065C"/>
    <w:rsid w:val="6AC01375"/>
    <w:rsid w:val="6AD23ECA"/>
    <w:rsid w:val="6AEF704E"/>
    <w:rsid w:val="6B14314F"/>
    <w:rsid w:val="6BCA3618"/>
    <w:rsid w:val="6C3E5263"/>
    <w:rsid w:val="6C642FC0"/>
    <w:rsid w:val="6C671F61"/>
    <w:rsid w:val="6C68176D"/>
    <w:rsid w:val="6C77637D"/>
    <w:rsid w:val="6CF11982"/>
    <w:rsid w:val="6D5A7E24"/>
    <w:rsid w:val="6DC347C2"/>
    <w:rsid w:val="6DE0781F"/>
    <w:rsid w:val="6E132974"/>
    <w:rsid w:val="6E427DDD"/>
    <w:rsid w:val="6F320296"/>
    <w:rsid w:val="6F3F60CB"/>
    <w:rsid w:val="702C7852"/>
    <w:rsid w:val="70656186"/>
    <w:rsid w:val="706D7F34"/>
    <w:rsid w:val="70DF5420"/>
    <w:rsid w:val="70E016BA"/>
    <w:rsid w:val="71467BE4"/>
    <w:rsid w:val="718040BB"/>
    <w:rsid w:val="72072820"/>
    <w:rsid w:val="726B6013"/>
    <w:rsid w:val="72913E7E"/>
    <w:rsid w:val="734939BC"/>
    <w:rsid w:val="73FF4FB0"/>
    <w:rsid w:val="74006FC9"/>
    <w:rsid w:val="7443269E"/>
    <w:rsid w:val="7471467F"/>
    <w:rsid w:val="74C740DC"/>
    <w:rsid w:val="75C27622"/>
    <w:rsid w:val="76323D66"/>
    <w:rsid w:val="76CB2669"/>
    <w:rsid w:val="76CB3AC4"/>
    <w:rsid w:val="772309A1"/>
    <w:rsid w:val="77530EB6"/>
    <w:rsid w:val="775D2AA1"/>
    <w:rsid w:val="77706BE3"/>
    <w:rsid w:val="77A33638"/>
    <w:rsid w:val="7826607A"/>
    <w:rsid w:val="782A3662"/>
    <w:rsid w:val="78346A52"/>
    <w:rsid w:val="785721B0"/>
    <w:rsid w:val="788D434B"/>
    <w:rsid w:val="78AE2694"/>
    <w:rsid w:val="78E4198D"/>
    <w:rsid w:val="792B6137"/>
    <w:rsid w:val="797906C6"/>
    <w:rsid w:val="79C773E8"/>
    <w:rsid w:val="79FA27C6"/>
    <w:rsid w:val="7A1671C7"/>
    <w:rsid w:val="7AA20C15"/>
    <w:rsid w:val="7AC74194"/>
    <w:rsid w:val="7B305E9E"/>
    <w:rsid w:val="7C031876"/>
    <w:rsid w:val="7CC55E61"/>
    <w:rsid w:val="7D070B44"/>
    <w:rsid w:val="7D7E45E8"/>
    <w:rsid w:val="7DB3663A"/>
    <w:rsid w:val="7DEA5ABB"/>
    <w:rsid w:val="7E317FCB"/>
    <w:rsid w:val="7E936AE5"/>
    <w:rsid w:val="7ED4410A"/>
    <w:rsid w:val="7F50176F"/>
    <w:rsid w:val="7FD402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宋体"/>
      <w:b/>
      <w:kern w:val="0"/>
      <w:sz w:val="28"/>
      <w:szCs w:val="20"/>
    </w:rPr>
  </w:style>
  <w:style w:type="paragraph" w:styleId="4">
    <w:name w:val="heading 3"/>
    <w:basedOn w:val="1"/>
    <w:next w:val="5"/>
    <w:qFormat/>
    <w:uiPriority w:val="0"/>
    <w:pPr>
      <w:keepNext/>
      <w:keepLines/>
      <w:autoSpaceDE w:val="0"/>
      <w:autoSpaceDN w:val="0"/>
      <w:adjustRightInd w:val="0"/>
      <w:spacing w:before="100" w:after="100"/>
      <w:jc w:val="left"/>
      <w:outlineLvl w:val="2"/>
    </w:pPr>
    <w:rPr>
      <w:rFonts w:ascii="宋体" w:hAnsi="宋体" w:eastAsia="宋体"/>
      <w:b/>
      <w:kern w:val="0"/>
      <w:sz w:val="24"/>
      <w:szCs w:val="20"/>
      <w:u w:val="single"/>
    </w:rPr>
  </w:style>
  <w:style w:type="paragraph" w:styleId="6">
    <w:name w:val="heading 4"/>
    <w:basedOn w:val="1"/>
    <w:next w:val="1"/>
    <w:link w:val="39"/>
    <w:qFormat/>
    <w:uiPriority w:val="99"/>
    <w:pPr>
      <w:keepNext/>
      <w:keepLines/>
      <w:spacing w:before="280" w:after="290" w:line="376" w:lineRule="auto"/>
      <w:outlineLvl w:val="3"/>
    </w:pPr>
    <w:rPr>
      <w:rFonts w:ascii="Cambria" w:hAnsi="Cambria"/>
      <w:b/>
      <w:bCs/>
      <w:sz w:val="28"/>
      <w:szCs w:val="28"/>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toc 7"/>
    <w:basedOn w:val="1"/>
    <w:next w:val="1"/>
    <w:unhideWhenUsed/>
    <w:qFormat/>
    <w:uiPriority w:val="39"/>
    <w:pPr>
      <w:ind w:left="2520" w:leftChars="1200"/>
    </w:pPr>
    <w:rPr>
      <w:rFonts w:ascii="Calibri" w:hAnsi="Calibri"/>
      <w:szCs w:val="22"/>
    </w:rPr>
  </w:style>
  <w:style w:type="paragraph" w:styleId="8">
    <w:name w:val="annotation text"/>
    <w:basedOn w:val="1"/>
    <w:link w:val="40"/>
    <w:unhideWhenUsed/>
    <w:qFormat/>
    <w:uiPriority w:val="0"/>
    <w:pPr>
      <w:jc w:val="left"/>
    </w:pPr>
  </w:style>
  <w:style w:type="paragraph" w:styleId="9">
    <w:name w:val="Body Text"/>
    <w:basedOn w:val="1"/>
    <w:next w:val="10"/>
    <w:link w:val="41"/>
    <w:qFormat/>
    <w:uiPriority w:val="0"/>
    <w:pPr>
      <w:tabs>
        <w:tab w:val="left" w:pos="567"/>
      </w:tabs>
      <w:spacing w:before="120" w:line="22" w:lineRule="atLeast"/>
    </w:pPr>
    <w:rPr>
      <w:rFonts w:ascii="宋体" w:hAnsi="宋体"/>
      <w:sz w:val="24"/>
    </w:rPr>
  </w:style>
  <w:style w:type="paragraph" w:styleId="10">
    <w:name w:val="Subtitle"/>
    <w:basedOn w:val="1"/>
    <w:next w:val="1"/>
    <w:qFormat/>
    <w:uiPriority w:val="0"/>
    <w:pPr>
      <w:spacing w:before="240" w:after="60" w:line="312" w:lineRule="auto"/>
      <w:ind w:left="200" w:leftChars="200" w:firstLine="200" w:firstLineChars="200"/>
      <w:jc w:val="center"/>
      <w:outlineLvl w:val="1"/>
    </w:pPr>
    <w:rPr>
      <w:rFonts w:ascii="Times New Roman" w:hAnsi="Times New Roman" w:cs="Times New Roman"/>
      <w:b/>
      <w:bCs/>
      <w:kern w:val="28"/>
      <w:sz w:val="20"/>
      <w:szCs w:val="32"/>
    </w:rPr>
  </w:style>
  <w:style w:type="paragraph" w:styleId="11">
    <w:name w:val="Body Text Indent"/>
    <w:basedOn w:val="1"/>
    <w:qFormat/>
    <w:uiPriority w:val="0"/>
    <w:pPr>
      <w:spacing w:line="540" w:lineRule="exact"/>
      <w:ind w:firstLine="200" w:firstLineChars="200"/>
    </w:pPr>
    <w:rPr>
      <w:sz w:val="24"/>
    </w:rPr>
  </w:style>
  <w:style w:type="paragraph" w:styleId="12">
    <w:name w:val="index 4"/>
    <w:basedOn w:val="1"/>
    <w:next w:val="1"/>
    <w:qFormat/>
    <w:uiPriority w:val="99"/>
    <w:pPr>
      <w:ind w:left="600" w:leftChars="600"/>
    </w:pPr>
  </w:style>
  <w:style w:type="paragraph" w:styleId="13">
    <w:name w:val="toc 5"/>
    <w:basedOn w:val="1"/>
    <w:next w:val="1"/>
    <w:unhideWhenUsed/>
    <w:qFormat/>
    <w:uiPriority w:val="39"/>
    <w:pPr>
      <w:ind w:left="1680" w:leftChars="800"/>
    </w:pPr>
    <w:rPr>
      <w:rFonts w:ascii="Calibri" w:hAnsi="Calibri"/>
      <w:szCs w:val="22"/>
    </w:rPr>
  </w:style>
  <w:style w:type="paragraph" w:styleId="14">
    <w:name w:val="toc 3"/>
    <w:basedOn w:val="1"/>
    <w:next w:val="1"/>
    <w:qFormat/>
    <w:uiPriority w:val="39"/>
    <w:pPr>
      <w:tabs>
        <w:tab w:val="left" w:pos="1260"/>
        <w:tab w:val="right" w:leader="dot" w:pos="8630"/>
      </w:tabs>
      <w:ind w:left="840" w:leftChars="400"/>
    </w:pPr>
  </w:style>
  <w:style w:type="paragraph" w:styleId="15">
    <w:name w:val="Plain Text"/>
    <w:basedOn w:val="1"/>
    <w:link w:val="42"/>
    <w:qFormat/>
    <w:uiPriority w:val="0"/>
    <w:rPr>
      <w:rFonts w:ascii="宋体" w:hAnsi="Courier New"/>
      <w:szCs w:val="20"/>
    </w:rPr>
  </w:style>
  <w:style w:type="paragraph" w:styleId="16">
    <w:name w:val="toc 8"/>
    <w:basedOn w:val="1"/>
    <w:next w:val="1"/>
    <w:unhideWhenUsed/>
    <w:qFormat/>
    <w:uiPriority w:val="39"/>
    <w:pPr>
      <w:ind w:left="2940" w:leftChars="1400"/>
    </w:pPr>
    <w:rPr>
      <w:rFonts w:ascii="Calibri" w:hAnsi="Calibri"/>
      <w:szCs w:val="22"/>
    </w:rPr>
  </w:style>
  <w:style w:type="paragraph" w:styleId="17">
    <w:name w:val="Balloon Text"/>
    <w:basedOn w:val="1"/>
    <w:link w:val="43"/>
    <w:qFormat/>
    <w:uiPriority w:val="0"/>
    <w:rPr>
      <w:sz w:val="18"/>
      <w:szCs w:val="18"/>
    </w:rPr>
  </w:style>
  <w:style w:type="paragraph" w:styleId="18">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style>
  <w:style w:type="paragraph" w:styleId="21">
    <w:name w:val="toc 4"/>
    <w:basedOn w:val="1"/>
    <w:next w:val="1"/>
    <w:unhideWhenUsed/>
    <w:qFormat/>
    <w:uiPriority w:val="39"/>
    <w:pPr>
      <w:ind w:left="1260" w:leftChars="600"/>
    </w:pPr>
    <w:rPr>
      <w:rFonts w:ascii="Calibri" w:hAnsi="Calibri"/>
      <w:szCs w:val="22"/>
    </w:rPr>
  </w:style>
  <w:style w:type="paragraph" w:styleId="22">
    <w:name w:val="toc 6"/>
    <w:basedOn w:val="1"/>
    <w:next w:val="1"/>
    <w:unhideWhenUsed/>
    <w:qFormat/>
    <w:uiPriority w:val="39"/>
    <w:pPr>
      <w:ind w:left="2100" w:leftChars="1000"/>
    </w:pPr>
    <w:rPr>
      <w:rFonts w:ascii="Calibri" w:hAnsi="Calibri"/>
      <w:szCs w:val="22"/>
    </w:rPr>
  </w:style>
  <w:style w:type="paragraph" w:styleId="23">
    <w:name w:val="toc 2"/>
    <w:basedOn w:val="1"/>
    <w:next w:val="1"/>
    <w:qFormat/>
    <w:uiPriority w:val="39"/>
    <w:pPr>
      <w:ind w:left="420" w:leftChars="200"/>
    </w:pPr>
  </w:style>
  <w:style w:type="paragraph" w:styleId="24">
    <w:name w:val="toc 9"/>
    <w:basedOn w:val="1"/>
    <w:next w:val="1"/>
    <w:unhideWhenUsed/>
    <w:qFormat/>
    <w:uiPriority w:val="39"/>
    <w:pPr>
      <w:ind w:left="3360" w:leftChars="1600"/>
    </w:pPr>
    <w:rPr>
      <w:rFonts w:ascii="Calibri" w:hAnsi="Calibri"/>
      <w:szCs w:val="22"/>
    </w:rPr>
  </w:style>
  <w:style w:type="paragraph" w:styleId="25">
    <w:name w:val="Normal (Web)"/>
    <w:basedOn w:val="1"/>
    <w:qFormat/>
    <w:uiPriority w:val="0"/>
    <w:pPr>
      <w:spacing w:before="100" w:beforeAutospacing="1" w:after="100" w:afterAutospacing="1"/>
      <w:jc w:val="left"/>
    </w:pPr>
    <w:rPr>
      <w:kern w:val="0"/>
      <w:sz w:val="24"/>
    </w:rPr>
  </w:style>
  <w:style w:type="paragraph" w:styleId="26">
    <w:name w:val="annotation subject"/>
    <w:basedOn w:val="8"/>
    <w:next w:val="8"/>
    <w:link w:val="44"/>
    <w:unhideWhenUsed/>
    <w:qFormat/>
    <w:uiPriority w:val="0"/>
    <w:rPr>
      <w:b/>
      <w:bCs/>
    </w:rPr>
  </w:style>
  <w:style w:type="paragraph" w:styleId="27">
    <w:name w:val="Body Text First Indent"/>
    <w:basedOn w:val="9"/>
    <w:link w:val="45"/>
    <w:qFormat/>
    <w:uiPriority w:val="0"/>
    <w:pPr>
      <w:tabs>
        <w:tab w:val="clear" w:pos="567"/>
      </w:tabs>
      <w:spacing w:before="0" w:after="120" w:line="240" w:lineRule="auto"/>
      <w:ind w:firstLine="420" w:firstLineChars="100"/>
    </w:pPr>
    <w:rPr>
      <w:sz w:val="21"/>
    </w:rPr>
  </w:style>
  <w:style w:type="paragraph" w:styleId="28">
    <w:name w:val="Body Text First Indent 2"/>
    <w:basedOn w:val="11"/>
    <w:next w:val="1"/>
    <w:qFormat/>
    <w:uiPriority w:val="0"/>
    <w:pPr>
      <w:spacing w:after="120" w:line="240" w:lineRule="auto"/>
      <w:ind w:left="200" w:leftChars="200" w:firstLine="100" w:firstLineChars="100"/>
      <w:jc w:val="left"/>
    </w:pPr>
    <w:rPr>
      <w:rFonts w:ascii="DFKai-SB" w:hAnsi="DFKai-SB" w:eastAsia="DFKai-SB"/>
      <w:spacing w:val="-8"/>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0"/>
    <w:rPr>
      <w:rFonts w:ascii="Times New Roman" w:hAnsi="Times New Roman" w:eastAsia="宋体" w:cs="Times New Roman"/>
      <w:b/>
    </w:rPr>
  </w:style>
  <w:style w:type="character" w:styleId="33">
    <w:name w:val="page number"/>
    <w:qFormat/>
    <w:uiPriority w:val="0"/>
  </w:style>
  <w:style w:type="character" w:styleId="34">
    <w:name w:val="FollowedHyperlink"/>
    <w:unhideWhenUsed/>
    <w:qFormat/>
    <w:uiPriority w:val="99"/>
    <w:rPr>
      <w:color w:val="954F72"/>
      <w:u w:val="single"/>
    </w:rPr>
  </w:style>
  <w:style w:type="character" w:styleId="35">
    <w:name w:val="Hyperlink"/>
    <w:qFormat/>
    <w:uiPriority w:val="99"/>
    <w:rPr>
      <w:color w:val="333333"/>
      <w:u w:val="none"/>
    </w:rPr>
  </w:style>
  <w:style w:type="character" w:styleId="36">
    <w:name w:val="annotation reference"/>
    <w:unhideWhenUsed/>
    <w:qFormat/>
    <w:uiPriority w:val="0"/>
    <w:rPr>
      <w:sz w:val="21"/>
      <w:szCs w:val="21"/>
    </w:rPr>
  </w:style>
  <w:style w:type="paragraph" w:customStyle="1" w:styleId="3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8">
    <w:name w:val="标题 1 字符"/>
    <w:link w:val="2"/>
    <w:qFormat/>
    <w:uiPriority w:val="0"/>
    <w:rPr>
      <w:rFonts w:ascii="宋体"/>
      <w:b/>
      <w:kern w:val="44"/>
      <w:sz w:val="32"/>
    </w:rPr>
  </w:style>
  <w:style w:type="character" w:customStyle="1" w:styleId="39">
    <w:name w:val="标题 4 字符"/>
    <w:link w:val="6"/>
    <w:qFormat/>
    <w:uiPriority w:val="99"/>
    <w:rPr>
      <w:rFonts w:ascii="Cambria" w:hAnsi="Cambria" w:cs="Cambria"/>
      <w:b/>
      <w:bCs/>
      <w:kern w:val="2"/>
      <w:sz w:val="28"/>
      <w:szCs w:val="28"/>
    </w:rPr>
  </w:style>
  <w:style w:type="character" w:customStyle="1" w:styleId="40">
    <w:name w:val="批注文字 字符"/>
    <w:link w:val="8"/>
    <w:qFormat/>
    <w:uiPriority w:val="0"/>
    <w:rPr>
      <w:kern w:val="2"/>
      <w:sz w:val="21"/>
      <w:szCs w:val="24"/>
    </w:rPr>
  </w:style>
  <w:style w:type="character" w:customStyle="1" w:styleId="41">
    <w:name w:val="正文文本 字符"/>
    <w:link w:val="9"/>
    <w:qFormat/>
    <w:uiPriority w:val="0"/>
    <w:rPr>
      <w:rFonts w:ascii="宋体" w:hAnsi="宋体"/>
      <w:kern w:val="2"/>
      <w:sz w:val="24"/>
      <w:szCs w:val="24"/>
    </w:rPr>
  </w:style>
  <w:style w:type="character" w:customStyle="1" w:styleId="42">
    <w:name w:val="纯文本 字符"/>
    <w:link w:val="15"/>
    <w:qFormat/>
    <w:uiPriority w:val="0"/>
    <w:rPr>
      <w:rFonts w:ascii="宋体" w:hAnsi="Courier New"/>
      <w:kern w:val="2"/>
      <w:sz w:val="21"/>
    </w:rPr>
  </w:style>
  <w:style w:type="character" w:customStyle="1" w:styleId="43">
    <w:name w:val="批注框文本 字符"/>
    <w:link w:val="17"/>
    <w:qFormat/>
    <w:uiPriority w:val="0"/>
    <w:rPr>
      <w:kern w:val="2"/>
      <w:sz w:val="18"/>
      <w:szCs w:val="18"/>
    </w:rPr>
  </w:style>
  <w:style w:type="character" w:customStyle="1" w:styleId="44">
    <w:name w:val="批注主题 字符"/>
    <w:link w:val="26"/>
    <w:semiHidden/>
    <w:qFormat/>
    <w:uiPriority w:val="0"/>
    <w:rPr>
      <w:b/>
      <w:bCs/>
      <w:kern w:val="2"/>
      <w:sz w:val="21"/>
      <w:szCs w:val="24"/>
    </w:rPr>
  </w:style>
  <w:style w:type="character" w:customStyle="1" w:styleId="45">
    <w:name w:val="正文文本首行缩进 字符"/>
    <w:link w:val="27"/>
    <w:qFormat/>
    <w:uiPriority w:val="0"/>
    <w:rPr>
      <w:rFonts w:ascii="宋体" w:hAnsi="宋体"/>
      <w:kern w:val="2"/>
      <w:sz w:val="21"/>
      <w:szCs w:val="24"/>
    </w:rPr>
  </w:style>
  <w:style w:type="paragraph" w:styleId="46">
    <w:name w:val="List Paragraph"/>
    <w:basedOn w:val="1"/>
    <w:qFormat/>
    <w:uiPriority w:val="1"/>
    <w:pPr>
      <w:ind w:left="960" w:firstLine="480"/>
    </w:pPr>
  </w:style>
  <w:style w:type="character" w:customStyle="1" w:styleId="47">
    <w:name w:val="fontstyle01"/>
    <w:qFormat/>
    <w:uiPriority w:val="0"/>
    <w:rPr>
      <w:rFonts w:hint="eastAsia" w:ascii="宋体" w:hAnsi="宋体" w:eastAsia="宋体"/>
      <w:color w:val="000000"/>
      <w:sz w:val="22"/>
      <w:szCs w:val="22"/>
    </w:rPr>
  </w:style>
  <w:style w:type="character" w:customStyle="1" w:styleId="48">
    <w:name w:val="正文缩进 Char1"/>
    <w:link w:val="49"/>
    <w:qFormat/>
    <w:uiPriority w:val="0"/>
    <w:rPr>
      <w:rFonts w:ascii="宋体"/>
      <w:sz w:val="24"/>
    </w:rPr>
  </w:style>
  <w:style w:type="paragraph" w:customStyle="1" w:styleId="49">
    <w:name w:val="正文缩进1"/>
    <w:basedOn w:val="1"/>
    <w:link w:val="48"/>
    <w:qFormat/>
    <w:uiPriority w:val="0"/>
    <w:pPr>
      <w:autoSpaceDE w:val="0"/>
      <w:autoSpaceDN w:val="0"/>
      <w:adjustRightInd w:val="0"/>
      <w:ind w:firstLine="420"/>
      <w:jc w:val="left"/>
    </w:pPr>
    <w:rPr>
      <w:rFonts w:ascii="宋体"/>
      <w:kern w:val="0"/>
      <w:sz w:val="24"/>
      <w:szCs w:val="20"/>
    </w:rPr>
  </w:style>
  <w:style w:type="paragraph" w:customStyle="1" w:styleId="50">
    <w:name w:val="_Style 37"/>
    <w:basedOn w:val="2"/>
    <w:next w:val="1"/>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1">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2">
    <w:name w:val="列出段落1"/>
    <w:basedOn w:val="1"/>
    <w:unhideWhenUsed/>
    <w:qFormat/>
    <w:uiPriority w:val="99"/>
    <w:pPr>
      <w:ind w:firstLine="420" w:firstLineChars="200"/>
    </w:pPr>
  </w:style>
  <w:style w:type="paragraph" w:customStyle="1" w:styleId="53">
    <w:name w:val="xl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3"/>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5">
    <w:name w:val="xl72"/>
    <w:basedOn w:val="1"/>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6">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6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8">
    <w:name w:val="xl74"/>
    <w:basedOn w:val="1"/>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9">
    <w:name w:val="xl67"/>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0">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1">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2">
    <w:name w:val="font5"/>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3">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4">
    <w:name w:val="xl68"/>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5">
    <w:name w:val="Table Paragraph"/>
    <w:basedOn w:val="1"/>
    <w:qFormat/>
    <w:uiPriority w:val="1"/>
  </w:style>
  <w:style w:type="paragraph" w:customStyle="1" w:styleId="66">
    <w:name w:val="WPSOffice手动目录 1"/>
    <w:qFormat/>
    <w:uiPriority w:val="0"/>
    <w:rPr>
      <w:rFonts w:ascii="Times New Roman" w:hAnsi="Times New Roman" w:eastAsia="宋体" w:cs="Times New Roman"/>
      <w:lang w:val="en-US" w:eastAsia="zh-CN" w:bidi="ar-SA"/>
    </w:rPr>
  </w:style>
  <w:style w:type="paragraph" w:customStyle="1" w:styleId="67">
    <w:name w:val="WPSOffice手动目录 2"/>
    <w:qFormat/>
    <w:uiPriority w:val="0"/>
    <w:pPr>
      <w:ind w:leftChars="200"/>
    </w:pPr>
    <w:rPr>
      <w:rFonts w:ascii="Times New Roman" w:hAnsi="Times New Roman" w:eastAsia="宋体" w:cs="Times New Roman"/>
      <w:lang w:val="en-US" w:eastAsia="zh-CN" w:bidi="ar-SA"/>
    </w:rPr>
  </w:style>
  <w:style w:type="paragraph" w:customStyle="1" w:styleId="68">
    <w:name w:val="WPSOffice手动目录 3"/>
    <w:qFormat/>
    <w:uiPriority w:val="0"/>
    <w:pPr>
      <w:ind w:leftChars="400"/>
    </w:pPr>
    <w:rPr>
      <w:rFonts w:ascii="Times New Roman" w:hAnsi="Times New Roman" w:eastAsia="宋体" w:cs="Times New Roman"/>
      <w:lang w:val="en-US" w:eastAsia="zh-CN" w:bidi="ar-SA"/>
    </w:rPr>
  </w:style>
  <w:style w:type="paragraph" w:customStyle="1" w:styleId="69">
    <w:name w:val="_Style 32"/>
    <w:basedOn w:val="1"/>
    <w:next w:val="1"/>
    <w:qFormat/>
    <w:uiPriority w:val="34"/>
    <w:pPr>
      <w:widowControl/>
      <w:ind w:firstLine="420" w:firstLineChars="200"/>
      <w:jc w:val="left"/>
    </w:pPr>
    <w:rPr>
      <w:rFonts w:ascii="Times New Roman" w:hAnsi="Times New Roman"/>
      <w:kern w:val="0"/>
      <w:sz w:val="24"/>
    </w:rPr>
  </w:style>
  <w:style w:type="character" w:customStyle="1" w:styleId="70">
    <w:name w:val="font21"/>
    <w:basedOn w:val="31"/>
    <w:qFormat/>
    <w:uiPriority w:val="0"/>
    <w:rPr>
      <w:rFonts w:hint="default" w:ascii="Times New Roman" w:hAnsi="Times New Roman" w:cs="Times New Roman"/>
      <w:color w:val="000000"/>
      <w:sz w:val="20"/>
      <w:szCs w:val="20"/>
      <w:u w:val="none"/>
    </w:rPr>
  </w:style>
  <w:style w:type="character" w:customStyle="1" w:styleId="71">
    <w:name w:val="font11"/>
    <w:basedOn w:val="31"/>
    <w:qFormat/>
    <w:uiPriority w:val="0"/>
    <w:rPr>
      <w:rFonts w:hint="eastAsia" w:ascii="宋体" w:hAnsi="宋体" w:eastAsia="宋体" w:cs="宋体"/>
      <w:color w:val="000000"/>
      <w:sz w:val="20"/>
      <w:szCs w:val="20"/>
      <w:u w:val="none"/>
    </w:rPr>
  </w:style>
  <w:style w:type="paragraph" w:customStyle="1" w:styleId="72">
    <w:name w:val="List Paragraph1"/>
    <w:basedOn w:val="1"/>
    <w:qFormat/>
    <w:uiPriority w:val="99"/>
    <w:pPr>
      <w:ind w:firstLine="420" w:firstLineChars="200"/>
    </w:pPr>
    <w:rPr>
      <w:sz w:val="22"/>
      <w:szCs w:val="20"/>
    </w:rPr>
  </w:style>
  <w:style w:type="paragraph" w:customStyle="1" w:styleId="73">
    <w:name w:val="Body text|1"/>
    <w:basedOn w:val="1"/>
    <w:qFormat/>
    <w:uiPriority w:val="0"/>
    <w:pPr>
      <w:spacing w:line="415" w:lineRule="auto"/>
      <w:ind w:firstLine="400"/>
    </w:pPr>
    <w:rPr>
      <w:rFonts w:ascii="宋体" w:hAnsi="宋体" w:eastAsia="宋体" w:cs="宋体"/>
      <w:sz w:val="22"/>
      <w:szCs w:val="22"/>
      <w:lang w:val="zh-TW" w:eastAsia="zh-TW" w:bidi="zh-TW"/>
    </w:rPr>
  </w:style>
  <w:style w:type="paragraph" w:customStyle="1" w:styleId="74">
    <w:name w:val="Other|1"/>
    <w:basedOn w:val="1"/>
    <w:qFormat/>
    <w:uiPriority w:val="0"/>
    <w:pPr>
      <w:spacing w:line="415" w:lineRule="auto"/>
      <w:ind w:firstLine="400"/>
    </w:pPr>
    <w:rPr>
      <w:rFonts w:ascii="宋体" w:hAnsi="宋体" w:eastAsia="宋体" w:cs="宋体"/>
      <w:sz w:val="22"/>
      <w:szCs w:val="22"/>
      <w:lang w:val="zh-TW" w:eastAsia="zh-TW" w:bidi="zh-TW"/>
    </w:rPr>
  </w:style>
  <w:style w:type="table" w:customStyle="1" w:styleId="75">
    <w:name w:val="Table Normal"/>
    <w:semiHidden/>
    <w:unhideWhenUsed/>
    <w:qFormat/>
    <w:uiPriority w:val="0"/>
    <w:tblPr>
      <w:tblCellMar>
        <w:top w:w="0" w:type="dxa"/>
        <w:left w:w="0" w:type="dxa"/>
        <w:bottom w:w="0" w:type="dxa"/>
        <w:right w:w="0" w:type="dxa"/>
      </w:tblCellMar>
    </w:tblPr>
  </w:style>
  <w:style w:type="paragraph" w:customStyle="1" w:styleId="76">
    <w:name w:val="Fließtext"/>
    <w:basedOn w:val="1"/>
    <w:qFormat/>
    <w:uiPriority w:val="0"/>
    <w:pPr>
      <w:overflowPunct w:val="0"/>
      <w:autoSpaceDE w:val="0"/>
      <w:autoSpaceDN w:val="0"/>
      <w:adjustRightInd w:val="0"/>
      <w:textAlignment w:val="baseline"/>
    </w:pPr>
    <w:rPr>
      <w:kern w:val="28"/>
      <w:szCs w:val="20"/>
    </w:rPr>
  </w:style>
  <w:style w:type="character" w:customStyle="1" w:styleId="77">
    <w:name w:val="font61"/>
    <w:basedOn w:val="31"/>
    <w:qFormat/>
    <w:uiPriority w:val="0"/>
    <w:rPr>
      <w:rFonts w:ascii="Symbol" w:hAnsi="Symbol" w:cs="Symbol"/>
      <w:color w:val="000000"/>
      <w:sz w:val="18"/>
      <w:szCs w:val="18"/>
      <w:u w:val="none"/>
    </w:rPr>
  </w:style>
  <w:style w:type="paragraph" w:customStyle="1" w:styleId="78">
    <w:name w:val="首行缩进"/>
    <w:basedOn w:val="1"/>
    <w:qFormat/>
    <w:uiPriority w:val="0"/>
    <w:pPr>
      <w:spacing w:line="360" w:lineRule="auto"/>
      <w:ind w:firstLine="480"/>
    </w:pPr>
    <w:rPr>
      <w:rFonts w:hint="eastAsia" w:ascii="宋体" w:hAnsi="宋体"/>
      <w:color w:val="000000"/>
      <w:kern w:val="0"/>
      <w:sz w:val="24"/>
    </w:rPr>
  </w:style>
  <w:style w:type="character" w:customStyle="1" w:styleId="79">
    <w:name w:val="font91"/>
    <w:basedOn w:val="31"/>
    <w:qFormat/>
    <w:uiPriority w:val="0"/>
    <w:rPr>
      <w:rFonts w:hint="eastAsia" w:ascii="宋体" w:hAnsi="宋体" w:eastAsia="宋体" w:cs="宋体"/>
      <w:color w:val="FF0000"/>
      <w:sz w:val="18"/>
      <w:szCs w:val="18"/>
      <w:u w:val="none"/>
    </w:rPr>
  </w:style>
  <w:style w:type="character" w:customStyle="1" w:styleId="80">
    <w:name w:val="font251"/>
    <w:basedOn w:val="31"/>
    <w:qFormat/>
    <w:uiPriority w:val="0"/>
    <w:rPr>
      <w:rFonts w:hint="default" w:ascii="Arial" w:hAnsi="Arial" w:cs="Arial"/>
      <w:color w:val="FF0000"/>
      <w:sz w:val="18"/>
      <w:szCs w:val="18"/>
      <w:u w:val="none"/>
    </w:rPr>
  </w:style>
  <w:style w:type="character" w:customStyle="1" w:styleId="81">
    <w:name w:val="font141"/>
    <w:basedOn w:val="31"/>
    <w:qFormat/>
    <w:uiPriority w:val="0"/>
    <w:rPr>
      <w:rFonts w:hint="default" w:ascii="Times New Roman" w:hAnsi="Times New Roman" w:cs="Times New Roman"/>
      <w:color w:val="FF0000"/>
      <w:sz w:val="20"/>
      <w:szCs w:val="20"/>
      <w:u w:val="none"/>
    </w:rPr>
  </w:style>
  <w:style w:type="character" w:customStyle="1" w:styleId="82">
    <w:name w:val="font121"/>
    <w:basedOn w:val="31"/>
    <w:qFormat/>
    <w:uiPriority w:val="0"/>
    <w:rPr>
      <w:rFonts w:hint="eastAsia" w:ascii="宋体" w:hAnsi="宋体" w:eastAsia="宋体" w:cs="宋体"/>
      <w:color w:val="FF0000"/>
      <w:sz w:val="20"/>
      <w:szCs w:val="20"/>
      <w:u w:val="none"/>
    </w:rPr>
  </w:style>
  <w:style w:type="character" w:customStyle="1" w:styleId="83">
    <w:name w:val="font51"/>
    <w:basedOn w:val="31"/>
    <w:qFormat/>
    <w:uiPriority w:val="0"/>
    <w:rPr>
      <w:rFonts w:hint="eastAsia" w:ascii="宋体" w:hAnsi="宋体" w:eastAsia="宋体" w:cs="宋体"/>
      <w:color w:val="000000"/>
      <w:sz w:val="20"/>
      <w:szCs w:val="20"/>
      <w:u w:val="none"/>
    </w:rPr>
  </w:style>
  <w:style w:type="character" w:customStyle="1" w:styleId="84">
    <w:name w:val="font281"/>
    <w:basedOn w:val="31"/>
    <w:qFormat/>
    <w:uiPriority w:val="0"/>
    <w:rPr>
      <w:rFonts w:hint="eastAsia" w:ascii="宋体" w:hAnsi="宋体" w:eastAsia="宋体" w:cs="宋体"/>
      <w:color w:val="000000"/>
      <w:sz w:val="20"/>
      <w:szCs w:val="20"/>
      <w:u w:val="none"/>
    </w:rPr>
  </w:style>
  <w:style w:type="character" w:customStyle="1" w:styleId="85">
    <w:name w:val="font131"/>
    <w:basedOn w:val="31"/>
    <w:qFormat/>
    <w:uiPriority w:val="0"/>
    <w:rPr>
      <w:rFonts w:hint="default" w:ascii="Times New Roman" w:hAnsi="Times New Roman" w:cs="Times New Roman"/>
      <w:color w:val="FF0000"/>
      <w:sz w:val="20"/>
      <w:szCs w:val="20"/>
      <w:u w:val="none"/>
    </w:rPr>
  </w:style>
  <w:style w:type="character" w:customStyle="1" w:styleId="86">
    <w:name w:val="font112"/>
    <w:basedOn w:val="31"/>
    <w:qFormat/>
    <w:uiPriority w:val="0"/>
    <w:rPr>
      <w:rFonts w:hint="eastAsia" w:ascii="宋体" w:hAnsi="宋体" w:eastAsia="宋体" w:cs="宋体"/>
      <w:color w:val="FF0000"/>
      <w:sz w:val="20"/>
      <w:szCs w:val="20"/>
      <w:u w:val="none"/>
    </w:rPr>
  </w:style>
  <w:style w:type="character" w:customStyle="1" w:styleId="87">
    <w:name w:val="font41"/>
    <w:basedOn w:val="31"/>
    <w:qFormat/>
    <w:uiPriority w:val="0"/>
    <w:rPr>
      <w:rFonts w:hint="default" w:ascii="Times New Roman" w:hAnsi="Times New Roman" w:cs="Times New Roman"/>
      <w:color w:val="FF0000"/>
      <w:sz w:val="20"/>
      <w:szCs w:val="20"/>
      <w:u w:val="none"/>
    </w:rPr>
  </w:style>
  <w:style w:type="character" w:customStyle="1" w:styleId="88">
    <w:name w:val="font31"/>
    <w:basedOn w:val="31"/>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沂蒙国际招标有限公司</Company>
  <Pages>91</Pages>
  <Words>46217</Words>
  <Characters>50378</Characters>
  <Lines>213</Lines>
  <Paragraphs>60</Paragraphs>
  <TotalTime>83</TotalTime>
  <ScaleCrop>false</ScaleCrop>
  <LinksUpToDate>false</LinksUpToDate>
  <CharactersWithSpaces>51928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申振</cp:lastModifiedBy>
  <cp:lastPrinted>2021-04-08T02:50:00Z</cp:lastPrinted>
  <dcterms:modified xsi:type="dcterms:W3CDTF">2024-08-27T08:02:20Z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273636A0D1E6461589705079133314CD_13</vt:lpwstr>
  </property>
  <property fmtid="{D5CDD505-2E9C-101B-9397-08002B2CF9AE}" pid="4" name="commondata">
    <vt:lpwstr>eyJoZGlkIjoiYTI4ZDhhM2MxYzllZDkwOTY2MGMwZTkyMGZjMWQ3ODYifQ==</vt:lpwstr>
  </property>
</Properties>
</file>