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right"/>
        <w:rPr>
          <w:rFonts w:hint="default" w:ascii="宋体" w:hAnsi="宋体" w:eastAsia="宋体" w:cs="宋体"/>
          <w:color w:val="auto"/>
          <w:highlight w:val="none"/>
          <w:lang w:val="en-US" w:eastAsia="zh-CN"/>
        </w:rPr>
      </w:pPr>
      <w:r>
        <w:rPr>
          <w:rFonts w:hint="eastAsia" w:ascii="宋体" w:hAnsi="宋体" w:cs="宋体"/>
          <w:color w:val="auto"/>
          <w:highlight w:val="none"/>
          <w:lang w:val="en-US" w:eastAsia="zh-CN"/>
        </w:rPr>
        <w:t>本项目为预采购项目，</w:t>
      </w:r>
      <w:r>
        <w:rPr>
          <w:rFonts w:hint="eastAsia" w:ascii="宋体" w:hAnsi="宋体" w:eastAsia="宋体" w:cs="宋体"/>
          <w:color w:val="auto"/>
          <w:sz w:val="24"/>
          <w:highlight w:val="none"/>
        </w:rPr>
        <w:t>有取消和终止采购的可能</w:t>
      </w:r>
    </w:p>
    <w:p>
      <w:pPr>
        <w:spacing w:line="240" w:lineRule="atLeast"/>
        <w:ind w:left="1080" w:leftChars="257" w:hanging="540"/>
        <w:jc w:val="center"/>
        <w:rPr>
          <w:rFonts w:hint="eastAsia" w:ascii="宋体" w:hAnsi="宋体" w:eastAsia="宋体" w:cs="宋体"/>
          <w:b/>
          <w:color w:val="auto"/>
          <w:sz w:val="52"/>
          <w:szCs w:val="52"/>
          <w:highlight w:val="none"/>
        </w:rPr>
      </w:pPr>
    </w:p>
    <w:p>
      <w:pPr>
        <w:spacing w:line="240" w:lineRule="atLeast"/>
        <w:ind w:left="1080" w:leftChars="257" w:hanging="540"/>
        <w:jc w:val="center"/>
        <w:rPr>
          <w:rFonts w:hint="eastAsia" w:ascii="宋体" w:hAnsi="宋体" w:eastAsia="宋体" w:cs="宋体"/>
          <w:b/>
          <w:color w:val="auto"/>
          <w:sz w:val="52"/>
          <w:szCs w:val="52"/>
          <w:highlight w:val="none"/>
        </w:rPr>
      </w:pPr>
    </w:p>
    <w:p>
      <w:pPr>
        <w:pStyle w:val="2"/>
        <w:rPr>
          <w:rFonts w:hint="eastAsia"/>
          <w:color w:val="auto"/>
          <w:highlight w:val="none"/>
        </w:rPr>
      </w:pPr>
    </w:p>
    <w:p>
      <w:pPr>
        <w:spacing w:line="240" w:lineRule="atLeast"/>
        <w:ind w:left="1080" w:leftChars="257" w:hanging="540"/>
        <w:jc w:val="center"/>
        <w:rPr>
          <w:rFonts w:hint="eastAsia" w:ascii="宋体" w:hAnsi="宋体" w:eastAsia="宋体" w:cs="宋体"/>
          <w:b/>
          <w:bCs/>
          <w:color w:val="auto"/>
          <w:sz w:val="70"/>
          <w:szCs w:val="52"/>
          <w:highlight w:val="none"/>
        </w:rPr>
      </w:pPr>
      <w:r>
        <w:rPr>
          <w:rFonts w:hint="eastAsia" w:ascii="宋体" w:hAnsi="宋体" w:eastAsia="宋体" w:cs="宋体"/>
          <w:b/>
          <w:bCs/>
          <w:color w:val="auto"/>
          <w:sz w:val="70"/>
          <w:szCs w:val="52"/>
          <w:highlight w:val="none"/>
        </w:rPr>
        <w:t>政府采购竞争性磋商文件</w:t>
      </w:r>
    </w:p>
    <w:p>
      <w:pPr>
        <w:spacing w:line="240" w:lineRule="atLeast"/>
        <w:ind w:left="1080" w:leftChars="257" w:hanging="540"/>
        <w:jc w:val="center"/>
        <w:rPr>
          <w:rFonts w:hint="eastAsia" w:ascii="宋体" w:hAnsi="宋体" w:eastAsia="宋体" w:cs="宋体"/>
          <w:bCs/>
          <w:color w:val="auto"/>
          <w:sz w:val="32"/>
          <w:szCs w:val="32"/>
          <w:highlight w:val="none"/>
        </w:rPr>
      </w:pPr>
    </w:p>
    <w:p>
      <w:pPr>
        <w:spacing w:line="240" w:lineRule="atLeast"/>
        <w:ind w:left="1080" w:leftChars="257" w:hanging="540"/>
        <w:jc w:val="center"/>
        <w:rPr>
          <w:rFonts w:hint="eastAsia" w:ascii="宋体" w:hAnsi="宋体" w:eastAsia="宋体" w:cs="宋体"/>
          <w:b/>
          <w:color w:val="auto"/>
          <w:sz w:val="32"/>
          <w:szCs w:val="32"/>
          <w:highlight w:val="none"/>
        </w:rPr>
      </w:pPr>
    </w:p>
    <w:p>
      <w:pPr>
        <w:spacing w:line="240" w:lineRule="atLeast"/>
        <w:ind w:left="1080" w:leftChars="257" w:hanging="540"/>
        <w:rPr>
          <w:rFonts w:hint="eastAsia" w:ascii="宋体" w:hAnsi="宋体" w:eastAsia="宋体" w:cs="宋体"/>
          <w:b/>
          <w:color w:val="auto"/>
          <w:sz w:val="28"/>
          <w:highlight w:val="none"/>
        </w:rPr>
      </w:pPr>
    </w:p>
    <w:p>
      <w:pPr>
        <w:spacing w:line="240" w:lineRule="atLeast"/>
        <w:ind w:left="1080" w:leftChars="257" w:hanging="540"/>
        <w:jc w:val="cente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第一册</w:t>
      </w:r>
    </w:p>
    <w:p>
      <w:pPr>
        <w:spacing w:line="240" w:lineRule="atLeast"/>
        <w:ind w:left="1080" w:leftChars="257" w:hanging="540"/>
        <w:jc w:val="center"/>
        <w:rPr>
          <w:rFonts w:hint="eastAsia" w:ascii="宋体" w:hAnsi="宋体" w:eastAsia="宋体" w:cs="宋体"/>
          <w:b/>
          <w:color w:val="auto"/>
          <w:sz w:val="52"/>
          <w:highlight w:val="none"/>
        </w:rPr>
      </w:pPr>
    </w:p>
    <w:p>
      <w:pPr>
        <w:spacing w:line="360" w:lineRule="auto"/>
        <w:ind w:left="646" w:leftChars="200" w:hanging="226" w:hangingChars="75"/>
        <w:jc w:val="left"/>
        <w:rPr>
          <w:rFonts w:hint="eastAsia" w:ascii="宋体" w:hAnsi="宋体" w:eastAsia="宋体" w:cs="宋体"/>
          <w:b/>
          <w:color w:val="auto"/>
          <w:sz w:val="30"/>
          <w:szCs w:val="30"/>
          <w:highlight w:val="none"/>
          <w:lang w:eastAsia="zh-CN"/>
        </w:rPr>
      </w:pPr>
      <w:r>
        <w:rPr>
          <w:rFonts w:hint="eastAsia" w:ascii="宋体" w:hAnsi="宋体" w:eastAsia="宋体" w:cs="宋体"/>
          <w:b/>
          <w:color w:val="auto"/>
          <w:sz w:val="30"/>
          <w:szCs w:val="30"/>
          <w:highlight w:val="none"/>
        </w:rPr>
        <w:t>项目编号：</w:t>
      </w:r>
      <w:r>
        <w:rPr>
          <w:rFonts w:hint="eastAsia" w:ascii="宋体" w:hAnsi="宋体" w:cs="宋体"/>
          <w:b/>
          <w:color w:val="auto"/>
          <w:sz w:val="30"/>
          <w:szCs w:val="30"/>
          <w:highlight w:val="none"/>
          <w:lang w:eastAsia="zh-CN"/>
        </w:rPr>
        <w:t>SDGP370000000202402003706</w:t>
      </w:r>
    </w:p>
    <w:p>
      <w:pPr>
        <w:spacing w:line="360" w:lineRule="auto"/>
        <w:ind w:left="1794" w:leftChars="200" w:hanging="1374" w:hangingChars="475"/>
        <w:jc w:val="left"/>
        <w:rPr>
          <w:rFonts w:hint="eastAsia" w:ascii="宋体" w:hAnsi="宋体" w:eastAsia="宋体" w:cs="宋体"/>
          <w:b/>
          <w:color w:val="auto"/>
          <w:spacing w:val="-11"/>
          <w:sz w:val="30"/>
          <w:szCs w:val="30"/>
          <w:highlight w:val="none"/>
          <w:u w:val="single"/>
          <w:lang w:eastAsia="zh-CN"/>
        </w:rPr>
      </w:pPr>
      <w:r>
        <w:rPr>
          <w:rFonts w:hint="eastAsia" w:ascii="宋体" w:hAnsi="宋体" w:eastAsia="宋体" w:cs="宋体"/>
          <w:b/>
          <w:color w:val="auto"/>
          <w:spacing w:val="-6"/>
          <w:sz w:val="30"/>
          <w:szCs w:val="30"/>
          <w:highlight w:val="none"/>
        </w:rPr>
        <w:t>项目名称</w:t>
      </w:r>
      <w:r>
        <w:rPr>
          <w:rFonts w:hint="eastAsia" w:ascii="宋体" w:hAnsi="宋体" w:eastAsia="宋体" w:cs="宋体"/>
          <w:b/>
          <w:color w:val="auto"/>
          <w:spacing w:val="-6"/>
          <w:sz w:val="30"/>
          <w:szCs w:val="30"/>
          <w:highlight w:val="none"/>
          <w:lang w:eastAsia="zh-CN"/>
        </w:rPr>
        <w:t>：</w:t>
      </w:r>
      <w:r>
        <w:rPr>
          <w:rFonts w:hint="eastAsia" w:ascii="宋体" w:hAnsi="宋体" w:cs="宋体"/>
          <w:b/>
          <w:color w:val="auto"/>
          <w:spacing w:val="-11"/>
          <w:sz w:val="30"/>
          <w:szCs w:val="30"/>
          <w:highlight w:val="none"/>
          <w:lang w:eastAsia="zh-CN"/>
        </w:rPr>
        <w:t>临沂大学2024年国际交流中心维修改造家电购置预采购项目</w:t>
      </w:r>
    </w:p>
    <w:p>
      <w:pPr>
        <w:tabs>
          <w:tab w:val="left" w:pos="6156"/>
        </w:tabs>
        <w:spacing w:line="240" w:lineRule="atLeast"/>
        <w:ind w:left="1080" w:leftChars="257" w:hanging="540"/>
        <w:jc w:val="left"/>
        <w:rPr>
          <w:rFonts w:hint="eastAsia" w:ascii="宋体" w:hAnsi="宋体" w:eastAsia="宋体" w:cs="宋体"/>
          <w:b/>
          <w:color w:val="auto"/>
          <w:sz w:val="52"/>
          <w:highlight w:val="none"/>
        </w:rPr>
      </w:pPr>
      <w:r>
        <w:rPr>
          <w:rFonts w:hint="eastAsia" w:ascii="宋体" w:hAnsi="宋体" w:eastAsia="宋体" w:cs="宋体"/>
          <w:b/>
          <w:color w:val="auto"/>
          <w:sz w:val="52"/>
          <w:highlight w:val="none"/>
        </w:rPr>
        <w:tab/>
      </w:r>
    </w:p>
    <w:p>
      <w:pPr>
        <w:spacing w:line="240" w:lineRule="atLeast"/>
        <w:ind w:left="1080" w:leftChars="257" w:hanging="540"/>
        <w:jc w:val="center"/>
        <w:rPr>
          <w:rFonts w:hint="eastAsia" w:ascii="宋体" w:hAnsi="宋体" w:eastAsia="宋体" w:cs="宋体"/>
          <w:b/>
          <w:color w:val="auto"/>
          <w:sz w:val="52"/>
          <w:highlight w:val="none"/>
        </w:rPr>
      </w:pPr>
    </w:p>
    <w:p>
      <w:pPr>
        <w:spacing w:line="240" w:lineRule="atLeast"/>
        <w:ind w:left="1080" w:leftChars="257" w:hanging="540"/>
        <w:jc w:val="center"/>
        <w:rPr>
          <w:rFonts w:hint="eastAsia" w:ascii="宋体" w:hAnsi="宋体" w:eastAsia="宋体" w:cs="宋体"/>
          <w:b/>
          <w:color w:val="auto"/>
          <w:sz w:val="52"/>
          <w:highlight w:val="none"/>
        </w:rPr>
      </w:pPr>
    </w:p>
    <w:p>
      <w:pPr>
        <w:spacing w:line="240" w:lineRule="atLeast"/>
        <w:ind w:left="1080" w:leftChars="257" w:hanging="540"/>
        <w:jc w:val="center"/>
        <w:rPr>
          <w:rFonts w:hint="eastAsia" w:ascii="宋体" w:hAnsi="宋体" w:eastAsia="宋体" w:cs="宋体"/>
          <w:b/>
          <w:color w:val="auto"/>
          <w:sz w:val="52"/>
          <w:highlight w:val="none"/>
        </w:rPr>
      </w:pPr>
    </w:p>
    <w:p>
      <w:pPr>
        <w:spacing w:line="360" w:lineRule="auto"/>
        <w:ind w:firstLine="602" w:firstLineChars="200"/>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采   购   人: 临沂大学</w:t>
      </w:r>
    </w:p>
    <w:p>
      <w:pPr>
        <w:spacing w:line="360" w:lineRule="auto"/>
        <w:ind w:left="645" w:leftChars="307"/>
        <w:jc w:val="both"/>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采购代理机构：临沂市沂蒙国际招标有限公司</w:t>
      </w:r>
    </w:p>
    <w:p>
      <w:pPr>
        <w:spacing w:line="240" w:lineRule="atLeast"/>
        <w:ind w:left="1080" w:leftChars="257" w:hanging="540"/>
        <w:rPr>
          <w:rFonts w:hint="eastAsia" w:ascii="宋体" w:hAnsi="宋体" w:eastAsia="宋体" w:cs="宋体"/>
          <w:b/>
          <w:color w:val="auto"/>
          <w:szCs w:val="21"/>
          <w:highlight w:val="none"/>
        </w:rPr>
      </w:pPr>
    </w:p>
    <w:p>
      <w:pPr>
        <w:spacing w:line="240" w:lineRule="atLeast"/>
        <w:ind w:left="1080" w:leftChars="257" w:hanging="540"/>
        <w:rPr>
          <w:rFonts w:hint="eastAsia" w:ascii="宋体" w:hAnsi="宋体" w:eastAsia="宋体" w:cs="宋体"/>
          <w:b/>
          <w:color w:val="auto"/>
          <w:szCs w:val="21"/>
          <w:highlight w:val="none"/>
        </w:rPr>
      </w:pPr>
    </w:p>
    <w:p>
      <w:pPr>
        <w:spacing w:line="240" w:lineRule="atLeast"/>
        <w:ind w:left="1077" w:leftChars="513" w:firstLine="298" w:firstLineChars="99"/>
        <w:rPr>
          <w:rFonts w:hint="eastAsia" w:ascii="宋体" w:hAnsi="宋体" w:eastAsia="宋体" w:cs="宋体"/>
          <w:b/>
          <w:color w:val="auto"/>
          <w:szCs w:val="21"/>
          <w:highlight w:val="none"/>
          <w:lang w:eastAsia="zh-CN"/>
        </w:rPr>
      </w:pPr>
      <w:r>
        <w:rPr>
          <w:rFonts w:hint="eastAsia" w:ascii="宋体" w:hAnsi="宋体" w:eastAsia="宋体" w:cs="宋体"/>
          <w:b/>
          <w:bCs/>
          <w:color w:val="auto"/>
          <w:sz w:val="30"/>
          <w:szCs w:val="30"/>
          <w:highlight w:val="none"/>
        </w:rPr>
        <w:t>发 出 日 期：</w:t>
      </w:r>
      <w:r>
        <w:rPr>
          <w:rFonts w:hint="eastAsia" w:ascii="宋体" w:hAnsi="宋体" w:cs="宋体"/>
          <w:b/>
          <w:bCs/>
          <w:color w:val="auto"/>
          <w:sz w:val="30"/>
          <w:szCs w:val="30"/>
          <w:highlight w:val="none"/>
          <w:lang w:eastAsia="zh-CN"/>
        </w:rPr>
        <w:t>二〇二四年</w:t>
      </w:r>
      <w:r>
        <w:rPr>
          <w:rFonts w:hint="eastAsia" w:ascii="宋体" w:hAnsi="宋体" w:cs="宋体"/>
          <w:b/>
          <w:bCs/>
          <w:color w:val="auto"/>
          <w:sz w:val="30"/>
          <w:szCs w:val="30"/>
          <w:highlight w:val="none"/>
          <w:lang w:val="en-US" w:eastAsia="zh-CN"/>
        </w:rPr>
        <w:t>六</w:t>
      </w:r>
      <w:r>
        <w:rPr>
          <w:rFonts w:hint="eastAsia" w:ascii="宋体" w:hAnsi="宋体" w:cs="宋体"/>
          <w:b/>
          <w:bCs/>
          <w:color w:val="auto"/>
          <w:sz w:val="30"/>
          <w:szCs w:val="30"/>
          <w:highlight w:val="none"/>
          <w:lang w:eastAsia="zh-CN"/>
        </w:rPr>
        <w:t>月</w:t>
      </w:r>
      <w:r>
        <w:rPr>
          <w:rFonts w:hint="eastAsia" w:ascii="宋体" w:hAnsi="宋体" w:cs="宋体"/>
          <w:b/>
          <w:bCs/>
          <w:color w:val="auto"/>
          <w:sz w:val="30"/>
          <w:szCs w:val="30"/>
          <w:highlight w:val="none"/>
          <w:lang w:val="en-US" w:eastAsia="zh-CN"/>
        </w:rPr>
        <w:t>三</w:t>
      </w:r>
      <w:r>
        <w:rPr>
          <w:rFonts w:hint="eastAsia" w:ascii="宋体" w:hAnsi="宋体" w:cs="宋体"/>
          <w:b/>
          <w:bCs/>
          <w:color w:val="auto"/>
          <w:sz w:val="30"/>
          <w:szCs w:val="30"/>
          <w:highlight w:val="none"/>
          <w:lang w:eastAsia="zh-CN"/>
        </w:rPr>
        <w:t>日</w:t>
      </w:r>
    </w:p>
    <w:p>
      <w:pPr>
        <w:pStyle w:val="2"/>
        <w:ind w:left="0" w:firstLine="0"/>
        <w:jc w:val="center"/>
        <w:rPr>
          <w:rFonts w:hint="eastAsia" w:ascii="宋体" w:hAnsi="宋体" w:eastAsia="宋体" w:cs="宋体"/>
          <w:b/>
          <w:bCs/>
          <w:color w:val="auto"/>
          <w:sz w:val="40"/>
          <w:szCs w:val="40"/>
          <w:highlight w:val="none"/>
        </w:rPr>
      </w:pPr>
      <w:r>
        <w:rPr>
          <w:rFonts w:hint="eastAsia" w:ascii="宋体" w:hAnsi="宋体" w:eastAsia="宋体" w:cs="宋体"/>
          <w:b/>
          <w:color w:val="auto"/>
          <w:sz w:val="52"/>
          <w:highlight w:val="none"/>
        </w:rPr>
        <w:br w:type="page"/>
      </w:r>
      <w:r>
        <w:rPr>
          <w:rFonts w:hint="eastAsia" w:ascii="宋体" w:hAnsi="宋体" w:eastAsia="宋体" w:cs="宋体"/>
          <w:b/>
          <w:color w:val="auto"/>
          <w:sz w:val="32"/>
          <w:highlight w:val="none"/>
        </w:rPr>
        <w:t>临沂大学特别公告</w:t>
      </w:r>
    </w:p>
    <w:p>
      <w:pPr>
        <w:pStyle w:val="2"/>
        <w:tabs>
          <w:tab w:val="left" w:pos="840"/>
        </w:tabs>
        <w:spacing w:line="480" w:lineRule="exact"/>
        <w:ind w:left="0" w:firstLine="0"/>
        <w:rPr>
          <w:rFonts w:hint="eastAsia" w:ascii="宋体" w:hAnsi="宋体" w:eastAsia="宋体" w:cs="宋体"/>
          <w:color w:val="auto"/>
          <w:sz w:val="28"/>
          <w:szCs w:val="28"/>
          <w:highlight w:val="none"/>
        </w:rPr>
      </w:pPr>
    </w:p>
    <w:p>
      <w:pPr>
        <w:pStyle w:val="2"/>
        <w:keepNext w:val="0"/>
        <w:keepLines w:val="0"/>
        <w:pageBreakBefore w:val="0"/>
        <w:widowControl w:val="0"/>
        <w:tabs>
          <w:tab w:val="left" w:pos="840"/>
        </w:tabs>
        <w:kinsoku/>
        <w:wordWrap/>
        <w:overflowPunct/>
        <w:topLinePunct w:val="0"/>
        <w:autoSpaceDE/>
        <w:autoSpaceDN/>
        <w:bidi w:val="0"/>
        <w:adjustRightInd/>
        <w:snapToGrid/>
        <w:spacing w:line="480" w:lineRule="exact"/>
        <w:ind w:left="0" w:leftChars="0" w:firstLine="0" w:firstLineChars="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xml:space="preserve">各供应商： </w:t>
      </w:r>
    </w:p>
    <w:p>
      <w:pPr>
        <w:pStyle w:val="2"/>
        <w:keepNext w:val="0"/>
        <w:keepLines w:val="0"/>
        <w:pageBreakBefore w:val="0"/>
        <w:widowControl w:val="0"/>
        <w:tabs>
          <w:tab w:val="left" w:pos="840"/>
        </w:tabs>
        <w:kinsoku/>
        <w:wordWrap/>
        <w:overflowPunct/>
        <w:topLinePunct w:val="0"/>
        <w:autoSpaceDE/>
        <w:autoSpaceDN/>
        <w:bidi w:val="0"/>
        <w:adjustRightInd/>
        <w:snapToGrid/>
        <w:spacing w:line="480" w:lineRule="exact"/>
        <w:ind w:left="0" w:leftChars="0" w:firstLine="490" w:firstLineChars="175"/>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热忱欢迎大家投标竞标，响应</w:t>
      </w:r>
      <w:r>
        <w:rPr>
          <w:rFonts w:hint="eastAsia" w:ascii="宋体" w:hAnsi="宋体" w:eastAsia="宋体" w:cs="宋体"/>
          <w:color w:val="auto"/>
          <w:sz w:val="28"/>
          <w:szCs w:val="28"/>
          <w:highlight w:val="none"/>
          <w:lang w:eastAsia="zh-CN"/>
        </w:rPr>
        <w:t>学校</w:t>
      </w:r>
      <w:r>
        <w:rPr>
          <w:rFonts w:hint="eastAsia" w:ascii="宋体" w:hAnsi="宋体" w:eastAsia="宋体" w:cs="宋体"/>
          <w:color w:val="auto"/>
          <w:sz w:val="28"/>
          <w:szCs w:val="28"/>
          <w:highlight w:val="none"/>
        </w:rPr>
        <w:t>招标项目！</w:t>
      </w:r>
      <w:r>
        <w:rPr>
          <w:rFonts w:hint="eastAsia" w:ascii="宋体" w:hAnsi="宋体" w:eastAsia="宋体" w:cs="宋体"/>
          <w:color w:val="auto"/>
          <w:sz w:val="28"/>
          <w:szCs w:val="28"/>
          <w:highlight w:val="none"/>
          <w:lang w:eastAsia="zh-CN"/>
        </w:rPr>
        <w:t>学校</w:t>
      </w:r>
      <w:r>
        <w:rPr>
          <w:rFonts w:hint="eastAsia" w:ascii="宋体" w:hAnsi="宋体" w:eastAsia="宋体" w:cs="宋体"/>
          <w:color w:val="auto"/>
          <w:sz w:val="28"/>
          <w:szCs w:val="28"/>
          <w:highlight w:val="none"/>
        </w:rPr>
        <w:t xml:space="preserve">承诺该项目在公正公开的原则下公平竞争，客观评审。 </w:t>
      </w:r>
    </w:p>
    <w:p>
      <w:pPr>
        <w:pStyle w:val="2"/>
        <w:keepNext w:val="0"/>
        <w:keepLines w:val="0"/>
        <w:pageBreakBefore w:val="0"/>
        <w:widowControl w:val="0"/>
        <w:tabs>
          <w:tab w:val="left" w:pos="840"/>
        </w:tabs>
        <w:kinsoku/>
        <w:wordWrap/>
        <w:overflowPunct/>
        <w:topLinePunct w:val="0"/>
        <w:autoSpaceDE/>
        <w:autoSpaceDN/>
        <w:bidi w:val="0"/>
        <w:adjustRightInd/>
        <w:snapToGrid/>
        <w:spacing w:line="480" w:lineRule="exact"/>
        <w:ind w:left="0" w:leftChars="0" w:firstLine="490" w:firstLineChars="175"/>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本采购文件已经多位专家审核修订，若仍存在涉及指向性、排他性参数指标，请及时与代理机构或</w:t>
      </w:r>
      <w:r>
        <w:rPr>
          <w:rFonts w:hint="eastAsia" w:ascii="宋体" w:hAnsi="宋体" w:eastAsia="宋体" w:cs="宋体"/>
          <w:color w:val="auto"/>
          <w:sz w:val="28"/>
          <w:szCs w:val="28"/>
          <w:highlight w:val="none"/>
          <w:lang w:eastAsia="zh-CN"/>
        </w:rPr>
        <w:t>学校</w:t>
      </w:r>
      <w:r>
        <w:rPr>
          <w:rFonts w:hint="eastAsia" w:ascii="宋体" w:hAnsi="宋体" w:eastAsia="宋体" w:cs="宋体"/>
          <w:color w:val="auto"/>
          <w:sz w:val="28"/>
          <w:szCs w:val="28"/>
          <w:highlight w:val="none"/>
        </w:rPr>
        <w:t>采购部门反映。</w:t>
      </w:r>
    </w:p>
    <w:p>
      <w:pPr>
        <w:pStyle w:val="2"/>
        <w:keepNext w:val="0"/>
        <w:keepLines w:val="0"/>
        <w:pageBreakBefore w:val="0"/>
        <w:widowControl w:val="0"/>
        <w:tabs>
          <w:tab w:val="left" w:pos="840"/>
        </w:tabs>
        <w:kinsoku/>
        <w:wordWrap w:val="0"/>
        <w:overflowPunct/>
        <w:topLinePunct w:val="0"/>
        <w:autoSpaceDE/>
        <w:autoSpaceDN/>
        <w:bidi w:val="0"/>
        <w:adjustRightInd/>
        <w:snapToGrid/>
        <w:spacing w:line="480" w:lineRule="exact"/>
        <w:ind w:left="0" w:leftChars="0" w:firstLine="490" w:firstLineChars="175"/>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eastAsia="zh-CN"/>
        </w:rPr>
        <w:t>学校</w:t>
      </w:r>
      <w:r>
        <w:rPr>
          <w:rFonts w:hint="eastAsia" w:ascii="宋体" w:hAnsi="宋体" w:eastAsia="宋体" w:cs="宋体"/>
          <w:color w:val="auto"/>
          <w:sz w:val="28"/>
          <w:szCs w:val="28"/>
          <w:highlight w:val="none"/>
        </w:rPr>
        <w:t>所有项目严格执行“回避”制度，对可能影响评标结果的潜在因素及人员关系（含代理机构、评标专家、工作人员、其他类人员等），请及时与</w:t>
      </w:r>
      <w:r>
        <w:rPr>
          <w:rFonts w:hint="eastAsia" w:ascii="宋体" w:hAnsi="宋体" w:eastAsia="宋体" w:cs="宋体"/>
          <w:color w:val="auto"/>
          <w:sz w:val="28"/>
          <w:szCs w:val="28"/>
          <w:highlight w:val="none"/>
          <w:lang w:eastAsia="zh-CN"/>
        </w:rPr>
        <w:t>学校</w:t>
      </w:r>
      <w:r>
        <w:rPr>
          <w:rFonts w:hint="eastAsia" w:ascii="宋体" w:hAnsi="宋体" w:eastAsia="宋体" w:cs="宋体"/>
          <w:color w:val="auto"/>
          <w:sz w:val="28"/>
          <w:szCs w:val="28"/>
          <w:highlight w:val="none"/>
        </w:rPr>
        <w:t>采购科反映（临沂大学采购科 蔺老师</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0539-725875</w:t>
      </w:r>
      <w:r>
        <w:rPr>
          <w:rFonts w:hint="eastAsia" w:ascii="宋体" w:hAnsi="宋体" w:eastAsia="宋体" w:cs="宋体"/>
          <w:color w:val="auto"/>
          <w:sz w:val="28"/>
          <w:szCs w:val="28"/>
          <w:highlight w:val="none"/>
          <w:lang w:val="en-US" w:eastAsia="zh-CN"/>
        </w:rPr>
        <w:t>6</w:t>
      </w:r>
      <w:r>
        <w:rPr>
          <w:rFonts w:hint="eastAsia" w:ascii="宋体" w:hAnsi="宋体" w:eastAsia="宋体" w:cs="宋体"/>
          <w:color w:val="auto"/>
          <w:sz w:val="28"/>
          <w:szCs w:val="28"/>
          <w:highlight w:val="none"/>
        </w:rPr>
        <w:t xml:space="preserve">）。 </w:t>
      </w:r>
    </w:p>
    <w:p>
      <w:pPr>
        <w:pStyle w:val="2"/>
        <w:keepNext w:val="0"/>
        <w:keepLines w:val="0"/>
        <w:pageBreakBefore w:val="0"/>
        <w:widowControl w:val="0"/>
        <w:tabs>
          <w:tab w:val="left" w:pos="840"/>
        </w:tabs>
        <w:kinsoku/>
        <w:wordWrap/>
        <w:overflowPunct/>
        <w:topLinePunct w:val="0"/>
        <w:autoSpaceDE/>
        <w:autoSpaceDN/>
        <w:bidi w:val="0"/>
        <w:adjustRightInd/>
        <w:snapToGrid/>
        <w:spacing w:line="480" w:lineRule="exact"/>
        <w:ind w:left="0" w:leftChars="0" w:firstLine="490" w:firstLineChars="175"/>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若报名过程中存在差别性待遇或排他性暗示，请做好取证。及时与</w:t>
      </w:r>
      <w:r>
        <w:rPr>
          <w:rFonts w:hint="eastAsia" w:ascii="宋体" w:hAnsi="宋体" w:eastAsia="宋体" w:cs="宋体"/>
          <w:color w:val="auto"/>
          <w:sz w:val="28"/>
          <w:szCs w:val="28"/>
          <w:highlight w:val="none"/>
          <w:lang w:eastAsia="zh-CN"/>
        </w:rPr>
        <w:t>学校</w:t>
      </w:r>
      <w:r>
        <w:rPr>
          <w:rFonts w:hint="eastAsia" w:ascii="宋体" w:hAnsi="宋体" w:eastAsia="宋体" w:cs="宋体"/>
          <w:color w:val="auto"/>
          <w:sz w:val="28"/>
          <w:szCs w:val="28"/>
          <w:highlight w:val="none"/>
        </w:rPr>
        <w:t xml:space="preserve">纪委联系（0539-7258030）进行举报查处。 </w:t>
      </w:r>
    </w:p>
    <w:p>
      <w:pPr>
        <w:pStyle w:val="2"/>
        <w:keepNext w:val="0"/>
        <w:keepLines w:val="0"/>
        <w:pageBreakBefore w:val="0"/>
        <w:widowControl w:val="0"/>
        <w:tabs>
          <w:tab w:val="left" w:pos="840"/>
        </w:tabs>
        <w:kinsoku/>
        <w:wordWrap/>
        <w:overflowPunct/>
        <w:topLinePunct w:val="0"/>
        <w:autoSpaceDE/>
        <w:autoSpaceDN/>
        <w:bidi w:val="0"/>
        <w:adjustRightInd/>
        <w:snapToGrid/>
        <w:spacing w:line="480" w:lineRule="exact"/>
        <w:ind w:left="0" w:leftChars="0" w:firstLine="490" w:firstLineChars="175"/>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xml:space="preserve">临沂大学采购部门联系方式： </w:t>
      </w:r>
    </w:p>
    <w:p>
      <w:pPr>
        <w:pStyle w:val="2"/>
        <w:keepNext w:val="0"/>
        <w:keepLines w:val="0"/>
        <w:pageBreakBefore w:val="0"/>
        <w:widowControl w:val="0"/>
        <w:tabs>
          <w:tab w:val="left" w:pos="840"/>
        </w:tabs>
        <w:kinsoku/>
        <w:wordWrap/>
        <w:overflowPunct/>
        <w:topLinePunct w:val="0"/>
        <w:autoSpaceDE/>
        <w:autoSpaceDN/>
        <w:bidi w:val="0"/>
        <w:adjustRightInd/>
        <w:snapToGrid/>
        <w:spacing w:line="480" w:lineRule="exact"/>
        <w:ind w:left="0" w:leftChars="0" w:firstLine="490" w:firstLineChars="175"/>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电话：0539-725875</w:t>
      </w:r>
      <w:r>
        <w:rPr>
          <w:rFonts w:hint="eastAsia" w:ascii="宋体" w:hAnsi="宋体" w:eastAsia="宋体" w:cs="宋体"/>
          <w:color w:val="auto"/>
          <w:sz w:val="28"/>
          <w:szCs w:val="28"/>
          <w:highlight w:val="none"/>
          <w:lang w:val="en-US" w:eastAsia="zh-CN"/>
        </w:rPr>
        <w:t>6</w:t>
      </w:r>
      <w:r>
        <w:rPr>
          <w:rFonts w:hint="eastAsia" w:ascii="宋体" w:hAnsi="宋体" w:eastAsia="宋体" w:cs="宋体"/>
          <w:color w:val="auto"/>
          <w:sz w:val="28"/>
          <w:szCs w:val="28"/>
          <w:highlight w:val="none"/>
        </w:rPr>
        <w:t xml:space="preserve"> 邮箱：lyuzbb@126.com </w:t>
      </w:r>
    </w:p>
    <w:p>
      <w:pPr>
        <w:pStyle w:val="2"/>
        <w:keepNext w:val="0"/>
        <w:keepLines w:val="0"/>
        <w:pageBreakBefore w:val="0"/>
        <w:widowControl w:val="0"/>
        <w:tabs>
          <w:tab w:val="left" w:pos="840"/>
        </w:tabs>
        <w:kinsoku/>
        <w:wordWrap/>
        <w:overflowPunct/>
        <w:topLinePunct w:val="0"/>
        <w:autoSpaceDE/>
        <w:autoSpaceDN/>
        <w:bidi w:val="0"/>
        <w:adjustRightInd/>
        <w:snapToGrid/>
        <w:spacing w:line="480" w:lineRule="exact"/>
        <w:ind w:left="0" w:leftChars="0" w:firstLine="490" w:firstLineChars="175"/>
        <w:textAlignment w:val="auto"/>
        <w:rPr>
          <w:rFonts w:hint="eastAsia" w:ascii="宋体" w:hAnsi="宋体" w:eastAsia="宋体" w:cs="宋体"/>
          <w:color w:val="auto"/>
          <w:sz w:val="28"/>
          <w:szCs w:val="28"/>
          <w:highlight w:val="none"/>
        </w:rPr>
      </w:pPr>
    </w:p>
    <w:p>
      <w:pPr>
        <w:pStyle w:val="2"/>
        <w:keepNext w:val="0"/>
        <w:keepLines w:val="0"/>
        <w:pageBreakBefore w:val="0"/>
        <w:widowControl w:val="0"/>
        <w:tabs>
          <w:tab w:val="left" w:pos="840"/>
        </w:tabs>
        <w:kinsoku/>
        <w:wordWrap/>
        <w:overflowPunct/>
        <w:topLinePunct w:val="0"/>
        <w:autoSpaceDE/>
        <w:autoSpaceDN/>
        <w:bidi w:val="0"/>
        <w:adjustRightInd/>
        <w:snapToGrid/>
        <w:spacing w:line="480" w:lineRule="exact"/>
        <w:ind w:left="0" w:leftChars="0" w:firstLine="490" w:firstLineChars="175"/>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打造风清气正的招投标环境，让我们一起努力…</w:t>
      </w:r>
    </w:p>
    <w:p>
      <w:pPr>
        <w:rPr>
          <w:rFonts w:hint="eastAsia" w:ascii="宋体" w:hAnsi="宋体" w:eastAsia="宋体" w:cs="宋体"/>
          <w:b/>
          <w:color w:val="auto"/>
          <w:sz w:val="32"/>
          <w:highlight w:val="none"/>
        </w:rPr>
      </w:pPr>
      <w:r>
        <w:rPr>
          <w:rFonts w:hint="eastAsia" w:ascii="宋体" w:hAnsi="宋体" w:eastAsia="宋体" w:cs="宋体"/>
          <w:b/>
          <w:color w:val="auto"/>
          <w:sz w:val="32"/>
          <w:highlight w:val="none"/>
        </w:rPr>
        <w:br w:type="page"/>
      </w:r>
    </w:p>
    <w:p>
      <w:pPr>
        <w:pStyle w:val="2"/>
        <w:ind w:left="0" w:firstLine="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附表：</w:t>
      </w:r>
    </w:p>
    <w:p>
      <w:pPr>
        <w:pStyle w:val="2"/>
        <w:ind w:firstLine="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致各报名供应商，如发现采购文件存在不合理问题，请填写该表。</w:t>
      </w:r>
    </w:p>
    <w:p>
      <w:pPr>
        <w:pStyle w:val="2"/>
        <w:ind w:firstLine="0"/>
        <w:jc w:val="center"/>
        <w:rPr>
          <w:rFonts w:hint="eastAsia" w:ascii="宋体" w:hAnsi="宋体" w:eastAsia="宋体" w:cs="宋体"/>
          <w:b/>
          <w:bCs/>
          <w:color w:val="auto"/>
          <w:sz w:val="32"/>
          <w:szCs w:val="32"/>
          <w:highlight w:val="none"/>
        </w:rPr>
      </w:pPr>
    </w:p>
    <w:p>
      <w:pPr>
        <w:pStyle w:val="2"/>
        <w:ind w:firstLine="0"/>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本项目采购文件存在不合理性问题反馈单</w:t>
      </w:r>
    </w:p>
    <w:p>
      <w:pPr>
        <w:pStyle w:val="2"/>
        <w:ind w:firstLine="0"/>
        <w:jc w:val="center"/>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（已报名供应商使用）</w:t>
      </w:r>
    </w:p>
    <w:tbl>
      <w:tblPr>
        <w:tblStyle w:val="3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
        <w:gridCol w:w="1878"/>
        <w:gridCol w:w="3156"/>
        <w:gridCol w:w="27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772" w:type="dxa"/>
            <w:noWrap w:val="0"/>
            <w:vAlign w:val="center"/>
          </w:tcPr>
          <w:p>
            <w:pPr>
              <w:pStyle w:val="2"/>
              <w:ind w:left="0" w:leftChars="0" w:firstLine="0" w:firstLineChars="0"/>
              <w:jc w:val="center"/>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序号</w:t>
            </w:r>
          </w:p>
        </w:tc>
        <w:tc>
          <w:tcPr>
            <w:tcW w:w="2031" w:type="dxa"/>
            <w:noWrap w:val="0"/>
            <w:vAlign w:val="center"/>
          </w:tcPr>
          <w:p>
            <w:pPr>
              <w:pStyle w:val="2"/>
              <w:ind w:left="0" w:leftChars="0" w:firstLine="0" w:firstLineChars="0"/>
              <w:jc w:val="center"/>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lang w:val="en-US" w:eastAsia="zh-CN"/>
              </w:rPr>
              <w:t>服务</w:t>
            </w:r>
            <w:r>
              <w:rPr>
                <w:rFonts w:hint="eastAsia" w:ascii="宋体" w:hAnsi="宋体" w:eastAsia="宋体" w:cs="宋体"/>
                <w:b/>
                <w:bCs/>
                <w:color w:val="auto"/>
                <w:sz w:val="24"/>
                <w:highlight w:val="none"/>
              </w:rPr>
              <w:t>名称</w:t>
            </w:r>
          </w:p>
        </w:tc>
        <w:tc>
          <w:tcPr>
            <w:tcW w:w="3448" w:type="dxa"/>
            <w:noWrap w:val="0"/>
            <w:vAlign w:val="center"/>
          </w:tcPr>
          <w:p>
            <w:pPr>
              <w:pStyle w:val="2"/>
              <w:ind w:left="0" w:leftChars="0" w:firstLine="0" w:firstLineChars="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相关参数</w:t>
            </w:r>
          </w:p>
        </w:tc>
        <w:tc>
          <w:tcPr>
            <w:tcW w:w="2992" w:type="dxa"/>
            <w:noWrap w:val="0"/>
            <w:vAlign w:val="center"/>
          </w:tcPr>
          <w:p>
            <w:pPr>
              <w:pStyle w:val="2"/>
              <w:ind w:left="0" w:leftChars="0" w:firstLine="0" w:firstLineChars="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存在问题说明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noWrap w:val="0"/>
            <w:vAlign w:val="center"/>
          </w:tcPr>
          <w:p>
            <w:pPr>
              <w:pStyle w:val="2"/>
              <w:ind w:left="0" w:leftChars="0" w:firstLine="0" w:firstLineChars="0"/>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1</w:t>
            </w:r>
          </w:p>
        </w:tc>
        <w:tc>
          <w:tcPr>
            <w:tcW w:w="2031" w:type="dxa"/>
            <w:noWrap w:val="0"/>
            <w:vAlign w:val="center"/>
          </w:tcPr>
          <w:p>
            <w:pPr>
              <w:pStyle w:val="2"/>
              <w:ind w:left="0" w:leftChars="0" w:firstLine="0" w:firstLineChars="0"/>
              <w:rPr>
                <w:rFonts w:hint="eastAsia" w:ascii="宋体" w:hAnsi="宋体" w:eastAsia="宋体" w:cs="宋体"/>
                <w:b/>
                <w:bCs/>
                <w:color w:val="auto"/>
                <w:sz w:val="32"/>
                <w:szCs w:val="32"/>
                <w:highlight w:val="none"/>
              </w:rPr>
            </w:pPr>
          </w:p>
          <w:p>
            <w:pPr>
              <w:pStyle w:val="2"/>
              <w:ind w:left="0" w:leftChars="0" w:firstLine="0" w:firstLineChars="0"/>
              <w:rPr>
                <w:rFonts w:hint="eastAsia" w:ascii="宋体" w:hAnsi="宋体" w:eastAsia="宋体" w:cs="宋体"/>
                <w:b/>
                <w:bCs/>
                <w:color w:val="auto"/>
                <w:sz w:val="32"/>
                <w:szCs w:val="32"/>
                <w:highlight w:val="none"/>
              </w:rPr>
            </w:pPr>
          </w:p>
          <w:p>
            <w:pPr>
              <w:pStyle w:val="2"/>
              <w:ind w:left="0" w:leftChars="0" w:firstLine="0" w:firstLineChars="0"/>
              <w:rPr>
                <w:rFonts w:hint="eastAsia" w:ascii="宋体" w:hAnsi="宋体" w:eastAsia="宋体" w:cs="宋体"/>
                <w:b/>
                <w:bCs/>
                <w:color w:val="auto"/>
                <w:sz w:val="32"/>
                <w:szCs w:val="32"/>
                <w:highlight w:val="none"/>
              </w:rPr>
            </w:pPr>
          </w:p>
        </w:tc>
        <w:tc>
          <w:tcPr>
            <w:tcW w:w="3448" w:type="dxa"/>
            <w:noWrap w:val="0"/>
            <w:vAlign w:val="center"/>
          </w:tcPr>
          <w:p>
            <w:pPr>
              <w:pStyle w:val="2"/>
              <w:ind w:left="0" w:leftChars="0" w:firstLine="0" w:firstLineChars="0"/>
              <w:rPr>
                <w:rFonts w:hint="eastAsia" w:ascii="宋体" w:hAnsi="宋体" w:eastAsia="宋体" w:cs="宋体"/>
                <w:b/>
                <w:bCs/>
                <w:color w:val="auto"/>
                <w:sz w:val="32"/>
                <w:szCs w:val="32"/>
                <w:highlight w:val="none"/>
              </w:rPr>
            </w:pPr>
          </w:p>
        </w:tc>
        <w:tc>
          <w:tcPr>
            <w:tcW w:w="2992" w:type="dxa"/>
            <w:noWrap w:val="0"/>
            <w:vAlign w:val="center"/>
          </w:tcPr>
          <w:p>
            <w:pPr>
              <w:pStyle w:val="2"/>
              <w:ind w:left="0" w:leftChars="0" w:firstLine="0" w:firstLineChars="0"/>
              <w:rPr>
                <w:rFonts w:hint="eastAsia" w:ascii="宋体" w:hAnsi="宋体" w:eastAsia="宋体" w:cs="宋体"/>
                <w:b/>
                <w:bCs/>
                <w:color w:val="auto"/>
                <w:sz w:val="32"/>
                <w:szCs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noWrap w:val="0"/>
            <w:vAlign w:val="center"/>
          </w:tcPr>
          <w:p>
            <w:pPr>
              <w:pStyle w:val="2"/>
              <w:ind w:left="0" w:leftChars="0" w:firstLine="0" w:firstLineChars="0"/>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2</w:t>
            </w:r>
          </w:p>
        </w:tc>
        <w:tc>
          <w:tcPr>
            <w:tcW w:w="2031" w:type="dxa"/>
            <w:noWrap w:val="0"/>
            <w:vAlign w:val="center"/>
          </w:tcPr>
          <w:p>
            <w:pPr>
              <w:pStyle w:val="2"/>
              <w:ind w:left="0" w:leftChars="0" w:firstLine="0" w:firstLineChars="0"/>
              <w:rPr>
                <w:rFonts w:hint="eastAsia" w:ascii="宋体" w:hAnsi="宋体" w:eastAsia="宋体" w:cs="宋体"/>
                <w:b/>
                <w:bCs/>
                <w:color w:val="auto"/>
                <w:sz w:val="32"/>
                <w:szCs w:val="32"/>
                <w:highlight w:val="none"/>
              </w:rPr>
            </w:pPr>
          </w:p>
          <w:p>
            <w:pPr>
              <w:pStyle w:val="2"/>
              <w:ind w:left="0" w:leftChars="0" w:firstLine="0" w:firstLineChars="0"/>
              <w:rPr>
                <w:rFonts w:hint="eastAsia" w:ascii="宋体" w:hAnsi="宋体" w:eastAsia="宋体" w:cs="宋体"/>
                <w:b/>
                <w:bCs/>
                <w:color w:val="auto"/>
                <w:sz w:val="32"/>
                <w:szCs w:val="32"/>
                <w:highlight w:val="none"/>
              </w:rPr>
            </w:pPr>
          </w:p>
          <w:p>
            <w:pPr>
              <w:pStyle w:val="2"/>
              <w:ind w:left="0" w:leftChars="0" w:firstLine="0" w:firstLineChars="0"/>
              <w:rPr>
                <w:rFonts w:hint="eastAsia" w:ascii="宋体" w:hAnsi="宋体" w:eastAsia="宋体" w:cs="宋体"/>
                <w:b/>
                <w:bCs/>
                <w:color w:val="auto"/>
                <w:sz w:val="32"/>
                <w:szCs w:val="32"/>
                <w:highlight w:val="none"/>
              </w:rPr>
            </w:pPr>
          </w:p>
        </w:tc>
        <w:tc>
          <w:tcPr>
            <w:tcW w:w="3448" w:type="dxa"/>
            <w:noWrap w:val="0"/>
            <w:vAlign w:val="center"/>
          </w:tcPr>
          <w:p>
            <w:pPr>
              <w:pStyle w:val="2"/>
              <w:ind w:left="0" w:leftChars="0" w:firstLine="0" w:firstLineChars="0"/>
              <w:rPr>
                <w:rFonts w:hint="eastAsia" w:ascii="宋体" w:hAnsi="宋体" w:eastAsia="宋体" w:cs="宋体"/>
                <w:b/>
                <w:bCs/>
                <w:color w:val="auto"/>
                <w:sz w:val="32"/>
                <w:szCs w:val="32"/>
                <w:highlight w:val="none"/>
              </w:rPr>
            </w:pPr>
          </w:p>
        </w:tc>
        <w:tc>
          <w:tcPr>
            <w:tcW w:w="2992" w:type="dxa"/>
            <w:noWrap w:val="0"/>
            <w:vAlign w:val="center"/>
          </w:tcPr>
          <w:p>
            <w:pPr>
              <w:pStyle w:val="2"/>
              <w:ind w:left="0" w:leftChars="0" w:firstLine="0" w:firstLineChars="0"/>
              <w:rPr>
                <w:rFonts w:hint="eastAsia" w:ascii="宋体" w:hAnsi="宋体" w:eastAsia="宋体" w:cs="宋体"/>
                <w:b/>
                <w:bCs/>
                <w:color w:val="auto"/>
                <w:sz w:val="32"/>
                <w:szCs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noWrap w:val="0"/>
            <w:vAlign w:val="center"/>
          </w:tcPr>
          <w:p>
            <w:pPr>
              <w:pStyle w:val="2"/>
              <w:ind w:left="0" w:leftChars="0" w:firstLine="0" w:firstLineChars="0"/>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3</w:t>
            </w:r>
          </w:p>
        </w:tc>
        <w:tc>
          <w:tcPr>
            <w:tcW w:w="2031" w:type="dxa"/>
            <w:noWrap w:val="0"/>
            <w:vAlign w:val="center"/>
          </w:tcPr>
          <w:p>
            <w:pPr>
              <w:pStyle w:val="2"/>
              <w:ind w:left="0" w:leftChars="0" w:firstLine="0" w:firstLineChars="0"/>
              <w:rPr>
                <w:rFonts w:hint="eastAsia" w:ascii="宋体" w:hAnsi="宋体" w:eastAsia="宋体" w:cs="宋体"/>
                <w:b/>
                <w:bCs/>
                <w:color w:val="auto"/>
                <w:sz w:val="32"/>
                <w:szCs w:val="32"/>
                <w:highlight w:val="none"/>
              </w:rPr>
            </w:pPr>
          </w:p>
          <w:p>
            <w:pPr>
              <w:pStyle w:val="2"/>
              <w:ind w:left="0" w:leftChars="0" w:firstLine="0" w:firstLineChars="0"/>
              <w:rPr>
                <w:rFonts w:hint="eastAsia" w:ascii="宋体" w:hAnsi="宋体" w:eastAsia="宋体" w:cs="宋体"/>
                <w:b/>
                <w:bCs/>
                <w:color w:val="auto"/>
                <w:sz w:val="32"/>
                <w:szCs w:val="32"/>
                <w:highlight w:val="none"/>
              </w:rPr>
            </w:pPr>
          </w:p>
          <w:p>
            <w:pPr>
              <w:pStyle w:val="2"/>
              <w:ind w:left="0" w:leftChars="0" w:firstLine="0" w:firstLineChars="0"/>
              <w:rPr>
                <w:rFonts w:hint="eastAsia" w:ascii="宋体" w:hAnsi="宋体" w:eastAsia="宋体" w:cs="宋体"/>
                <w:b/>
                <w:bCs/>
                <w:color w:val="auto"/>
                <w:sz w:val="32"/>
                <w:szCs w:val="32"/>
                <w:highlight w:val="none"/>
              </w:rPr>
            </w:pPr>
          </w:p>
        </w:tc>
        <w:tc>
          <w:tcPr>
            <w:tcW w:w="3448" w:type="dxa"/>
            <w:noWrap w:val="0"/>
            <w:vAlign w:val="center"/>
          </w:tcPr>
          <w:p>
            <w:pPr>
              <w:pStyle w:val="2"/>
              <w:ind w:left="0" w:leftChars="0" w:firstLine="0" w:firstLineChars="0"/>
              <w:rPr>
                <w:rFonts w:hint="eastAsia" w:ascii="宋体" w:hAnsi="宋体" w:eastAsia="宋体" w:cs="宋体"/>
                <w:b/>
                <w:bCs/>
                <w:color w:val="auto"/>
                <w:sz w:val="32"/>
                <w:szCs w:val="32"/>
                <w:highlight w:val="none"/>
              </w:rPr>
            </w:pPr>
          </w:p>
        </w:tc>
        <w:tc>
          <w:tcPr>
            <w:tcW w:w="2992" w:type="dxa"/>
            <w:noWrap w:val="0"/>
            <w:vAlign w:val="center"/>
          </w:tcPr>
          <w:p>
            <w:pPr>
              <w:pStyle w:val="2"/>
              <w:ind w:left="0" w:leftChars="0" w:firstLine="0" w:firstLineChars="0"/>
              <w:rPr>
                <w:rFonts w:hint="eastAsia" w:ascii="宋体" w:hAnsi="宋体" w:eastAsia="宋体" w:cs="宋体"/>
                <w:b/>
                <w:bCs/>
                <w:color w:val="auto"/>
                <w:sz w:val="32"/>
                <w:szCs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8" w:hRule="atLeast"/>
        </w:trPr>
        <w:tc>
          <w:tcPr>
            <w:tcW w:w="772" w:type="dxa"/>
            <w:noWrap w:val="0"/>
            <w:vAlign w:val="center"/>
          </w:tcPr>
          <w:p>
            <w:pPr>
              <w:pStyle w:val="2"/>
              <w:ind w:left="0" w:leftChars="0" w:firstLine="0" w:firstLineChars="0"/>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其他问题</w:t>
            </w:r>
          </w:p>
        </w:tc>
        <w:tc>
          <w:tcPr>
            <w:tcW w:w="8471" w:type="dxa"/>
            <w:gridSpan w:val="3"/>
            <w:noWrap w:val="0"/>
            <w:vAlign w:val="center"/>
          </w:tcPr>
          <w:p>
            <w:pPr>
              <w:pStyle w:val="2"/>
              <w:ind w:left="0" w:leftChars="0" w:firstLine="0" w:firstLineChars="0"/>
              <w:jc w:val="center"/>
              <w:rPr>
                <w:rFonts w:hint="eastAsia" w:ascii="宋体" w:hAnsi="宋体" w:eastAsia="宋体" w:cs="宋体"/>
                <w:b/>
                <w:bCs/>
                <w:color w:val="auto"/>
                <w:sz w:val="32"/>
                <w:szCs w:val="32"/>
                <w:highlight w:val="none"/>
              </w:rPr>
            </w:pPr>
          </w:p>
          <w:p>
            <w:pPr>
              <w:pStyle w:val="2"/>
              <w:ind w:left="0" w:leftChars="0" w:firstLine="0" w:firstLineChars="0"/>
              <w:jc w:val="center"/>
              <w:rPr>
                <w:rFonts w:hint="eastAsia" w:ascii="宋体" w:hAnsi="宋体" w:eastAsia="宋体" w:cs="宋体"/>
                <w:b/>
                <w:bCs/>
                <w:color w:val="auto"/>
                <w:sz w:val="32"/>
                <w:szCs w:val="32"/>
                <w:highlight w:val="none"/>
              </w:rPr>
            </w:pPr>
          </w:p>
          <w:p>
            <w:pPr>
              <w:pStyle w:val="2"/>
              <w:ind w:left="0" w:leftChars="0" w:firstLine="0" w:firstLineChars="0"/>
              <w:jc w:val="center"/>
              <w:rPr>
                <w:rFonts w:hint="eastAsia" w:ascii="宋体" w:hAnsi="宋体" w:eastAsia="宋体" w:cs="宋体"/>
                <w:b/>
                <w:bCs/>
                <w:color w:val="auto"/>
                <w:sz w:val="32"/>
                <w:szCs w:val="32"/>
                <w:highlight w:val="none"/>
              </w:rPr>
            </w:pPr>
          </w:p>
          <w:p>
            <w:pPr>
              <w:pStyle w:val="2"/>
              <w:ind w:left="0" w:leftChars="0" w:firstLine="0" w:firstLineChars="0"/>
              <w:jc w:val="center"/>
              <w:rPr>
                <w:rFonts w:hint="eastAsia" w:ascii="宋体" w:hAnsi="宋体" w:eastAsia="宋体" w:cs="宋体"/>
                <w:b/>
                <w:bCs/>
                <w:color w:val="auto"/>
                <w:sz w:val="32"/>
                <w:szCs w:val="32"/>
                <w:highlight w:val="none"/>
              </w:rPr>
            </w:pPr>
          </w:p>
          <w:p>
            <w:pPr>
              <w:pStyle w:val="2"/>
              <w:ind w:left="0" w:leftChars="0" w:firstLine="0" w:firstLineChars="0"/>
              <w:jc w:val="center"/>
              <w:rPr>
                <w:rFonts w:hint="eastAsia" w:ascii="宋体" w:hAnsi="宋体" w:eastAsia="宋体" w:cs="宋体"/>
                <w:b/>
                <w:bCs/>
                <w:color w:val="auto"/>
                <w:sz w:val="32"/>
                <w:szCs w:val="32"/>
                <w:highlight w:val="none"/>
              </w:rPr>
            </w:pPr>
          </w:p>
          <w:p>
            <w:pPr>
              <w:pStyle w:val="2"/>
              <w:ind w:left="0" w:leftChars="0" w:firstLine="0" w:firstLineChars="0"/>
              <w:jc w:val="center"/>
              <w:rPr>
                <w:rFonts w:hint="eastAsia" w:ascii="宋体" w:hAnsi="宋体" w:eastAsia="宋体" w:cs="宋体"/>
                <w:b/>
                <w:bCs/>
                <w:color w:val="auto"/>
                <w:sz w:val="32"/>
                <w:szCs w:val="32"/>
                <w:highlight w:val="none"/>
              </w:rPr>
            </w:pPr>
          </w:p>
          <w:p>
            <w:pPr>
              <w:pStyle w:val="2"/>
              <w:ind w:left="0" w:leftChars="0" w:firstLine="0" w:firstLineChars="0"/>
              <w:jc w:val="center"/>
              <w:rPr>
                <w:rFonts w:hint="eastAsia" w:ascii="宋体" w:hAnsi="宋体" w:eastAsia="宋体" w:cs="宋体"/>
                <w:b/>
                <w:bCs/>
                <w:color w:val="auto"/>
                <w:sz w:val="32"/>
                <w:szCs w:val="32"/>
                <w:highlight w:val="none"/>
              </w:rPr>
            </w:pPr>
          </w:p>
          <w:p>
            <w:pPr>
              <w:pStyle w:val="2"/>
              <w:ind w:left="0" w:leftChars="0" w:firstLine="0" w:firstLineChars="0"/>
              <w:jc w:val="center"/>
              <w:rPr>
                <w:rFonts w:hint="eastAsia" w:ascii="宋体" w:hAnsi="宋体" w:eastAsia="宋体" w:cs="宋体"/>
                <w:b/>
                <w:bCs/>
                <w:color w:val="auto"/>
                <w:sz w:val="32"/>
                <w:szCs w:val="32"/>
                <w:highlight w:val="none"/>
              </w:rPr>
            </w:pPr>
          </w:p>
          <w:p>
            <w:pPr>
              <w:pStyle w:val="2"/>
              <w:ind w:left="0" w:leftChars="0" w:firstLine="0" w:firstLineChars="0"/>
              <w:jc w:val="center"/>
              <w:rPr>
                <w:rFonts w:hint="eastAsia" w:ascii="宋体" w:hAnsi="宋体" w:eastAsia="宋体" w:cs="宋体"/>
                <w:b/>
                <w:bCs/>
                <w:color w:val="auto"/>
                <w:sz w:val="32"/>
                <w:szCs w:val="32"/>
                <w:highlight w:val="none"/>
              </w:rPr>
            </w:pPr>
          </w:p>
        </w:tc>
      </w:tr>
    </w:tbl>
    <w:p>
      <w:pPr>
        <w:pStyle w:val="2"/>
        <w:widowControl/>
        <w:adjustRightInd w:val="0"/>
        <w:snapToGrid w:val="0"/>
        <w:spacing w:line="520" w:lineRule="exact"/>
        <w:ind w:left="0"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说明：</w:t>
      </w:r>
      <w:r>
        <w:rPr>
          <w:rFonts w:hint="eastAsia" w:ascii="宋体" w:hAnsi="宋体" w:eastAsia="宋体" w:cs="宋体"/>
          <w:b/>
          <w:bCs/>
          <w:color w:val="auto"/>
          <w:sz w:val="24"/>
          <w:highlight w:val="none"/>
        </w:rPr>
        <w:fldChar w:fldCharType="begin"/>
      </w:r>
      <w:r>
        <w:rPr>
          <w:rFonts w:hint="eastAsia" w:ascii="宋体" w:hAnsi="宋体" w:eastAsia="宋体" w:cs="宋体"/>
          <w:b/>
          <w:bCs/>
          <w:color w:val="auto"/>
          <w:sz w:val="24"/>
          <w:highlight w:val="none"/>
        </w:rPr>
        <w:instrText xml:space="preserve"> HYPERLINK "mailto:本表填写并盖章后，请发至邮箱lyuzbb@126.com。" </w:instrText>
      </w:r>
      <w:r>
        <w:rPr>
          <w:rFonts w:hint="eastAsia" w:ascii="宋体" w:hAnsi="宋体" w:eastAsia="宋体" w:cs="宋体"/>
          <w:b/>
          <w:bCs/>
          <w:color w:val="auto"/>
          <w:sz w:val="24"/>
          <w:highlight w:val="none"/>
        </w:rPr>
        <w:fldChar w:fldCharType="separate"/>
      </w:r>
      <w:r>
        <w:rPr>
          <w:rStyle w:val="36"/>
          <w:rFonts w:hint="eastAsia" w:ascii="宋体" w:hAnsi="宋体" w:eastAsia="宋体" w:cs="宋体"/>
          <w:b/>
          <w:bCs/>
          <w:color w:val="auto"/>
          <w:sz w:val="24"/>
          <w:highlight w:val="none"/>
        </w:rPr>
        <w:t>本表填写并盖章后，请发至邮箱lyuzbb@126.com。</w:t>
      </w:r>
      <w:r>
        <w:rPr>
          <w:rFonts w:hint="eastAsia" w:ascii="宋体" w:hAnsi="宋体" w:eastAsia="宋体" w:cs="宋体"/>
          <w:b/>
          <w:bCs/>
          <w:color w:val="auto"/>
          <w:sz w:val="24"/>
          <w:highlight w:val="none"/>
        </w:rPr>
        <w:fldChar w:fldCharType="end"/>
      </w:r>
      <w:r>
        <w:rPr>
          <w:rFonts w:hint="eastAsia" w:ascii="宋体" w:hAnsi="宋体" w:eastAsia="宋体" w:cs="宋体"/>
          <w:b/>
          <w:bCs/>
          <w:color w:val="auto"/>
          <w:sz w:val="24"/>
          <w:highlight w:val="none"/>
        </w:rPr>
        <w:t xml:space="preserve"> 并致电临沂大学采购科 蔺老师 0539-7258756。</w:t>
      </w:r>
    </w:p>
    <w:p>
      <w:pPr>
        <w:pStyle w:val="2"/>
        <w:widowControl/>
        <w:adjustRightInd w:val="0"/>
        <w:snapToGrid w:val="0"/>
        <w:spacing w:line="520" w:lineRule="exact"/>
        <w:ind w:left="0"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非常感谢您的反馈问题！</w:t>
      </w:r>
    </w:p>
    <w:p>
      <w:pPr>
        <w:pStyle w:val="2"/>
        <w:widowControl/>
        <w:adjustRightInd w:val="0"/>
        <w:snapToGrid w:val="0"/>
        <w:spacing w:line="520" w:lineRule="exact"/>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 xml:space="preserve">                      单位名称（盖章）：</w:t>
      </w:r>
    </w:p>
    <w:p>
      <w:pPr>
        <w:pStyle w:val="2"/>
        <w:widowControl/>
        <w:adjustRightInd w:val="0"/>
        <w:snapToGrid w:val="0"/>
        <w:spacing w:line="520" w:lineRule="exact"/>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 xml:space="preserve">                    联系人：        电话：</w:t>
      </w:r>
    </w:p>
    <w:p>
      <w:pPr>
        <w:rPr>
          <w:rFonts w:hint="eastAsia" w:ascii="宋体" w:hAnsi="宋体" w:eastAsia="宋体" w:cs="宋体"/>
          <w:b/>
          <w:color w:val="auto"/>
          <w:sz w:val="32"/>
          <w:highlight w:val="none"/>
        </w:rPr>
        <w:sectPr>
          <w:headerReference r:id="rId3" w:type="default"/>
          <w:footerReference r:id="rId5" w:type="default"/>
          <w:headerReference r:id="rId4" w:type="even"/>
          <w:footerReference r:id="rId6" w:type="even"/>
          <w:pgSz w:w="11906" w:h="16838"/>
          <w:pgMar w:top="1440" w:right="1797" w:bottom="1440" w:left="1797" w:header="851" w:footer="992" w:gutter="0"/>
          <w:pgBorders>
            <w:top w:val="none" w:sz="0" w:space="0"/>
            <w:left w:val="none" w:sz="0" w:space="0"/>
            <w:bottom w:val="none" w:sz="0" w:space="0"/>
            <w:right w:val="none" w:sz="0" w:space="0"/>
          </w:pgBorders>
          <w:cols w:space="720" w:num="1"/>
          <w:docGrid w:linePitch="312" w:charSpace="0"/>
        </w:sectPr>
      </w:pPr>
      <w:r>
        <w:rPr>
          <w:rFonts w:hint="eastAsia" w:ascii="宋体" w:hAnsi="宋体" w:eastAsia="宋体" w:cs="宋体"/>
          <w:b/>
          <w:bCs/>
          <w:color w:val="auto"/>
          <w:sz w:val="24"/>
          <w:highlight w:val="none"/>
        </w:rPr>
        <w:t xml:space="preserve">                                   年   月   日          </w:t>
      </w:r>
    </w:p>
    <w:p>
      <w:pPr>
        <w:jc w:val="center"/>
        <w:rPr>
          <w:rFonts w:hint="eastAsia" w:ascii="宋体" w:hAnsi="宋体" w:eastAsia="宋体" w:cs="宋体"/>
          <w:b/>
          <w:color w:val="auto"/>
          <w:sz w:val="32"/>
          <w:highlight w:val="none"/>
        </w:rPr>
      </w:pPr>
    </w:p>
    <w:p>
      <w:pPr>
        <w:jc w:val="center"/>
        <w:rPr>
          <w:rFonts w:hint="eastAsia" w:ascii="宋体" w:hAnsi="宋体" w:eastAsia="宋体" w:cs="宋体"/>
          <w:b/>
          <w:color w:val="auto"/>
          <w:sz w:val="32"/>
          <w:highlight w:val="none"/>
        </w:rPr>
      </w:pPr>
      <w:r>
        <w:rPr>
          <w:rFonts w:hint="eastAsia" w:ascii="宋体" w:hAnsi="宋体" w:eastAsia="宋体" w:cs="宋体"/>
          <w:b/>
          <w:color w:val="auto"/>
          <w:sz w:val="32"/>
          <w:highlight w:val="none"/>
        </w:rPr>
        <w:t>目  录</w:t>
      </w:r>
    </w:p>
    <w:p>
      <w:pPr>
        <w:pStyle w:val="21"/>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0"/>
          <w:sz w:val="24"/>
          <w:szCs w:val="24"/>
          <w:highlight w:val="none"/>
        </w:rPr>
      </w:pPr>
      <w:bookmarkStart w:id="0" w:name="_Toc17230"/>
      <w:bookmarkStart w:id="1" w:name="_Toc22782"/>
      <w:bookmarkStart w:id="2" w:name="_Toc216582804"/>
    </w:p>
    <w:p>
      <w:pPr>
        <w:pStyle w:val="21"/>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TOC \o "1-2" \h \z \u</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\l _Toc29532 </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sz w:val="24"/>
          <w:szCs w:val="24"/>
          <w:highlight w:val="none"/>
          <w:lang w:val="en-US"/>
        </w:rPr>
        <w:t xml:space="preserve">第1章 </w:t>
      </w:r>
      <w:r>
        <w:rPr>
          <w:rFonts w:hint="eastAsia" w:ascii="宋体" w:hAnsi="宋体" w:eastAsia="宋体" w:cs="宋体"/>
          <w:color w:val="auto"/>
          <w:sz w:val="24"/>
          <w:szCs w:val="24"/>
          <w:highlight w:val="none"/>
        </w:rPr>
        <w:t>供应商须知</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_Toc29532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0"/>
          <w:sz w:val="24"/>
          <w:szCs w:val="24"/>
          <w:highlight w:val="none"/>
        </w:rPr>
        <w:fldChar w:fldCharType="end"/>
      </w:r>
    </w:p>
    <w:p>
      <w:pPr>
        <w:pStyle w:val="24"/>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\l _Toc13427 </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sz w:val="24"/>
          <w:szCs w:val="24"/>
          <w:highlight w:val="none"/>
        </w:rPr>
        <w:t>一</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总 则</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_Toc13427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0"/>
          <w:sz w:val="24"/>
          <w:szCs w:val="24"/>
          <w:highlight w:val="none"/>
        </w:rPr>
        <w:fldChar w:fldCharType="end"/>
      </w:r>
    </w:p>
    <w:p>
      <w:pPr>
        <w:pStyle w:val="24"/>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\l _Toc32134 </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sz w:val="24"/>
          <w:szCs w:val="24"/>
          <w:highlight w:val="none"/>
        </w:rPr>
        <w:t>二</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竞争性磋商文件</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_Toc32134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7</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0"/>
          <w:sz w:val="24"/>
          <w:szCs w:val="24"/>
          <w:highlight w:val="none"/>
        </w:rPr>
        <w:fldChar w:fldCharType="end"/>
      </w:r>
    </w:p>
    <w:p>
      <w:pPr>
        <w:pStyle w:val="24"/>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\l _Toc2484 </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sz w:val="24"/>
          <w:szCs w:val="24"/>
          <w:highlight w:val="none"/>
        </w:rPr>
        <w:t>三</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响应文件的编制</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_Toc2484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9</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0"/>
          <w:sz w:val="24"/>
          <w:szCs w:val="24"/>
          <w:highlight w:val="none"/>
        </w:rPr>
        <w:fldChar w:fldCharType="end"/>
      </w:r>
    </w:p>
    <w:p>
      <w:pPr>
        <w:pStyle w:val="24"/>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\l _Toc18853 </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sz w:val="24"/>
          <w:szCs w:val="24"/>
          <w:highlight w:val="none"/>
        </w:rPr>
        <w:t>四</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响应文件的递交</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_Toc18853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12</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0"/>
          <w:sz w:val="24"/>
          <w:szCs w:val="24"/>
          <w:highlight w:val="none"/>
        </w:rPr>
        <w:fldChar w:fldCharType="end"/>
      </w:r>
    </w:p>
    <w:p>
      <w:pPr>
        <w:pStyle w:val="24"/>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\l _Toc19536 </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sz w:val="24"/>
          <w:szCs w:val="24"/>
          <w:highlight w:val="none"/>
        </w:rPr>
        <w:t>五</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提交响应文件截止及磋商</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_Toc19536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13</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0"/>
          <w:sz w:val="24"/>
          <w:szCs w:val="24"/>
          <w:highlight w:val="none"/>
        </w:rPr>
        <w:fldChar w:fldCharType="end"/>
      </w:r>
    </w:p>
    <w:p>
      <w:pPr>
        <w:pStyle w:val="24"/>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\l _Toc27908 </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sz w:val="24"/>
          <w:szCs w:val="24"/>
          <w:highlight w:val="none"/>
        </w:rPr>
        <w:t>六</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确定成交</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_Toc27908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17</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0"/>
          <w:sz w:val="24"/>
          <w:szCs w:val="24"/>
          <w:highlight w:val="none"/>
        </w:rPr>
        <w:fldChar w:fldCharType="end"/>
      </w:r>
    </w:p>
    <w:p>
      <w:pPr>
        <w:pStyle w:val="21"/>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\l _Toc57 </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sz w:val="24"/>
          <w:szCs w:val="24"/>
          <w:highlight w:val="none"/>
        </w:rPr>
        <w:t>第2章 采购邀请</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_Toc57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23</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0"/>
          <w:sz w:val="24"/>
          <w:szCs w:val="24"/>
          <w:highlight w:val="none"/>
        </w:rPr>
        <w:fldChar w:fldCharType="end"/>
      </w:r>
    </w:p>
    <w:p>
      <w:pPr>
        <w:pStyle w:val="21"/>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\l _Toc22616 </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sz w:val="24"/>
          <w:szCs w:val="24"/>
          <w:highlight w:val="none"/>
        </w:rPr>
        <w:t>第3章 供应商须知资料表</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_Toc22616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26</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0"/>
          <w:sz w:val="24"/>
          <w:szCs w:val="24"/>
          <w:highlight w:val="none"/>
        </w:rPr>
        <w:fldChar w:fldCharType="end"/>
      </w:r>
    </w:p>
    <w:p>
      <w:pPr>
        <w:pStyle w:val="21"/>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\l _Toc1457 </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sz w:val="24"/>
          <w:szCs w:val="24"/>
          <w:highlight w:val="none"/>
        </w:rPr>
        <w:t>第4章 采购需求一览表及技术规格</w:t>
      </w:r>
      <w:r>
        <w:rPr>
          <w:rFonts w:hint="eastAsia" w:ascii="宋体" w:hAnsi="宋体" w:eastAsia="宋体" w:cs="宋体"/>
          <w:color w:val="auto"/>
          <w:sz w:val="24"/>
          <w:szCs w:val="24"/>
          <w:highlight w:val="none"/>
        </w:rPr>
        <w:tab/>
      </w:r>
      <w:r>
        <w:rPr>
          <w:rFonts w:hint="eastAsia" w:ascii="宋体" w:hAnsi="宋体" w:eastAsia="宋体" w:cs="宋体"/>
          <w:color w:val="auto"/>
          <w:kern w:val="0"/>
          <w:sz w:val="24"/>
          <w:szCs w:val="24"/>
          <w:highlight w:val="none"/>
        </w:rPr>
        <w:fldChar w:fldCharType="end"/>
      </w:r>
      <w:r>
        <w:rPr>
          <w:rFonts w:hint="eastAsia" w:ascii="宋体" w:hAnsi="宋体" w:eastAsia="宋体" w:cs="宋体"/>
          <w:color w:val="auto"/>
          <w:kern w:val="0"/>
          <w:sz w:val="24"/>
          <w:szCs w:val="24"/>
          <w:highlight w:val="none"/>
          <w:lang w:val="en-US" w:eastAsia="zh-CN"/>
        </w:rPr>
        <w:t>30</w:t>
      </w:r>
    </w:p>
    <w:p>
      <w:pPr>
        <w:pStyle w:val="21"/>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\l _Toc23476 </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sz w:val="24"/>
          <w:szCs w:val="24"/>
          <w:highlight w:val="none"/>
        </w:rPr>
        <w:t>第5章 评审方法和标准</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_Toc23476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33</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0"/>
          <w:sz w:val="24"/>
          <w:szCs w:val="24"/>
          <w:highlight w:val="none"/>
        </w:rPr>
        <w:fldChar w:fldCharType="end"/>
      </w:r>
    </w:p>
    <w:p>
      <w:pPr>
        <w:pStyle w:val="24"/>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\l _Toc499 </w:instrText>
      </w:r>
      <w:r>
        <w:rPr>
          <w:rFonts w:hint="eastAsia" w:ascii="宋体" w:hAnsi="宋体" w:eastAsia="宋体" w:cs="宋体"/>
          <w:color w:val="auto"/>
          <w:kern w:val="0"/>
          <w:sz w:val="24"/>
          <w:szCs w:val="24"/>
          <w:highlight w:val="none"/>
        </w:rPr>
        <w:fldChar w:fldCharType="separate"/>
      </w:r>
      <w:r>
        <w:rPr>
          <w:rFonts w:hint="eastAsia" w:ascii="宋体" w:hAnsi="宋体" w:cs="宋体"/>
          <w:color w:val="auto"/>
          <w:sz w:val="24"/>
          <w:szCs w:val="24"/>
          <w:highlight w:val="none"/>
          <w:lang w:val="en-US" w:eastAsia="zh-CN"/>
        </w:rPr>
        <w:t>一、</w:t>
      </w:r>
      <w:r>
        <w:rPr>
          <w:rFonts w:hint="eastAsia" w:ascii="宋体" w:hAnsi="宋体" w:eastAsia="宋体" w:cs="宋体"/>
          <w:color w:val="auto"/>
          <w:sz w:val="24"/>
          <w:szCs w:val="24"/>
          <w:highlight w:val="none"/>
        </w:rPr>
        <w:t>初步评审</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_Toc499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35</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0"/>
          <w:sz w:val="24"/>
          <w:szCs w:val="24"/>
          <w:highlight w:val="none"/>
        </w:rPr>
        <w:fldChar w:fldCharType="end"/>
      </w:r>
    </w:p>
    <w:p>
      <w:pPr>
        <w:pStyle w:val="24"/>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\l _Toc3860 </w:instrText>
      </w:r>
      <w:r>
        <w:rPr>
          <w:rFonts w:hint="eastAsia" w:ascii="宋体" w:hAnsi="宋体" w:eastAsia="宋体" w:cs="宋体"/>
          <w:color w:val="auto"/>
          <w:kern w:val="0"/>
          <w:sz w:val="24"/>
          <w:szCs w:val="24"/>
          <w:highlight w:val="none"/>
        </w:rPr>
        <w:fldChar w:fldCharType="separate"/>
      </w:r>
      <w:r>
        <w:rPr>
          <w:rFonts w:hint="eastAsia" w:ascii="宋体" w:hAnsi="宋体" w:cs="宋体"/>
          <w:color w:val="auto"/>
          <w:kern w:val="0"/>
          <w:sz w:val="24"/>
          <w:szCs w:val="24"/>
          <w:highlight w:val="none"/>
          <w:lang w:val="en-US" w:eastAsia="zh-CN"/>
        </w:rPr>
        <w:t>二、</w:t>
      </w:r>
      <w:r>
        <w:rPr>
          <w:rFonts w:hint="eastAsia" w:ascii="宋体" w:hAnsi="宋体" w:eastAsia="宋体" w:cs="宋体"/>
          <w:color w:val="auto"/>
          <w:sz w:val="24"/>
          <w:szCs w:val="24"/>
          <w:highlight w:val="none"/>
        </w:rPr>
        <w:t>评分细则</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_Toc3860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36</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0"/>
          <w:sz w:val="24"/>
          <w:szCs w:val="24"/>
          <w:highlight w:val="none"/>
        </w:rPr>
        <w:fldChar w:fldCharType="end"/>
      </w:r>
    </w:p>
    <w:p>
      <w:pPr>
        <w:pStyle w:val="21"/>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\l _Toc15882 </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sz w:val="24"/>
          <w:szCs w:val="24"/>
          <w:highlight w:val="none"/>
        </w:rPr>
        <w:t>第6章 响应文件格式</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_Toc15882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41</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0"/>
          <w:sz w:val="24"/>
          <w:szCs w:val="24"/>
          <w:highlight w:val="none"/>
        </w:rPr>
        <w:fldChar w:fldCharType="end"/>
      </w:r>
    </w:p>
    <w:p>
      <w:pPr>
        <w:pStyle w:val="24"/>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\l _Toc27723 </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sz w:val="24"/>
          <w:szCs w:val="24"/>
          <w:highlight w:val="none"/>
        </w:rPr>
        <w:t>一、封面格式</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_Toc27723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41</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0"/>
          <w:sz w:val="24"/>
          <w:szCs w:val="24"/>
          <w:highlight w:val="none"/>
        </w:rPr>
        <w:fldChar w:fldCharType="end"/>
      </w:r>
    </w:p>
    <w:p>
      <w:pPr>
        <w:pStyle w:val="24"/>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\l _Toc13711 </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sz w:val="24"/>
          <w:szCs w:val="24"/>
          <w:highlight w:val="none"/>
        </w:rPr>
        <w:t>二、评审因素索引表</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_Toc13711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42</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0"/>
          <w:sz w:val="24"/>
          <w:szCs w:val="24"/>
          <w:highlight w:val="none"/>
        </w:rPr>
        <w:fldChar w:fldCharType="end"/>
      </w:r>
    </w:p>
    <w:p>
      <w:pPr>
        <w:pStyle w:val="24"/>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\l _Toc7206 </w:instrText>
      </w:r>
      <w:r>
        <w:rPr>
          <w:rFonts w:hint="eastAsia" w:ascii="宋体" w:hAnsi="宋体" w:eastAsia="宋体" w:cs="宋体"/>
          <w:color w:val="auto"/>
          <w:kern w:val="0"/>
          <w:sz w:val="24"/>
          <w:szCs w:val="24"/>
          <w:highlight w:val="none"/>
        </w:rPr>
        <w:fldChar w:fldCharType="separate"/>
      </w:r>
      <w:r>
        <w:rPr>
          <w:rFonts w:hint="eastAsia" w:ascii="宋体" w:hAnsi="宋体" w:cs="宋体"/>
          <w:color w:val="auto"/>
          <w:sz w:val="24"/>
          <w:szCs w:val="24"/>
          <w:highlight w:val="none"/>
          <w:lang w:val="en-US" w:eastAsia="zh-CN"/>
        </w:rPr>
        <w:t>三</w:t>
      </w:r>
      <w:r>
        <w:rPr>
          <w:rFonts w:hint="eastAsia" w:ascii="宋体" w:hAnsi="宋体" w:eastAsia="宋体" w:cs="宋体"/>
          <w:color w:val="auto"/>
          <w:sz w:val="24"/>
          <w:szCs w:val="24"/>
          <w:highlight w:val="none"/>
        </w:rPr>
        <w:t>、报价一览表</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_Toc7206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45</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0"/>
          <w:sz w:val="24"/>
          <w:szCs w:val="24"/>
          <w:highlight w:val="none"/>
        </w:rPr>
        <w:fldChar w:fldCharType="end"/>
      </w:r>
    </w:p>
    <w:p>
      <w:pPr>
        <w:pStyle w:val="24"/>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\l _Toc23154 </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sz w:val="24"/>
          <w:szCs w:val="24"/>
          <w:highlight w:val="none"/>
        </w:rPr>
        <w:t>四、资格证明文件</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_Toc23154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46</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0"/>
          <w:sz w:val="24"/>
          <w:szCs w:val="24"/>
          <w:highlight w:val="none"/>
        </w:rPr>
        <w:fldChar w:fldCharType="end"/>
      </w:r>
    </w:p>
    <w:p>
      <w:pPr>
        <w:pStyle w:val="24"/>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\l _Toc6115 </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sz w:val="24"/>
          <w:szCs w:val="24"/>
          <w:highlight w:val="none"/>
        </w:rPr>
        <w:t>五、商务及技术文件</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_Toc6115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50</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0"/>
          <w:sz w:val="24"/>
          <w:szCs w:val="24"/>
          <w:highlight w:val="none"/>
        </w:rPr>
        <w:fldChar w:fldCharType="end"/>
      </w:r>
    </w:p>
    <w:p>
      <w:pPr>
        <w:pStyle w:val="21"/>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\l _Toc3391 </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sz w:val="24"/>
          <w:szCs w:val="24"/>
          <w:highlight w:val="none"/>
        </w:rPr>
        <w:t>第7章 政府采购合同格式</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_Toc3391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56</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0"/>
          <w:sz w:val="24"/>
          <w:szCs w:val="24"/>
          <w:highlight w:val="none"/>
        </w:rPr>
        <w:fldChar w:fldCharType="end"/>
      </w:r>
    </w:p>
    <w:p>
      <w:pPr>
        <w:pStyle w:val="21"/>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fldChar w:fldCharType="end"/>
      </w:r>
    </w:p>
    <w:p>
      <w:pPr>
        <w:widowControl/>
        <w:jc w:val="left"/>
        <w:rPr>
          <w:rFonts w:hint="eastAsia" w:ascii="宋体" w:hAnsi="宋体" w:eastAsia="宋体" w:cs="宋体"/>
          <w:color w:val="auto"/>
          <w:kern w:val="44"/>
          <w:szCs w:val="20"/>
          <w:highlight w:val="none"/>
        </w:rPr>
      </w:pPr>
      <w:r>
        <w:rPr>
          <w:rFonts w:hint="eastAsia" w:ascii="宋体" w:hAnsi="宋体" w:eastAsia="宋体" w:cs="宋体"/>
          <w:color w:val="auto"/>
          <w:kern w:val="44"/>
          <w:szCs w:val="20"/>
          <w:highlight w:val="none"/>
        </w:rPr>
        <w:br w:type="page"/>
      </w:r>
    </w:p>
    <w:p>
      <w:pPr>
        <w:pStyle w:val="3"/>
        <w:numPr>
          <w:ilvl w:val="0"/>
          <w:numId w:val="1"/>
        </w:numPr>
        <w:tabs>
          <w:tab w:val="clear" w:pos="2850"/>
        </w:tabs>
        <w:spacing w:before="0" w:after="0" w:line="240" w:lineRule="atLeast"/>
        <w:ind w:left="1985" w:hanging="1007"/>
        <w:rPr>
          <w:rFonts w:hint="eastAsia" w:ascii="宋体" w:hAnsi="宋体" w:eastAsia="宋体" w:cs="宋体"/>
          <w:color w:val="auto"/>
          <w:highlight w:val="none"/>
        </w:rPr>
      </w:pPr>
      <w:bookmarkStart w:id="3" w:name="_Toc515647756"/>
      <w:bookmarkStart w:id="4" w:name="_Toc68259613"/>
      <w:bookmarkStart w:id="5" w:name="_Toc29532"/>
      <w:r>
        <w:rPr>
          <w:rFonts w:hint="eastAsia" w:ascii="宋体" w:hAnsi="宋体" w:eastAsia="宋体" w:cs="宋体"/>
          <w:color w:val="auto"/>
          <w:highlight w:val="none"/>
        </w:rPr>
        <w:t>供应商须知</w:t>
      </w:r>
      <w:bookmarkEnd w:id="0"/>
      <w:bookmarkEnd w:id="1"/>
      <w:bookmarkEnd w:id="2"/>
      <w:bookmarkEnd w:id="3"/>
      <w:bookmarkEnd w:id="4"/>
      <w:bookmarkEnd w:id="5"/>
    </w:p>
    <w:p>
      <w:pPr>
        <w:rPr>
          <w:rFonts w:hint="eastAsia" w:ascii="宋体" w:hAnsi="宋体" w:eastAsia="宋体" w:cs="宋体"/>
          <w:color w:val="auto"/>
          <w:highlight w:val="none"/>
        </w:rPr>
      </w:pPr>
    </w:p>
    <w:p>
      <w:pPr>
        <w:pStyle w:val="4"/>
        <w:spacing w:before="0" w:line="240" w:lineRule="atLeast"/>
        <w:ind w:left="565" w:leftChars="12" w:hanging="540"/>
        <w:rPr>
          <w:rFonts w:hint="eastAsia" w:ascii="宋体" w:hAnsi="宋体" w:eastAsia="宋体" w:cs="宋体"/>
          <w:color w:val="auto"/>
          <w:sz w:val="28"/>
          <w:highlight w:val="none"/>
        </w:rPr>
      </w:pPr>
      <w:bookmarkStart w:id="6" w:name="_Toc216582805"/>
      <w:bookmarkStart w:id="7" w:name="_Toc520356143"/>
      <w:bookmarkStart w:id="8" w:name="_Toc515647757"/>
      <w:bookmarkStart w:id="9" w:name="_Toc13427"/>
      <w:bookmarkStart w:id="10" w:name="_Toc21015"/>
      <w:bookmarkStart w:id="11" w:name="_Toc68259614"/>
      <w:bookmarkStart w:id="12" w:name="_Toc21215"/>
      <w:r>
        <w:rPr>
          <w:rFonts w:hint="eastAsia" w:ascii="宋体" w:hAnsi="宋体" w:eastAsia="宋体" w:cs="宋体"/>
          <w:color w:val="auto"/>
          <w:sz w:val="28"/>
          <w:highlight w:val="none"/>
        </w:rPr>
        <w:t xml:space="preserve">一   </w:t>
      </w:r>
      <w:bookmarkEnd w:id="6"/>
      <w:bookmarkEnd w:id="7"/>
      <w:bookmarkEnd w:id="8"/>
      <w:r>
        <w:rPr>
          <w:rFonts w:hint="eastAsia" w:ascii="宋体" w:hAnsi="宋体" w:eastAsia="宋体" w:cs="宋体"/>
          <w:color w:val="auto"/>
          <w:sz w:val="28"/>
          <w:highlight w:val="none"/>
        </w:rPr>
        <w:t>总 则</w:t>
      </w:r>
      <w:bookmarkEnd w:id="9"/>
      <w:bookmarkEnd w:id="10"/>
      <w:bookmarkEnd w:id="11"/>
      <w:bookmarkEnd w:id="12"/>
    </w:p>
    <w:p>
      <w:pPr>
        <w:pageBreakBefore w:val="0"/>
        <w:widowControl w:val="0"/>
        <w:numPr>
          <w:ilvl w:val="0"/>
          <w:numId w:val="0"/>
        </w:numPr>
        <w:kinsoku/>
        <w:wordWrap/>
        <w:overflowPunct/>
        <w:topLinePunct w:val="0"/>
        <w:bidi w:val="0"/>
        <w:spacing w:line="480" w:lineRule="exact"/>
        <w:textAlignment w:val="auto"/>
        <w:rPr>
          <w:rFonts w:hint="eastAsia" w:ascii="宋体" w:hAnsi="宋体" w:eastAsia="宋体" w:cs="宋体"/>
          <w:b/>
          <w:color w:val="auto"/>
          <w:kern w:val="0"/>
          <w:sz w:val="24"/>
          <w:szCs w:val="20"/>
          <w:highlight w:val="none"/>
          <w:u w:val="none"/>
          <w:lang w:val="en-US" w:eastAsia="zh-CN" w:bidi="ar-SA"/>
        </w:rPr>
      </w:pPr>
      <w:r>
        <w:rPr>
          <w:rFonts w:hint="eastAsia" w:ascii="宋体" w:hAnsi="宋体" w:eastAsia="宋体" w:cs="宋体"/>
          <w:b/>
          <w:color w:val="auto"/>
          <w:kern w:val="0"/>
          <w:sz w:val="24"/>
          <w:szCs w:val="20"/>
          <w:highlight w:val="none"/>
          <w:u w:val="none"/>
          <w:lang w:val="en-US" w:eastAsia="zh-CN" w:bidi="ar-SA"/>
        </w:rPr>
        <w:t>倡导及建议：</w:t>
      </w:r>
    </w:p>
    <w:p>
      <w:pPr>
        <w:pStyle w:val="5"/>
        <w:keepNext/>
        <w:keepLines/>
        <w:pageBreakBefore w:val="0"/>
        <w:widowControl w:val="0"/>
        <w:kinsoku/>
        <w:wordWrap/>
        <w:overflowPunct/>
        <w:topLinePunct w:val="0"/>
        <w:autoSpaceDE w:val="0"/>
        <w:autoSpaceDN w:val="0"/>
        <w:bidi w:val="0"/>
        <w:adjustRightInd w:val="0"/>
        <w:snapToGrid w:val="0"/>
        <w:spacing w:before="0" w:after="0" w:line="480" w:lineRule="exact"/>
        <w:textAlignment w:val="auto"/>
        <w:rPr>
          <w:rFonts w:hint="eastAsia" w:ascii="宋体" w:hAnsi="宋体" w:eastAsia="宋体" w:cs="宋体"/>
          <w:b w:val="0"/>
          <w:color w:val="auto"/>
          <w:kern w:val="2"/>
          <w:sz w:val="24"/>
          <w:szCs w:val="24"/>
          <w:highlight w:val="none"/>
          <w:u w:val="none"/>
          <w:lang w:val="en-US" w:eastAsia="zh-CN" w:bidi="ar-SA"/>
        </w:rPr>
      </w:pPr>
      <w:r>
        <w:rPr>
          <w:rFonts w:hint="eastAsia" w:ascii="宋体" w:hAnsi="宋体" w:eastAsia="宋体" w:cs="宋体"/>
          <w:color w:val="auto"/>
          <w:highlight w:val="none"/>
          <w:u w:val="none"/>
          <w:lang w:val="en-US" w:eastAsia="zh-CN"/>
        </w:rPr>
        <w:t xml:space="preserve">  </w:t>
      </w:r>
      <w:r>
        <w:rPr>
          <w:rFonts w:hint="eastAsia" w:ascii="宋体" w:hAnsi="宋体" w:eastAsia="宋体" w:cs="宋体"/>
          <w:b w:val="0"/>
          <w:color w:val="auto"/>
          <w:kern w:val="2"/>
          <w:sz w:val="24"/>
          <w:szCs w:val="24"/>
          <w:highlight w:val="none"/>
          <w:u w:val="none"/>
          <w:lang w:val="en-US" w:eastAsia="zh-CN" w:bidi="ar-SA"/>
        </w:rPr>
        <w:t xml:space="preserve">   响应文件的厚重，不是评定是否中标的因素，更不便于评审专家翻阅及评审。</w:t>
      </w:r>
    </w:p>
    <w:p>
      <w:pPr>
        <w:pStyle w:val="5"/>
        <w:keepNext/>
        <w:keepLines/>
        <w:pageBreakBefore w:val="0"/>
        <w:widowControl w:val="0"/>
        <w:kinsoku/>
        <w:wordWrap/>
        <w:overflowPunct/>
        <w:topLinePunct w:val="0"/>
        <w:autoSpaceDE w:val="0"/>
        <w:autoSpaceDN w:val="0"/>
        <w:bidi w:val="0"/>
        <w:adjustRightInd w:val="0"/>
        <w:snapToGrid w:val="0"/>
        <w:spacing w:before="0" w:after="0" w:line="480" w:lineRule="exact"/>
        <w:ind w:firstLine="480" w:firstLineChars="200"/>
        <w:textAlignment w:val="auto"/>
        <w:rPr>
          <w:rFonts w:hint="eastAsia" w:ascii="宋体" w:hAnsi="宋体" w:eastAsia="宋体" w:cs="宋体"/>
          <w:b w:val="0"/>
          <w:color w:val="auto"/>
          <w:kern w:val="2"/>
          <w:sz w:val="24"/>
          <w:szCs w:val="24"/>
          <w:highlight w:val="none"/>
          <w:u w:val="none"/>
          <w:lang w:val="en-US" w:eastAsia="zh-CN" w:bidi="ar-SA"/>
        </w:rPr>
      </w:pPr>
      <w:r>
        <w:rPr>
          <w:rFonts w:hint="eastAsia" w:ascii="宋体" w:hAnsi="宋体" w:eastAsia="宋体" w:cs="宋体"/>
          <w:b w:val="0"/>
          <w:color w:val="auto"/>
          <w:kern w:val="2"/>
          <w:sz w:val="24"/>
          <w:szCs w:val="24"/>
          <w:highlight w:val="none"/>
          <w:u w:val="none"/>
          <w:lang w:val="en-US" w:eastAsia="zh-CN" w:bidi="ar-SA"/>
        </w:rPr>
        <w:t>当前，我国以习近平生态文明思想为指引，大力推动生态文明建设，坚持走生态优先、绿色低碳的发展道路。为在招投标环节贯彻新发展理念，树立节约资源、保护环境意识，增强节能环保的责任感，在编制响应文件时，临沂大学倡导及建议如下:</w:t>
      </w:r>
    </w:p>
    <w:p>
      <w:pPr>
        <w:pStyle w:val="5"/>
        <w:keepNext/>
        <w:keepLines/>
        <w:pageBreakBefore w:val="0"/>
        <w:widowControl w:val="0"/>
        <w:kinsoku/>
        <w:wordWrap/>
        <w:overflowPunct/>
        <w:topLinePunct w:val="0"/>
        <w:autoSpaceDE w:val="0"/>
        <w:autoSpaceDN w:val="0"/>
        <w:bidi w:val="0"/>
        <w:adjustRightInd w:val="0"/>
        <w:snapToGrid w:val="0"/>
        <w:spacing w:before="0" w:after="0" w:line="480" w:lineRule="exact"/>
        <w:ind w:firstLine="482" w:firstLineChars="200"/>
        <w:textAlignment w:val="auto"/>
        <w:rPr>
          <w:rFonts w:hint="eastAsia" w:ascii="宋体" w:hAnsi="宋体" w:eastAsia="宋体" w:cs="宋体"/>
          <w:b/>
          <w:bCs/>
          <w:color w:val="auto"/>
          <w:highlight w:val="none"/>
          <w:u w:val="single"/>
          <w:lang w:val="en-US" w:eastAsia="zh-CN"/>
        </w:rPr>
      </w:pPr>
      <w:r>
        <w:rPr>
          <w:rFonts w:hint="eastAsia" w:ascii="宋体" w:hAnsi="宋体" w:eastAsia="宋体" w:cs="宋体"/>
          <w:b/>
          <w:bCs/>
          <w:color w:val="auto"/>
          <w:kern w:val="2"/>
          <w:sz w:val="24"/>
          <w:szCs w:val="24"/>
          <w:highlight w:val="none"/>
          <w:u w:val="single"/>
          <w:lang w:val="en-US" w:eastAsia="zh-CN" w:bidi="ar-SA"/>
        </w:rPr>
        <w:t>“除必要的商务文书或要求的证书复印件外，响应文件的正本和副本均须A4纸双面打印”，</w:t>
      </w:r>
      <w:r>
        <w:rPr>
          <w:rFonts w:hint="eastAsia" w:cs="宋体"/>
          <w:b/>
          <w:bCs/>
          <w:color w:val="auto"/>
          <w:kern w:val="2"/>
          <w:sz w:val="24"/>
          <w:szCs w:val="24"/>
          <w:highlight w:val="none"/>
          <w:u w:val="single"/>
          <w:lang w:val="en-US" w:eastAsia="zh-CN" w:bidi="ar-SA"/>
        </w:rPr>
        <w:t>因本项目包较多，同时参与多个包且有共同内容的，可合并装订，</w:t>
      </w:r>
      <w:r>
        <w:rPr>
          <w:rFonts w:hint="eastAsia" w:ascii="宋体" w:hAnsi="宋体" w:eastAsia="宋体" w:cs="宋体"/>
          <w:b/>
          <w:bCs/>
          <w:color w:val="auto"/>
          <w:kern w:val="2"/>
          <w:sz w:val="24"/>
          <w:szCs w:val="24"/>
          <w:highlight w:val="none"/>
          <w:u w:val="single"/>
          <w:lang w:val="en-US" w:eastAsia="zh-CN" w:bidi="ar-SA"/>
        </w:rPr>
        <w:t>感谢支持！！</w:t>
      </w:r>
    </w:p>
    <w:p>
      <w:pPr>
        <w:pStyle w:val="5"/>
        <w:pageBreakBefore w:val="0"/>
        <w:widowControl w:val="0"/>
        <w:kinsoku/>
        <w:wordWrap/>
        <w:overflowPunct/>
        <w:topLinePunct w:val="0"/>
        <w:bidi w:val="0"/>
        <w:spacing w:line="480" w:lineRule="exact"/>
        <w:textAlignment w:val="auto"/>
        <w:rPr>
          <w:rFonts w:hint="eastAsia" w:ascii="宋体" w:hAnsi="宋体" w:eastAsia="宋体" w:cs="宋体"/>
          <w:color w:val="auto"/>
          <w:highlight w:val="none"/>
        </w:rPr>
      </w:pPr>
      <w:bookmarkStart w:id="13" w:name="_Toc520356144"/>
      <w:bookmarkStart w:id="14" w:name="_Toc515647758"/>
      <w:bookmarkStart w:id="15" w:name="_Toc32623"/>
      <w:bookmarkStart w:id="16" w:name="_Toc32189"/>
      <w:r>
        <w:rPr>
          <w:rFonts w:hint="eastAsia" w:ascii="宋体" w:hAnsi="宋体" w:eastAsia="宋体" w:cs="宋体"/>
          <w:color w:val="auto"/>
          <w:highlight w:val="none"/>
        </w:rPr>
        <w:t>1.采购人、采购代理机构及</w:t>
      </w:r>
      <w:bookmarkEnd w:id="13"/>
      <w:r>
        <w:rPr>
          <w:rFonts w:hint="eastAsia" w:ascii="宋体" w:hAnsi="宋体" w:eastAsia="宋体" w:cs="宋体"/>
          <w:color w:val="auto"/>
          <w:highlight w:val="none"/>
        </w:rPr>
        <w:t>供应商</w:t>
      </w:r>
      <w:bookmarkEnd w:id="14"/>
      <w:bookmarkEnd w:id="15"/>
      <w:bookmarkEnd w:id="16"/>
    </w:p>
    <w:p>
      <w:pPr>
        <w:pageBreakBefore w:val="0"/>
        <w:widowControl w:val="0"/>
        <w:numPr>
          <w:ilvl w:val="1"/>
          <w:numId w:val="2"/>
        </w:numPr>
        <w:tabs>
          <w:tab w:val="left" w:pos="0"/>
          <w:tab w:val="clear" w:pos="900"/>
        </w:tabs>
        <w:kinsoku/>
        <w:wordWrap/>
        <w:overflowPunct/>
        <w:topLinePunct w:val="0"/>
        <w:bidi w:val="0"/>
        <w:spacing w:line="480" w:lineRule="exact"/>
        <w:ind w:left="0" w:firstLine="424" w:firstLineChars="17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采购人：是指依法开展政府采购活动的国家机关、事业单位、团体组织。本项目的采购人见</w:t>
      </w:r>
      <w:r>
        <w:rPr>
          <w:rFonts w:hint="eastAsia" w:ascii="宋体" w:hAnsi="宋体" w:eastAsia="宋体" w:cs="宋体"/>
          <w:color w:val="auto"/>
          <w:sz w:val="24"/>
          <w:highlight w:val="none"/>
          <w:u w:val="single"/>
        </w:rPr>
        <w:t>供应商须知资料表</w:t>
      </w:r>
      <w:r>
        <w:rPr>
          <w:rFonts w:hint="eastAsia" w:ascii="宋体" w:hAnsi="宋体" w:eastAsia="宋体" w:cs="宋体"/>
          <w:color w:val="auto"/>
          <w:sz w:val="24"/>
          <w:highlight w:val="none"/>
        </w:rPr>
        <w:t>。</w:t>
      </w:r>
    </w:p>
    <w:p>
      <w:pPr>
        <w:pageBreakBefore w:val="0"/>
        <w:widowControl w:val="0"/>
        <w:numPr>
          <w:ilvl w:val="1"/>
          <w:numId w:val="2"/>
        </w:numPr>
        <w:tabs>
          <w:tab w:val="left" w:pos="0"/>
          <w:tab w:val="clear" w:pos="900"/>
        </w:tabs>
        <w:kinsoku/>
        <w:wordWrap/>
        <w:overflowPunct/>
        <w:topLinePunct w:val="0"/>
        <w:bidi w:val="0"/>
        <w:spacing w:line="480" w:lineRule="exact"/>
        <w:ind w:left="0" w:firstLine="424" w:firstLineChars="17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采购代理机构：是指集中采购机构或从事采购代理业务的社会中介机构，本项目的采购代理机构见供应商须知资料表。</w:t>
      </w:r>
    </w:p>
    <w:p>
      <w:pPr>
        <w:numPr>
          <w:ilvl w:val="1"/>
          <w:numId w:val="2"/>
        </w:numPr>
        <w:tabs>
          <w:tab w:val="left" w:pos="0"/>
          <w:tab w:val="clear" w:pos="900"/>
        </w:tabs>
        <w:spacing w:line="480" w:lineRule="exact"/>
        <w:ind w:left="0" w:firstLine="424" w:firstLineChars="177"/>
        <w:rPr>
          <w:rFonts w:hint="eastAsia" w:ascii="宋体" w:hAnsi="宋体" w:eastAsia="宋体" w:cs="宋体"/>
          <w:color w:val="auto"/>
          <w:sz w:val="24"/>
          <w:highlight w:val="none"/>
        </w:rPr>
      </w:pPr>
      <w:bookmarkStart w:id="17" w:name="_Toc5286"/>
      <w:bookmarkStart w:id="18" w:name="_Toc515647759"/>
      <w:bookmarkStart w:id="19" w:name="_Toc12139"/>
      <w:r>
        <w:rPr>
          <w:rFonts w:hint="eastAsia" w:ascii="宋体" w:hAnsi="宋体" w:eastAsia="宋体" w:cs="宋体"/>
          <w:color w:val="auto"/>
          <w:sz w:val="24"/>
          <w:highlight w:val="none"/>
        </w:rPr>
        <w:t xml:space="preserve"> 供应商：是指响应磋商、参加报价竞争的法人、其他组织或者自然人。潜在供应商：以竞争性磋商文件规定的方式获取本项目竞争性磋商文件的法人、其他组织或者自然人。</w:t>
      </w:r>
    </w:p>
    <w:p>
      <w:pPr>
        <w:spacing w:line="480" w:lineRule="exact"/>
        <w:ind w:firstLine="600" w:firstLineChars="250"/>
        <w:rPr>
          <w:rFonts w:hint="eastAsia" w:ascii="宋体" w:hAnsi="宋体" w:eastAsia="宋体" w:cs="宋体"/>
          <w:color w:val="auto"/>
          <w:sz w:val="24"/>
          <w:highlight w:val="none"/>
        </w:rPr>
      </w:pPr>
      <w:r>
        <w:rPr>
          <w:rFonts w:hint="eastAsia" w:ascii="宋体" w:hAnsi="宋体" w:eastAsia="宋体" w:cs="宋体"/>
          <w:color w:val="auto"/>
          <w:sz w:val="24"/>
          <w:highlight w:val="none"/>
        </w:rPr>
        <w:t>本项目的供应商须满足以下条件：</w:t>
      </w:r>
    </w:p>
    <w:p>
      <w:pPr>
        <w:tabs>
          <w:tab w:val="left" w:pos="0"/>
        </w:tabs>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1.3.1 在中华人民共和国境内注册，能够独立承担民事责任的本国供应商。</w:t>
      </w:r>
    </w:p>
    <w:p>
      <w:pPr>
        <w:tabs>
          <w:tab w:val="left" w:pos="0"/>
        </w:tabs>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1.3.2 具备《中华人民共和国政府采购法》第二十二条关于供应商条件的规定，遵守本项目采购人本级和上级财政部门政府采购的有关规定。</w:t>
      </w:r>
    </w:p>
    <w:p>
      <w:pPr>
        <w:tabs>
          <w:tab w:val="left" w:pos="0"/>
        </w:tabs>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1.3.3 以竞争性磋商文件规定的方式获得了本项目的竞争性磋商文件。</w:t>
      </w:r>
    </w:p>
    <w:p>
      <w:pPr>
        <w:tabs>
          <w:tab w:val="left" w:pos="0"/>
        </w:tabs>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1.3.4 符合供应商须知资料表中规定的其他资格要求。</w:t>
      </w:r>
    </w:p>
    <w:p>
      <w:pPr>
        <w:tabs>
          <w:tab w:val="left" w:pos="0"/>
        </w:tabs>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1.3.5 若供应商须知资料表中写明专门面向中小企业采购的，如供应商为非中小企业，其响应文件将被认定为响应文件无效。</w:t>
      </w:r>
    </w:p>
    <w:p>
      <w:pPr>
        <w:tabs>
          <w:tab w:val="left" w:pos="0"/>
        </w:tabs>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1.4 如供应商须知资料表中允许联合体进行响应，对联合体规定如下：</w:t>
      </w:r>
    </w:p>
    <w:p>
      <w:pPr>
        <w:tabs>
          <w:tab w:val="left" w:pos="0"/>
        </w:tabs>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1.4.1 两个以上供应商可以组成一个联合体，以一个供应商的身份响应。</w:t>
      </w:r>
    </w:p>
    <w:p>
      <w:pPr>
        <w:tabs>
          <w:tab w:val="left" w:pos="0"/>
        </w:tabs>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1.4.2 联合体各方均应符合1.3.2规定。</w:t>
      </w:r>
    </w:p>
    <w:p>
      <w:pPr>
        <w:tabs>
          <w:tab w:val="left" w:pos="0"/>
        </w:tabs>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1.4.3 采购人根据采购项目对供应商的特殊要求，联合体中至少应当有一方符合相关规定。</w:t>
      </w:r>
    </w:p>
    <w:p>
      <w:pPr>
        <w:tabs>
          <w:tab w:val="left" w:pos="0"/>
        </w:tabs>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1.4.4 联合体各方应签订共同响应协议，明确约定联合体各方承担的工作和相应的责任，并将共同响应协议连同响应文件一并提交，否则其响应文件将被认定为无效。</w:t>
      </w:r>
    </w:p>
    <w:p>
      <w:pPr>
        <w:tabs>
          <w:tab w:val="left" w:pos="0"/>
        </w:tabs>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1.4.5 大中型企业、其他自然人、法人或者其他组织与小型、微型企业组成联合体共同参加响应，共同响应协议中应写明小型、微型企业的协议合同金额占到共同响应协议响应总金额的比例。</w:t>
      </w:r>
    </w:p>
    <w:p>
      <w:pPr>
        <w:tabs>
          <w:tab w:val="left" w:pos="0"/>
        </w:tabs>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1.4.6 以联合体形式参加政府采购活动的，联合体各方不得再单独参加或者与其他供应商另外组成联合体参加本项目，否则其响应文件将被认定为无效。</w:t>
      </w:r>
    </w:p>
    <w:p>
      <w:pPr>
        <w:tabs>
          <w:tab w:val="left" w:pos="0"/>
        </w:tabs>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1.4.7 对联合体响应的其他资格要求见供应商须知资料表。</w:t>
      </w:r>
    </w:p>
    <w:p>
      <w:pPr>
        <w:tabs>
          <w:tab w:val="left" w:pos="0"/>
        </w:tabs>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1.5 单位负责人为同一人或者存在直接控股、管理关系的不同供应商，不得参加同一合同项下的政府采购活动，否则其相关响应文件均将被认定为响应文件无效。</w:t>
      </w:r>
    </w:p>
    <w:p>
      <w:pPr>
        <w:tabs>
          <w:tab w:val="left" w:pos="0"/>
        </w:tabs>
        <w:spacing w:line="480" w:lineRule="exact"/>
        <w:ind w:firstLine="426" w:firstLineChars="177"/>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1.6 各供应商须对本项目指定一个项目负责人，对本项目所有事宜全程负责。未经采购人同意中途不得更换项目负责人。</w:t>
      </w:r>
    </w:p>
    <w:p>
      <w:pPr>
        <w:tabs>
          <w:tab w:val="left" w:pos="0"/>
        </w:tabs>
        <w:spacing w:line="480" w:lineRule="exact"/>
        <w:ind w:firstLine="426" w:firstLineChars="177"/>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1.7 关于委托代理人及项目实施负责人的说明：</w:t>
      </w:r>
    </w:p>
    <w:p>
      <w:pPr>
        <w:tabs>
          <w:tab w:val="left" w:pos="0"/>
        </w:tabs>
        <w:spacing w:line="480" w:lineRule="exact"/>
        <w:ind w:firstLine="426" w:firstLineChars="177"/>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为杜绝围标串标现象，营造良好的营商环境，投标委托代理人须为投标单位正式员工，并出具该员工投标前6个月内任意3个月的社保证明。若为新公司成立不足3个月，可提供成立以来的社保即可。</w:t>
      </w:r>
    </w:p>
    <w:p>
      <w:pPr>
        <w:tabs>
          <w:tab w:val="left" w:pos="0"/>
        </w:tabs>
        <w:spacing w:line="480" w:lineRule="exact"/>
        <w:ind w:firstLine="426" w:firstLineChars="177"/>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若该项目有项目实施负责人或经理，也要求为单位正式员工，并出具该员工投标前6个月内任意3个月的社保证明。</w:t>
      </w:r>
    </w:p>
    <w:p>
      <w:pPr>
        <w:pStyle w:val="38"/>
        <w:rPr>
          <w:rFonts w:hint="eastAsia" w:ascii="宋体" w:hAnsi="宋体" w:eastAsia="宋体" w:cs="宋体"/>
          <w:color w:val="auto"/>
          <w:highlight w:val="none"/>
        </w:rPr>
      </w:pPr>
    </w:p>
    <w:p>
      <w:pPr>
        <w:pStyle w:val="5"/>
        <w:bidi w:val="0"/>
        <w:rPr>
          <w:rFonts w:hint="eastAsia" w:ascii="宋体" w:hAnsi="宋体" w:eastAsia="宋体" w:cs="宋体"/>
          <w:color w:val="auto"/>
          <w:highlight w:val="none"/>
        </w:rPr>
      </w:pPr>
      <w:r>
        <w:rPr>
          <w:rFonts w:hint="eastAsia" w:ascii="宋体" w:hAnsi="宋体" w:eastAsia="宋体" w:cs="宋体"/>
          <w:color w:val="auto"/>
          <w:highlight w:val="none"/>
        </w:rPr>
        <w:t>2.资金来源</w:t>
      </w:r>
      <w:bookmarkEnd w:id="17"/>
      <w:bookmarkEnd w:id="18"/>
      <w:bookmarkEnd w:id="19"/>
    </w:p>
    <w:p>
      <w:pPr>
        <w:tabs>
          <w:tab w:val="left" w:pos="0"/>
        </w:tabs>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2.1</w:t>
      </w:r>
      <w:r>
        <w:rPr>
          <w:rFonts w:hint="eastAsia" w:ascii="宋体" w:hAnsi="宋体" w:eastAsia="宋体" w:cs="宋体"/>
          <w:color w:val="auto"/>
          <w:sz w:val="24"/>
          <w:highlight w:val="none"/>
        </w:rPr>
        <w:tab/>
      </w:r>
      <w:r>
        <w:rPr>
          <w:rFonts w:hint="eastAsia" w:ascii="宋体" w:hAnsi="宋体" w:eastAsia="宋体" w:cs="宋体"/>
          <w:color w:val="auto"/>
          <w:sz w:val="24"/>
          <w:highlight w:val="none"/>
        </w:rPr>
        <w:t xml:space="preserve"> 本项目的采购人已获得足以支付本次磋商后所签订的合同项下的资金（包括财政性资金和本项目采购中无法与财政性资金分割的非财政性资金，预采购项目除外。）。</w:t>
      </w:r>
    </w:p>
    <w:p>
      <w:pPr>
        <w:tabs>
          <w:tab w:val="left" w:pos="0"/>
        </w:tabs>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2.2  项目预算金额和分项或分包最高限价见供应商须知资料表。</w:t>
      </w:r>
    </w:p>
    <w:p>
      <w:pPr>
        <w:tabs>
          <w:tab w:val="left" w:pos="0"/>
        </w:tabs>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2.3  供应商报价超过竞争性磋商文件规定的预算金额或者分项、分包最高限价的，其响应文件将被认定为无效。</w:t>
      </w:r>
    </w:p>
    <w:p>
      <w:pPr>
        <w:pStyle w:val="5"/>
        <w:bidi w:val="0"/>
        <w:rPr>
          <w:rFonts w:hint="eastAsia" w:ascii="宋体" w:hAnsi="宋体" w:eastAsia="宋体" w:cs="宋体"/>
          <w:color w:val="auto"/>
          <w:highlight w:val="none"/>
        </w:rPr>
      </w:pPr>
      <w:bookmarkStart w:id="20" w:name="_Toc20526"/>
      <w:bookmarkStart w:id="21" w:name="_Toc515647760"/>
      <w:bookmarkStart w:id="22" w:name="_Toc15936"/>
      <w:bookmarkStart w:id="23" w:name="_Toc520356145"/>
      <w:r>
        <w:rPr>
          <w:rFonts w:hint="eastAsia" w:ascii="宋体" w:hAnsi="宋体" w:eastAsia="宋体" w:cs="宋体"/>
          <w:color w:val="auto"/>
          <w:highlight w:val="none"/>
        </w:rPr>
        <w:t>3.响应费用</w:t>
      </w:r>
      <w:bookmarkEnd w:id="20"/>
      <w:bookmarkEnd w:id="21"/>
      <w:bookmarkEnd w:id="22"/>
      <w:bookmarkEnd w:id="23"/>
    </w:p>
    <w:p>
      <w:pPr>
        <w:tabs>
          <w:tab w:val="left" w:pos="0"/>
        </w:tabs>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不论响应的结果如何，供应商应承担所有与准备和参加响应有关的费用。</w:t>
      </w:r>
    </w:p>
    <w:p>
      <w:pPr>
        <w:pStyle w:val="5"/>
        <w:bidi w:val="0"/>
        <w:rPr>
          <w:rFonts w:hint="eastAsia" w:ascii="宋体" w:hAnsi="宋体" w:eastAsia="宋体" w:cs="宋体"/>
          <w:color w:val="auto"/>
          <w:highlight w:val="none"/>
        </w:rPr>
      </w:pPr>
      <w:bookmarkStart w:id="24" w:name="_Toc4463"/>
      <w:bookmarkStart w:id="25" w:name="_Toc6116"/>
      <w:bookmarkStart w:id="26" w:name="_Toc515647761"/>
      <w:r>
        <w:rPr>
          <w:rFonts w:hint="eastAsia" w:ascii="宋体" w:hAnsi="宋体" w:eastAsia="宋体" w:cs="宋体"/>
          <w:color w:val="auto"/>
          <w:highlight w:val="none"/>
        </w:rPr>
        <w:t>4.适用法律</w:t>
      </w:r>
      <w:bookmarkEnd w:id="24"/>
      <w:bookmarkEnd w:id="25"/>
      <w:bookmarkEnd w:id="26"/>
    </w:p>
    <w:p>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本项目采购人、采购代理机构、供应商、磋商小组的相关行为均受《中华人民共和国政府采购法</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中华人民共和国政府采购法实施条例》及本项目本级和上级财政部门政府采购有关规定的约束和保护。</w:t>
      </w:r>
    </w:p>
    <w:p>
      <w:pPr>
        <w:spacing w:line="480" w:lineRule="exact"/>
        <w:rPr>
          <w:rFonts w:hint="eastAsia" w:ascii="宋体" w:hAnsi="宋体" w:eastAsia="宋体" w:cs="宋体"/>
          <w:color w:val="auto"/>
          <w:sz w:val="24"/>
          <w:highlight w:val="none"/>
        </w:rPr>
      </w:pPr>
    </w:p>
    <w:p>
      <w:pPr>
        <w:pStyle w:val="4"/>
        <w:spacing w:before="0" w:line="480" w:lineRule="exact"/>
        <w:ind w:left="565" w:leftChars="12" w:hanging="540"/>
        <w:rPr>
          <w:rFonts w:hint="eastAsia" w:ascii="宋体" w:hAnsi="宋体" w:eastAsia="宋体" w:cs="宋体"/>
          <w:color w:val="auto"/>
          <w:sz w:val="28"/>
          <w:highlight w:val="none"/>
        </w:rPr>
      </w:pPr>
      <w:bookmarkStart w:id="27" w:name="_Toc520356146"/>
      <w:bookmarkStart w:id="28" w:name="_Toc68259615"/>
      <w:bookmarkStart w:id="29" w:name="_Toc216582806"/>
      <w:bookmarkStart w:id="30" w:name="_Toc32134"/>
      <w:bookmarkStart w:id="31" w:name="_Toc515647762"/>
      <w:bookmarkStart w:id="32" w:name="_Toc4365"/>
      <w:bookmarkStart w:id="33" w:name="_Toc21566"/>
      <w:r>
        <w:rPr>
          <w:rFonts w:hint="eastAsia" w:ascii="宋体" w:hAnsi="宋体" w:eastAsia="宋体" w:cs="宋体"/>
          <w:color w:val="auto"/>
          <w:sz w:val="28"/>
          <w:highlight w:val="none"/>
        </w:rPr>
        <w:t>二   竞争性磋商文件</w:t>
      </w:r>
      <w:bookmarkEnd w:id="27"/>
      <w:bookmarkEnd w:id="28"/>
      <w:bookmarkEnd w:id="29"/>
      <w:bookmarkEnd w:id="30"/>
      <w:bookmarkEnd w:id="31"/>
      <w:bookmarkEnd w:id="32"/>
      <w:bookmarkEnd w:id="33"/>
    </w:p>
    <w:p>
      <w:pPr>
        <w:pStyle w:val="6"/>
        <w:spacing w:line="480" w:lineRule="exact"/>
        <w:rPr>
          <w:rFonts w:hint="eastAsia" w:ascii="宋体" w:hAnsi="宋体" w:eastAsia="宋体" w:cs="宋体"/>
          <w:color w:val="auto"/>
          <w:highlight w:val="none"/>
        </w:rPr>
      </w:pPr>
    </w:p>
    <w:p>
      <w:pPr>
        <w:pStyle w:val="5"/>
        <w:bidi w:val="0"/>
        <w:rPr>
          <w:rFonts w:hint="eastAsia" w:ascii="宋体" w:hAnsi="宋体" w:eastAsia="宋体" w:cs="宋体"/>
          <w:color w:val="auto"/>
          <w:highlight w:val="none"/>
        </w:rPr>
      </w:pPr>
      <w:bookmarkStart w:id="34" w:name="_Toc520356147"/>
      <w:bookmarkStart w:id="35" w:name="_Toc25743"/>
      <w:bookmarkStart w:id="36" w:name="_Toc515647763"/>
      <w:bookmarkStart w:id="37" w:name="_Toc14084"/>
      <w:r>
        <w:rPr>
          <w:rFonts w:hint="eastAsia" w:ascii="宋体" w:hAnsi="宋体" w:eastAsia="宋体" w:cs="宋体"/>
          <w:color w:val="auto"/>
          <w:highlight w:val="none"/>
        </w:rPr>
        <w:t>5.竞争性磋商文件构成</w:t>
      </w:r>
      <w:bookmarkEnd w:id="34"/>
      <w:bookmarkEnd w:id="35"/>
      <w:bookmarkEnd w:id="36"/>
      <w:bookmarkEnd w:id="37"/>
    </w:p>
    <w:p>
      <w:pPr>
        <w:spacing w:line="480" w:lineRule="exact"/>
        <w:ind w:left="900" w:hanging="900" w:hangingChars="375"/>
        <w:rPr>
          <w:rFonts w:hint="eastAsia" w:ascii="宋体" w:hAnsi="宋体" w:eastAsia="宋体" w:cs="宋体"/>
          <w:color w:val="auto"/>
          <w:sz w:val="24"/>
          <w:highlight w:val="none"/>
        </w:rPr>
      </w:pPr>
      <w:r>
        <w:rPr>
          <w:rFonts w:hint="eastAsia" w:ascii="宋体" w:hAnsi="宋体" w:eastAsia="宋体" w:cs="宋体"/>
          <w:color w:val="auto"/>
          <w:sz w:val="24"/>
          <w:highlight w:val="none"/>
        </w:rPr>
        <w:t>5.1  竞争性磋商文件分为2册共7章，内容如下：</w:t>
      </w:r>
    </w:p>
    <w:p>
      <w:pPr>
        <w:spacing w:line="480" w:lineRule="exact"/>
        <w:ind w:left="1079" w:leftChars="428" w:hanging="180" w:hangingChars="75"/>
        <w:rPr>
          <w:rFonts w:hint="eastAsia" w:ascii="宋体" w:hAnsi="宋体" w:eastAsia="宋体" w:cs="宋体"/>
          <w:color w:val="auto"/>
          <w:sz w:val="24"/>
          <w:highlight w:val="none"/>
        </w:rPr>
      </w:pPr>
      <w:r>
        <w:rPr>
          <w:rFonts w:hint="eastAsia" w:ascii="宋体" w:hAnsi="宋体" w:eastAsia="宋体" w:cs="宋体"/>
          <w:color w:val="auto"/>
          <w:sz w:val="24"/>
          <w:highlight w:val="none"/>
        </w:rPr>
        <w:t>第一册</w:t>
      </w:r>
    </w:p>
    <w:p>
      <w:pPr>
        <w:numPr>
          <w:ilvl w:val="0"/>
          <w:numId w:val="3"/>
        </w:numPr>
        <w:spacing w:line="480" w:lineRule="exact"/>
        <w:ind w:left="1081" w:leftChars="429" w:hanging="18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供应商须知</w:t>
      </w:r>
    </w:p>
    <w:p>
      <w:pPr>
        <w:spacing w:line="480" w:lineRule="exact"/>
        <w:ind w:left="1081" w:leftChars="429" w:hanging="180"/>
        <w:rPr>
          <w:rFonts w:hint="eastAsia" w:ascii="宋体" w:hAnsi="宋体" w:eastAsia="宋体" w:cs="宋体"/>
          <w:color w:val="auto"/>
          <w:sz w:val="24"/>
          <w:highlight w:val="none"/>
        </w:rPr>
      </w:pPr>
      <w:r>
        <w:rPr>
          <w:rFonts w:hint="eastAsia" w:ascii="宋体" w:hAnsi="宋体" w:eastAsia="宋体" w:cs="宋体"/>
          <w:color w:val="auto"/>
          <w:sz w:val="24"/>
          <w:highlight w:val="none"/>
        </w:rPr>
        <w:t>第二册</w:t>
      </w:r>
    </w:p>
    <w:p>
      <w:pPr>
        <w:numPr>
          <w:ilvl w:val="0"/>
          <w:numId w:val="3"/>
        </w:numPr>
        <w:spacing w:line="480" w:lineRule="exact"/>
        <w:ind w:left="1081" w:leftChars="429" w:hanging="180"/>
        <w:rPr>
          <w:rFonts w:hint="eastAsia" w:ascii="宋体" w:hAnsi="宋体" w:eastAsia="宋体" w:cs="宋体"/>
          <w:color w:val="auto"/>
          <w:sz w:val="24"/>
          <w:highlight w:val="none"/>
        </w:rPr>
      </w:pPr>
      <w:r>
        <w:rPr>
          <w:rFonts w:hint="eastAsia" w:ascii="宋体" w:hAnsi="宋体" w:eastAsia="宋体" w:cs="宋体"/>
          <w:color w:val="auto"/>
          <w:sz w:val="24"/>
          <w:highlight w:val="none"/>
        </w:rPr>
        <w:t>采购邀请</w:t>
      </w:r>
    </w:p>
    <w:p>
      <w:pPr>
        <w:numPr>
          <w:ilvl w:val="0"/>
          <w:numId w:val="3"/>
        </w:numPr>
        <w:spacing w:line="480" w:lineRule="exact"/>
        <w:ind w:left="1081" w:leftChars="429" w:hanging="180"/>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供应商须知资料表</w:t>
      </w:r>
    </w:p>
    <w:p>
      <w:pPr>
        <w:numPr>
          <w:ilvl w:val="0"/>
          <w:numId w:val="3"/>
        </w:numPr>
        <w:spacing w:line="480" w:lineRule="exact"/>
        <w:ind w:left="1081" w:leftChars="429" w:hanging="180"/>
        <w:rPr>
          <w:rFonts w:hint="eastAsia" w:ascii="宋体" w:hAnsi="宋体" w:eastAsia="宋体" w:cs="宋体"/>
          <w:color w:val="auto"/>
          <w:sz w:val="24"/>
          <w:highlight w:val="none"/>
        </w:rPr>
      </w:pPr>
      <w:r>
        <w:rPr>
          <w:rFonts w:hint="eastAsia" w:ascii="宋体" w:hAnsi="宋体" w:eastAsia="宋体" w:cs="宋体"/>
          <w:color w:val="auto"/>
          <w:sz w:val="24"/>
          <w:highlight w:val="none"/>
        </w:rPr>
        <w:t>服务需求</w:t>
      </w:r>
    </w:p>
    <w:p>
      <w:pPr>
        <w:numPr>
          <w:ilvl w:val="0"/>
          <w:numId w:val="3"/>
        </w:numPr>
        <w:spacing w:line="480" w:lineRule="exact"/>
        <w:ind w:left="1081" w:leftChars="429" w:hanging="180"/>
        <w:rPr>
          <w:rFonts w:hint="eastAsia" w:ascii="宋体" w:hAnsi="宋体" w:eastAsia="宋体" w:cs="宋体"/>
          <w:color w:val="auto"/>
          <w:sz w:val="24"/>
          <w:highlight w:val="none"/>
        </w:rPr>
      </w:pPr>
      <w:r>
        <w:rPr>
          <w:rFonts w:hint="eastAsia" w:ascii="宋体" w:hAnsi="宋体" w:eastAsia="宋体" w:cs="宋体"/>
          <w:color w:val="auto"/>
          <w:sz w:val="24"/>
          <w:highlight w:val="none"/>
        </w:rPr>
        <w:t>评审方法和标准</w:t>
      </w:r>
      <w:r>
        <w:rPr>
          <w:rFonts w:hint="eastAsia" w:ascii="宋体" w:hAnsi="宋体" w:eastAsia="宋体" w:cs="宋体"/>
          <w:color w:val="auto"/>
          <w:sz w:val="24"/>
          <w:highlight w:val="none"/>
        </w:rPr>
        <w:tab/>
      </w:r>
    </w:p>
    <w:p>
      <w:pPr>
        <w:numPr>
          <w:ilvl w:val="0"/>
          <w:numId w:val="3"/>
        </w:numPr>
        <w:spacing w:line="480" w:lineRule="exact"/>
        <w:ind w:left="1081" w:leftChars="429" w:hanging="180"/>
        <w:rPr>
          <w:rFonts w:hint="eastAsia" w:ascii="宋体" w:hAnsi="宋体" w:eastAsia="宋体" w:cs="宋体"/>
          <w:color w:val="auto"/>
          <w:sz w:val="24"/>
          <w:highlight w:val="none"/>
        </w:rPr>
      </w:pPr>
      <w:r>
        <w:rPr>
          <w:rFonts w:hint="eastAsia" w:ascii="宋体" w:hAnsi="宋体" w:eastAsia="宋体" w:cs="宋体"/>
          <w:color w:val="auto"/>
          <w:sz w:val="24"/>
          <w:highlight w:val="none"/>
        </w:rPr>
        <w:t>响应文件格式</w:t>
      </w:r>
    </w:p>
    <w:p>
      <w:pPr>
        <w:numPr>
          <w:ilvl w:val="0"/>
          <w:numId w:val="3"/>
        </w:numPr>
        <w:spacing w:line="480" w:lineRule="exact"/>
        <w:ind w:left="1081" w:leftChars="429" w:hanging="180"/>
        <w:rPr>
          <w:rFonts w:hint="eastAsia" w:ascii="宋体" w:hAnsi="宋体" w:eastAsia="宋体" w:cs="宋体"/>
          <w:color w:val="auto"/>
          <w:sz w:val="24"/>
          <w:highlight w:val="none"/>
        </w:rPr>
      </w:pPr>
      <w:r>
        <w:rPr>
          <w:rFonts w:hint="eastAsia" w:ascii="宋体" w:hAnsi="宋体" w:eastAsia="宋体" w:cs="宋体"/>
          <w:color w:val="auto"/>
          <w:sz w:val="24"/>
          <w:highlight w:val="none"/>
        </w:rPr>
        <w:t>政府采购合同格式</w:t>
      </w:r>
    </w:p>
    <w:p>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5.2  竞争性磋商文件中有不一致的，有澄清的部分以最终的澄清更正内容为准；未澄清的，以供应商须知资料表为准；供应商须知资料表不涉及的内容，以编排在后的描述为准。</w:t>
      </w:r>
    </w:p>
    <w:p>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5.3  供应商应认真阅读竞争性磋商文件所有的事项、格式、条款和技术规范等。如供应商没有按照竞争性磋商文件要求提交全部资料，或者响应文件没有对竞争性磋商文件在各方面都做出实质性响应，可能导致其响应文件将被认定为无效，该风险由供应商承担。</w:t>
      </w:r>
    </w:p>
    <w:p>
      <w:pPr>
        <w:tabs>
          <w:tab w:val="left" w:pos="0"/>
        </w:tabs>
        <w:spacing w:line="480" w:lineRule="exact"/>
        <w:ind w:firstLine="544" w:firstLineChars="227"/>
        <w:rPr>
          <w:rFonts w:hint="eastAsia" w:ascii="宋体" w:hAnsi="宋体" w:eastAsia="宋体" w:cs="宋体"/>
          <w:color w:val="auto"/>
          <w:sz w:val="24"/>
          <w:highlight w:val="none"/>
        </w:rPr>
      </w:pPr>
      <w:bookmarkStart w:id="38" w:name="_Toc520356148"/>
      <w:bookmarkStart w:id="39" w:name="_Toc515904805"/>
      <w:bookmarkStart w:id="40" w:name="_Toc9232"/>
      <w:bookmarkStart w:id="41" w:name="_Toc26044"/>
      <w:r>
        <w:rPr>
          <w:rFonts w:hint="eastAsia" w:ascii="宋体" w:hAnsi="宋体" w:eastAsia="宋体" w:cs="宋体"/>
          <w:color w:val="auto"/>
          <w:sz w:val="24"/>
          <w:highlight w:val="none"/>
        </w:rPr>
        <w:t>5.4  响应文件以中文编印，且以中文为准。</w:t>
      </w:r>
    </w:p>
    <w:p>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5.5  响应文件第二册第三部分“供应商须知资料表”规定组织踏勘现场的，采购人按规定的时间、地点组织供应商踏勘项目现场，踏勘现场所发生的费用由供应商承担。</w:t>
      </w:r>
    </w:p>
    <w:p>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5.6  采购人向供应商提供的有关现场的资料和数据，是采购人现有的能使供应商利用的资料，采购人对供应商由此而做出的推论、理解和结论概不负责。</w:t>
      </w:r>
    </w:p>
    <w:p>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5.7  供应商经过采购人的允许，可进入项目现场踏勘，对服务现场及其范围环境进行考察，以获取有关编制响应</w:t>
      </w:r>
      <w:r>
        <w:rPr>
          <w:rFonts w:hint="eastAsia" w:ascii="宋体" w:hAnsi="宋体" w:eastAsia="宋体" w:cs="宋体"/>
          <w:color w:val="auto"/>
          <w:sz w:val="24"/>
          <w:highlight w:val="none"/>
          <w:lang w:eastAsia="zh-CN"/>
        </w:rPr>
        <w:t>文件</w:t>
      </w:r>
      <w:r>
        <w:rPr>
          <w:rFonts w:hint="eastAsia" w:ascii="宋体" w:hAnsi="宋体" w:eastAsia="宋体" w:cs="宋体"/>
          <w:color w:val="auto"/>
          <w:sz w:val="24"/>
          <w:highlight w:val="none"/>
        </w:rPr>
        <w:t>和签署实施合同所需的各项资料，但供应商及其人员不得因此使采购人及其人员承担有关的责任和蒙受损失。供应商并应对由此次踏勘现场而造成的死亡、人身伤害、财产损失、损害以及</w:t>
      </w:r>
      <w:r>
        <w:rPr>
          <w:rFonts w:hint="eastAsia" w:ascii="宋体" w:hAnsi="宋体" w:cs="宋体"/>
          <w:color w:val="auto"/>
          <w:sz w:val="24"/>
          <w:highlight w:val="none"/>
          <w:lang w:eastAsia="zh-CN"/>
        </w:rPr>
        <w:t>任何其他</w:t>
      </w:r>
      <w:r>
        <w:rPr>
          <w:rFonts w:hint="eastAsia" w:ascii="宋体" w:hAnsi="宋体" w:eastAsia="宋体" w:cs="宋体"/>
          <w:color w:val="auto"/>
          <w:sz w:val="24"/>
          <w:highlight w:val="none"/>
        </w:rPr>
        <w:t>损失、损害和引起的费用和开支承担责任。</w:t>
      </w:r>
    </w:p>
    <w:p>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5.8 不论响应过程和响应文件结果如何，供应商的响应文件（含电子版）均不退还。</w:t>
      </w:r>
    </w:p>
    <w:p>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5.9  除响应文件中另有规定外，响应文件所使用的时间单位“天</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日”均指日历天，且所有时刻均为北京时间。</w:t>
      </w:r>
    </w:p>
    <w:p>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5.10 参与</w:t>
      </w:r>
      <w:r>
        <w:rPr>
          <w:rFonts w:hint="eastAsia" w:ascii="宋体" w:hAnsi="宋体" w:eastAsia="宋体" w:cs="宋体"/>
          <w:color w:val="auto"/>
          <w:sz w:val="24"/>
          <w:highlight w:val="none"/>
          <w:lang w:val="en-US" w:eastAsia="zh-CN"/>
        </w:rPr>
        <w:t>磋商</w:t>
      </w:r>
      <w:r>
        <w:rPr>
          <w:rFonts w:hint="eastAsia" w:ascii="宋体" w:hAnsi="宋体" w:eastAsia="宋体" w:cs="宋体"/>
          <w:color w:val="auto"/>
          <w:sz w:val="24"/>
          <w:highlight w:val="none"/>
        </w:rPr>
        <w:t>活动的各方应对响应文件和响应文件中的商业和技术等秘密保密，违者应对由此造成的后果承担法律责任。</w:t>
      </w:r>
    </w:p>
    <w:p>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5.11 供应商应自行承担其准备和参加响应文件活动发生的所有费用。不论响应文件结果如何，采购人及采购代理机构在任何情况下无义务也无责任承担这些费用。</w:t>
      </w:r>
    </w:p>
    <w:p>
      <w:pPr>
        <w:pStyle w:val="5"/>
        <w:bidi w:val="0"/>
        <w:rPr>
          <w:rFonts w:hint="eastAsia" w:ascii="宋体" w:hAnsi="宋体" w:eastAsia="宋体" w:cs="宋体"/>
          <w:color w:val="auto"/>
          <w:highlight w:val="none"/>
        </w:rPr>
      </w:pPr>
      <w:r>
        <w:rPr>
          <w:rFonts w:hint="eastAsia" w:ascii="宋体" w:hAnsi="宋体" w:eastAsia="宋体" w:cs="宋体"/>
          <w:color w:val="auto"/>
          <w:highlight w:val="none"/>
        </w:rPr>
        <w:t>6.竞争性磋商文件的澄清</w:t>
      </w:r>
      <w:bookmarkEnd w:id="38"/>
      <w:bookmarkEnd w:id="39"/>
      <w:r>
        <w:rPr>
          <w:rFonts w:hint="eastAsia" w:ascii="宋体" w:hAnsi="宋体" w:eastAsia="宋体" w:cs="宋体"/>
          <w:color w:val="auto"/>
          <w:highlight w:val="none"/>
        </w:rPr>
        <w:t>与修改</w:t>
      </w:r>
      <w:bookmarkEnd w:id="40"/>
      <w:bookmarkEnd w:id="41"/>
    </w:p>
    <w:p>
      <w:pPr>
        <w:tabs>
          <w:tab w:val="left" w:pos="0"/>
        </w:tabs>
        <w:spacing w:line="480" w:lineRule="exact"/>
        <w:ind w:firstLine="544" w:firstLineChars="227"/>
        <w:rPr>
          <w:rFonts w:hint="eastAsia" w:ascii="宋体" w:hAnsi="宋体" w:eastAsia="宋体" w:cs="宋体"/>
          <w:color w:val="auto"/>
          <w:sz w:val="24"/>
          <w:highlight w:val="none"/>
        </w:rPr>
      </w:pPr>
      <w:bookmarkStart w:id="42" w:name="_Ref467378678"/>
      <w:bookmarkStart w:id="43" w:name="_Toc515904806"/>
      <w:bookmarkStart w:id="44" w:name="_Toc520356149"/>
      <w:bookmarkStart w:id="45" w:name="_Toc14569"/>
      <w:bookmarkStart w:id="46" w:name="_Toc25635"/>
      <w:r>
        <w:rPr>
          <w:rFonts w:hint="eastAsia" w:ascii="宋体" w:hAnsi="宋体" w:eastAsia="宋体" w:cs="宋体"/>
          <w:color w:val="auto"/>
          <w:sz w:val="24"/>
          <w:highlight w:val="none"/>
        </w:rPr>
        <w:t>6.1 采购人可主动地或在解答供应商提出的澄清问题时对竞争性磋商文件澄清或修改。采购代理机构将以发布澄清（更正）公告的方式，澄清或修改竞争性磋商文件，澄清或修改内容作为竞争性磋商文件的组成部分。</w:t>
      </w:r>
    </w:p>
    <w:p>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6.2 澄清或者修改的内容可能影响响应文件编制的，采购代理机构应当在报价截止时间至少5日前，将以书面或公告等形式通知所有获取竞争性磋商文件的潜在供应商，并对其具有约束力。供应商在收到上述通知后，应及时向采购代理机构回函确认。供应商未回复的，视同已知晓澄清或者修改的内容。</w:t>
      </w:r>
    </w:p>
    <w:p>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因潜在供应商原因或通讯线路故障导致逾期送达或无法送达，采购代理机构不因此承担任何责任，有关的磋商采购活动可以继续有效进行。</w:t>
      </w:r>
    </w:p>
    <w:p>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6.3 供应商认为响应文件存在歧视性条款或不合理要求等需要澄清的，应在规定时间内一次性全部提出。如在规定时间内，供应商对响应文件中的各项条款未提出异议，即</w:t>
      </w:r>
      <w:r>
        <w:rPr>
          <w:rFonts w:hint="eastAsia" w:ascii="宋体" w:hAnsi="宋体" w:cs="宋体"/>
          <w:color w:val="auto"/>
          <w:sz w:val="24"/>
          <w:highlight w:val="none"/>
          <w:lang w:eastAsia="zh-CN"/>
        </w:rPr>
        <w:t>视为</w:t>
      </w:r>
      <w:r>
        <w:rPr>
          <w:rFonts w:hint="eastAsia" w:ascii="宋体" w:hAnsi="宋体" w:eastAsia="宋体" w:cs="宋体"/>
          <w:color w:val="auto"/>
          <w:sz w:val="24"/>
          <w:highlight w:val="none"/>
        </w:rPr>
        <w:t>同意和接受响应文件。</w:t>
      </w:r>
    </w:p>
    <w:p>
      <w:pPr>
        <w:pStyle w:val="5"/>
        <w:bidi w:val="0"/>
        <w:rPr>
          <w:rFonts w:hint="eastAsia" w:ascii="宋体" w:hAnsi="宋体" w:eastAsia="宋体" w:cs="宋体"/>
          <w:color w:val="auto"/>
          <w:highlight w:val="none"/>
        </w:rPr>
      </w:pPr>
      <w:r>
        <w:rPr>
          <w:rFonts w:hint="eastAsia" w:ascii="宋体" w:hAnsi="宋体" w:eastAsia="宋体" w:cs="宋体"/>
          <w:color w:val="auto"/>
          <w:highlight w:val="none"/>
        </w:rPr>
        <w:t>7</w:t>
      </w:r>
      <w:bookmarkEnd w:id="42"/>
      <w:bookmarkEnd w:id="43"/>
      <w:bookmarkEnd w:id="44"/>
      <w:r>
        <w:rPr>
          <w:rFonts w:hint="eastAsia" w:ascii="宋体" w:hAnsi="宋体" w:eastAsia="宋体" w:cs="宋体"/>
          <w:color w:val="auto"/>
          <w:highlight w:val="none"/>
        </w:rPr>
        <w:t>.提交响应文件截止时间的顺延</w:t>
      </w:r>
      <w:bookmarkEnd w:id="45"/>
      <w:bookmarkEnd w:id="46"/>
    </w:p>
    <w:p>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为使供应商准备响应时有足够的时间对竞争性磋商文件的澄清或者修改部分进行研究，采购人将依法决定是否顺延提交响应文件截止时间。</w:t>
      </w:r>
    </w:p>
    <w:p>
      <w:pPr>
        <w:bidi w:val="0"/>
        <w:rPr>
          <w:rFonts w:hint="eastAsia" w:ascii="宋体" w:hAnsi="宋体" w:eastAsia="宋体" w:cs="宋体"/>
          <w:color w:val="auto"/>
          <w:highlight w:val="none"/>
        </w:rPr>
      </w:pPr>
    </w:p>
    <w:p>
      <w:pPr>
        <w:pStyle w:val="4"/>
        <w:tabs>
          <w:tab w:val="left" w:pos="900"/>
        </w:tabs>
        <w:spacing w:before="0" w:line="480" w:lineRule="exact"/>
        <w:ind w:left="565" w:leftChars="12" w:hanging="540"/>
        <w:rPr>
          <w:rFonts w:hint="eastAsia" w:ascii="宋体" w:hAnsi="宋体" w:eastAsia="宋体" w:cs="宋体"/>
          <w:color w:val="auto"/>
          <w:sz w:val="28"/>
          <w:highlight w:val="none"/>
        </w:rPr>
      </w:pPr>
      <w:bookmarkStart w:id="47" w:name="_Toc516367020"/>
      <w:bookmarkStart w:id="48" w:name="_Toc7636"/>
      <w:bookmarkStart w:id="49" w:name="_Toc68259616"/>
      <w:bookmarkStart w:id="50" w:name="_Toc2484"/>
      <w:bookmarkStart w:id="51" w:name="_Toc515647766"/>
      <w:bookmarkStart w:id="52" w:name="_Toc216582807"/>
      <w:bookmarkStart w:id="53" w:name="_Toc30808"/>
      <w:bookmarkStart w:id="54" w:name="_Toc520356150"/>
      <w:r>
        <w:rPr>
          <w:rFonts w:hint="eastAsia" w:ascii="宋体" w:hAnsi="宋体" w:eastAsia="宋体" w:cs="宋体"/>
          <w:color w:val="auto"/>
          <w:sz w:val="28"/>
          <w:highlight w:val="none"/>
        </w:rPr>
        <w:t>三   响应文件</w:t>
      </w:r>
      <w:bookmarkEnd w:id="47"/>
      <w:r>
        <w:rPr>
          <w:rFonts w:hint="eastAsia" w:ascii="宋体" w:hAnsi="宋体" w:eastAsia="宋体" w:cs="宋体"/>
          <w:color w:val="auto"/>
          <w:sz w:val="28"/>
          <w:highlight w:val="none"/>
        </w:rPr>
        <w:t>的编制</w:t>
      </w:r>
      <w:bookmarkEnd w:id="48"/>
      <w:bookmarkEnd w:id="49"/>
      <w:bookmarkEnd w:id="50"/>
      <w:bookmarkEnd w:id="51"/>
      <w:bookmarkEnd w:id="52"/>
      <w:bookmarkEnd w:id="53"/>
      <w:bookmarkEnd w:id="54"/>
    </w:p>
    <w:p>
      <w:pPr>
        <w:pStyle w:val="5"/>
        <w:bidi w:val="0"/>
        <w:rPr>
          <w:rFonts w:hint="eastAsia" w:ascii="宋体" w:hAnsi="宋体" w:eastAsia="宋体" w:cs="宋体"/>
          <w:color w:val="auto"/>
          <w:highlight w:val="none"/>
        </w:rPr>
      </w:pPr>
      <w:bookmarkStart w:id="55" w:name="_Toc51176589"/>
      <w:r>
        <w:rPr>
          <w:rFonts w:hint="eastAsia" w:ascii="宋体" w:hAnsi="宋体" w:eastAsia="宋体" w:cs="宋体"/>
          <w:color w:val="auto"/>
          <w:highlight w:val="none"/>
        </w:rPr>
        <w:t>8. 编制要求</w:t>
      </w:r>
      <w:bookmarkEnd w:id="55"/>
    </w:p>
    <w:p>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8.1 供应商应仔细阅读磋商文件的所有内容，按照磋商文件的要求及格式编制响应文件，并保证其真实性。若供应商没有按照磋商文件要求提交全部实质性要求资料或对实质性要求未作响应是供应商的风险，其响应文件将会被拒绝。</w:t>
      </w:r>
    </w:p>
    <w:p>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8.2 供应商对多个分包进行响应文件的，应以分包为单位编制响应文件，每一包响应文件均需满足本响应文件对响应文件的签署、盖章要求。</w:t>
      </w:r>
    </w:p>
    <w:p>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8.3 封面设置</w:t>
      </w:r>
    </w:p>
    <w:p>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响应文件材料封面设置包括：“响应文件”、项目名称、项目编号、所投包号、供应商名称。</w:t>
      </w:r>
    </w:p>
    <w:p>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8.4 供应商应按响应文件的要求及格式编写其响应文件；不得缺少或留空任何响应文件要求填写的表格或资料。</w:t>
      </w:r>
    </w:p>
    <w:p>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8.5 供应商应编制响应文件目录、内容，标注连续页码。</w:t>
      </w:r>
    </w:p>
    <w:p>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8.6 关于兼投不兼中要求详见：供应商须知资料表。</w:t>
      </w:r>
    </w:p>
    <w:p>
      <w:pPr>
        <w:tabs>
          <w:tab w:val="left" w:pos="0"/>
        </w:tabs>
        <w:spacing w:line="480" w:lineRule="exact"/>
        <w:ind w:firstLine="547" w:firstLineChars="227"/>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8.7</w:t>
      </w:r>
      <w:r>
        <w:rPr>
          <w:rFonts w:hint="eastAsia" w:ascii="宋体" w:hAnsi="宋体" w:eastAsia="宋体" w:cs="宋体"/>
          <w:b/>
          <w:bCs/>
          <w:color w:val="auto"/>
          <w:kern w:val="2"/>
          <w:sz w:val="24"/>
          <w:szCs w:val="24"/>
          <w:highlight w:val="none"/>
          <w:u w:val="none"/>
          <w:lang w:val="en-US" w:eastAsia="zh-CN" w:bidi="ar-SA"/>
        </w:rPr>
        <w:t>“</w:t>
      </w:r>
      <w:r>
        <w:rPr>
          <w:rFonts w:hint="eastAsia" w:ascii="宋体" w:hAnsi="宋体" w:eastAsia="宋体" w:cs="宋体"/>
          <w:b/>
          <w:bCs/>
          <w:color w:val="auto"/>
          <w:sz w:val="24"/>
          <w:highlight w:val="none"/>
          <w:lang w:val="en-US" w:eastAsia="zh-CN"/>
        </w:rPr>
        <w:t>除必要的商务文书或要求的证书复印件外，响应文件的正本和副本均须A4纸双面打印”感谢支持！！</w:t>
      </w:r>
    </w:p>
    <w:p>
      <w:pPr>
        <w:pStyle w:val="5"/>
        <w:bidi w:val="0"/>
        <w:rPr>
          <w:rFonts w:hint="eastAsia" w:ascii="宋体" w:hAnsi="宋体" w:eastAsia="宋体" w:cs="宋体"/>
          <w:color w:val="auto"/>
          <w:highlight w:val="none"/>
        </w:rPr>
      </w:pPr>
      <w:bookmarkStart w:id="56" w:name="_Toc515647767"/>
      <w:bookmarkStart w:id="57" w:name="_Toc3553"/>
      <w:bookmarkStart w:id="58" w:name="_Toc7786"/>
      <w:bookmarkStart w:id="59" w:name="_Toc516367021"/>
      <w:bookmarkStart w:id="60" w:name="_Toc520356151"/>
      <w:r>
        <w:rPr>
          <w:rFonts w:hint="eastAsia" w:ascii="宋体" w:hAnsi="宋体" w:eastAsia="宋体" w:cs="宋体"/>
          <w:color w:val="auto"/>
          <w:highlight w:val="none"/>
        </w:rPr>
        <w:t>9.响应范围及响应文件中标准和计量单位的使用</w:t>
      </w:r>
      <w:bookmarkEnd w:id="56"/>
      <w:bookmarkEnd w:id="57"/>
      <w:bookmarkEnd w:id="58"/>
      <w:bookmarkEnd w:id="59"/>
      <w:bookmarkEnd w:id="60"/>
    </w:p>
    <w:p>
      <w:pPr>
        <w:tabs>
          <w:tab w:val="left" w:pos="0"/>
        </w:tabs>
        <w:spacing w:line="480" w:lineRule="exact"/>
        <w:ind w:firstLine="544" w:firstLineChars="227"/>
        <w:rPr>
          <w:rFonts w:hint="eastAsia" w:ascii="宋体" w:hAnsi="宋体" w:eastAsia="宋体" w:cs="宋体"/>
          <w:color w:val="auto"/>
          <w:sz w:val="24"/>
          <w:highlight w:val="none"/>
        </w:rPr>
      </w:pPr>
      <w:bookmarkStart w:id="61" w:name="_Toc516367022"/>
      <w:bookmarkStart w:id="62" w:name="_Ref467306676"/>
      <w:bookmarkStart w:id="63" w:name="_Ref467306195"/>
      <w:bookmarkStart w:id="64" w:name="_Toc28307"/>
      <w:bookmarkStart w:id="65" w:name="_Toc10364"/>
      <w:bookmarkStart w:id="66" w:name="_Toc520356152"/>
      <w:bookmarkStart w:id="67" w:name="_Toc515647768"/>
      <w:r>
        <w:rPr>
          <w:rFonts w:hint="eastAsia" w:ascii="宋体" w:hAnsi="宋体" w:eastAsia="宋体" w:cs="宋体"/>
          <w:color w:val="auto"/>
          <w:sz w:val="24"/>
          <w:highlight w:val="none"/>
        </w:rPr>
        <w:t>9.1 供应商可对竞争性磋商文件其中一个或几个分包进行响应。除非在供应商须知资料表中另有规定。</w:t>
      </w:r>
    </w:p>
    <w:p>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9.2 供应商应当对竞争性磋商文件中“服务需求”所列的所有内容进行响应，如仅响应某一包中的部分内容，其响应文件将被认定为无效。</w:t>
      </w:r>
    </w:p>
    <w:p>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9.3 无论竞争性磋商文件第4章服务需求中是否要求，供应商所报服务均应符合国家强制性标准。</w:t>
      </w:r>
    </w:p>
    <w:p>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9.4 除竞争性磋商文件中有特殊要求外，响应文件中所使用的计量单位，应采用中华人民共和国法定计量单位。</w:t>
      </w:r>
    </w:p>
    <w:p>
      <w:pPr>
        <w:pStyle w:val="5"/>
        <w:bidi w:val="0"/>
        <w:rPr>
          <w:rFonts w:hint="eastAsia" w:ascii="宋体" w:hAnsi="宋体" w:eastAsia="宋体" w:cs="宋体"/>
          <w:color w:val="auto"/>
          <w:highlight w:val="none"/>
        </w:rPr>
      </w:pPr>
      <w:r>
        <w:rPr>
          <w:rFonts w:hint="eastAsia" w:ascii="宋体" w:hAnsi="宋体" w:eastAsia="宋体" w:cs="宋体"/>
          <w:color w:val="auto"/>
          <w:highlight w:val="none"/>
        </w:rPr>
        <w:t>10.响应文件</w:t>
      </w:r>
      <w:bookmarkEnd w:id="61"/>
      <w:bookmarkEnd w:id="62"/>
      <w:bookmarkEnd w:id="63"/>
      <w:r>
        <w:rPr>
          <w:rFonts w:hint="eastAsia" w:ascii="宋体" w:hAnsi="宋体" w:eastAsia="宋体" w:cs="宋体"/>
          <w:color w:val="auto"/>
          <w:highlight w:val="none"/>
        </w:rPr>
        <w:t>构成</w:t>
      </w:r>
      <w:bookmarkEnd w:id="64"/>
      <w:bookmarkEnd w:id="65"/>
      <w:bookmarkEnd w:id="66"/>
      <w:bookmarkEnd w:id="67"/>
    </w:p>
    <w:p>
      <w:pPr>
        <w:tabs>
          <w:tab w:val="left" w:pos="0"/>
        </w:tabs>
        <w:spacing w:line="480" w:lineRule="exact"/>
        <w:ind w:firstLine="544" w:firstLineChars="227"/>
        <w:rPr>
          <w:rFonts w:hint="eastAsia" w:ascii="宋体" w:hAnsi="宋体" w:eastAsia="宋体" w:cs="宋体"/>
          <w:color w:val="auto"/>
          <w:sz w:val="24"/>
          <w:highlight w:val="none"/>
        </w:rPr>
      </w:pPr>
      <w:bookmarkStart w:id="68" w:name="_Ref467052588"/>
      <w:r>
        <w:rPr>
          <w:rFonts w:hint="eastAsia" w:ascii="宋体" w:hAnsi="宋体" w:eastAsia="宋体" w:cs="宋体"/>
          <w:color w:val="auto"/>
          <w:sz w:val="24"/>
          <w:highlight w:val="none"/>
        </w:rPr>
        <w:t>10.1 供应商应完整地按竞争性磋商文件提供的响应文件格式及要求编写响应文件。竞争性磋商文件中资格审查和符合性审查涉及的事项不满足竞争性磋商文件要求的，其响应文件将被认定为无效。</w:t>
      </w:r>
    </w:p>
    <w:p>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10.2 上述文件应按照竞争性磋商文件规定签署和盖公章或经公章授权的其他单位章（以下统称公章）。采用公章授权方式的，应当在响应文件第一部分附公章授权书（格式自定）。</w:t>
      </w:r>
    </w:p>
    <w:p>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10.3 供应商应提交证明文件，证明其提供内容符合响应文件规定。该证明文件是响应文件的一部分。</w:t>
      </w:r>
    </w:p>
    <w:p>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10.4 上款所述的证明文件，可以是文字资料、图纸和数据等。</w:t>
      </w:r>
    </w:p>
    <w:p>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10.5 本项目采用纸质版响应文件。</w:t>
      </w:r>
    </w:p>
    <w:p>
      <w:pPr>
        <w:tabs>
          <w:tab w:val="left" w:pos="0"/>
        </w:tabs>
        <w:spacing w:line="480" w:lineRule="exact"/>
        <w:ind w:firstLine="547" w:firstLineChars="227"/>
        <w:rPr>
          <w:rFonts w:hint="eastAsia" w:ascii="宋体" w:hAnsi="宋体" w:eastAsia="宋体" w:cs="宋体"/>
          <w:b/>
          <w:color w:val="auto"/>
          <w:sz w:val="24"/>
          <w:highlight w:val="none"/>
        </w:rPr>
      </w:pPr>
      <w:r>
        <w:rPr>
          <w:rFonts w:hint="eastAsia" w:ascii="宋体" w:hAnsi="宋体" w:eastAsia="宋体" w:cs="宋体"/>
          <w:b/>
          <w:color w:val="auto"/>
          <w:sz w:val="24"/>
          <w:highlight w:val="none"/>
        </w:rPr>
        <w:t>10.6 供应商提交的响应文件应包含以下各个部分，具体组成内容见第6章响应文件格式。</w:t>
      </w:r>
    </w:p>
    <w:p>
      <w:pPr>
        <w:tabs>
          <w:tab w:val="left" w:pos="0"/>
        </w:tabs>
        <w:spacing w:line="480" w:lineRule="exact"/>
        <w:ind w:firstLine="547" w:firstLineChars="227"/>
        <w:rPr>
          <w:rFonts w:hint="eastAsia" w:ascii="宋体" w:hAnsi="宋体" w:eastAsia="宋体" w:cs="宋体"/>
          <w:b/>
          <w:color w:val="auto"/>
          <w:sz w:val="24"/>
          <w:highlight w:val="none"/>
        </w:rPr>
      </w:pPr>
      <w:r>
        <w:rPr>
          <w:rFonts w:hint="eastAsia" w:ascii="宋体" w:hAnsi="宋体" w:eastAsia="宋体" w:cs="宋体"/>
          <w:b/>
          <w:color w:val="auto"/>
          <w:sz w:val="24"/>
          <w:highlight w:val="none"/>
        </w:rPr>
        <w:t>10.6.1 商务部分</w:t>
      </w:r>
    </w:p>
    <w:p>
      <w:pPr>
        <w:tabs>
          <w:tab w:val="left" w:pos="0"/>
        </w:tabs>
        <w:spacing w:line="480" w:lineRule="exact"/>
        <w:ind w:firstLine="547" w:firstLineChars="227"/>
        <w:rPr>
          <w:rFonts w:hint="eastAsia" w:ascii="宋体" w:hAnsi="宋体" w:eastAsia="宋体" w:cs="宋体"/>
          <w:b/>
          <w:color w:val="auto"/>
          <w:sz w:val="24"/>
          <w:highlight w:val="none"/>
        </w:rPr>
      </w:pPr>
      <w:r>
        <w:rPr>
          <w:rFonts w:hint="eastAsia" w:ascii="宋体" w:hAnsi="宋体" w:eastAsia="宋体" w:cs="宋体"/>
          <w:b/>
          <w:color w:val="auto"/>
          <w:sz w:val="24"/>
          <w:highlight w:val="none"/>
        </w:rPr>
        <w:t>10.6.2 资信部分</w:t>
      </w:r>
    </w:p>
    <w:p>
      <w:pPr>
        <w:tabs>
          <w:tab w:val="left" w:pos="0"/>
        </w:tabs>
        <w:spacing w:line="480" w:lineRule="exact"/>
        <w:ind w:firstLine="547" w:firstLineChars="227"/>
        <w:rPr>
          <w:rFonts w:hint="eastAsia" w:ascii="宋体" w:hAnsi="宋体" w:eastAsia="宋体" w:cs="宋体"/>
          <w:b/>
          <w:color w:val="auto"/>
          <w:sz w:val="24"/>
          <w:highlight w:val="none"/>
        </w:rPr>
      </w:pPr>
      <w:r>
        <w:rPr>
          <w:rFonts w:hint="eastAsia" w:ascii="宋体" w:hAnsi="宋体" w:eastAsia="宋体" w:cs="宋体"/>
          <w:b/>
          <w:color w:val="auto"/>
          <w:sz w:val="24"/>
          <w:highlight w:val="none"/>
        </w:rPr>
        <w:t>10.6.2.1 供应商须对提交的资格证明真实性、有效性、完整性负责，并保证无不诚信记录。</w:t>
      </w:r>
    </w:p>
    <w:p>
      <w:pPr>
        <w:tabs>
          <w:tab w:val="left" w:pos="0"/>
        </w:tabs>
        <w:spacing w:line="480" w:lineRule="exact"/>
        <w:ind w:firstLine="547" w:firstLineChars="227"/>
        <w:rPr>
          <w:rFonts w:hint="eastAsia" w:ascii="宋体" w:hAnsi="宋体" w:eastAsia="宋体" w:cs="宋体"/>
          <w:b/>
          <w:color w:val="auto"/>
          <w:sz w:val="24"/>
          <w:highlight w:val="none"/>
        </w:rPr>
      </w:pPr>
      <w:r>
        <w:rPr>
          <w:rFonts w:hint="eastAsia" w:ascii="宋体" w:hAnsi="宋体" w:eastAsia="宋体" w:cs="宋体"/>
          <w:b/>
          <w:color w:val="auto"/>
          <w:sz w:val="24"/>
          <w:highlight w:val="none"/>
        </w:rPr>
        <w:t>10.6.2.2 资格证明的字迹、印章必须完整、清晰，否则其响应文件将会被拒绝。</w:t>
      </w:r>
    </w:p>
    <w:p>
      <w:pPr>
        <w:tabs>
          <w:tab w:val="left" w:pos="0"/>
        </w:tabs>
        <w:spacing w:line="480" w:lineRule="exact"/>
        <w:ind w:firstLine="547" w:firstLineChars="227"/>
        <w:rPr>
          <w:rFonts w:hint="eastAsia" w:ascii="宋体" w:hAnsi="宋体" w:eastAsia="宋体" w:cs="宋体"/>
          <w:b/>
          <w:color w:val="auto"/>
          <w:sz w:val="24"/>
          <w:highlight w:val="none"/>
        </w:rPr>
      </w:pPr>
      <w:r>
        <w:rPr>
          <w:rFonts w:hint="eastAsia" w:ascii="宋体" w:hAnsi="宋体" w:eastAsia="宋体" w:cs="宋体"/>
          <w:b/>
          <w:color w:val="auto"/>
          <w:sz w:val="24"/>
          <w:highlight w:val="none"/>
        </w:rPr>
        <w:t>10.6.3 技术部分</w:t>
      </w:r>
    </w:p>
    <w:p>
      <w:pPr>
        <w:tabs>
          <w:tab w:val="left" w:pos="0"/>
        </w:tabs>
        <w:spacing w:line="480" w:lineRule="exact"/>
        <w:ind w:firstLine="547" w:firstLineChars="227"/>
        <w:rPr>
          <w:rFonts w:hint="eastAsia" w:ascii="宋体" w:hAnsi="宋体" w:eastAsia="宋体" w:cs="宋体"/>
          <w:b/>
          <w:color w:val="auto"/>
          <w:sz w:val="24"/>
          <w:highlight w:val="none"/>
        </w:rPr>
      </w:pPr>
      <w:r>
        <w:rPr>
          <w:rFonts w:hint="eastAsia" w:ascii="宋体" w:hAnsi="宋体" w:eastAsia="宋体" w:cs="宋体"/>
          <w:b/>
          <w:color w:val="auto"/>
          <w:sz w:val="24"/>
          <w:highlight w:val="none"/>
        </w:rPr>
        <w:t>10.6.3.1 针对本项目的服务方案及相关承诺</w:t>
      </w:r>
    </w:p>
    <w:p>
      <w:pPr>
        <w:tabs>
          <w:tab w:val="left" w:pos="0"/>
        </w:tabs>
        <w:spacing w:line="480" w:lineRule="exact"/>
        <w:ind w:firstLine="547" w:firstLineChars="227"/>
        <w:rPr>
          <w:rFonts w:hint="eastAsia" w:ascii="宋体" w:hAnsi="宋体" w:eastAsia="宋体" w:cs="宋体"/>
          <w:b/>
          <w:color w:val="auto"/>
          <w:sz w:val="24"/>
          <w:highlight w:val="none"/>
        </w:rPr>
      </w:pPr>
      <w:r>
        <w:rPr>
          <w:rFonts w:hint="eastAsia" w:ascii="宋体" w:hAnsi="宋体" w:eastAsia="宋体" w:cs="宋体"/>
          <w:b/>
          <w:color w:val="auto"/>
          <w:sz w:val="24"/>
          <w:highlight w:val="none"/>
        </w:rPr>
        <w:t xml:space="preserve">10.6.3.2 用于评分的其它材料 </w:t>
      </w:r>
    </w:p>
    <w:bookmarkEnd w:id="68"/>
    <w:p>
      <w:pPr>
        <w:pStyle w:val="5"/>
        <w:bidi w:val="0"/>
        <w:rPr>
          <w:rFonts w:hint="eastAsia" w:ascii="宋体" w:hAnsi="宋体" w:eastAsia="宋体" w:cs="宋体"/>
          <w:color w:val="auto"/>
          <w:highlight w:val="none"/>
        </w:rPr>
      </w:pPr>
      <w:bookmarkStart w:id="69" w:name="_Toc23231"/>
      <w:bookmarkStart w:id="70" w:name="_Toc2248"/>
      <w:bookmarkStart w:id="71" w:name="_Toc515647770"/>
      <w:bookmarkStart w:id="72" w:name="_Toc520356155"/>
      <w:r>
        <w:rPr>
          <w:rFonts w:hint="eastAsia" w:ascii="宋体" w:hAnsi="宋体" w:eastAsia="宋体" w:cs="宋体"/>
          <w:color w:val="auto"/>
          <w:highlight w:val="none"/>
        </w:rPr>
        <w:t>11.</w:t>
      </w:r>
      <w:bookmarkEnd w:id="69"/>
      <w:bookmarkEnd w:id="70"/>
      <w:bookmarkEnd w:id="71"/>
      <w:bookmarkEnd w:id="72"/>
      <w:r>
        <w:rPr>
          <w:rFonts w:hint="eastAsia" w:ascii="宋体" w:hAnsi="宋体" w:eastAsia="宋体" w:cs="宋体"/>
          <w:color w:val="auto"/>
          <w:highlight w:val="none"/>
        </w:rPr>
        <w:t>报价</w:t>
      </w:r>
    </w:p>
    <w:p>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11.1 供应商的报价应当包括满足本次磋商全部采购需求所应提供的服务，以及伴随的货物或工程。报价要求详见供应商须知资料表。供应商的报价应遵守《中华人民共和国价格法》。</w:t>
      </w:r>
    </w:p>
    <w:p>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11.2 供应商应在分项报价表上标明响应服务单价和总价，并由法定代表人（非法人组织的负责人）或其委托代理人签署。</w:t>
      </w:r>
    </w:p>
    <w:p>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11.3 分项报价表上的价格应包括：</w:t>
      </w:r>
      <w:r>
        <w:rPr>
          <w:rFonts w:hint="eastAsia" w:ascii="宋体" w:hAnsi="宋体" w:eastAsia="宋体" w:cs="宋体"/>
          <w:color w:val="auto"/>
          <w:sz w:val="24"/>
          <w:highlight w:val="none"/>
          <w:lang w:val="en-US" w:eastAsia="zh-CN"/>
        </w:rPr>
        <w:t>服务人员</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税金、</w:t>
      </w:r>
      <w:r>
        <w:rPr>
          <w:rFonts w:hint="eastAsia" w:ascii="宋体" w:hAnsi="宋体" w:eastAsia="宋体" w:cs="宋体"/>
          <w:color w:val="auto"/>
          <w:sz w:val="24"/>
          <w:highlight w:val="none"/>
        </w:rPr>
        <w:t>管理和竞争性磋商文件要求提供的所有伴随费用。</w:t>
      </w:r>
    </w:p>
    <w:p>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11.4</w:t>
      </w:r>
      <w:r>
        <w:rPr>
          <w:rFonts w:hint="eastAsia" w:ascii="宋体" w:hAnsi="宋体" w:eastAsia="宋体" w:cs="宋体"/>
          <w:color w:val="auto"/>
          <w:sz w:val="24"/>
          <w:highlight w:val="none"/>
        </w:rPr>
        <w:tab/>
      </w:r>
      <w:r>
        <w:rPr>
          <w:rFonts w:hint="eastAsia" w:ascii="宋体" w:hAnsi="宋体" w:eastAsia="宋体" w:cs="宋体"/>
          <w:color w:val="auto"/>
          <w:sz w:val="24"/>
          <w:highlight w:val="none"/>
        </w:rPr>
        <w:t>供应商所报的各分项单价在合同履行过程中是固定不变的，不得以任何理由予以变更。任何包含价格调整要求的响应文件，其响应文件将被认定为无效。</w:t>
      </w:r>
    </w:p>
    <w:p>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11.5</w:t>
      </w:r>
      <w:r>
        <w:rPr>
          <w:rFonts w:hint="eastAsia" w:ascii="宋体" w:hAnsi="宋体" w:eastAsia="宋体" w:cs="宋体"/>
          <w:color w:val="auto"/>
          <w:sz w:val="24"/>
          <w:highlight w:val="none"/>
        </w:rPr>
        <w:tab/>
      </w:r>
      <w:r>
        <w:rPr>
          <w:rFonts w:hint="eastAsia" w:ascii="宋体" w:hAnsi="宋体" w:eastAsia="宋体" w:cs="宋体"/>
          <w:color w:val="auto"/>
          <w:sz w:val="24"/>
          <w:highlight w:val="none"/>
        </w:rPr>
        <w:t>采购人不接受具有附加条件的报价或多个方案的报价。</w:t>
      </w:r>
    </w:p>
    <w:p>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11.6 通过资格性审查和符合性审查的供应商有再次报价的机会，但每一次报价均应以书面形式确认。价格的评审以最后报价为准。</w:t>
      </w:r>
    </w:p>
    <w:p>
      <w:pPr>
        <w:pStyle w:val="5"/>
        <w:bidi w:val="0"/>
        <w:rPr>
          <w:rFonts w:hint="eastAsia" w:ascii="宋体" w:hAnsi="宋体" w:eastAsia="宋体" w:cs="宋体"/>
          <w:color w:val="auto"/>
          <w:highlight w:val="none"/>
        </w:rPr>
      </w:pPr>
      <w:bookmarkStart w:id="73" w:name="_Toc520356156"/>
      <w:bookmarkStart w:id="74" w:name="_Ref467306513"/>
      <w:bookmarkStart w:id="75" w:name="_Toc17788"/>
      <w:bookmarkStart w:id="76" w:name="_Toc515647771"/>
      <w:bookmarkStart w:id="77" w:name="_Toc11514"/>
      <w:r>
        <w:rPr>
          <w:rFonts w:hint="eastAsia" w:ascii="宋体" w:hAnsi="宋体" w:eastAsia="宋体" w:cs="宋体"/>
          <w:color w:val="auto"/>
          <w:highlight w:val="none"/>
        </w:rPr>
        <w:t>12.磋商保证金</w:t>
      </w:r>
      <w:bookmarkEnd w:id="73"/>
      <w:bookmarkEnd w:id="74"/>
      <w:bookmarkEnd w:id="75"/>
      <w:bookmarkEnd w:id="76"/>
      <w:bookmarkEnd w:id="77"/>
    </w:p>
    <w:p>
      <w:pPr>
        <w:tabs>
          <w:tab w:val="left" w:pos="0"/>
        </w:tabs>
        <w:spacing w:line="480" w:lineRule="exact"/>
        <w:ind w:firstLine="544" w:firstLineChars="227"/>
        <w:rPr>
          <w:rFonts w:hint="eastAsia" w:ascii="宋体" w:hAnsi="宋体" w:eastAsia="宋体" w:cs="宋体"/>
          <w:color w:val="auto"/>
          <w:sz w:val="24"/>
          <w:highlight w:val="none"/>
        </w:rPr>
      </w:pPr>
      <w:bookmarkStart w:id="78" w:name="_Ref467306302"/>
      <w:bookmarkStart w:id="79" w:name="_Toc515647772"/>
      <w:bookmarkStart w:id="80" w:name="_Toc520356157"/>
      <w:bookmarkStart w:id="81" w:name="_Toc23590"/>
      <w:bookmarkStart w:id="82" w:name="_Toc32569"/>
      <w:r>
        <w:rPr>
          <w:rFonts w:hint="eastAsia" w:ascii="宋体" w:hAnsi="宋体" w:eastAsia="宋体" w:cs="宋体"/>
          <w:color w:val="auto"/>
          <w:sz w:val="24"/>
          <w:highlight w:val="none"/>
        </w:rPr>
        <w:t>12.1</w:t>
      </w:r>
      <w:bookmarkEnd w:id="78"/>
      <w:r>
        <w:rPr>
          <w:rFonts w:hint="eastAsia" w:ascii="宋体" w:hAnsi="宋体" w:eastAsia="宋体" w:cs="宋体"/>
          <w:color w:val="auto"/>
          <w:sz w:val="24"/>
          <w:highlight w:val="none"/>
        </w:rPr>
        <w:t xml:space="preserve"> </w:t>
      </w:r>
      <w:r>
        <w:rPr>
          <w:rFonts w:hint="eastAsia" w:ascii="宋体" w:hAnsi="宋体" w:eastAsia="宋体" w:cs="宋体"/>
          <w:b/>
          <w:color w:val="auto"/>
          <w:sz w:val="24"/>
          <w:highlight w:val="none"/>
        </w:rPr>
        <w:t>根据鲁财采【2019】40号的规定，本项目不向诚信记录良好的供应商收取磋商保证金。</w:t>
      </w:r>
    </w:p>
    <w:p>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12.2 供应商在磋商过程及成交后如有违反法律法规的情形，采购代理机构将如实上报政府采购监管部门。</w:t>
      </w:r>
    </w:p>
    <w:p>
      <w:pPr>
        <w:pStyle w:val="5"/>
        <w:bidi w:val="0"/>
        <w:rPr>
          <w:rFonts w:hint="eastAsia" w:ascii="宋体" w:hAnsi="宋体" w:eastAsia="宋体" w:cs="宋体"/>
          <w:color w:val="auto"/>
          <w:highlight w:val="none"/>
        </w:rPr>
      </w:pPr>
      <w:r>
        <w:rPr>
          <w:rFonts w:hint="eastAsia" w:ascii="宋体" w:hAnsi="宋体" w:eastAsia="宋体" w:cs="宋体"/>
          <w:color w:val="auto"/>
          <w:highlight w:val="none"/>
        </w:rPr>
        <w:t>13.响应有效期</w:t>
      </w:r>
      <w:bookmarkEnd w:id="79"/>
      <w:bookmarkEnd w:id="80"/>
      <w:bookmarkEnd w:id="81"/>
      <w:bookmarkEnd w:id="82"/>
    </w:p>
    <w:p>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13.1 响应应在供应商须知资料表中规定时间内保持有效。响应有效期不满足要求的响应，其响应文件将被认定为无效。</w:t>
      </w:r>
    </w:p>
    <w:p>
      <w:pPr>
        <w:tabs>
          <w:tab w:val="left" w:pos="0"/>
        </w:tabs>
        <w:spacing w:line="480" w:lineRule="exact"/>
        <w:ind w:firstLine="544" w:firstLineChars="227"/>
        <w:rPr>
          <w:rFonts w:hint="eastAsia" w:ascii="宋体" w:hAnsi="宋体" w:eastAsia="宋体" w:cs="宋体"/>
          <w:color w:val="auto"/>
          <w:sz w:val="24"/>
          <w:highlight w:val="none"/>
        </w:rPr>
      </w:pPr>
      <w:bookmarkStart w:id="83" w:name="_Toc493"/>
      <w:bookmarkStart w:id="84" w:name="_Toc515647773"/>
      <w:bookmarkStart w:id="85" w:name="_Toc520356158"/>
      <w:bookmarkStart w:id="86" w:name="_Toc17074"/>
      <w:r>
        <w:rPr>
          <w:rFonts w:hint="eastAsia" w:ascii="宋体" w:hAnsi="宋体" w:eastAsia="宋体" w:cs="宋体"/>
          <w:color w:val="auto"/>
          <w:sz w:val="24"/>
          <w:highlight w:val="none"/>
        </w:rPr>
        <w:t>13.2 因特殊原因，采购人或采购代理机构可以在原响应有效期截止之前，要求供应商延长响应文件的有效期。接受该要求的供应商将不会被要求和允许修正其响应，且本须知中有关磋商保证金的要求须在延长的有效期内继续有效。供应商可以拒绝延长响应有效期的要求，且不承担任何责任。上述要求和答复都应以书面形式提交。</w:t>
      </w:r>
    </w:p>
    <w:bookmarkEnd w:id="83"/>
    <w:bookmarkEnd w:id="84"/>
    <w:bookmarkEnd w:id="85"/>
    <w:bookmarkEnd w:id="86"/>
    <w:p>
      <w:pPr>
        <w:pStyle w:val="5"/>
        <w:bidi w:val="0"/>
        <w:rPr>
          <w:rFonts w:hint="eastAsia" w:ascii="宋体" w:hAnsi="宋体" w:eastAsia="宋体" w:cs="宋体"/>
          <w:color w:val="auto"/>
          <w:highlight w:val="none"/>
        </w:rPr>
      </w:pPr>
      <w:bookmarkStart w:id="87" w:name="_Toc19087083"/>
      <w:bookmarkStart w:id="88" w:name="_Toc518923077"/>
      <w:r>
        <w:rPr>
          <w:rFonts w:hint="eastAsia" w:ascii="宋体" w:hAnsi="宋体" w:eastAsia="宋体" w:cs="宋体"/>
          <w:color w:val="auto"/>
          <w:highlight w:val="none"/>
        </w:rPr>
        <w:t>14.响应文件的</w:t>
      </w:r>
      <w:bookmarkEnd w:id="87"/>
      <w:bookmarkEnd w:id="88"/>
      <w:r>
        <w:rPr>
          <w:rFonts w:hint="eastAsia" w:ascii="宋体" w:hAnsi="宋体" w:eastAsia="宋体" w:cs="宋体"/>
          <w:color w:val="auto"/>
          <w:highlight w:val="none"/>
        </w:rPr>
        <w:t>签署及规定</w:t>
      </w:r>
    </w:p>
    <w:p>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14.1 按商务、资信、技术及报价四部分装订成一册响应文件，每册文件正本一份，副本份数见供应商须知资料表。正本和副本的封面上应清楚地标记“正本”或“副本”的字样。当副本和正本不一致时，以正本为准。</w:t>
      </w:r>
    </w:p>
    <w:p>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14.2 响应文件应用不褪色的材料书写或打印，并在规定处由供应商的法定代表人或其授权代表签字或盖单位章。授权代表签字的，响应文件应附法定代表人签署的授权委托书。所有要求签字的地方都应用不褪色的墨水或签字笔由本人亲笔手写签字（包括姓和名），不得用盖章（如签名章、签字章等）代替，也不得由他人代签。响应文件应尽量避免涂改、行间插字或删除。如果出现上述情况，改动之处应加盖单位章或由供应商的法定代表人或其授权代表签字确认。</w:t>
      </w:r>
    </w:p>
    <w:p>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14.3 供应商在响应文件及相关文件的签订、履行、通知等事项书面文件中的单位盖章、印章、公章等处均仅指与当事人名称全称相一致的标准公章，不得使用其他形式（如带有“专用章</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合同章</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财务章</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业务章”等字样）的印章；否则，磋商小组有权据此对其响应作无效报价处理。</w:t>
      </w:r>
    </w:p>
    <w:p>
      <w:pPr>
        <w:spacing w:line="480" w:lineRule="exact"/>
        <w:rPr>
          <w:rFonts w:hint="eastAsia" w:ascii="宋体" w:hAnsi="宋体" w:eastAsia="宋体" w:cs="宋体"/>
          <w:color w:val="auto"/>
          <w:sz w:val="24"/>
          <w:highlight w:val="none"/>
          <w:lang w:val="en-GB"/>
        </w:rPr>
      </w:pPr>
    </w:p>
    <w:p>
      <w:pPr>
        <w:pStyle w:val="4"/>
        <w:spacing w:before="0" w:line="480" w:lineRule="exact"/>
        <w:ind w:left="565" w:leftChars="12" w:hanging="540"/>
        <w:rPr>
          <w:rFonts w:hint="eastAsia" w:ascii="宋体" w:hAnsi="宋体" w:eastAsia="宋体" w:cs="宋体"/>
          <w:color w:val="auto"/>
          <w:sz w:val="28"/>
          <w:szCs w:val="28"/>
          <w:highlight w:val="none"/>
        </w:rPr>
      </w:pPr>
      <w:bookmarkStart w:id="89" w:name="_Toc68259617"/>
      <w:bookmarkStart w:id="90" w:name="_Toc11179"/>
      <w:bookmarkStart w:id="91" w:name="_Toc520356159"/>
      <w:bookmarkStart w:id="92" w:name="_Toc16865"/>
      <w:bookmarkStart w:id="93" w:name="_Toc216582808"/>
      <w:bookmarkStart w:id="94" w:name="_Toc18853"/>
      <w:bookmarkStart w:id="95" w:name="_Toc515647774"/>
      <w:r>
        <w:rPr>
          <w:rFonts w:hint="eastAsia" w:ascii="宋体" w:hAnsi="宋体" w:eastAsia="宋体" w:cs="宋体"/>
          <w:color w:val="auto"/>
          <w:sz w:val="28"/>
          <w:szCs w:val="28"/>
          <w:highlight w:val="none"/>
        </w:rPr>
        <w:t>四   响应文件的递交</w:t>
      </w:r>
      <w:bookmarkEnd w:id="89"/>
      <w:bookmarkEnd w:id="90"/>
      <w:bookmarkEnd w:id="91"/>
      <w:bookmarkEnd w:id="92"/>
      <w:bookmarkEnd w:id="93"/>
      <w:bookmarkEnd w:id="94"/>
      <w:bookmarkEnd w:id="95"/>
    </w:p>
    <w:p>
      <w:pPr>
        <w:pStyle w:val="5"/>
        <w:bidi w:val="0"/>
        <w:rPr>
          <w:rFonts w:hint="eastAsia" w:ascii="宋体" w:hAnsi="宋体" w:eastAsia="宋体" w:cs="宋体"/>
          <w:color w:val="auto"/>
          <w:highlight w:val="none"/>
        </w:rPr>
      </w:pPr>
      <w:bookmarkStart w:id="96" w:name="_Toc21645"/>
      <w:bookmarkStart w:id="97" w:name="_Toc520356160"/>
      <w:bookmarkStart w:id="98" w:name="_Toc32337"/>
      <w:bookmarkStart w:id="99" w:name="_Toc515647775"/>
      <w:r>
        <w:rPr>
          <w:rFonts w:hint="eastAsia" w:ascii="宋体" w:hAnsi="宋体" w:eastAsia="宋体" w:cs="宋体"/>
          <w:color w:val="auto"/>
          <w:highlight w:val="none"/>
        </w:rPr>
        <w:t>15.响应文件的密封和标记</w:t>
      </w:r>
      <w:bookmarkEnd w:id="96"/>
      <w:bookmarkEnd w:id="97"/>
      <w:bookmarkEnd w:id="98"/>
      <w:bookmarkEnd w:id="99"/>
    </w:p>
    <w:p>
      <w:pPr>
        <w:spacing w:line="480" w:lineRule="exact"/>
        <w:ind w:left="1" w:firstLine="283" w:firstLineChars="118"/>
        <w:rPr>
          <w:rFonts w:hint="eastAsia" w:ascii="宋体" w:hAnsi="宋体" w:eastAsia="宋体" w:cs="宋体"/>
          <w:color w:val="auto"/>
          <w:sz w:val="24"/>
          <w:highlight w:val="none"/>
        </w:rPr>
      </w:pPr>
      <w:bookmarkStart w:id="100" w:name="_Toc12751"/>
      <w:bookmarkStart w:id="101" w:name="_Toc46238229"/>
      <w:bookmarkStart w:id="102" w:name="_Toc9840"/>
      <w:bookmarkStart w:id="103" w:name="_Toc515647776"/>
      <w:bookmarkStart w:id="104" w:name="_Toc520356161"/>
      <w:r>
        <w:rPr>
          <w:rFonts w:hint="eastAsia" w:ascii="宋体" w:hAnsi="宋体" w:eastAsia="宋体" w:cs="宋体"/>
          <w:color w:val="auto"/>
          <w:sz w:val="24"/>
          <w:highlight w:val="none"/>
        </w:rPr>
        <w:t xml:space="preserve">15.1供应商应将响应文件以正本、副本、报价一览表（一式三份）、电子版为单位分别密封，并在密封件上标明密封件内容、项目编号、项目名称、供应商名称、包号等。 </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15.2供应商将每部分响应文件装入信袋内加以密封后，并在封签处加盖公章或授权代表签字，如无公章或授权代表签字，响应文件将会被拒收。</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15.3 因供应商对其响应文件密封不当或签署不当而造成响应文件被拒收，由供应商自行负责。</w:t>
      </w:r>
    </w:p>
    <w:p>
      <w:pPr>
        <w:pStyle w:val="5"/>
        <w:spacing w:before="0" w:after="0" w:line="480" w:lineRule="exact"/>
        <w:rPr>
          <w:rFonts w:hint="eastAsia" w:ascii="宋体" w:hAnsi="宋体" w:eastAsia="宋体" w:cs="宋体"/>
          <w:color w:val="auto"/>
          <w:highlight w:val="none"/>
        </w:rPr>
      </w:pPr>
      <w:r>
        <w:rPr>
          <w:rFonts w:hint="eastAsia" w:ascii="宋体" w:hAnsi="宋体" w:eastAsia="宋体" w:cs="宋体"/>
          <w:color w:val="auto"/>
          <w:highlight w:val="none"/>
        </w:rPr>
        <w:t>16.响应文件截止</w:t>
      </w:r>
      <w:bookmarkEnd w:id="100"/>
      <w:bookmarkEnd w:id="101"/>
      <w:bookmarkEnd w:id="102"/>
      <w:bookmarkEnd w:id="103"/>
      <w:bookmarkEnd w:id="104"/>
    </w:p>
    <w:p>
      <w:pPr>
        <w:spacing w:line="480" w:lineRule="exact"/>
        <w:ind w:firstLine="480"/>
        <w:rPr>
          <w:rFonts w:hint="eastAsia" w:ascii="宋体" w:hAnsi="宋体" w:eastAsia="宋体" w:cs="宋体"/>
          <w:color w:val="auto"/>
          <w:sz w:val="24"/>
          <w:highlight w:val="none"/>
        </w:rPr>
      </w:pPr>
      <w:bookmarkStart w:id="105" w:name="_Toc46235089"/>
      <w:bookmarkStart w:id="106" w:name="_Toc520356162"/>
      <w:bookmarkStart w:id="107" w:name="_Toc518923081"/>
      <w:r>
        <w:rPr>
          <w:rFonts w:hint="eastAsia" w:ascii="宋体" w:hAnsi="宋体" w:eastAsia="宋体" w:cs="宋体"/>
          <w:color w:val="auto"/>
          <w:sz w:val="24"/>
          <w:highlight w:val="none"/>
        </w:rPr>
        <w:t>16.1 供应商递交响应文件的时间和地点：见供应商须知资料表。</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16.2</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采购人和采购代理机构将拒绝接收在提交响应文件截止时间后递交的响应文件。</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16.3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供应商所递交的响应文件不予退还。</w:t>
      </w:r>
    </w:p>
    <w:p>
      <w:pPr>
        <w:pStyle w:val="5"/>
        <w:spacing w:before="0" w:after="0" w:line="480" w:lineRule="exact"/>
        <w:rPr>
          <w:rFonts w:hint="eastAsia" w:ascii="宋体" w:hAnsi="宋体" w:eastAsia="宋体" w:cs="宋体"/>
          <w:color w:val="auto"/>
          <w:highlight w:val="none"/>
        </w:rPr>
      </w:pPr>
      <w:r>
        <w:rPr>
          <w:rFonts w:hint="eastAsia" w:ascii="宋体" w:hAnsi="宋体" w:eastAsia="宋体" w:cs="宋体"/>
          <w:color w:val="auto"/>
          <w:highlight w:val="none"/>
        </w:rPr>
        <w:t>17.响应文件的接收、修改与撤回</w:t>
      </w:r>
      <w:bookmarkEnd w:id="105"/>
      <w:bookmarkEnd w:id="106"/>
      <w:bookmarkEnd w:id="107"/>
    </w:p>
    <w:p>
      <w:pPr>
        <w:spacing w:line="480" w:lineRule="exact"/>
        <w:ind w:firstLine="48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17.1 供应商在磋商文件要求提交响应文件的截止时间前，可以修改或者撤回已提交的响应文件，并书面形式通知代理机构。</w:t>
      </w:r>
    </w:p>
    <w:p>
      <w:pPr>
        <w:spacing w:line="480" w:lineRule="exact"/>
        <w:ind w:firstLine="48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17.2 任何修改内容必须由供应商的法定代表人或其委托代理人签字，不得涂抹。经法定代表人或其委托代理人正式签署的修改文件组成响应文件的一部分，份数和密封要求同响应文件一致。</w:t>
      </w:r>
    </w:p>
    <w:p>
      <w:pPr>
        <w:spacing w:line="480" w:lineRule="exact"/>
        <w:ind w:firstLine="48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17.3 磋商有效期内不得撤回，否则其磋商保证金不予退还（若有）。</w:t>
      </w:r>
    </w:p>
    <w:p>
      <w:pPr>
        <w:spacing w:line="480" w:lineRule="exact"/>
        <w:rPr>
          <w:rFonts w:hint="eastAsia" w:ascii="宋体" w:hAnsi="宋体" w:eastAsia="宋体" w:cs="宋体"/>
          <w:color w:val="auto"/>
          <w:sz w:val="24"/>
          <w:highlight w:val="none"/>
        </w:rPr>
      </w:pPr>
    </w:p>
    <w:p>
      <w:pPr>
        <w:pStyle w:val="4"/>
        <w:spacing w:before="0" w:line="480" w:lineRule="exact"/>
        <w:ind w:left="565" w:leftChars="12" w:hanging="540"/>
        <w:rPr>
          <w:rFonts w:hint="eastAsia" w:ascii="宋体" w:hAnsi="宋体" w:eastAsia="宋体" w:cs="宋体"/>
          <w:color w:val="auto"/>
          <w:sz w:val="28"/>
          <w:szCs w:val="28"/>
          <w:highlight w:val="none"/>
        </w:rPr>
      </w:pPr>
      <w:bookmarkStart w:id="108" w:name="_Toc68259618"/>
      <w:bookmarkStart w:id="109" w:name="_Toc28398"/>
      <w:bookmarkStart w:id="110" w:name="_Toc216582809"/>
      <w:bookmarkStart w:id="111" w:name="_Toc19536"/>
      <w:bookmarkStart w:id="112" w:name="_Toc520356163"/>
      <w:bookmarkStart w:id="113" w:name="_Toc515647778"/>
      <w:bookmarkStart w:id="114" w:name="_Toc12436"/>
      <w:r>
        <w:rPr>
          <w:rFonts w:hint="eastAsia" w:ascii="宋体" w:hAnsi="宋体" w:eastAsia="宋体" w:cs="宋体"/>
          <w:color w:val="auto"/>
          <w:sz w:val="28"/>
          <w:szCs w:val="28"/>
          <w:highlight w:val="none"/>
        </w:rPr>
        <w:t>五   提交响应文件截止及磋商</w:t>
      </w:r>
      <w:bookmarkEnd w:id="108"/>
      <w:bookmarkEnd w:id="109"/>
      <w:bookmarkEnd w:id="110"/>
      <w:bookmarkEnd w:id="111"/>
      <w:bookmarkEnd w:id="112"/>
      <w:bookmarkEnd w:id="113"/>
      <w:bookmarkEnd w:id="114"/>
    </w:p>
    <w:p>
      <w:pPr>
        <w:pStyle w:val="5"/>
        <w:bidi w:val="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18.</w:t>
      </w:r>
      <w:r>
        <w:rPr>
          <w:rFonts w:hint="eastAsia" w:ascii="宋体" w:hAnsi="宋体" w:eastAsia="宋体" w:cs="宋体"/>
          <w:color w:val="auto"/>
          <w:highlight w:val="none"/>
        </w:rPr>
        <w:t>提交响应文件截止</w:t>
      </w:r>
    </w:p>
    <w:p>
      <w:pPr>
        <w:spacing w:line="480" w:lineRule="exact"/>
        <w:ind w:firstLine="480"/>
        <w:rPr>
          <w:rFonts w:hint="eastAsia" w:ascii="宋体" w:hAnsi="宋体" w:eastAsia="宋体" w:cs="宋体"/>
          <w:b/>
          <w:color w:val="auto"/>
          <w:sz w:val="24"/>
          <w:highlight w:val="none"/>
        </w:rPr>
      </w:pPr>
      <w:bookmarkStart w:id="115" w:name="_Toc520356165"/>
      <w:bookmarkStart w:id="116" w:name="_Toc515647780"/>
      <w:bookmarkStart w:id="117" w:name="_Toc19296"/>
      <w:bookmarkStart w:id="118" w:name="_Toc21372"/>
      <w:r>
        <w:rPr>
          <w:rFonts w:hint="eastAsia" w:ascii="宋体" w:hAnsi="宋体" w:eastAsia="宋体" w:cs="宋体"/>
          <w:b/>
          <w:color w:val="auto"/>
          <w:sz w:val="24"/>
          <w:highlight w:val="none"/>
        </w:rPr>
        <w:t>18.1 采购人或采购代理机构按照供应商须知资料表规定的时间和地点召开会议。届时请供应商派代表参加，参加会议的代表应签名报到以证明其出席，否则，责任自负。如在响应文件递交截止时间递交响应文件的供应商少于三家，采购代理机构有采取重新采购的权力，且不承担任何费用和责任。</w:t>
      </w:r>
    </w:p>
    <w:p>
      <w:pPr>
        <w:spacing w:line="480" w:lineRule="exact"/>
        <w:ind w:firstLine="480"/>
        <w:rPr>
          <w:rFonts w:hint="eastAsia" w:ascii="宋体" w:hAnsi="宋体" w:eastAsia="宋体" w:cs="宋体"/>
          <w:b/>
          <w:color w:val="auto"/>
          <w:sz w:val="24"/>
          <w:highlight w:val="none"/>
        </w:rPr>
      </w:pPr>
      <w:r>
        <w:rPr>
          <w:rFonts w:hint="eastAsia" w:ascii="宋体" w:hAnsi="宋体" w:eastAsia="宋体" w:cs="宋体"/>
          <w:b/>
          <w:color w:val="auto"/>
          <w:sz w:val="24"/>
          <w:highlight w:val="none"/>
        </w:rPr>
        <w:t>18.2  磋商截止时间后，不允许对响应文件做实质性修改，同时采购人和采购代理机构对所接收响应文件概不退回。</w:t>
      </w:r>
    </w:p>
    <w:p>
      <w:pPr>
        <w:pStyle w:val="5"/>
        <w:bidi w:val="0"/>
        <w:rPr>
          <w:rFonts w:hint="eastAsia" w:ascii="宋体" w:hAnsi="宋体" w:eastAsia="宋体" w:cs="宋体"/>
          <w:color w:val="auto"/>
          <w:highlight w:val="none"/>
        </w:rPr>
      </w:pPr>
      <w:bookmarkStart w:id="119" w:name="_Toc411637993"/>
      <w:r>
        <w:rPr>
          <w:rFonts w:hint="eastAsia" w:ascii="宋体" w:hAnsi="宋体" w:eastAsia="宋体" w:cs="宋体"/>
          <w:color w:val="auto"/>
          <w:highlight w:val="none"/>
        </w:rPr>
        <w:t>19. 磋商小组</w:t>
      </w:r>
      <w:bookmarkEnd w:id="119"/>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19.1 采购代理机构将按照《中华人民共和国政府采购法》及有关规定组建磋商小组。磋商小组由采购人代表及有关经济、技术等方面的专家</w:t>
      </w:r>
      <w:r>
        <w:rPr>
          <w:rFonts w:hint="eastAsia" w:ascii="宋体" w:hAnsi="宋体" w:eastAsia="宋体" w:cs="宋体"/>
          <w:b/>
          <w:bCs/>
          <w:color w:val="auto"/>
          <w:sz w:val="24"/>
          <w:highlight w:val="none"/>
          <w:u w:val="single"/>
        </w:rPr>
        <w:t>3</w:t>
      </w:r>
      <w:r>
        <w:rPr>
          <w:rFonts w:hint="eastAsia" w:ascii="宋体" w:hAnsi="宋体" w:eastAsia="宋体" w:cs="宋体"/>
          <w:color w:val="auto"/>
          <w:sz w:val="24"/>
          <w:highlight w:val="none"/>
        </w:rPr>
        <w:t>人组成。</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19.2 磋商小组具有依据磋商文件进行独立评审的权力，且不受外界任何因素的干扰。磋商小组成员需对评审结果独立写出评审意见，并承担责任。评委成员若拒绝在评审报告上签字且不陈述其不同意理由的，视为同意和接受。</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19.3 磋商小组的职责：</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（1）审查响应文件是否符合磋商文件要求；</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（2）要求供应商对响应文件有关事项做出解释或者澄清；</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（3）按照磋商文件规定的评分标准进行评比和打分；</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（4）推荐成交候选供应商名单，或者受采购人委托按照事先确定的办法直接确定成交供应商；</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（5）向采购单位或者有关部门报告非法干预评审工作的行为。</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19.4 磋商小组的义务：</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（1）遵纪守法，客观、公正、廉洁地履行职责；</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（2）根据采购文件的规定独立进行评审，对个人的评审意见承担法律责任；</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（3）参与评审报告的起草；</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（4）配合采购人、采购代理机构答复供应商提出的质疑；</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（5）配合财政部门的投诉处理和监督检查工作。</w:t>
      </w:r>
    </w:p>
    <w:p>
      <w:pPr>
        <w:pStyle w:val="5"/>
        <w:bidi w:val="0"/>
        <w:rPr>
          <w:rFonts w:hint="eastAsia" w:ascii="宋体" w:hAnsi="宋体" w:eastAsia="宋体" w:cs="宋体"/>
          <w:color w:val="auto"/>
          <w:highlight w:val="none"/>
        </w:rPr>
      </w:pPr>
      <w:r>
        <w:rPr>
          <w:rFonts w:hint="eastAsia" w:ascii="宋体" w:hAnsi="宋体" w:eastAsia="宋体" w:cs="宋体"/>
          <w:color w:val="auto"/>
          <w:highlight w:val="none"/>
        </w:rPr>
        <w:t>20.</w:t>
      </w:r>
      <w:bookmarkEnd w:id="115"/>
      <w:r>
        <w:rPr>
          <w:rFonts w:hint="eastAsia" w:ascii="宋体" w:hAnsi="宋体" w:eastAsia="宋体" w:cs="宋体"/>
          <w:color w:val="auto"/>
          <w:highlight w:val="none"/>
        </w:rPr>
        <w:t>资格审查</w:t>
      </w:r>
      <w:bookmarkEnd w:id="116"/>
      <w:bookmarkEnd w:id="117"/>
      <w:bookmarkEnd w:id="118"/>
    </w:p>
    <w:p>
      <w:pPr>
        <w:spacing w:line="480" w:lineRule="exact"/>
        <w:ind w:firstLine="480"/>
        <w:rPr>
          <w:rFonts w:hint="eastAsia" w:ascii="宋体" w:hAnsi="宋体" w:eastAsia="宋体" w:cs="宋体"/>
          <w:color w:val="auto"/>
          <w:sz w:val="24"/>
          <w:highlight w:val="none"/>
        </w:rPr>
      </w:pPr>
      <w:bookmarkStart w:id="120" w:name="_Toc520356166"/>
      <w:bookmarkStart w:id="121" w:name="_Toc28479"/>
      <w:bookmarkStart w:id="122" w:name="_Toc515647781"/>
      <w:bookmarkStart w:id="123" w:name="_Toc19949"/>
      <w:r>
        <w:rPr>
          <w:rFonts w:hint="eastAsia" w:ascii="宋体" w:hAnsi="宋体" w:eastAsia="宋体" w:cs="宋体"/>
          <w:color w:val="auto"/>
          <w:sz w:val="24"/>
          <w:highlight w:val="none"/>
        </w:rPr>
        <w:t>20.1 磋商小组依据法律法规和竞争性磋商文件中规定的内容，对供应商的资格进行审查。未通过资格审查的供应商不进入磋商；通过资格审查的供应商不足3家的，不得磋商。</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20.2 采购人或采购代理机构将按供应商须知资料表查询供应商的信用记录。</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20.2.1供应商在中国政府采购网（</w:t>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"http://www.ccgp.gov.cn"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www.ccgp.gov.cn</w:t>
      </w:r>
      <w:r>
        <w:rPr>
          <w:rFonts w:hint="eastAsia" w:ascii="宋体" w:hAnsi="宋体" w:eastAsia="宋体" w:cs="宋体"/>
          <w:color w:val="auto"/>
          <w:highlight w:val="none"/>
        </w:rPr>
        <w:fldChar w:fldCharType="end"/>
      </w:r>
      <w:r>
        <w:rPr>
          <w:rFonts w:hint="eastAsia" w:ascii="宋体" w:hAnsi="宋体" w:eastAsia="宋体" w:cs="宋体"/>
          <w:color w:val="auto"/>
          <w:sz w:val="24"/>
          <w:highlight w:val="none"/>
        </w:rPr>
        <w:t>）被列入政府采购严重违法失信行为记录名单，或在“信用中国”网站（</w:t>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"http://www.creditchina.gov.cn"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www.creditchina.gov.cn</w:t>
      </w:r>
      <w:r>
        <w:rPr>
          <w:rFonts w:hint="eastAsia" w:ascii="宋体" w:hAnsi="宋体" w:eastAsia="宋体" w:cs="宋体"/>
          <w:color w:val="auto"/>
          <w:highlight w:val="none"/>
        </w:rPr>
        <w:fldChar w:fldCharType="end"/>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或</w:t>
      </w:r>
      <w:r>
        <w:rPr>
          <w:rFonts w:hint="eastAsia" w:ascii="宋体" w:hAnsi="宋体" w:eastAsia="宋体" w:cs="宋体"/>
          <w:color w:val="auto"/>
          <w:sz w:val="24"/>
          <w:highlight w:val="none"/>
        </w:rPr>
        <w:t>“信用山东”网站（</w:t>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"http://www.creditsd.gov.cn"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www.creditsd.gov.cn</w:t>
      </w:r>
      <w:r>
        <w:rPr>
          <w:rFonts w:hint="eastAsia" w:ascii="宋体" w:hAnsi="宋体" w:eastAsia="宋体" w:cs="宋体"/>
          <w:color w:val="auto"/>
          <w:highlight w:val="none"/>
        </w:rPr>
        <w:fldChar w:fldCharType="end"/>
      </w:r>
      <w:r>
        <w:rPr>
          <w:rFonts w:hint="eastAsia" w:ascii="宋体" w:hAnsi="宋体" w:eastAsia="宋体" w:cs="宋体"/>
          <w:color w:val="auto"/>
          <w:sz w:val="24"/>
          <w:highlight w:val="none"/>
        </w:rPr>
        <w:t>）被列入失信被执行人、</w:t>
      </w:r>
      <w:r>
        <w:rPr>
          <w:rFonts w:hint="eastAsia" w:ascii="宋体" w:hAnsi="宋体" w:eastAsia="宋体" w:cs="宋体"/>
          <w:color w:val="auto"/>
          <w:sz w:val="24"/>
          <w:highlight w:val="none"/>
          <w:lang w:eastAsia="zh-CN"/>
        </w:rPr>
        <w:t>重大税收违法失信主体</w:t>
      </w:r>
      <w:r>
        <w:rPr>
          <w:rFonts w:hint="eastAsia" w:ascii="宋体" w:hAnsi="宋体" w:eastAsia="宋体" w:cs="宋体"/>
          <w:color w:val="auto"/>
          <w:sz w:val="24"/>
          <w:highlight w:val="none"/>
        </w:rPr>
        <w:t>，以及存在《中华人民共和国政府采购法实施条例》第十九条规定的行政处罚记录。</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以联合体形式进行响应的，联合体任何成员存在以上不良信用记录的，联合体其响应文件将被认定为无效</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20.2.2 采购人或采购代理机构将信用记录查询网页打印并存档备查。供应商信用记录以采购人或采购代理机构查询结果为准。供应商自行提供的与网站信息不一致的其他证明材料亦不作为资格审查的依据。</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在本竞争性磋商文件规定的查询时间之后，网站信息发生的任何变更均不再作为磋商依据。</w:t>
      </w:r>
    </w:p>
    <w:p>
      <w:pPr>
        <w:spacing w:line="440" w:lineRule="exact"/>
        <w:ind w:firstLine="480" w:firstLineChars="200"/>
        <w:rPr>
          <w:rFonts w:hint="eastAsia" w:ascii="宋体" w:hAnsi="宋体" w:eastAsia="宋体" w:cs="宋体"/>
          <w:color w:val="auto"/>
          <w:highlight w:val="none"/>
        </w:rPr>
      </w:pPr>
      <w:r>
        <w:rPr>
          <w:rFonts w:hint="eastAsia" w:ascii="宋体" w:hAnsi="宋体" w:eastAsia="宋体" w:cs="宋体"/>
          <w:color w:val="auto"/>
          <w:sz w:val="24"/>
          <w:highlight w:val="none"/>
        </w:rPr>
        <w:t>2</w:t>
      </w:r>
      <w:r>
        <w:rPr>
          <w:rFonts w:hint="eastAsia" w:ascii="宋体" w:hAnsi="宋体" w:eastAsia="宋体" w:cs="宋体"/>
          <w:color w:val="auto"/>
          <w:sz w:val="24"/>
          <w:highlight w:val="none"/>
          <w:lang w:val="en-US" w:eastAsia="zh-CN"/>
        </w:rPr>
        <w:t>0</w:t>
      </w:r>
      <w:r>
        <w:rPr>
          <w:rFonts w:hint="eastAsia" w:ascii="宋体" w:hAnsi="宋体" w:eastAsia="宋体" w:cs="宋体"/>
          <w:color w:val="auto"/>
          <w:sz w:val="24"/>
          <w:highlight w:val="none"/>
        </w:rPr>
        <w:t xml:space="preserve">.3 </w:t>
      </w:r>
      <w:r>
        <w:rPr>
          <w:rFonts w:hint="eastAsia" w:ascii="宋体" w:hAnsi="宋体" w:eastAsia="宋体" w:cs="宋体"/>
          <w:b w:val="0"/>
          <w:bCs w:val="0"/>
          <w:color w:val="auto"/>
          <w:sz w:val="24"/>
          <w:highlight w:val="none"/>
        </w:rPr>
        <w:t>根据《政府采购促进中小企业发展管理办法》（财库〔2020〕46号）、《财政部司法部关于政府采购支持监狱企业发展有关问题的通知》（财库〔2014〕68号）和《三部门联合发布关于促进残疾人就业政府采购政策的通知》（</w:t>
      </w:r>
      <w:bookmarkStart w:id="124" w:name="sendNo"/>
      <w:r>
        <w:rPr>
          <w:rFonts w:hint="eastAsia" w:ascii="宋体" w:hAnsi="宋体" w:eastAsia="宋体" w:cs="宋体"/>
          <w:b w:val="0"/>
          <w:bCs w:val="0"/>
          <w:color w:val="auto"/>
          <w:sz w:val="24"/>
          <w:highlight w:val="none"/>
        </w:rPr>
        <w:t>财库〔</w:t>
      </w:r>
      <w:bookmarkEnd w:id="124"/>
      <w:r>
        <w:rPr>
          <w:rFonts w:hint="eastAsia" w:ascii="宋体" w:hAnsi="宋体" w:eastAsia="宋体" w:cs="宋体"/>
          <w:b w:val="0"/>
          <w:bCs w:val="0"/>
          <w:color w:val="auto"/>
          <w:sz w:val="24"/>
          <w:highlight w:val="none"/>
        </w:rPr>
        <w:t>2017〕141号）的规定，对满足中小微企业条件且在响应文件中提交了相关声明函</w:t>
      </w:r>
      <w:r>
        <w:rPr>
          <w:rFonts w:hint="eastAsia" w:ascii="宋体" w:hAnsi="宋体" w:eastAsia="宋体" w:cs="宋体"/>
          <w:b w:val="0"/>
          <w:bCs w:val="0"/>
          <w:color w:val="auto"/>
          <w:sz w:val="24"/>
          <w:highlight w:val="none"/>
          <w:lang w:val="en-US" w:eastAsia="zh-CN"/>
        </w:rPr>
        <w:t>的残疾人企业</w:t>
      </w:r>
      <w:r>
        <w:rPr>
          <w:rFonts w:hint="eastAsia" w:ascii="宋体" w:hAnsi="宋体" w:eastAsia="宋体" w:cs="宋体"/>
          <w:b w:val="0"/>
          <w:bCs w:val="0"/>
          <w:color w:val="auto"/>
          <w:sz w:val="24"/>
          <w:highlight w:val="none"/>
        </w:rPr>
        <w:t>或省级以上监狱管理局、戒毒管理局（含新疆生产建设兵团）出具的属于监狱企业的证明文件的供应商</w:t>
      </w:r>
      <w:r>
        <w:rPr>
          <w:rFonts w:hint="eastAsia" w:ascii="宋体" w:hAnsi="宋体" w:cs="宋体"/>
          <w:b w:val="0"/>
          <w:bCs w:val="0"/>
          <w:color w:val="auto"/>
          <w:sz w:val="24"/>
          <w:highlight w:val="none"/>
          <w:lang w:val="en-US" w:eastAsia="zh-CN"/>
        </w:rPr>
        <w:t>均符合</w:t>
      </w:r>
      <w:r>
        <w:rPr>
          <w:rFonts w:hint="eastAsia" w:ascii="宋体" w:hAnsi="宋体" w:eastAsia="宋体" w:cs="宋体"/>
          <w:b w:val="0"/>
          <w:bCs w:val="0"/>
          <w:color w:val="auto"/>
          <w:sz w:val="24"/>
          <w:highlight w:val="none"/>
        </w:rPr>
        <w:t>投标报价扣除要求。</w:t>
      </w:r>
    </w:p>
    <w:p>
      <w:pPr>
        <w:pStyle w:val="5"/>
        <w:bidi w:val="0"/>
        <w:rPr>
          <w:rFonts w:hint="eastAsia" w:ascii="宋体" w:hAnsi="宋体" w:eastAsia="宋体" w:cs="宋体"/>
          <w:color w:val="auto"/>
          <w:highlight w:val="none"/>
        </w:rPr>
      </w:pPr>
      <w:r>
        <w:rPr>
          <w:rFonts w:hint="eastAsia" w:ascii="宋体" w:hAnsi="宋体" w:eastAsia="宋体" w:cs="宋体"/>
          <w:color w:val="auto"/>
          <w:highlight w:val="none"/>
        </w:rPr>
        <w:t>21.响应文件</w:t>
      </w:r>
      <w:bookmarkEnd w:id="120"/>
      <w:r>
        <w:rPr>
          <w:rFonts w:hint="eastAsia" w:ascii="宋体" w:hAnsi="宋体" w:eastAsia="宋体" w:cs="宋体"/>
          <w:color w:val="auto"/>
          <w:highlight w:val="none"/>
        </w:rPr>
        <w:t>符合性审查与澄清</w:t>
      </w:r>
      <w:bookmarkEnd w:id="121"/>
      <w:bookmarkEnd w:id="122"/>
      <w:bookmarkEnd w:id="123"/>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21.1  符合性审查是指依据竞争性磋商文件的规定，从响应文件的有效性、完整性和响应程度对竞争性磋商文件的响应程度进行审查，以确定是否对竞争性磋商文件的实质性要求做出响应。</w:t>
      </w:r>
      <w:bookmarkStart w:id="125" w:name="_Hlt522424701"/>
      <w:bookmarkEnd w:id="125"/>
      <w:bookmarkStart w:id="126" w:name="_Toc520356167"/>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21.2  经磋商小组集体审核通过，对于不符合条件的供应商要说明其不符合要求的原因，由其法定代表人或授权代表签字确认，供应商代表拒不签字的，并不影响磋商小组所做出的结论。</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21.3</w:t>
      </w:r>
      <w:r>
        <w:rPr>
          <w:rFonts w:hint="eastAsia" w:ascii="宋体" w:hAnsi="宋体" w:eastAsia="宋体" w:cs="宋体"/>
          <w:color w:val="auto"/>
          <w:sz w:val="24"/>
          <w:highlight w:val="none"/>
        </w:rPr>
        <w:tab/>
      </w:r>
      <w:r>
        <w:rPr>
          <w:rFonts w:hint="eastAsia" w:ascii="宋体" w:hAnsi="宋体" w:eastAsia="宋体" w:cs="宋体"/>
          <w:color w:val="auto"/>
          <w:sz w:val="24"/>
          <w:highlight w:val="none"/>
        </w:rPr>
        <w:t>响应文件的澄清</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21.3.1 在磋商期间，磋商小组将以书面方式要求供应商对其响应文件中含义不明确、对同类问题表述不一致或者有明显文字和计算错误的内容，以及磋商小组认为供应商的报价明显低于其他通过符合性检查供应商的报价，有可能影响履约的情况作必要的澄清、说明或补正。供应商的澄清、说明或补正应在磋商小组规定的时间内以书面方式进行，并不得超出响应文件范围或者改变响应文件的实质性内容。</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21.3.2 供应商的澄清、说明或补正将作为响应文件的一部分。</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21.3.3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21.4  已提交响应文件的供应商，在提交最后报价之前，可以根据磋商情况退出磋商。</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21.5 磋商小组可以接受响应文件中不构成实质性偏离的不正规或不一致。</w:t>
      </w:r>
    </w:p>
    <w:p>
      <w:pPr>
        <w:pStyle w:val="5"/>
        <w:bidi w:val="0"/>
        <w:rPr>
          <w:rFonts w:hint="eastAsia" w:ascii="宋体" w:hAnsi="宋体" w:eastAsia="宋体" w:cs="宋体"/>
          <w:color w:val="auto"/>
          <w:highlight w:val="none"/>
        </w:rPr>
      </w:pPr>
      <w:bookmarkStart w:id="127" w:name="_Toc515647783"/>
      <w:bookmarkStart w:id="128" w:name="_Toc4950"/>
      <w:bookmarkStart w:id="129" w:name="_Toc6092"/>
      <w:r>
        <w:rPr>
          <w:rFonts w:hint="eastAsia" w:ascii="宋体" w:hAnsi="宋体" w:eastAsia="宋体" w:cs="宋体"/>
          <w:color w:val="auto"/>
          <w:highlight w:val="none"/>
        </w:rPr>
        <w:t>22.</w:t>
      </w:r>
      <w:bookmarkEnd w:id="127"/>
      <w:r>
        <w:rPr>
          <w:rFonts w:hint="eastAsia" w:ascii="宋体" w:hAnsi="宋体" w:eastAsia="宋体" w:cs="宋体"/>
          <w:color w:val="auto"/>
          <w:highlight w:val="none"/>
        </w:rPr>
        <w:t>无效</w:t>
      </w:r>
      <w:bookmarkEnd w:id="128"/>
      <w:bookmarkEnd w:id="129"/>
      <w:r>
        <w:rPr>
          <w:rFonts w:hint="eastAsia" w:ascii="宋体" w:hAnsi="宋体" w:eastAsia="宋体" w:cs="宋体"/>
          <w:color w:val="auto"/>
          <w:highlight w:val="none"/>
        </w:rPr>
        <w:t>响应</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22.1在比较与评价之前，根据本须知的规定，磋商小组要审查每份响应文件是否实质上响应了竞争性磋商文件的要求，未实质性响应磋商文件的响应文件按无效响应处理。</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22.2</w:t>
      </w:r>
      <w:r>
        <w:rPr>
          <w:rFonts w:hint="eastAsia" w:ascii="宋体" w:hAnsi="宋体" w:eastAsia="宋体" w:cs="宋体"/>
          <w:color w:val="auto"/>
          <w:sz w:val="24"/>
          <w:highlight w:val="none"/>
        </w:rPr>
        <w:tab/>
      </w:r>
      <w:r>
        <w:rPr>
          <w:rFonts w:hint="eastAsia" w:ascii="宋体" w:hAnsi="宋体" w:eastAsia="宋体" w:cs="宋体"/>
          <w:color w:val="auto"/>
          <w:sz w:val="24"/>
          <w:highlight w:val="none"/>
        </w:rPr>
        <w:t>如发现下列情况之一的，其响应将被认定为无效响应：</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（1）未按照竞争性磋商文件规定要求签署、盖章的；</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（2）未满足竞争性磋商文件商务和技术条款的实质性要求的；</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（3）违反竞争性磋商文件规定不符合政府采购政策资格要求的；</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（4）报价超过项目预算或最高限价的；</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（5）响应有效期不足的；</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（6）联合体响应文件未附联合体响应协议书的；</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（7）不符合竞争性磋商文件中有关分包规定的；</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（8）属于串通响应，或者依法被视为串通响应；</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（9）响应文件含有采购人不能接受的附加条件的；</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（10）属于竞争性磋商文件规定的其他无效响应情形的；</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（11）不符合法规和竞争性磋商文件中规定的其他实质性要求的。</w:t>
      </w:r>
    </w:p>
    <w:p>
      <w:pPr>
        <w:pStyle w:val="5"/>
        <w:bidi w:val="0"/>
        <w:rPr>
          <w:rFonts w:hint="eastAsia" w:ascii="宋体" w:hAnsi="宋体" w:eastAsia="宋体" w:cs="宋体"/>
          <w:color w:val="auto"/>
          <w:highlight w:val="none"/>
        </w:rPr>
      </w:pPr>
      <w:r>
        <w:rPr>
          <w:rFonts w:hint="eastAsia" w:ascii="宋体" w:hAnsi="宋体" w:eastAsia="宋体" w:cs="宋体"/>
          <w:color w:val="auto"/>
          <w:highlight w:val="none"/>
        </w:rPr>
        <w:t>23.磋商</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23.1 磋商小组所有成员集中与供应商分别单独进行磋商。</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23.2  在磋商过程中，磋商小组可以根据磋商文件和磋商情况实质性变动采购需求中的技术、服务要求以及合同条款，但不得变动磋商文件中的其他内容。实质性变动的内容，须经采购人代表确认。</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23.3  对磋商文件作出的实质性变动是磋商文件的有效组成部分，磋商小组应当及时以书面形式同时通知所有参加磋商的供应商。</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23.4  供应商应当按照磋商文件的变动情况和磋商小组的要求重新提交响应文件，并由其法定代表人/负责人或委托代理人签字。供应商为自然人的，应当由本人签字并附身份证明。</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23.5  本项目共2轮报价。磋商文件能够详细列明采购标的的技术、服务要求的，磋商结束后，磋商小组应当要求所有实质性响应的供应商在规定时间内提交另一轮报价，该报价为最后报价，提交最后报价的供应商不得少于3家；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另一轮报价，该报价为最后报价。</w:t>
      </w:r>
      <w:r>
        <w:rPr>
          <w:rFonts w:hint="eastAsia" w:ascii="宋体" w:hAnsi="宋体" w:eastAsia="宋体" w:cs="宋体"/>
          <w:b/>
          <w:bCs/>
          <w:color w:val="auto"/>
          <w:sz w:val="24"/>
          <w:highlight w:val="none"/>
        </w:rPr>
        <w:t>分项报价按总价下浮比例同比例下调。</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23.6  最后报价是供应商响应文件的有效组成部分，供应商法定代表人/负责人或委托代理人对最后报价书面签字确认。</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23.7已提交响应文件的供应商，在提交最后报价之前，可以根据磋商情况退出磋商。该退出申请由供应商法定代表人/负责人或委托代理人书面签字确认。</w:t>
      </w:r>
    </w:p>
    <w:p>
      <w:pPr>
        <w:pStyle w:val="5"/>
        <w:bidi w:val="0"/>
        <w:rPr>
          <w:rFonts w:hint="eastAsia" w:ascii="宋体" w:hAnsi="宋体" w:eastAsia="宋体" w:cs="宋体"/>
          <w:color w:val="auto"/>
          <w:highlight w:val="none"/>
        </w:rPr>
      </w:pPr>
      <w:bookmarkStart w:id="130" w:name="_Toc515647784"/>
      <w:bookmarkStart w:id="131" w:name="_Toc13652"/>
      <w:bookmarkStart w:id="132" w:name="_Toc22941"/>
      <w:r>
        <w:rPr>
          <w:rFonts w:hint="eastAsia" w:ascii="宋体" w:hAnsi="宋体" w:eastAsia="宋体" w:cs="宋体"/>
          <w:color w:val="auto"/>
          <w:highlight w:val="none"/>
        </w:rPr>
        <w:t>24.</w:t>
      </w:r>
      <w:bookmarkEnd w:id="126"/>
      <w:bookmarkEnd w:id="130"/>
      <w:bookmarkEnd w:id="131"/>
      <w:bookmarkEnd w:id="132"/>
      <w:r>
        <w:rPr>
          <w:rFonts w:hint="eastAsia" w:ascii="宋体" w:hAnsi="宋体" w:eastAsia="宋体" w:cs="宋体"/>
          <w:color w:val="auto"/>
          <w:highlight w:val="none"/>
        </w:rPr>
        <w:t>比较和评价</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24.1 经磋商确定最终采购需求和提交最后报价的供应商后，磋商小组将根据竞争性磋商文件确定的评审方法和标准，对其技术部分和商务部分作进一步的比较和评价。</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24.2 磋商严格按照竞争性磋商文件的要求和条件进行。详细评审标准见竞争性磋商文件第5章。</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综合评分法，是指响应文件满足竞争性磋商文件全部要求，且按照评审因素的量化指标评审得分最高的供应商为成交候选供应商的评审方法。</w:t>
      </w:r>
    </w:p>
    <w:p>
      <w:pPr>
        <w:pStyle w:val="5"/>
        <w:bidi w:val="0"/>
        <w:rPr>
          <w:rFonts w:hint="eastAsia" w:ascii="宋体" w:hAnsi="宋体" w:eastAsia="宋体" w:cs="宋体"/>
          <w:color w:val="auto"/>
          <w:highlight w:val="none"/>
        </w:rPr>
      </w:pPr>
      <w:bookmarkStart w:id="133" w:name="_Toc520356168"/>
      <w:bookmarkStart w:id="134" w:name="_Toc515647785"/>
      <w:bookmarkStart w:id="135" w:name="_Toc9378"/>
      <w:bookmarkStart w:id="136" w:name="_Toc20227"/>
      <w:r>
        <w:rPr>
          <w:rFonts w:hint="eastAsia" w:ascii="宋体" w:hAnsi="宋体" w:eastAsia="宋体" w:cs="宋体"/>
          <w:color w:val="auto"/>
          <w:highlight w:val="none"/>
        </w:rPr>
        <w:t>2</w:t>
      </w:r>
      <w:bookmarkEnd w:id="133"/>
      <w:r>
        <w:rPr>
          <w:rFonts w:hint="eastAsia" w:ascii="宋体" w:hAnsi="宋体" w:eastAsia="宋体" w:cs="宋体"/>
          <w:color w:val="auto"/>
          <w:highlight w:val="none"/>
        </w:rPr>
        <w:t>5.</w:t>
      </w:r>
      <w:bookmarkEnd w:id="134"/>
      <w:bookmarkEnd w:id="135"/>
      <w:bookmarkEnd w:id="136"/>
      <w:r>
        <w:rPr>
          <w:rFonts w:hint="eastAsia" w:ascii="宋体" w:hAnsi="宋体" w:eastAsia="宋体" w:cs="宋体"/>
          <w:color w:val="auto"/>
          <w:highlight w:val="none"/>
        </w:rPr>
        <w:t xml:space="preserve"> 采购项目终止</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出现下列情形之一的，采购人应当终止竞争性磋商采购活动，发布项目终止公告并说明原因，重新开展采购活动：</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（1）因情况变化，不再符合规定的竞争性磋商采购方式适用情形的；</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（2）出现影响采购公正的违法、违规行为的；</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（3）除《政府采购竞争性磋商采购方式管理暂行办法》第三条第四项规定的情形外，在采购过程中符合要求的供应商或者报价未超过采购预算的供应商不足3家的。</w:t>
      </w:r>
    </w:p>
    <w:p>
      <w:pPr>
        <w:pStyle w:val="5"/>
        <w:bidi w:val="0"/>
        <w:rPr>
          <w:rFonts w:hint="eastAsia" w:ascii="宋体" w:hAnsi="宋体" w:eastAsia="宋体" w:cs="宋体"/>
          <w:color w:val="auto"/>
          <w:highlight w:val="none"/>
        </w:rPr>
      </w:pPr>
      <w:bookmarkStart w:id="137" w:name="_Toc31289"/>
      <w:bookmarkStart w:id="138" w:name="_Toc24972"/>
      <w:bookmarkStart w:id="139" w:name="_Toc515647786"/>
      <w:bookmarkStart w:id="140" w:name="_Toc520356169"/>
      <w:r>
        <w:rPr>
          <w:rFonts w:hint="eastAsia" w:ascii="宋体" w:hAnsi="宋体" w:eastAsia="宋体" w:cs="宋体"/>
          <w:color w:val="auto"/>
          <w:highlight w:val="none"/>
        </w:rPr>
        <w:t>26.保密</w:t>
      </w:r>
      <w:bookmarkEnd w:id="137"/>
      <w:bookmarkEnd w:id="138"/>
      <w:bookmarkEnd w:id="139"/>
      <w:r>
        <w:rPr>
          <w:rFonts w:hint="eastAsia" w:ascii="宋体" w:hAnsi="宋体" w:eastAsia="宋体" w:cs="宋体"/>
          <w:color w:val="auto"/>
          <w:highlight w:val="none"/>
        </w:rPr>
        <w:t>要求</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26.1 磋商将在严格保密的情况下进行。</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26.2 政府采购评审专家应当遵守磋商工作纪律，不得记录、复制或者带走任何评标资料，不得泄露磋商文件、磋商情况和磋商中获悉的商业秘密。</w:t>
      </w:r>
    </w:p>
    <w:p>
      <w:pPr>
        <w:pStyle w:val="4"/>
        <w:spacing w:before="0" w:line="480" w:lineRule="exact"/>
        <w:ind w:left="565" w:leftChars="12" w:hanging="540"/>
        <w:rPr>
          <w:rFonts w:hint="eastAsia" w:ascii="宋体" w:hAnsi="宋体" w:eastAsia="宋体" w:cs="宋体"/>
          <w:color w:val="auto"/>
          <w:sz w:val="28"/>
          <w:szCs w:val="28"/>
          <w:highlight w:val="none"/>
        </w:rPr>
      </w:pPr>
      <w:bookmarkStart w:id="141" w:name="_Toc23904"/>
      <w:bookmarkStart w:id="142" w:name="_Toc216582810"/>
      <w:bookmarkStart w:id="143" w:name="_Toc515647787"/>
      <w:bookmarkStart w:id="144" w:name="_Toc12143"/>
      <w:bookmarkStart w:id="145" w:name="_Toc68259619"/>
      <w:bookmarkStart w:id="146" w:name="_Toc27908"/>
      <w:r>
        <w:rPr>
          <w:rFonts w:hint="eastAsia" w:ascii="宋体" w:hAnsi="宋体" w:eastAsia="宋体" w:cs="宋体"/>
          <w:color w:val="auto"/>
          <w:sz w:val="28"/>
          <w:szCs w:val="28"/>
          <w:highlight w:val="none"/>
        </w:rPr>
        <w:t xml:space="preserve">六   </w:t>
      </w:r>
      <w:bookmarkEnd w:id="140"/>
      <w:r>
        <w:rPr>
          <w:rFonts w:hint="eastAsia" w:ascii="宋体" w:hAnsi="宋体" w:eastAsia="宋体" w:cs="宋体"/>
          <w:color w:val="auto"/>
          <w:sz w:val="28"/>
          <w:szCs w:val="28"/>
          <w:highlight w:val="none"/>
        </w:rPr>
        <w:t>确定成交</w:t>
      </w:r>
      <w:bookmarkEnd w:id="141"/>
      <w:bookmarkEnd w:id="142"/>
      <w:bookmarkEnd w:id="143"/>
      <w:bookmarkEnd w:id="144"/>
      <w:bookmarkEnd w:id="145"/>
      <w:bookmarkEnd w:id="146"/>
    </w:p>
    <w:p>
      <w:pPr>
        <w:pStyle w:val="5"/>
        <w:bidi w:val="0"/>
        <w:rPr>
          <w:rFonts w:hint="eastAsia" w:ascii="宋体" w:hAnsi="宋体" w:eastAsia="宋体" w:cs="宋体"/>
          <w:color w:val="auto"/>
          <w:highlight w:val="none"/>
        </w:rPr>
      </w:pPr>
      <w:bookmarkStart w:id="147" w:name="_Toc515647788"/>
      <w:bookmarkStart w:id="148" w:name="_Toc23617"/>
      <w:bookmarkStart w:id="149" w:name="_Toc23762"/>
      <w:bookmarkStart w:id="150" w:name="_Toc520356170"/>
      <w:bookmarkStart w:id="151" w:name="_Ref467307010"/>
      <w:r>
        <w:rPr>
          <w:rFonts w:hint="eastAsia" w:ascii="宋体" w:hAnsi="宋体" w:eastAsia="宋体" w:cs="宋体"/>
          <w:color w:val="auto"/>
          <w:highlight w:val="none"/>
        </w:rPr>
        <w:t>27. 成交候选供应商的确定原则及标准</w:t>
      </w:r>
      <w:bookmarkEnd w:id="147"/>
      <w:bookmarkEnd w:id="148"/>
      <w:bookmarkEnd w:id="149"/>
      <w:bookmarkEnd w:id="150"/>
      <w:bookmarkEnd w:id="151"/>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除29条规定外，对实质上响应磋商（谈判）文件的供应商按下列方法进行排序，确定成交候选供应商。</w:t>
      </w:r>
    </w:p>
    <w:p>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磋商小组对实质上响应竞争性磋商文件的供应商按照竞争性磋商文件第5章规定的评审方法进行排序，确定3名以上成交候选供应商，并编写评审报告。评审得分相同的，按照最后报价由低到高的顺序推荐。评审得分且最后报价相同的，按照技术指标优劣顺序推荐。</w:t>
      </w:r>
    </w:p>
    <w:p>
      <w:pPr>
        <w:pStyle w:val="5"/>
        <w:bidi w:val="0"/>
        <w:rPr>
          <w:rFonts w:hint="eastAsia" w:ascii="宋体" w:hAnsi="宋体" w:eastAsia="宋体" w:cs="宋体"/>
          <w:color w:val="auto"/>
          <w:highlight w:val="none"/>
        </w:rPr>
      </w:pPr>
      <w:bookmarkStart w:id="152" w:name="_Toc23951"/>
      <w:bookmarkStart w:id="153" w:name="_Toc515647789"/>
      <w:bookmarkStart w:id="154" w:name="_Toc9653"/>
      <w:r>
        <w:rPr>
          <w:rFonts w:hint="eastAsia" w:ascii="宋体" w:hAnsi="宋体" w:eastAsia="宋体" w:cs="宋体"/>
          <w:color w:val="auto"/>
          <w:highlight w:val="none"/>
        </w:rPr>
        <w:t>28.确定成交候选供应商和成交供应商</w:t>
      </w:r>
      <w:bookmarkEnd w:id="152"/>
      <w:bookmarkEnd w:id="153"/>
      <w:bookmarkEnd w:id="154"/>
    </w:p>
    <w:p>
      <w:pPr>
        <w:spacing w:line="48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ab/>
      </w:r>
      <w:r>
        <w:rPr>
          <w:rFonts w:hint="eastAsia" w:ascii="宋体" w:hAnsi="宋体" w:eastAsia="宋体" w:cs="宋体"/>
          <w:color w:val="auto"/>
          <w:sz w:val="24"/>
          <w:highlight w:val="none"/>
        </w:rPr>
        <w:t>磋商小组将根据评标标准，按供应商须知资料表中规定数量推荐中标候选人或根据采购人的委托直接确定成交供应商。</w:t>
      </w:r>
      <w:bookmarkStart w:id="155" w:name="_Toc51176613"/>
    </w:p>
    <w:p>
      <w:pPr>
        <w:pStyle w:val="5"/>
        <w:bidi w:val="0"/>
        <w:rPr>
          <w:rFonts w:hint="eastAsia" w:ascii="宋体" w:hAnsi="宋体" w:eastAsia="宋体" w:cs="宋体"/>
          <w:color w:val="auto"/>
          <w:highlight w:val="none"/>
        </w:rPr>
      </w:pPr>
      <w:r>
        <w:rPr>
          <w:rFonts w:hint="eastAsia" w:ascii="宋体" w:hAnsi="宋体" w:eastAsia="宋体" w:cs="宋体"/>
          <w:color w:val="auto"/>
          <w:highlight w:val="none"/>
        </w:rPr>
        <w:t>29.采购任务取消</w:t>
      </w:r>
      <w:bookmarkEnd w:id="155"/>
    </w:p>
    <w:p>
      <w:pPr>
        <w:spacing w:line="480" w:lineRule="exact"/>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因重大变故采购任务取消时，采购人有权拒绝任何供应商成交，对受影响的供应商不承担任何责任。</w:t>
      </w:r>
    </w:p>
    <w:p>
      <w:pPr>
        <w:pStyle w:val="5"/>
        <w:bidi w:val="0"/>
        <w:rPr>
          <w:rFonts w:hint="eastAsia" w:ascii="宋体" w:hAnsi="宋体" w:eastAsia="宋体" w:cs="宋体"/>
          <w:color w:val="auto"/>
          <w:highlight w:val="none"/>
        </w:rPr>
      </w:pPr>
      <w:bookmarkStart w:id="156" w:name="_Toc520356174"/>
      <w:bookmarkStart w:id="157" w:name="_Toc518923095"/>
      <w:bookmarkStart w:id="158" w:name="_Toc19087101"/>
      <w:r>
        <w:rPr>
          <w:rFonts w:hint="eastAsia" w:ascii="宋体" w:hAnsi="宋体" w:eastAsia="宋体" w:cs="宋体"/>
          <w:color w:val="auto"/>
          <w:highlight w:val="none"/>
        </w:rPr>
        <w:t>30.发出成交</w:t>
      </w:r>
      <w:bookmarkEnd w:id="156"/>
      <w:r>
        <w:rPr>
          <w:rFonts w:hint="eastAsia" w:ascii="宋体" w:hAnsi="宋体" w:eastAsia="宋体" w:cs="宋体"/>
          <w:color w:val="auto"/>
          <w:highlight w:val="none"/>
        </w:rPr>
        <w:t>通知书</w:t>
      </w:r>
      <w:bookmarkEnd w:id="157"/>
      <w:bookmarkEnd w:id="158"/>
    </w:p>
    <w:p>
      <w:pPr>
        <w:spacing w:line="48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在响应有效期内，成交供应商确定后，采购人或者采购代理机构按照规定应同时公告供应商未中标的原因，发布成交公告，在公告成交结果的同时，向成交供应商发出成交通知书，成交通知书是合同的组成部分。</w:t>
      </w:r>
    </w:p>
    <w:p>
      <w:pPr>
        <w:pStyle w:val="5"/>
        <w:bidi w:val="0"/>
        <w:rPr>
          <w:rFonts w:hint="eastAsia" w:ascii="宋体" w:hAnsi="宋体" w:eastAsia="宋体" w:cs="宋体"/>
          <w:color w:val="auto"/>
          <w:highlight w:val="none"/>
        </w:rPr>
      </w:pPr>
      <w:bookmarkStart w:id="159" w:name="_Ref467306377"/>
      <w:bookmarkStart w:id="160" w:name="_Ref467307062"/>
      <w:bookmarkStart w:id="161" w:name="_Toc520356175"/>
      <w:bookmarkStart w:id="162" w:name="_Ref467307204"/>
      <w:bookmarkStart w:id="163" w:name="_Ref467306978"/>
      <w:bookmarkStart w:id="164" w:name="_Toc518923096"/>
      <w:bookmarkStart w:id="165" w:name="_Toc19087104"/>
      <w:r>
        <w:rPr>
          <w:rFonts w:hint="eastAsia" w:ascii="宋体" w:hAnsi="宋体" w:eastAsia="宋体" w:cs="宋体"/>
          <w:color w:val="auto"/>
          <w:highlight w:val="none"/>
        </w:rPr>
        <w:t>31.签订合同</w:t>
      </w:r>
      <w:bookmarkEnd w:id="159"/>
      <w:bookmarkEnd w:id="160"/>
      <w:bookmarkEnd w:id="161"/>
      <w:bookmarkEnd w:id="162"/>
      <w:bookmarkEnd w:id="163"/>
      <w:bookmarkEnd w:id="164"/>
      <w:bookmarkEnd w:id="165"/>
    </w:p>
    <w:p>
      <w:pPr>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31.1 成交供应商应当自发出成交通知书之日起10个工作日内，与采购人签订合同。</w:t>
      </w:r>
    </w:p>
    <w:p>
      <w:pPr>
        <w:spacing w:line="480" w:lineRule="exact"/>
        <w:ind w:firstLine="424" w:firstLineChars="177"/>
        <w:rPr>
          <w:rFonts w:hint="eastAsia" w:ascii="宋体" w:hAnsi="宋体" w:eastAsia="宋体" w:cs="宋体"/>
          <w:color w:val="auto"/>
          <w:sz w:val="24"/>
          <w:highlight w:val="none"/>
        </w:rPr>
      </w:pPr>
      <w:bookmarkStart w:id="166" w:name="_Toc520356176"/>
      <w:bookmarkStart w:id="167" w:name="_Ref467306425"/>
      <w:bookmarkStart w:id="168" w:name="_Ref467307090"/>
      <w:r>
        <w:rPr>
          <w:rFonts w:hint="eastAsia" w:ascii="宋体" w:hAnsi="宋体" w:eastAsia="宋体" w:cs="宋体"/>
          <w:color w:val="auto"/>
          <w:sz w:val="24"/>
          <w:highlight w:val="none"/>
        </w:rPr>
        <w:t>31.2 竞争性磋商文件、成交供应商的响应文件及其澄清文件等，均为签订合同的依据。</w:t>
      </w:r>
    </w:p>
    <w:p>
      <w:pPr>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31.3 如成交供应商拒绝与采购人签订合同的，采购人可以按照评审报告推荐的成交候选供应商名单排序，确定下一成交候选供应商为成交供应商，也可以重新开展政府采购活动。</w:t>
      </w:r>
    </w:p>
    <w:p>
      <w:pPr>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31.4 当出现法规规定的成交无效或成交结果无效情形时，采购人依规可与排名下一位的成交候选供应商另行签订合同，或依法重新开展采购活动。</w:t>
      </w:r>
    </w:p>
    <w:p>
      <w:pPr>
        <w:pStyle w:val="5"/>
        <w:bidi w:val="0"/>
        <w:rPr>
          <w:rFonts w:hint="eastAsia" w:ascii="宋体" w:hAnsi="宋体" w:eastAsia="宋体" w:cs="宋体"/>
          <w:color w:val="auto"/>
          <w:highlight w:val="none"/>
        </w:rPr>
      </w:pPr>
      <w:bookmarkStart w:id="169" w:name="_Toc518923097"/>
      <w:bookmarkStart w:id="170" w:name="_Toc19087105"/>
      <w:r>
        <w:rPr>
          <w:rFonts w:hint="eastAsia" w:ascii="宋体" w:hAnsi="宋体" w:eastAsia="宋体" w:cs="宋体"/>
          <w:color w:val="auto"/>
          <w:highlight w:val="none"/>
        </w:rPr>
        <w:t>32.履约保证金</w:t>
      </w:r>
      <w:bookmarkEnd w:id="166"/>
      <w:bookmarkEnd w:id="167"/>
      <w:bookmarkEnd w:id="168"/>
      <w:bookmarkEnd w:id="169"/>
      <w:bookmarkEnd w:id="170"/>
    </w:p>
    <w:p>
      <w:pPr>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32.1 如果需要履约保证金，成交供应商应按照供应商须知资料表规定向采购人缴纳履约保证金。</w:t>
      </w:r>
    </w:p>
    <w:p>
      <w:pPr>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32.2 政府采购利用担保试点范围内的项目，除32.1规定的情形外，成交供应商也可以按照财政部门的规定，向采购人提供合格的履约担保函。</w:t>
      </w:r>
    </w:p>
    <w:p>
      <w:pPr>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32.3 如果成交供应商没有按照上述履约保证金的规定执行，将视为放弃成交资格，成交供应商的磋商保证金将不予退还（如有）。在此情况下，采购人可依规确定下一候选人为成交供应商，也可以重新开展采购活动。</w:t>
      </w:r>
    </w:p>
    <w:p>
      <w:pPr>
        <w:pStyle w:val="5"/>
        <w:bidi w:val="0"/>
        <w:rPr>
          <w:rFonts w:hint="eastAsia" w:ascii="宋体" w:hAnsi="宋体" w:eastAsia="宋体" w:cs="宋体"/>
          <w:color w:val="auto"/>
          <w:highlight w:val="none"/>
        </w:rPr>
      </w:pPr>
      <w:bookmarkStart w:id="171" w:name="_Toc31411"/>
      <w:bookmarkStart w:id="172" w:name="_Toc518923099"/>
      <w:bookmarkStart w:id="173" w:name="_Toc51176617"/>
      <w:r>
        <w:rPr>
          <w:rFonts w:hint="eastAsia" w:ascii="宋体" w:hAnsi="宋体" w:eastAsia="宋体" w:cs="宋体"/>
          <w:color w:val="auto"/>
          <w:highlight w:val="none"/>
        </w:rPr>
        <w:t>33.政府采购信用担保</w:t>
      </w:r>
      <w:bookmarkEnd w:id="171"/>
      <w:bookmarkEnd w:id="172"/>
      <w:bookmarkEnd w:id="173"/>
    </w:p>
    <w:p>
      <w:pPr>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33.1 本项目是否属于信用担保试点范围见供应商须知资料表。</w:t>
      </w:r>
    </w:p>
    <w:p>
      <w:pPr>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33.2 如属于政府采购信用担保试点范围内，中小型企业供应商可以自由按照财政部门的规定，采用磋商担保、履约担保和融资担保。</w:t>
      </w:r>
    </w:p>
    <w:p>
      <w:pPr>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33.2.1 供应商递交的磋商担保函和履约担保函应符合本磋商（谈判）文件的规定。</w:t>
      </w:r>
    </w:p>
    <w:p>
      <w:pPr>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33.2.2 成交供应商可以采取融资担保的形式为政府采购项目履约进行融资。</w:t>
      </w:r>
    </w:p>
    <w:p>
      <w:pPr>
        <w:pStyle w:val="5"/>
        <w:pageBreakBefore w:val="0"/>
        <w:widowControl w:val="0"/>
        <w:kinsoku/>
        <w:wordWrap/>
        <w:overflowPunct/>
        <w:topLinePunct w:val="0"/>
        <w:bidi w:val="0"/>
        <w:snapToGrid/>
        <w:spacing w:before="0" w:after="0" w:line="480" w:lineRule="exact"/>
        <w:textAlignment w:val="auto"/>
        <w:rPr>
          <w:rFonts w:hint="eastAsia" w:ascii="宋体" w:hAnsi="宋体" w:eastAsia="宋体" w:cs="宋体"/>
          <w:color w:val="auto"/>
          <w:highlight w:val="none"/>
          <w:u w:val="none"/>
        </w:rPr>
      </w:pPr>
      <w:bookmarkStart w:id="174" w:name="_Toc20350"/>
      <w:bookmarkStart w:id="175" w:name="_Toc4136"/>
      <w:r>
        <w:rPr>
          <w:rFonts w:hint="eastAsia" w:ascii="宋体" w:hAnsi="宋体" w:eastAsia="宋体" w:cs="宋体"/>
          <w:color w:val="auto"/>
          <w:highlight w:val="none"/>
          <w:u w:val="none"/>
        </w:rPr>
        <w:t>3</w:t>
      </w:r>
      <w:r>
        <w:rPr>
          <w:rFonts w:hint="eastAsia" w:ascii="宋体" w:hAnsi="宋体" w:eastAsia="宋体" w:cs="宋体"/>
          <w:color w:val="auto"/>
          <w:highlight w:val="none"/>
          <w:u w:val="none"/>
          <w:lang w:val="en-US" w:eastAsia="zh-CN"/>
        </w:rPr>
        <w:t>4</w:t>
      </w:r>
      <w:r>
        <w:rPr>
          <w:rFonts w:hint="eastAsia" w:ascii="宋体" w:hAnsi="宋体" w:eastAsia="宋体" w:cs="宋体"/>
          <w:color w:val="auto"/>
          <w:highlight w:val="none"/>
          <w:u w:val="none"/>
        </w:rPr>
        <w:t>.</w:t>
      </w:r>
      <w:bookmarkEnd w:id="174"/>
      <w:r>
        <w:rPr>
          <w:rFonts w:hint="eastAsia" w:ascii="宋体" w:hAnsi="宋体" w:eastAsia="宋体" w:cs="宋体"/>
          <w:color w:val="auto"/>
          <w:sz w:val="24"/>
          <w:highlight w:val="none"/>
          <w:u w:val="none"/>
        </w:rPr>
        <w:t>政府采购合同融资</w:t>
      </w:r>
      <w:bookmarkEnd w:id="175"/>
    </w:p>
    <w:p>
      <w:pPr>
        <w:pageBreakBefore w:val="0"/>
        <w:widowControl w:val="0"/>
        <w:kinsoku/>
        <w:wordWrap/>
        <w:overflowPunct/>
        <w:topLinePunct w:val="0"/>
        <w:bidi w:val="0"/>
        <w:snapToGrid/>
        <w:spacing w:line="480" w:lineRule="exact"/>
        <w:ind w:firstLine="424" w:firstLineChars="17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val="en-US" w:eastAsia="zh-CN"/>
        </w:rPr>
        <w:t>4</w:t>
      </w:r>
      <w:r>
        <w:rPr>
          <w:rFonts w:hint="eastAsia" w:ascii="宋体" w:hAnsi="宋体" w:eastAsia="宋体" w:cs="宋体"/>
          <w:color w:val="auto"/>
          <w:sz w:val="24"/>
          <w:highlight w:val="none"/>
        </w:rPr>
        <w:t>.1 本项目是否属于政府采购合同融资范围见</w:t>
      </w:r>
      <w:r>
        <w:rPr>
          <w:rFonts w:hint="eastAsia" w:ascii="宋体" w:hAnsi="宋体" w:eastAsia="宋体" w:cs="宋体"/>
          <w:color w:val="auto"/>
          <w:sz w:val="24"/>
          <w:highlight w:val="none"/>
          <w:u w:val="single"/>
          <w:lang w:val="en-US" w:eastAsia="zh-CN"/>
        </w:rPr>
        <w:t>供应商</w:t>
      </w:r>
      <w:r>
        <w:rPr>
          <w:rFonts w:hint="eastAsia" w:ascii="宋体" w:hAnsi="宋体" w:eastAsia="宋体" w:cs="宋体"/>
          <w:color w:val="auto"/>
          <w:sz w:val="24"/>
          <w:highlight w:val="none"/>
          <w:u w:val="single"/>
        </w:rPr>
        <w:t>须知资料表</w:t>
      </w:r>
      <w:r>
        <w:rPr>
          <w:rFonts w:hint="eastAsia" w:ascii="宋体" w:hAnsi="宋体" w:eastAsia="宋体" w:cs="宋体"/>
          <w:color w:val="auto"/>
          <w:sz w:val="24"/>
          <w:highlight w:val="none"/>
        </w:rPr>
        <w:t>。</w:t>
      </w:r>
    </w:p>
    <w:p>
      <w:pPr>
        <w:pageBreakBefore w:val="0"/>
        <w:widowControl w:val="0"/>
        <w:kinsoku/>
        <w:wordWrap/>
        <w:overflowPunct/>
        <w:topLinePunct w:val="0"/>
        <w:bidi w:val="0"/>
        <w:snapToGrid/>
        <w:spacing w:line="480" w:lineRule="exact"/>
        <w:ind w:firstLine="424" w:firstLineChars="17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34.2</w:t>
      </w:r>
      <w:r>
        <w:rPr>
          <w:rFonts w:hint="eastAsia" w:ascii="宋体" w:hAnsi="宋体" w:eastAsia="宋体" w:cs="宋体"/>
          <w:color w:val="auto"/>
          <w:sz w:val="24"/>
          <w:highlight w:val="none"/>
        </w:rPr>
        <w:t xml:space="preserve"> 融资流程</w:t>
      </w:r>
    </w:p>
    <w:p>
      <w:pPr>
        <w:pageBreakBefore w:val="0"/>
        <w:widowControl w:val="0"/>
        <w:kinsoku/>
        <w:wordWrap/>
        <w:overflowPunct/>
        <w:topLinePunct w:val="0"/>
        <w:bidi w:val="0"/>
        <w:snapToGrid/>
        <w:spacing w:line="480" w:lineRule="exact"/>
        <w:ind w:firstLine="424" w:firstLineChars="17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（一）登记融资需求。供应商只需在“山东省政府采购信息公开平台”注册登记即可使用该用户名及密码，通过“山东省政府采购信息公开平台” 一键联通进入“山东省政府采购合同融资与履约保函服务平台”，也可通过扫描二维码方式进入“山东省政府采购合同融资与履约保函服务平台”，根据自身资金需要，填写融资需求，申请融资服务。</w:t>
      </w:r>
    </w:p>
    <w:p>
      <w:pPr>
        <w:pageBreakBefore w:val="0"/>
        <w:widowControl w:val="0"/>
        <w:kinsoku/>
        <w:wordWrap/>
        <w:overflowPunct/>
        <w:topLinePunct w:val="0"/>
        <w:bidi w:val="0"/>
        <w:snapToGrid/>
        <w:spacing w:line="480" w:lineRule="exact"/>
        <w:ind w:firstLine="424" w:firstLineChars="17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（二）对接资金供需。供应商可以进入“融资超市”自主选择平台展示的金融产品，自主对接金融机构；也可以选择“撮合模式” 由平台合作机构提供融资专业服务。金融机构可以根据供应商的融资需求，主动对接供应商，平台同步将融资信息和信用报告与合作金融机构和政府性融资担保机构共享，由政府性融资担保机构提供担保。</w:t>
      </w:r>
    </w:p>
    <w:p>
      <w:pPr>
        <w:pageBreakBefore w:val="0"/>
        <w:widowControl w:val="0"/>
        <w:kinsoku/>
        <w:wordWrap/>
        <w:overflowPunct/>
        <w:topLinePunct w:val="0"/>
        <w:bidi w:val="0"/>
        <w:snapToGrid/>
        <w:spacing w:line="480" w:lineRule="exact"/>
        <w:ind w:firstLine="424" w:firstLineChars="17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（三）完成授信审批。金融机构提高贷前风险筛查效率，确保在供应商合同签订前，完成对目标客户贷款的授信审批。届时，</w:t>
      </w:r>
      <w:r>
        <w:rPr>
          <w:rFonts w:hint="eastAsia" w:ascii="宋体" w:hAnsi="宋体" w:eastAsia="宋体" w:cs="宋体"/>
          <w:color w:val="auto"/>
          <w:sz w:val="24"/>
          <w:highlight w:val="none"/>
          <w:lang w:eastAsia="zh-CN"/>
        </w:rPr>
        <w:t>中标人</w:t>
      </w:r>
      <w:r>
        <w:rPr>
          <w:rFonts w:hint="eastAsia" w:ascii="宋体" w:hAnsi="宋体" w:eastAsia="宋体" w:cs="宋体"/>
          <w:color w:val="auto"/>
          <w:sz w:val="24"/>
          <w:highlight w:val="none"/>
        </w:rPr>
        <w:t>将依据政府采购合同获取合同融资服务。</w:t>
      </w:r>
    </w:p>
    <w:p>
      <w:pPr>
        <w:pageBreakBefore w:val="0"/>
        <w:widowControl w:val="0"/>
        <w:kinsoku/>
        <w:wordWrap/>
        <w:overflowPunct/>
        <w:topLinePunct w:val="0"/>
        <w:bidi w:val="0"/>
        <w:snapToGrid/>
        <w:spacing w:line="480" w:lineRule="exact"/>
        <w:ind w:firstLine="424" w:firstLineChars="17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四）锁定合同账号。对供应商以政府采购合同信用获得的融资项目，贷款金融机构应在“融资平台”对相应的政府采购合同进行确认并填报相关信息，平台将信息回传“山东省政府采购信息公开平台”。采购人对已进行融资抵押的政府采购合同，未经相关贷款银行同意不得随意变更合同中的银行账号。</w:t>
      </w:r>
    </w:p>
    <w:p>
      <w:pPr>
        <w:pageBreakBefore w:val="0"/>
        <w:widowControl w:val="0"/>
        <w:kinsoku/>
        <w:wordWrap/>
        <w:overflowPunct/>
        <w:topLinePunct w:val="0"/>
        <w:bidi w:val="0"/>
        <w:snapToGrid/>
        <w:spacing w:line="480" w:lineRule="exact"/>
        <w:ind w:firstLine="424" w:firstLineChars="17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（五）资金即时到账。金融机构提前办理完善供应商融资所需各项审批手续，待供应商与采购人签订政府采购合同后，随即向供应商账号发放贷款，确保供应商资金需求及时到位。</w:t>
      </w:r>
    </w:p>
    <w:p>
      <w:pPr>
        <w:pageBreakBefore w:val="0"/>
        <w:widowControl w:val="0"/>
        <w:kinsoku/>
        <w:wordWrap/>
        <w:overflowPunct/>
        <w:topLinePunct w:val="0"/>
        <w:bidi w:val="0"/>
        <w:snapToGrid/>
        <w:spacing w:line="480" w:lineRule="exact"/>
        <w:ind w:firstLine="424" w:firstLineChars="17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34.3</w:t>
      </w:r>
      <w:r>
        <w:rPr>
          <w:rFonts w:hint="eastAsia" w:ascii="宋体" w:hAnsi="宋体" w:eastAsia="宋体" w:cs="宋体"/>
          <w:color w:val="auto"/>
          <w:sz w:val="24"/>
          <w:highlight w:val="none"/>
        </w:rPr>
        <w:t>配合政府采购合同融资工作。采购人做好供应商通过政府采购合同融资的配合工作，协助供应商根据融资需要及时变更合同账号，对已进行融资抵押的政府合同锁定账号。</w:t>
      </w:r>
    </w:p>
    <w:p>
      <w:pPr>
        <w:pStyle w:val="5"/>
        <w:pageBreakBefore w:val="0"/>
        <w:widowControl w:val="0"/>
        <w:kinsoku/>
        <w:wordWrap/>
        <w:overflowPunct/>
        <w:topLinePunct w:val="0"/>
        <w:bidi w:val="0"/>
        <w:snapToGrid/>
        <w:spacing w:before="0" w:after="0" w:line="480" w:lineRule="exact"/>
        <w:textAlignment w:val="auto"/>
        <w:rPr>
          <w:rFonts w:hint="eastAsia" w:ascii="宋体" w:hAnsi="宋体" w:eastAsia="宋体" w:cs="宋体"/>
          <w:color w:val="auto"/>
          <w:highlight w:val="none"/>
          <w:u w:val="none"/>
        </w:rPr>
      </w:pPr>
      <w:bookmarkStart w:id="176" w:name="_Toc518923098"/>
      <w:bookmarkStart w:id="177" w:name="_Toc19087106"/>
      <w:bookmarkStart w:id="178" w:name="_Toc19016170"/>
      <w:bookmarkStart w:id="179" w:name="_Toc26769"/>
      <w:bookmarkStart w:id="180" w:name="_Toc518923100"/>
      <w:r>
        <w:rPr>
          <w:rFonts w:hint="eastAsia" w:ascii="宋体" w:hAnsi="宋体" w:eastAsia="宋体" w:cs="宋体"/>
          <w:color w:val="auto"/>
          <w:highlight w:val="none"/>
          <w:u w:val="none"/>
        </w:rPr>
        <w:t>3</w:t>
      </w:r>
      <w:r>
        <w:rPr>
          <w:rFonts w:hint="eastAsia" w:ascii="宋体" w:hAnsi="宋体" w:eastAsia="宋体" w:cs="宋体"/>
          <w:color w:val="auto"/>
          <w:highlight w:val="none"/>
          <w:u w:val="none"/>
          <w:lang w:val="en-US" w:eastAsia="zh-CN"/>
        </w:rPr>
        <w:t>5</w:t>
      </w:r>
      <w:r>
        <w:rPr>
          <w:rFonts w:hint="eastAsia" w:ascii="宋体" w:hAnsi="宋体" w:eastAsia="宋体" w:cs="宋体"/>
          <w:color w:val="auto"/>
          <w:highlight w:val="none"/>
          <w:u w:val="none"/>
        </w:rPr>
        <w:t>.</w:t>
      </w:r>
      <w:bookmarkEnd w:id="176"/>
      <w:r>
        <w:rPr>
          <w:rFonts w:hint="eastAsia" w:ascii="宋体" w:hAnsi="宋体" w:eastAsia="宋体" w:cs="宋体"/>
          <w:color w:val="auto"/>
          <w:highlight w:val="none"/>
          <w:u w:val="none"/>
        </w:rPr>
        <w:t>预付款</w:t>
      </w:r>
      <w:bookmarkEnd w:id="177"/>
      <w:bookmarkEnd w:id="178"/>
      <w:bookmarkEnd w:id="179"/>
    </w:p>
    <w:p>
      <w:pPr>
        <w:pageBreakBefore w:val="0"/>
        <w:widowControl w:val="0"/>
        <w:kinsoku/>
        <w:wordWrap/>
        <w:overflowPunct/>
        <w:topLinePunct w:val="0"/>
        <w:bidi w:val="0"/>
        <w:snapToGrid/>
        <w:spacing w:line="480" w:lineRule="exact"/>
        <w:ind w:firstLine="420" w:firstLineChars="17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val="en-US" w:eastAsia="zh-CN"/>
        </w:rPr>
        <w:t>5</w:t>
      </w:r>
      <w:r>
        <w:rPr>
          <w:rFonts w:hint="eastAsia" w:ascii="宋体" w:hAnsi="宋体" w:eastAsia="宋体" w:cs="宋体"/>
          <w:color w:val="auto"/>
          <w:sz w:val="24"/>
          <w:highlight w:val="none"/>
        </w:rPr>
        <w:t>.1预付款</w:t>
      </w:r>
      <w:r>
        <w:rPr>
          <w:rFonts w:hint="eastAsia" w:ascii="宋体" w:hAnsi="宋体" w:cs="宋体"/>
          <w:color w:val="auto"/>
          <w:sz w:val="24"/>
          <w:highlight w:val="none"/>
          <w:lang w:eastAsia="zh-CN"/>
        </w:rPr>
        <w:t>是</w:t>
      </w:r>
      <w:r>
        <w:rPr>
          <w:rFonts w:hint="eastAsia" w:ascii="宋体" w:hAnsi="宋体" w:eastAsia="宋体" w:cs="宋体"/>
          <w:color w:val="auto"/>
          <w:sz w:val="24"/>
          <w:highlight w:val="none"/>
        </w:rPr>
        <w:t>指政府采购合同签订后、履行前，采购人向成交供应商预先支付部分合同款项，预付款比例按照</w:t>
      </w:r>
      <w:r>
        <w:rPr>
          <w:rFonts w:hint="eastAsia" w:ascii="宋体" w:hAnsi="宋体" w:eastAsia="宋体" w:cs="宋体"/>
          <w:color w:val="auto"/>
          <w:sz w:val="24"/>
          <w:highlight w:val="none"/>
          <w:u w:val="single"/>
        </w:rPr>
        <w:t>供应商须知资料表</w:t>
      </w:r>
      <w:r>
        <w:rPr>
          <w:rFonts w:hint="eastAsia" w:ascii="宋体" w:hAnsi="宋体" w:eastAsia="宋体" w:cs="宋体"/>
          <w:color w:val="auto"/>
          <w:sz w:val="24"/>
          <w:highlight w:val="none"/>
        </w:rPr>
        <w:t>规定执行。</w:t>
      </w:r>
    </w:p>
    <w:p>
      <w:pPr>
        <w:pageBreakBefore w:val="0"/>
        <w:widowControl w:val="0"/>
        <w:kinsoku/>
        <w:wordWrap/>
        <w:overflowPunct/>
        <w:topLinePunct w:val="0"/>
        <w:bidi w:val="0"/>
        <w:snapToGrid/>
        <w:spacing w:line="480" w:lineRule="exact"/>
        <w:ind w:firstLine="420" w:firstLineChars="17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val="en-US" w:eastAsia="zh-CN"/>
        </w:rPr>
        <w:t>5</w:t>
      </w:r>
      <w:r>
        <w:rPr>
          <w:rFonts w:hint="eastAsia" w:ascii="宋体" w:hAnsi="宋体" w:eastAsia="宋体" w:cs="宋体"/>
          <w:color w:val="auto"/>
          <w:sz w:val="24"/>
          <w:highlight w:val="none"/>
        </w:rPr>
        <w:t>.2本项目采购人不需要支付预付款的情形，见</w:t>
      </w:r>
      <w:r>
        <w:rPr>
          <w:rFonts w:hint="eastAsia" w:ascii="宋体" w:hAnsi="宋体" w:eastAsia="宋体" w:cs="宋体"/>
          <w:color w:val="auto"/>
          <w:sz w:val="24"/>
          <w:highlight w:val="none"/>
          <w:u w:val="single"/>
        </w:rPr>
        <w:t>供应商须知资料表</w:t>
      </w:r>
      <w:r>
        <w:rPr>
          <w:rFonts w:hint="eastAsia" w:ascii="宋体" w:hAnsi="宋体" w:eastAsia="宋体" w:cs="宋体"/>
          <w:color w:val="auto"/>
          <w:sz w:val="24"/>
          <w:highlight w:val="none"/>
        </w:rPr>
        <w:t>。</w:t>
      </w:r>
    </w:p>
    <w:p>
      <w:pPr>
        <w:pStyle w:val="5"/>
        <w:pageBreakBefore w:val="0"/>
        <w:widowControl w:val="0"/>
        <w:kinsoku/>
        <w:wordWrap/>
        <w:overflowPunct/>
        <w:topLinePunct w:val="0"/>
        <w:bidi w:val="0"/>
        <w:snapToGrid/>
        <w:spacing w:before="0" w:after="0" w:line="480" w:lineRule="exact"/>
        <w:textAlignment w:val="auto"/>
        <w:rPr>
          <w:rFonts w:hint="eastAsia" w:ascii="宋体" w:hAnsi="宋体" w:eastAsia="宋体" w:cs="宋体"/>
          <w:color w:val="auto"/>
          <w:highlight w:val="none"/>
          <w:u w:val="none"/>
        </w:rPr>
      </w:pPr>
      <w:bookmarkStart w:id="181" w:name="_Toc794"/>
      <w:bookmarkStart w:id="182" w:name="_Toc19087107"/>
      <w:r>
        <w:rPr>
          <w:rFonts w:hint="eastAsia" w:ascii="宋体" w:hAnsi="宋体" w:eastAsia="宋体" w:cs="宋体"/>
          <w:color w:val="auto"/>
          <w:highlight w:val="none"/>
          <w:u w:val="none"/>
        </w:rPr>
        <w:t>3</w:t>
      </w:r>
      <w:r>
        <w:rPr>
          <w:rFonts w:hint="eastAsia" w:ascii="宋体" w:hAnsi="宋体" w:eastAsia="宋体" w:cs="宋体"/>
          <w:color w:val="auto"/>
          <w:highlight w:val="none"/>
          <w:u w:val="none"/>
          <w:lang w:val="en-US" w:eastAsia="zh-CN"/>
        </w:rPr>
        <w:t>6</w:t>
      </w:r>
      <w:r>
        <w:rPr>
          <w:rFonts w:hint="eastAsia" w:ascii="宋体" w:hAnsi="宋体" w:eastAsia="宋体" w:cs="宋体"/>
          <w:color w:val="auto"/>
          <w:highlight w:val="none"/>
          <w:u w:val="none"/>
        </w:rPr>
        <w:t>.廉洁自律规定</w:t>
      </w:r>
      <w:bookmarkEnd w:id="180"/>
      <w:bookmarkEnd w:id="181"/>
      <w:bookmarkEnd w:id="182"/>
    </w:p>
    <w:p>
      <w:pPr>
        <w:pageBreakBefore w:val="0"/>
        <w:widowControl w:val="0"/>
        <w:kinsoku/>
        <w:wordWrap/>
        <w:overflowPunct/>
        <w:topLinePunct w:val="0"/>
        <w:bidi w:val="0"/>
        <w:snapToGrid/>
        <w:spacing w:line="480" w:lineRule="exact"/>
        <w:ind w:firstLine="420" w:firstLineChars="17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val="en-US" w:eastAsia="zh-CN"/>
        </w:rPr>
        <w:t>6</w:t>
      </w:r>
      <w:r>
        <w:rPr>
          <w:rFonts w:hint="eastAsia" w:ascii="宋体" w:hAnsi="宋体" w:eastAsia="宋体" w:cs="宋体"/>
          <w:color w:val="auto"/>
          <w:sz w:val="24"/>
          <w:highlight w:val="none"/>
        </w:rPr>
        <w:t>.1 采购代理机构工作人员不得与采购人、供应商恶意串通操纵政府采购活动。</w:t>
      </w:r>
    </w:p>
    <w:p>
      <w:pPr>
        <w:pageBreakBefore w:val="0"/>
        <w:widowControl w:val="0"/>
        <w:kinsoku/>
        <w:wordWrap/>
        <w:overflowPunct/>
        <w:topLinePunct w:val="0"/>
        <w:bidi w:val="0"/>
        <w:snapToGrid/>
        <w:spacing w:line="480" w:lineRule="exact"/>
        <w:ind w:firstLine="420" w:firstLineChars="17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val="en-US" w:eastAsia="zh-CN"/>
        </w:rPr>
        <w:t>6</w:t>
      </w:r>
      <w:r>
        <w:rPr>
          <w:rFonts w:hint="eastAsia" w:ascii="宋体" w:hAnsi="宋体" w:eastAsia="宋体" w:cs="宋体"/>
          <w:color w:val="auto"/>
          <w:sz w:val="24"/>
          <w:highlight w:val="none"/>
        </w:rPr>
        <w:t>.2 采购代理机构工作人员不得接受采购人或者供应商组织的宴请、旅游、娱乐，不得收受礼品、现金、有价证券等，不得向采购人或者供应商报销应当由个人承担的费用。</w:t>
      </w:r>
    </w:p>
    <w:p>
      <w:pPr>
        <w:pageBreakBefore w:val="0"/>
        <w:widowControl w:val="0"/>
        <w:kinsoku/>
        <w:wordWrap/>
        <w:overflowPunct/>
        <w:topLinePunct w:val="0"/>
        <w:bidi w:val="0"/>
        <w:snapToGrid/>
        <w:spacing w:line="480" w:lineRule="exact"/>
        <w:ind w:firstLine="420" w:firstLineChars="17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val="en-US" w:eastAsia="zh-CN"/>
        </w:rPr>
        <w:t>6</w:t>
      </w:r>
      <w:r>
        <w:rPr>
          <w:rFonts w:hint="eastAsia" w:ascii="宋体" w:hAnsi="宋体" w:eastAsia="宋体" w:cs="宋体"/>
          <w:color w:val="auto"/>
          <w:sz w:val="24"/>
          <w:highlight w:val="none"/>
        </w:rPr>
        <w:t>.3 为强化采购代理机构内部监督机制，供应商可按</w:t>
      </w:r>
      <w:r>
        <w:rPr>
          <w:rFonts w:hint="eastAsia" w:ascii="宋体" w:hAnsi="宋体" w:eastAsia="宋体" w:cs="宋体"/>
          <w:color w:val="auto"/>
          <w:sz w:val="24"/>
          <w:highlight w:val="none"/>
          <w:u w:val="single"/>
        </w:rPr>
        <w:t>供应商须知资料表</w:t>
      </w:r>
      <w:r>
        <w:rPr>
          <w:rFonts w:hint="eastAsia" w:ascii="宋体" w:hAnsi="宋体" w:eastAsia="宋体" w:cs="宋体"/>
          <w:color w:val="auto"/>
          <w:sz w:val="24"/>
          <w:highlight w:val="none"/>
        </w:rPr>
        <w:t>中的监督电话和邮箱，反映采购代理机构的廉洁自律等问题。</w:t>
      </w:r>
    </w:p>
    <w:p>
      <w:pPr>
        <w:pStyle w:val="5"/>
        <w:pageBreakBefore w:val="0"/>
        <w:widowControl w:val="0"/>
        <w:kinsoku/>
        <w:wordWrap/>
        <w:overflowPunct/>
        <w:topLinePunct w:val="0"/>
        <w:bidi w:val="0"/>
        <w:snapToGrid/>
        <w:spacing w:before="0" w:after="0" w:line="480" w:lineRule="exact"/>
        <w:textAlignment w:val="auto"/>
        <w:rPr>
          <w:rFonts w:hint="eastAsia" w:ascii="宋体" w:hAnsi="宋体" w:eastAsia="宋体" w:cs="宋体"/>
          <w:color w:val="auto"/>
          <w:highlight w:val="none"/>
          <w:u w:val="none"/>
        </w:rPr>
      </w:pPr>
      <w:bookmarkStart w:id="183" w:name="_Toc3817"/>
      <w:bookmarkStart w:id="184" w:name="_Toc518923101"/>
      <w:bookmarkStart w:id="185" w:name="_Toc19087108"/>
      <w:r>
        <w:rPr>
          <w:rFonts w:hint="eastAsia" w:ascii="宋体" w:hAnsi="宋体" w:eastAsia="宋体" w:cs="宋体"/>
          <w:color w:val="auto"/>
          <w:highlight w:val="none"/>
          <w:u w:val="none"/>
        </w:rPr>
        <w:t>3</w:t>
      </w:r>
      <w:r>
        <w:rPr>
          <w:rFonts w:hint="eastAsia" w:ascii="宋体" w:hAnsi="宋体" w:eastAsia="宋体" w:cs="宋体"/>
          <w:color w:val="auto"/>
          <w:highlight w:val="none"/>
          <w:u w:val="none"/>
          <w:lang w:val="en-US" w:eastAsia="zh-CN"/>
        </w:rPr>
        <w:t>7</w:t>
      </w:r>
      <w:r>
        <w:rPr>
          <w:rFonts w:hint="eastAsia" w:ascii="宋体" w:hAnsi="宋体" w:eastAsia="宋体" w:cs="宋体"/>
          <w:color w:val="auto"/>
          <w:highlight w:val="none"/>
          <w:u w:val="none"/>
        </w:rPr>
        <w:t>.人员回避</w:t>
      </w:r>
      <w:bookmarkEnd w:id="183"/>
      <w:bookmarkEnd w:id="184"/>
      <w:bookmarkEnd w:id="185"/>
    </w:p>
    <w:p>
      <w:pPr>
        <w:pageBreakBefore w:val="0"/>
        <w:widowControl w:val="0"/>
        <w:kinsoku/>
        <w:wordWrap/>
        <w:overflowPunct/>
        <w:topLinePunct w:val="0"/>
        <w:bidi w:val="0"/>
        <w:snapToGrid/>
        <w:spacing w:line="48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潜在供应商认为竞争性磋商文件使自己的权益受到损害的，供应商认为采购人员、采购代理机构工作人员及其相关人员有法律法规所列与其他供应商有利害关系的，可以向采购人或采购代理机构书面提出回避申请，并说明理由。</w:t>
      </w:r>
    </w:p>
    <w:p>
      <w:pPr>
        <w:pStyle w:val="5"/>
        <w:pageBreakBefore w:val="0"/>
        <w:widowControl w:val="0"/>
        <w:kinsoku/>
        <w:wordWrap/>
        <w:overflowPunct/>
        <w:topLinePunct w:val="0"/>
        <w:bidi w:val="0"/>
        <w:snapToGrid/>
        <w:spacing w:before="0" w:after="0" w:line="480" w:lineRule="exact"/>
        <w:textAlignment w:val="auto"/>
        <w:rPr>
          <w:rFonts w:hint="eastAsia" w:ascii="宋体" w:hAnsi="宋体" w:eastAsia="宋体" w:cs="宋体"/>
          <w:color w:val="auto"/>
          <w:highlight w:val="none"/>
          <w:u w:val="none"/>
        </w:rPr>
      </w:pPr>
      <w:bookmarkStart w:id="186" w:name="_Toc518923102"/>
      <w:bookmarkStart w:id="187" w:name="_Toc19087109"/>
      <w:bookmarkStart w:id="188" w:name="_Toc17708"/>
      <w:r>
        <w:rPr>
          <w:rFonts w:hint="eastAsia" w:ascii="宋体" w:hAnsi="宋体" w:eastAsia="宋体" w:cs="宋体"/>
          <w:color w:val="auto"/>
          <w:highlight w:val="none"/>
          <w:u w:val="none"/>
        </w:rPr>
        <w:t>3</w:t>
      </w:r>
      <w:r>
        <w:rPr>
          <w:rFonts w:hint="eastAsia" w:ascii="宋体" w:hAnsi="宋体" w:eastAsia="宋体" w:cs="宋体"/>
          <w:color w:val="auto"/>
          <w:highlight w:val="none"/>
          <w:u w:val="none"/>
          <w:lang w:val="en-US" w:eastAsia="zh-CN"/>
        </w:rPr>
        <w:t>8</w:t>
      </w:r>
      <w:r>
        <w:rPr>
          <w:rFonts w:hint="eastAsia" w:ascii="宋体" w:hAnsi="宋体" w:eastAsia="宋体" w:cs="宋体"/>
          <w:color w:val="auto"/>
          <w:highlight w:val="none"/>
          <w:u w:val="none"/>
        </w:rPr>
        <w:t>.质疑与接收</w:t>
      </w:r>
      <w:bookmarkEnd w:id="186"/>
      <w:bookmarkEnd w:id="187"/>
      <w:bookmarkEnd w:id="188"/>
    </w:p>
    <w:p>
      <w:pPr>
        <w:pageBreakBefore w:val="0"/>
        <w:widowControl w:val="0"/>
        <w:kinsoku/>
        <w:wordWrap/>
        <w:overflowPunct/>
        <w:topLinePunct w:val="0"/>
        <w:bidi w:val="0"/>
        <w:snapToGrid/>
        <w:spacing w:line="480" w:lineRule="exact"/>
        <w:ind w:firstLine="420" w:firstLineChars="17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val="en-US" w:eastAsia="zh-CN"/>
        </w:rPr>
        <w:t>8</w:t>
      </w:r>
      <w:r>
        <w:rPr>
          <w:rFonts w:hint="eastAsia" w:ascii="宋体" w:hAnsi="宋体" w:eastAsia="宋体" w:cs="宋体"/>
          <w:color w:val="auto"/>
          <w:sz w:val="24"/>
          <w:highlight w:val="none"/>
        </w:rPr>
        <w:t>.1供应商认为竞争性磋商文件、磋商过程和成交结果使自己的权益受到损害的，可以根据《中华人民共和国政府采购法</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中华人民共和国政府采购法实施条例》和《政府采购质疑和投诉办法》的有关规定，依法向采购人或其委托的采购代理机构提出质疑。</w:t>
      </w:r>
    </w:p>
    <w:p>
      <w:pPr>
        <w:pageBreakBefore w:val="0"/>
        <w:widowControl w:val="0"/>
        <w:kinsoku/>
        <w:wordWrap/>
        <w:overflowPunct/>
        <w:topLinePunct w:val="0"/>
        <w:bidi w:val="0"/>
        <w:snapToGrid/>
        <w:spacing w:line="480" w:lineRule="exact"/>
        <w:ind w:firstLine="420" w:firstLineChars="17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val="en-US" w:eastAsia="zh-CN"/>
        </w:rPr>
        <w:t>8</w:t>
      </w:r>
      <w:r>
        <w:rPr>
          <w:rFonts w:hint="eastAsia" w:ascii="宋体" w:hAnsi="宋体" w:eastAsia="宋体" w:cs="宋体"/>
          <w:color w:val="auto"/>
          <w:sz w:val="24"/>
          <w:highlight w:val="none"/>
        </w:rPr>
        <w:t>.2  质疑供应商应按照财政部制定的《政府采购质疑函范本》格式（可从财政部官方网站下载）和《政府采购质疑和投诉办法》的要求，在法定质疑期内以书面形式提出质疑，针对同一采购程序环节的质疑应一次性提出。</w:t>
      </w:r>
    </w:p>
    <w:p>
      <w:pPr>
        <w:pageBreakBefore w:val="0"/>
        <w:widowControl w:val="0"/>
        <w:kinsoku/>
        <w:wordWrap/>
        <w:overflowPunct/>
        <w:topLinePunct w:val="0"/>
        <w:bidi w:val="0"/>
        <w:snapToGrid/>
        <w:spacing w:line="480" w:lineRule="exact"/>
        <w:ind w:firstLine="420" w:firstLineChars="17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超出法定质疑期的、重复提出的、分次提出的或内容、形式不符合《政府采购质疑和投诉办法》的，质疑供应商将依法承担不利后果。</w:t>
      </w:r>
    </w:p>
    <w:p>
      <w:pPr>
        <w:pageBreakBefore w:val="0"/>
        <w:widowControl w:val="0"/>
        <w:kinsoku/>
        <w:wordWrap/>
        <w:overflowPunct/>
        <w:topLinePunct w:val="0"/>
        <w:bidi w:val="0"/>
        <w:snapToGrid/>
        <w:spacing w:line="480" w:lineRule="exact"/>
        <w:ind w:firstLine="420" w:firstLineChars="175"/>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val="en-US" w:eastAsia="zh-CN"/>
        </w:rPr>
        <w:t>8</w:t>
      </w:r>
      <w:r>
        <w:rPr>
          <w:rFonts w:hint="eastAsia" w:ascii="宋体" w:hAnsi="宋体" w:eastAsia="宋体" w:cs="宋体"/>
          <w:color w:val="auto"/>
          <w:sz w:val="24"/>
          <w:highlight w:val="none"/>
        </w:rPr>
        <w:t>.3 采购人或采购代理机构质疑函接收部门、联系电话和通讯地址</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 xml:space="preserve"> 见</w:t>
      </w:r>
      <w:r>
        <w:rPr>
          <w:rFonts w:hint="eastAsia" w:ascii="宋体" w:hAnsi="宋体" w:eastAsia="宋体" w:cs="宋体"/>
          <w:color w:val="auto"/>
          <w:sz w:val="24"/>
          <w:highlight w:val="none"/>
          <w:u w:val="single"/>
        </w:rPr>
        <w:t>供应商须知资料表。</w:t>
      </w:r>
    </w:p>
    <w:p>
      <w:pPr>
        <w:pStyle w:val="5"/>
        <w:pageBreakBefore w:val="0"/>
        <w:widowControl w:val="0"/>
        <w:kinsoku/>
        <w:wordWrap/>
        <w:overflowPunct/>
        <w:topLinePunct w:val="0"/>
        <w:bidi w:val="0"/>
        <w:snapToGrid/>
        <w:spacing w:before="0" w:after="0" w:line="480" w:lineRule="exact"/>
        <w:textAlignment w:val="auto"/>
        <w:rPr>
          <w:rFonts w:hint="eastAsia" w:ascii="宋体" w:hAnsi="宋体" w:eastAsia="宋体" w:cs="宋体"/>
          <w:color w:val="auto"/>
          <w:highlight w:val="none"/>
        </w:rPr>
      </w:pPr>
      <w:bookmarkStart w:id="189" w:name="_Toc51176622"/>
      <w:bookmarkStart w:id="190" w:name="_Toc4478"/>
      <w:r>
        <w:rPr>
          <w:rFonts w:hint="eastAsia" w:ascii="宋体" w:hAnsi="宋体" w:eastAsia="宋体" w:cs="宋体"/>
          <w:color w:val="auto"/>
          <w:highlight w:val="none"/>
        </w:rPr>
        <w:t>3</w:t>
      </w:r>
      <w:r>
        <w:rPr>
          <w:rFonts w:hint="eastAsia" w:ascii="宋体" w:hAnsi="宋体" w:eastAsia="宋体" w:cs="宋体"/>
          <w:color w:val="auto"/>
          <w:highlight w:val="none"/>
          <w:lang w:val="en-US" w:eastAsia="zh-CN"/>
        </w:rPr>
        <w:t>9</w:t>
      </w:r>
      <w:r>
        <w:rPr>
          <w:rFonts w:hint="eastAsia" w:ascii="宋体" w:hAnsi="宋体" w:eastAsia="宋体" w:cs="宋体"/>
          <w:color w:val="auto"/>
          <w:highlight w:val="none"/>
        </w:rPr>
        <w:t>.项目其他相关费用</w:t>
      </w:r>
      <w:bookmarkEnd w:id="189"/>
      <w:bookmarkEnd w:id="190"/>
    </w:p>
    <w:p>
      <w:pPr>
        <w:pageBreakBefore w:val="0"/>
        <w:widowControl w:val="0"/>
        <w:kinsoku/>
        <w:wordWrap/>
        <w:overflowPunct/>
        <w:topLinePunct w:val="0"/>
        <w:bidi w:val="0"/>
        <w:snapToGrid/>
        <w:spacing w:line="480" w:lineRule="exact"/>
        <w:textAlignment w:val="auto"/>
        <w:rPr>
          <w:rFonts w:hint="eastAsia" w:ascii="宋体" w:hAnsi="宋体" w:eastAsia="宋体" w:cs="宋体"/>
          <w:color w:val="auto"/>
          <w:sz w:val="24"/>
          <w:highlight w:val="none"/>
        </w:rPr>
      </w:pPr>
      <w:bookmarkStart w:id="191" w:name="_Toc411637995"/>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val="en-US" w:eastAsia="zh-CN"/>
        </w:rPr>
        <w:t>9</w:t>
      </w:r>
      <w:r>
        <w:rPr>
          <w:rFonts w:hint="eastAsia" w:ascii="宋体" w:hAnsi="宋体" w:eastAsia="宋体" w:cs="宋体"/>
          <w:color w:val="auto"/>
          <w:sz w:val="24"/>
          <w:highlight w:val="none"/>
        </w:rPr>
        <w:t>.1 成交服务费</w:t>
      </w:r>
      <w:bookmarkEnd w:id="191"/>
    </w:p>
    <w:p>
      <w:pPr>
        <w:pageBreakBefore w:val="0"/>
        <w:widowControl w:val="0"/>
        <w:kinsoku/>
        <w:wordWrap/>
        <w:overflowPunct/>
        <w:topLinePunct w:val="0"/>
        <w:bidi w:val="0"/>
        <w:snapToGrid/>
        <w:spacing w:line="480" w:lineRule="exact"/>
        <w:ind w:left="630" w:leftChars="3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成交服务费收取标准：</w:t>
      </w:r>
      <w:r>
        <w:rPr>
          <w:rFonts w:hint="eastAsia" w:ascii="宋体" w:hAnsi="宋体" w:eastAsia="宋体" w:cs="宋体"/>
          <w:color w:val="auto"/>
          <w:sz w:val="24"/>
          <w:highlight w:val="none"/>
          <w:u w:val="single"/>
        </w:rPr>
        <w:t>见供应商须知资料表。</w:t>
      </w:r>
    </w:p>
    <w:p>
      <w:pPr>
        <w:pageBreakBefore w:val="0"/>
        <w:widowControl w:val="0"/>
        <w:kinsoku/>
        <w:wordWrap/>
        <w:overflowPunct/>
        <w:topLinePunct w:val="0"/>
        <w:bidi w:val="0"/>
        <w:snapToGrid/>
        <w:spacing w:line="480" w:lineRule="exact"/>
        <w:textAlignment w:val="auto"/>
        <w:rPr>
          <w:rFonts w:hint="eastAsia" w:ascii="宋体" w:hAnsi="宋体" w:eastAsia="宋体" w:cs="宋体"/>
          <w:color w:val="auto"/>
          <w:sz w:val="24"/>
          <w:highlight w:val="none"/>
        </w:rPr>
      </w:pPr>
      <w:bookmarkStart w:id="192" w:name="_Toc411637996"/>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val="en-US" w:eastAsia="zh-CN"/>
        </w:rPr>
        <w:t>9</w:t>
      </w:r>
      <w:r>
        <w:rPr>
          <w:rFonts w:hint="eastAsia" w:ascii="宋体" w:hAnsi="宋体" w:eastAsia="宋体" w:cs="宋体"/>
          <w:color w:val="auto"/>
          <w:sz w:val="24"/>
          <w:highlight w:val="none"/>
        </w:rPr>
        <w:t xml:space="preserve">.2 </w:t>
      </w:r>
      <w:bookmarkEnd w:id="192"/>
      <w:r>
        <w:rPr>
          <w:rFonts w:hint="eastAsia" w:ascii="宋体" w:hAnsi="宋体" w:eastAsia="宋体" w:cs="宋体"/>
          <w:color w:val="auto"/>
          <w:sz w:val="24"/>
          <w:highlight w:val="none"/>
        </w:rPr>
        <w:t xml:space="preserve"> 政府采购专家评审费</w:t>
      </w:r>
    </w:p>
    <w:p>
      <w:pPr>
        <w:pageBreakBefore w:val="0"/>
        <w:widowControl w:val="0"/>
        <w:kinsoku/>
        <w:wordWrap/>
        <w:overflowPunct/>
        <w:topLinePunct w:val="0"/>
        <w:bidi w:val="0"/>
        <w:snapToGrid/>
        <w:spacing w:line="480" w:lineRule="exact"/>
        <w:ind w:firstLine="600" w:firstLineChars="25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由采购人承担，按照山东省有关规定的标准执行。</w:t>
      </w:r>
    </w:p>
    <w:p>
      <w:pPr>
        <w:pStyle w:val="5"/>
        <w:pageBreakBefore w:val="0"/>
        <w:widowControl w:val="0"/>
        <w:kinsoku/>
        <w:wordWrap/>
        <w:overflowPunct/>
        <w:topLinePunct w:val="0"/>
        <w:bidi w:val="0"/>
        <w:snapToGrid/>
        <w:spacing w:before="0" w:after="0" w:line="480" w:lineRule="exact"/>
        <w:textAlignment w:val="auto"/>
        <w:rPr>
          <w:rFonts w:hint="eastAsia" w:ascii="宋体" w:hAnsi="宋体" w:eastAsia="宋体" w:cs="宋体"/>
          <w:color w:val="auto"/>
          <w:szCs w:val="28"/>
          <w:highlight w:val="none"/>
        </w:rPr>
      </w:pPr>
      <w:bookmarkStart w:id="193" w:name="_Toc10917"/>
      <w:bookmarkStart w:id="194" w:name="_Toc51176623"/>
      <w:r>
        <w:rPr>
          <w:rFonts w:hint="eastAsia" w:ascii="宋体" w:hAnsi="宋体" w:eastAsia="宋体" w:cs="宋体"/>
          <w:color w:val="auto"/>
          <w:szCs w:val="28"/>
          <w:highlight w:val="none"/>
          <w:lang w:val="en-US" w:eastAsia="zh-CN"/>
        </w:rPr>
        <w:t>40</w:t>
      </w:r>
      <w:r>
        <w:rPr>
          <w:rFonts w:hint="eastAsia" w:ascii="宋体" w:hAnsi="宋体" w:eastAsia="宋体" w:cs="宋体"/>
          <w:color w:val="auto"/>
          <w:highlight w:val="none"/>
        </w:rPr>
        <w:t>.</w:t>
      </w:r>
      <w:r>
        <w:rPr>
          <w:rFonts w:hint="eastAsia" w:ascii="宋体" w:hAnsi="宋体" w:eastAsia="宋体" w:cs="宋体"/>
          <w:color w:val="auto"/>
          <w:szCs w:val="28"/>
          <w:highlight w:val="none"/>
        </w:rPr>
        <w:t>磋商文件解释权</w:t>
      </w:r>
      <w:bookmarkEnd w:id="193"/>
      <w:bookmarkEnd w:id="194"/>
    </w:p>
    <w:p>
      <w:pPr>
        <w:pageBreakBefore w:val="0"/>
        <w:widowControl w:val="0"/>
        <w:kinsoku/>
        <w:wordWrap/>
        <w:overflowPunct/>
        <w:topLinePunct w:val="0"/>
        <w:bidi w:val="0"/>
        <w:snapToGrid/>
        <w:spacing w:line="480" w:lineRule="exact"/>
        <w:ind w:firstLine="480" w:firstLineChars="200"/>
        <w:textAlignment w:val="auto"/>
        <w:rPr>
          <w:rFonts w:hint="eastAsia" w:ascii="宋体" w:hAnsi="宋体" w:eastAsia="宋体" w:cs="宋体"/>
          <w:color w:val="auto"/>
          <w:sz w:val="24"/>
          <w:highlight w:val="none"/>
          <w:lang w:val="en-GB"/>
        </w:rPr>
      </w:pPr>
      <w:r>
        <w:rPr>
          <w:rFonts w:hint="eastAsia" w:ascii="宋体" w:hAnsi="宋体" w:eastAsia="宋体" w:cs="宋体"/>
          <w:color w:val="auto"/>
          <w:sz w:val="24"/>
          <w:highlight w:val="none"/>
          <w:u w:val="single"/>
          <w:lang w:val="en-GB"/>
        </w:rPr>
        <w:t>见</w:t>
      </w:r>
      <w:r>
        <w:rPr>
          <w:rFonts w:hint="eastAsia" w:ascii="宋体" w:hAnsi="宋体" w:eastAsia="宋体" w:cs="宋体"/>
          <w:color w:val="auto"/>
          <w:sz w:val="24"/>
          <w:highlight w:val="none"/>
          <w:u w:val="single"/>
        </w:rPr>
        <w:t>供应商</w:t>
      </w:r>
      <w:r>
        <w:rPr>
          <w:rFonts w:hint="eastAsia" w:ascii="宋体" w:hAnsi="宋体" w:eastAsia="宋体" w:cs="宋体"/>
          <w:color w:val="auto"/>
          <w:sz w:val="24"/>
          <w:highlight w:val="none"/>
          <w:u w:val="single"/>
          <w:lang w:val="en-GB"/>
        </w:rPr>
        <w:t>须知资料表</w:t>
      </w:r>
      <w:r>
        <w:rPr>
          <w:rFonts w:hint="eastAsia" w:ascii="宋体" w:hAnsi="宋体" w:eastAsia="宋体" w:cs="宋体"/>
          <w:color w:val="auto"/>
          <w:sz w:val="24"/>
          <w:highlight w:val="none"/>
          <w:lang w:val="en-GB"/>
        </w:rPr>
        <w:t>。</w:t>
      </w:r>
    </w:p>
    <w:p>
      <w:pPr>
        <w:rPr>
          <w:rFonts w:hint="eastAsia" w:ascii="宋体" w:hAnsi="宋体" w:eastAsia="宋体" w:cs="宋体"/>
          <w:b/>
          <w:color w:val="auto"/>
          <w:sz w:val="52"/>
          <w:szCs w:val="52"/>
          <w:highlight w:val="none"/>
        </w:rPr>
      </w:pPr>
      <w:r>
        <w:rPr>
          <w:rFonts w:hint="eastAsia" w:ascii="宋体" w:hAnsi="宋体" w:eastAsia="宋体" w:cs="宋体"/>
          <w:b/>
          <w:color w:val="auto"/>
          <w:sz w:val="52"/>
          <w:szCs w:val="52"/>
          <w:highlight w:val="none"/>
        </w:rPr>
        <w:br w:type="page"/>
      </w:r>
    </w:p>
    <w:p>
      <w:pPr>
        <w:pStyle w:val="6"/>
        <w:rPr>
          <w:rFonts w:hint="eastAsia" w:ascii="宋体" w:hAnsi="宋体" w:eastAsia="宋体" w:cs="宋体"/>
          <w:color w:val="auto"/>
          <w:highlight w:val="none"/>
        </w:rPr>
      </w:pPr>
    </w:p>
    <w:p>
      <w:pPr>
        <w:rPr>
          <w:rFonts w:hint="eastAsia" w:ascii="宋体" w:hAnsi="宋体" w:eastAsia="宋体" w:cs="宋体"/>
          <w:color w:val="auto"/>
          <w:highlight w:val="none"/>
        </w:rPr>
      </w:pPr>
    </w:p>
    <w:p>
      <w:pPr>
        <w:pStyle w:val="2"/>
        <w:rPr>
          <w:rFonts w:hint="eastAsia" w:ascii="宋体" w:hAnsi="宋体" w:eastAsia="宋体" w:cs="宋体"/>
          <w:color w:val="auto"/>
          <w:highlight w:val="none"/>
        </w:rPr>
      </w:pPr>
    </w:p>
    <w:p>
      <w:pPr>
        <w:widowControl/>
        <w:spacing w:line="480" w:lineRule="exact"/>
        <w:jc w:val="left"/>
        <w:rPr>
          <w:rFonts w:hint="eastAsia" w:ascii="宋体" w:hAnsi="宋体" w:eastAsia="宋体" w:cs="宋体"/>
          <w:b/>
          <w:color w:val="auto"/>
          <w:sz w:val="52"/>
          <w:szCs w:val="52"/>
          <w:highlight w:val="none"/>
        </w:rPr>
      </w:pPr>
    </w:p>
    <w:p>
      <w:pPr>
        <w:spacing w:line="240" w:lineRule="atLeast"/>
        <w:ind w:left="1080" w:leftChars="257" w:hanging="540"/>
        <w:jc w:val="center"/>
        <w:rPr>
          <w:rFonts w:hint="eastAsia" w:ascii="宋体" w:hAnsi="宋体" w:eastAsia="宋体" w:cs="宋体"/>
          <w:b/>
          <w:color w:val="auto"/>
          <w:sz w:val="52"/>
          <w:szCs w:val="52"/>
          <w:highlight w:val="none"/>
        </w:rPr>
      </w:pPr>
    </w:p>
    <w:p>
      <w:pPr>
        <w:spacing w:line="240" w:lineRule="atLeast"/>
        <w:ind w:left="1080" w:leftChars="257" w:hanging="540"/>
        <w:jc w:val="center"/>
        <w:rPr>
          <w:rFonts w:hint="eastAsia" w:ascii="宋体" w:hAnsi="宋体" w:eastAsia="宋体" w:cs="宋体"/>
          <w:b/>
          <w:bCs/>
          <w:color w:val="auto"/>
          <w:sz w:val="70"/>
          <w:szCs w:val="52"/>
          <w:highlight w:val="none"/>
        </w:rPr>
      </w:pPr>
      <w:r>
        <w:rPr>
          <w:rFonts w:hint="eastAsia" w:ascii="宋体" w:hAnsi="宋体" w:eastAsia="宋体" w:cs="宋体"/>
          <w:b/>
          <w:bCs/>
          <w:color w:val="auto"/>
          <w:sz w:val="70"/>
          <w:szCs w:val="52"/>
          <w:highlight w:val="none"/>
        </w:rPr>
        <w:t>政府采购竞争性磋商文件</w:t>
      </w:r>
    </w:p>
    <w:p>
      <w:pPr>
        <w:spacing w:line="240" w:lineRule="atLeast"/>
        <w:ind w:left="1080" w:leftChars="257" w:hanging="540"/>
        <w:jc w:val="center"/>
        <w:rPr>
          <w:rFonts w:hint="eastAsia" w:ascii="宋体" w:hAnsi="宋体" w:eastAsia="宋体" w:cs="宋体"/>
          <w:bCs/>
          <w:color w:val="auto"/>
          <w:sz w:val="32"/>
          <w:szCs w:val="32"/>
          <w:highlight w:val="none"/>
        </w:rPr>
      </w:pPr>
    </w:p>
    <w:p>
      <w:pPr>
        <w:spacing w:line="240" w:lineRule="atLeast"/>
        <w:ind w:left="1080" w:leftChars="257" w:hanging="540"/>
        <w:jc w:val="center"/>
        <w:rPr>
          <w:rFonts w:hint="eastAsia" w:ascii="宋体" w:hAnsi="宋体" w:eastAsia="宋体" w:cs="宋体"/>
          <w:b/>
          <w:color w:val="auto"/>
          <w:sz w:val="32"/>
          <w:szCs w:val="32"/>
          <w:highlight w:val="none"/>
        </w:rPr>
      </w:pPr>
    </w:p>
    <w:p>
      <w:pPr>
        <w:spacing w:line="240" w:lineRule="atLeast"/>
        <w:ind w:left="1080" w:leftChars="257" w:hanging="540"/>
        <w:rPr>
          <w:rFonts w:hint="eastAsia" w:ascii="宋体" w:hAnsi="宋体" w:eastAsia="宋体" w:cs="宋体"/>
          <w:b/>
          <w:color w:val="auto"/>
          <w:sz w:val="28"/>
          <w:highlight w:val="none"/>
        </w:rPr>
      </w:pPr>
    </w:p>
    <w:p>
      <w:pPr>
        <w:spacing w:line="240" w:lineRule="atLeast"/>
        <w:ind w:left="1080" w:leftChars="257" w:hanging="540"/>
        <w:jc w:val="cente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第二册</w:t>
      </w:r>
    </w:p>
    <w:p>
      <w:pPr>
        <w:spacing w:line="240" w:lineRule="atLeast"/>
        <w:ind w:left="1080" w:leftChars="257" w:hanging="540"/>
        <w:jc w:val="center"/>
        <w:rPr>
          <w:rFonts w:hint="eastAsia" w:ascii="宋体" w:hAnsi="宋体" w:eastAsia="宋体" w:cs="宋体"/>
          <w:b/>
          <w:color w:val="auto"/>
          <w:sz w:val="52"/>
          <w:highlight w:val="none"/>
        </w:rPr>
      </w:pPr>
    </w:p>
    <w:p>
      <w:pPr>
        <w:spacing w:line="360" w:lineRule="auto"/>
        <w:jc w:val="both"/>
        <w:rPr>
          <w:rFonts w:hint="eastAsia" w:ascii="宋体" w:hAnsi="宋体" w:eastAsia="宋体" w:cs="宋体"/>
          <w:b/>
          <w:color w:val="auto"/>
          <w:sz w:val="30"/>
          <w:szCs w:val="30"/>
          <w:highlight w:val="none"/>
          <w:lang w:eastAsia="zh-CN"/>
        </w:rPr>
      </w:pPr>
      <w:r>
        <w:rPr>
          <w:rFonts w:hint="eastAsia" w:ascii="宋体" w:hAnsi="宋体" w:eastAsia="宋体" w:cs="宋体"/>
          <w:b/>
          <w:color w:val="auto"/>
          <w:sz w:val="30"/>
          <w:szCs w:val="30"/>
          <w:highlight w:val="none"/>
        </w:rPr>
        <w:t>项目编号：</w:t>
      </w:r>
      <w:r>
        <w:rPr>
          <w:rFonts w:hint="eastAsia" w:ascii="宋体" w:hAnsi="宋体" w:cs="宋体"/>
          <w:b/>
          <w:color w:val="auto"/>
          <w:sz w:val="30"/>
          <w:szCs w:val="30"/>
          <w:highlight w:val="none"/>
          <w:lang w:eastAsia="zh-CN"/>
        </w:rPr>
        <w:t>SDGP370000000202402003706</w:t>
      </w:r>
    </w:p>
    <w:p>
      <w:pPr>
        <w:spacing w:line="360" w:lineRule="auto"/>
        <w:ind w:left="-1" w:leftChars="0" w:firstLine="0" w:firstLineChars="0"/>
        <w:jc w:val="both"/>
        <w:rPr>
          <w:rFonts w:hint="eastAsia" w:ascii="宋体" w:hAnsi="宋体" w:cs="宋体"/>
          <w:b/>
          <w:color w:val="auto"/>
          <w:spacing w:val="-11"/>
          <w:sz w:val="30"/>
          <w:szCs w:val="30"/>
          <w:highlight w:val="none"/>
          <w:lang w:eastAsia="zh-CN"/>
        </w:rPr>
      </w:pPr>
      <w:r>
        <w:rPr>
          <w:rFonts w:hint="eastAsia" w:ascii="宋体" w:hAnsi="宋体" w:eastAsia="宋体" w:cs="宋体"/>
          <w:b/>
          <w:color w:val="auto"/>
          <w:spacing w:val="-6"/>
          <w:sz w:val="30"/>
          <w:szCs w:val="30"/>
          <w:highlight w:val="none"/>
        </w:rPr>
        <w:t xml:space="preserve">项目名称: </w:t>
      </w:r>
      <w:r>
        <w:rPr>
          <w:rFonts w:hint="eastAsia" w:ascii="宋体" w:hAnsi="宋体" w:cs="宋体"/>
          <w:b/>
          <w:color w:val="auto"/>
          <w:spacing w:val="-11"/>
          <w:sz w:val="30"/>
          <w:szCs w:val="30"/>
          <w:highlight w:val="none"/>
          <w:lang w:eastAsia="zh-CN"/>
        </w:rPr>
        <w:t>临沂大学国际交流中心改造外交公寓设备及家具购置</w:t>
      </w:r>
    </w:p>
    <w:p>
      <w:pPr>
        <w:spacing w:line="360" w:lineRule="auto"/>
        <w:ind w:left="-1" w:leftChars="0" w:firstLine="1396" w:firstLineChars="500"/>
        <w:jc w:val="both"/>
        <w:rPr>
          <w:rFonts w:hint="eastAsia" w:ascii="宋体" w:hAnsi="宋体" w:eastAsia="宋体" w:cs="宋体"/>
          <w:b/>
          <w:color w:val="auto"/>
          <w:spacing w:val="-11"/>
          <w:sz w:val="30"/>
          <w:szCs w:val="30"/>
          <w:highlight w:val="none"/>
          <w:lang w:eastAsia="zh-CN"/>
        </w:rPr>
      </w:pPr>
      <w:r>
        <w:rPr>
          <w:rFonts w:hint="eastAsia" w:ascii="宋体" w:hAnsi="宋体" w:cs="宋体"/>
          <w:b/>
          <w:color w:val="auto"/>
          <w:spacing w:val="-11"/>
          <w:sz w:val="30"/>
          <w:szCs w:val="30"/>
          <w:highlight w:val="none"/>
          <w:lang w:eastAsia="zh-CN"/>
        </w:rPr>
        <w:t>预采购项目</w:t>
      </w:r>
    </w:p>
    <w:p>
      <w:pPr>
        <w:spacing w:line="240" w:lineRule="atLeast"/>
        <w:ind w:left="1080" w:leftChars="257" w:hanging="540"/>
        <w:jc w:val="center"/>
        <w:rPr>
          <w:rFonts w:hint="eastAsia" w:ascii="宋体" w:hAnsi="宋体" w:eastAsia="宋体" w:cs="宋体"/>
          <w:b/>
          <w:color w:val="auto"/>
          <w:sz w:val="52"/>
          <w:highlight w:val="none"/>
        </w:rPr>
      </w:pPr>
    </w:p>
    <w:p>
      <w:pPr>
        <w:spacing w:line="240" w:lineRule="atLeast"/>
        <w:ind w:left="1080" w:leftChars="257" w:hanging="540"/>
        <w:jc w:val="center"/>
        <w:rPr>
          <w:rFonts w:hint="eastAsia" w:ascii="宋体" w:hAnsi="宋体" w:eastAsia="宋体" w:cs="宋体"/>
          <w:b/>
          <w:color w:val="auto"/>
          <w:sz w:val="52"/>
          <w:highlight w:val="none"/>
        </w:rPr>
      </w:pPr>
    </w:p>
    <w:p>
      <w:pPr>
        <w:pStyle w:val="2"/>
        <w:rPr>
          <w:rFonts w:hint="eastAsia" w:ascii="宋体" w:hAnsi="宋体" w:eastAsia="宋体" w:cs="宋体"/>
          <w:color w:val="auto"/>
          <w:highlight w:val="none"/>
        </w:rPr>
      </w:pPr>
    </w:p>
    <w:p>
      <w:pPr>
        <w:pStyle w:val="2"/>
        <w:rPr>
          <w:rFonts w:hint="eastAsia" w:ascii="宋体" w:hAnsi="宋体" w:eastAsia="宋体" w:cs="宋体"/>
          <w:color w:val="auto"/>
          <w:highlight w:val="none"/>
        </w:rPr>
      </w:pPr>
    </w:p>
    <w:p>
      <w:pPr>
        <w:pStyle w:val="2"/>
        <w:rPr>
          <w:rFonts w:hint="eastAsia" w:ascii="宋体" w:hAnsi="宋体" w:eastAsia="宋体" w:cs="宋体"/>
          <w:color w:val="auto"/>
          <w:highlight w:val="none"/>
        </w:rPr>
      </w:pPr>
    </w:p>
    <w:p>
      <w:pPr>
        <w:pStyle w:val="2"/>
        <w:rPr>
          <w:rFonts w:hint="eastAsia" w:ascii="宋体" w:hAnsi="宋体" w:eastAsia="宋体" w:cs="宋体"/>
          <w:color w:val="auto"/>
          <w:highlight w:val="none"/>
        </w:rPr>
      </w:pPr>
    </w:p>
    <w:p>
      <w:pPr>
        <w:pStyle w:val="2"/>
        <w:rPr>
          <w:rFonts w:hint="eastAsia" w:ascii="宋体" w:hAnsi="宋体" w:eastAsia="宋体" w:cs="宋体"/>
          <w:color w:val="auto"/>
          <w:highlight w:val="none"/>
        </w:rPr>
      </w:pPr>
    </w:p>
    <w:p>
      <w:pPr>
        <w:spacing w:line="240" w:lineRule="atLeast"/>
        <w:ind w:left="1080" w:leftChars="257" w:hanging="540"/>
        <w:jc w:val="center"/>
        <w:rPr>
          <w:rFonts w:hint="eastAsia" w:ascii="宋体" w:hAnsi="宋体" w:eastAsia="宋体" w:cs="宋体"/>
          <w:b/>
          <w:color w:val="auto"/>
          <w:sz w:val="52"/>
          <w:highlight w:val="none"/>
        </w:rPr>
      </w:pPr>
    </w:p>
    <w:p>
      <w:pPr>
        <w:spacing w:line="360" w:lineRule="auto"/>
        <w:ind w:firstLine="602" w:firstLineChars="200"/>
        <w:jc w:val="left"/>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 xml:space="preserve">采 </w:t>
      </w:r>
      <w:r>
        <w:rPr>
          <w:rFonts w:hint="eastAsia" w:ascii="宋体" w:hAnsi="宋体" w:eastAsia="宋体" w:cs="宋体"/>
          <w:b/>
          <w:color w:val="auto"/>
          <w:sz w:val="30"/>
          <w:szCs w:val="30"/>
          <w:highlight w:val="none"/>
          <w:lang w:val="en-US" w:eastAsia="zh-CN"/>
        </w:rPr>
        <w:t xml:space="preserve"> </w:t>
      </w:r>
      <w:r>
        <w:rPr>
          <w:rFonts w:hint="eastAsia" w:ascii="宋体" w:hAnsi="宋体" w:eastAsia="宋体" w:cs="宋体"/>
          <w:b/>
          <w:color w:val="auto"/>
          <w:sz w:val="30"/>
          <w:szCs w:val="30"/>
          <w:highlight w:val="none"/>
        </w:rPr>
        <w:t xml:space="preserve">  购  人:临沂大学</w:t>
      </w:r>
    </w:p>
    <w:p>
      <w:pPr>
        <w:spacing w:line="360" w:lineRule="auto"/>
        <w:ind w:firstLine="602" w:firstLineChars="200"/>
        <w:jc w:val="left"/>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 xml:space="preserve">采购代理机构：临沂市沂蒙国际招标有限公司 </w:t>
      </w:r>
    </w:p>
    <w:p>
      <w:pPr>
        <w:spacing w:line="240" w:lineRule="atLeast"/>
        <w:ind w:left="1080" w:leftChars="257" w:hanging="540"/>
        <w:rPr>
          <w:rFonts w:hint="eastAsia" w:ascii="宋体" w:hAnsi="宋体" w:eastAsia="宋体" w:cs="宋体"/>
          <w:b/>
          <w:color w:val="auto"/>
          <w:szCs w:val="21"/>
          <w:highlight w:val="none"/>
        </w:rPr>
      </w:pPr>
    </w:p>
    <w:p>
      <w:pPr>
        <w:spacing w:line="240" w:lineRule="atLeast"/>
        <w:ind w:left="1080" w:leftChars="257" w:hanging="540"/>
        <w:rPr>
          <w:rFonts w:hint="eastAsia" w:ascii="宋体" w:hAnsi="宋体" w:eastAsia="宋体" w:cs="宋体"/>
          <w:b/>
          <w:color w:val="auto"/>
          <w:szCs w:val="21"/>
          <w:highlight w:val="none"/>
        </w:rPr>
      </w:pPr>
    </w:p>
    <w:p>
      <w:pPr>
        <w:spacing w:line="240" w:lineRule="atLeast"/>
        <w:ind w:left="1077" w:leftChars="513" w:firstLine="298" w:firstLineChars="99"/>
        <w:rPr>
          <w:rFonts w:hint="eastAsia" w:ascii="宋体" w:hAnsi="宋体" w:eastAsia="宋体" w:cs="宋体"/>
          <w:b/>
          <w:color w:val="auto"/>
          <w:szCs w:val="21"/>
          <w:highlight w:val="none"/>
          <w:lang w:eastAsia="zh-CN"/>
        </w:rPr>
      </w:pPr>
      <w:r>
        <w:rPr>
          <w:rFonts w:hint="eastAsia" w:ascii="宋体" w:hAnsi="宋体" w:eastAsia="宋体" w:cs="宋体"/>
          <w:b/>
          <w:bCs/>
          <w:color w:val="auto"/>
          <w:sz w:val="30"/>
          <w:szCs w:val="30"/>
          <w:highlight w:val="none"/>
        </w:rPr>
        <w:t>发 出 日 期：</w:t>
      </w:r>
      <w:r>
        <w:rPr>
          <w:rFonts w:hint="eastAsia" w:ascii="宋体" w:hAnsi="宋体" w:cs="宋体"/>
          <w:b/>
          <w:bCs/>
          <w:color w:val="auto"/>
          <w:sz w:val="30"/>
          <w:szCs w:val="30"/>
          <w:highlight w:val="none"/>
          <w:lang w:eastAsia="zh-CN"/>
        </w:rPr>
        <w:t>二〇二四年</w:t>
      </w:r>
      <w:r>
        <w:rPr>
          <w:rFonts w:hint="eastAsia" w:ascii="宋体" w:hAnsi="宋体" w:cs="宋体"/>
          <w:b/>
          <w:bCs/>
          <w:color w:val="auto"/>
          <w:sz w:val="30"/>
          <w:szCs w:val="30"/>
          <w:highlight w:val="none"/>
          <w:lang w:val="en-US" w:eastAsia="zh-CN"/>
        </w:rPr>
        <w:t>六</w:t>
      </w:r>
      <w:r>
        <w:rPr>
          <w:rFonts w:hint="eastAsia" w:ascii="宋体" w:hAnsi="宋体" w:cs="宋体"/>
          <w:b/>
          <w:bCs/>
          <w:color w:val="auto"/>
          <w:sz w:val="30"/>
          <w:szCs w:val="30"/>
          <w:highlight w:val="none"/>
          <w:lang w:eastAsia="zh-CN"/>
        </w:rPr>
        <w:t>月</w:t>
      </w:r>
      <w:r>
        <w:rPr>
          <w:rFonts w:hint="eastAsia" w:ascii="宋体" w:hAnsi="宋体" w:cs="宋体"/>
          <w:b/>
          <w:bCs/>
          <w:color w:val="auto"/>
          <w:sz w:val="30"/>
          <w:szCs w:val="30"/>
          <w:highlight w:val="none"/>
          <w:lang w:val="en-US" w:eastAsia="zh-CN"/>
        </w:rPr>
        <w:t>三</w:t>
      </w:r>
      <w:r>
        <w:rPr>
          <w:rFonts w:hint="eastAsia" w:ascii="宋体" w:hAnsi="宋体" w:cs="宋体"/>
          <w:b/>
          <w:bCs/>
          <w:color w:val="auto"/>
          <w:sz w:val="30"/>
          <w:szCs w:val="30"/>
          <w:highlight w:val="none"/>
          <w:lang w:eastAsia="zh-CN"/>
        </w:rPr>
        <w:t>日</w:t>
      </w:r>
    </w:p>
    <w:p>
      <w:pPr>
        <w:spacing w:line="480" w:lineRule="exact"/>
        <w:ind w:left="1079" w:leftChars="257" w:hanging="539"/>
        <w:jc w:val="center"/>
        <w:rPr>
          <w:rFonts w:hint="eastAsia" w:ascii="宋体" w:hAnsi="宋体" w:eastAsia="宋体" w:cs="宋体"/>
          <w:b/>
          <w:color w:val="auto"/>
          <w:sz w:val="52"/>
          <w:highlight w:val="none"/>
        </w:rPr>
      </w:pPr>
      <w:r>
        <w:rPr>
          <w:rFonts w:hint="eastAsia" w:ascii="宋体" w:hAnsi="宋体" w:eastAsia="宋体" w:cs="宋体"/>
          <w:b/>
          <w:color w:val="auto"/>
          <w:sz w:val="52"/>
          <w:highlight w:val="none"/>
        </w:rPr>
        <w:br w:type="page"/>
      </w:r>
    </w:p>
    <w:p>
      <w:pPr>
        <w:pStyle w:val="3"/>
        <w:tabs>
          <w:tab w:val="left" w:pos="0"/>
        </w:tabs>
        <w:spacing w:before="0" w:after="240" w:afterLines="100" w:line="480" w:lineRule="exact"/>
        <w:ind w:left="425"/>
        <w:rPr>
          <w:rFonts w:hint="eastAsia" w:ascii="宋体" w:hAnsi="宋体" w:eastAsia="宋体" w:cs="宋体"/>
          <w:color w:val="auto"/>
          <w:highlight w:val="none"/>
        </w:rPr>
      </w:pPr>
      <w:bookmarkStart w:id="195" w:name="_Toc68259622"/>
      <w:bookmarkStart w:id="196" w:name="_Toc57"/>
      <w:r>
        <w:rPr>
          <w:rFonts w:hint="eastAsia" w:ascii="宋体" w:hAnsi="宋体" w:eastAsia="宋体" w:cs="宋体"/>
          <w:color w:val="auto"/>
          <w:highlight w:val="none"/>
        </w:rPr>
        <w:t xml:space="preserve">第2章  </w:t>
      </w:r>
      <w:bookmarkStart w:id="197" w:name="_Toc4766813"/>
      <w:bookmarkStart w:id="343" w:name="_GoBack"/>
      <w:r>
        <w:rPr>
          <w:rFonts w:hint="eastAsia" w:ascii="宋体" w:hAnsi="宋体" w:eastAsia="宋体" w:cs="宋体"/>
          <w:color w:val="auto"/>
          <w:highlight w:val="none"/>
        </w:rPr>
        <w:t>采购邀请</w:t>
      </w:r>
      <w:bookmarkEnd w:id="195"/>
      <w:bookmarkEnd w:id="196"/>
      <w:bookmarkEnd w:id="197"/>
    </w:p>
    <w:p>
      <w:pPr>
        <w:spacing w:line="480" w:lineRule="exact"/>
        <w:ind w:firstLine="600" w:firstLineChars="250"/>
        <w:rPr>
          <w:rFonts w:hint="eastAsia" w:ascii="宋体" w:hAnsi="宋体" w:eastAsia="宋体" w:cs="宋体"/>
          <w:color w:val="auto"/>
          <w:sz w:val="24"/>
          <w:highlight w:val="none"/>
        </w:rPr>
      </w:pPr>
      <w:r>
        <w:rPr>
          <w:rFonts w:hint="eastAsia" w:ascii="宋体" w:hAnsi="宋体" w:eastAsia="宋体" w:cs="宋体"/>
          <w:color w:val="auto"/>
          <w:sz w:val="24"/>
          <w:highlight w:val="none"/>
        </w:rPr>
        <w:t>临沂市沂蒙国际招标有限公司受临沂大学委托，对下述内容进行国内竞争性磋商。现邀请合格的供应商前来响应。</w:t>
      </w:r>
    </w:p>
    <w:p>
      <w:pPr>
        <w:spacing w:line="500" w:lineRule="exact"/>
        <w:rPr>
          <w:rFonts w:hint="eastAsia" w:ascii="宋体" w:hAnsi="宋体" w:eastAsia="宋体" w:cs="宋体"/>
          <w:color w:val="auto"/>
          <w:sz w:val="24"/>
          <w:highlight w:val="none"/>
        </w:rPr>
      </w:pPr>
      <w:bookmarkStart w:id="198" w:name="cgrphone"/>
      <w:bookmarkEnd w:id="198"/>
      <w:bookmarkStart w:id="199" w:name="_Toc35393790"/>
      <w:bookmarkStart w:id="200" w:name="_Toc28359002"/>
      <w:bookmarkStart w:id="201" w:name="_Toc35393621"/>
      <w:bookmarkStart w:id="202" w:name="_Toc28359079"/>
      <w:bookmarkStart w:id="203" w:name="_Hlk24379207"/>
      <w:bookmarkStart w:id="204" w:name="_Toc68259623"/>
      <w:bookmarkStart w:id="205" w:name="_Toc512937850"/>
      <w:r>
        <w:rPr>
          <w:rFonts w:hint="eastAsia" w:ascii="宋体" w:hAnsi="宋体" w:eastAsia="宋体" w:cs="宋体"/>
          <w:color w:val="auto"/>
          <w:sz w:val="24"/>
          <w:highlight w:val="none"/>
        </w:rPr>
        <w:t>一、项目基本情况</w:t>
      </w:r>
      <w:bookmarkEnd w:id="199"/>
      <w:bookmarkEnd w:id="200"/>
      <w:bookmarkEnd w:id="201"/>
      <w:bookmarkEnd w:id="202"/>
    </w:p>
    <w:p>
      <w:pPr>
        <w:spacing w:line="500" w:lineRule="exact"/>
        <w:ind w:firstLine="420" w:firstLineChars="175"/>
        <w:rPr>
          <w:rFonts w:hint="eastAsia" w:ascii="宋体" w:hAnsi="宋体" w:eastAsia="宋体" w:cs="宋体"/>
          <w:color w:val="auto"/>
          <w:sz w:val="24"/>
          <w:highlight w:val="none"/>
        </w:rPr>
      </w:pPr>
      <w:r>
        <w:rPr>
          <w:rFonts w:hint="eastAsia" w:ascii="宋体" w:hAnsi="宋体" w:eastAsia="宋体" w:cs="宋体"/>
          <w:color w:val="auto"/>
          <w:sz w:val="24"/>
          <w:highlight w:val="none"/>
        </w:rPr>
        <w:t>项目编号：</w:t>
      </w:r>
      <w:r>
        <w:rPr>
          <w:rFonts w:hint="eastAsia" w:ascii="宋体" w:hAnsi="宋体" w:cs="宋体"/>
          <w:color w:val="auto"/>
          <w:sz w:val="24"/>
          <w:highlight w:val="none"/>
          <w:lang w:eastAsia="zh-CN"/>
        </w:rPr>
        <w:t>SDGP370000000202402003706</w:t>
      </w:r>
    </w:p>
    <w:p>
      <w:pPr>
        <w:spacing w:line="500" w:lineRule="exact"/>
        <w:ind w:firstLine="420" w:firstLineChars="175"/>
        <w:rPr>
          <w:rFonts w:hint="eastAsia" w:ascii="宋体" w:hAnsi="宋体" w:eastAsia="宋体" w:cs="宋体"/>
          <w:color w:val="auto"/>
          <w:sz w:val="24"/>
          <w:highlight w:val="none"/>
        </w:rPr>
      </w:pPr>
      <w:r>
        <w:rPr>
          <w:rFonts w:hint="eastAsia" w:ascii="宋体" w:hAnsi="宋体" w:eastAsia="宋体" w:cs="宋体"/>
          <w:color w:val="auto"/>
          <w:sz w:val="24"/>
          <w:highlight w:val="none"/>
        </w:rPr>
        <w:t>项目名称：</w:t>
      </w:r>
      <w:r>
        <w:rPr>
          <w:rFonts w:hint="eastAsia" w:ascii="宋体" w:hAnsi="宋体" w:cs="宋体"/>
          <w:color w:val="auto"/>
          <w:sz w:val="24"/>
          <w:highlight w:val="none"/>
          <w:lang w:eastAsia="zh-CN"/>
        </w:rPr>
        <w:t>临沂大学2024年国际交流中心维修改造家电购置预采购项目</w:t>
      </w:r>
    </w:p>
    <w:bookmarkEnd w:id="203"/>
    <w:p>
      <w:pPr>
        <w:spacing w:line="500" w:lineRule="exact"/>
        <w:ind w:firstLine="420" w:firstLineChars="175"/>
        <w:rPr>
          <w:rFonts w:hint="eastAsia" w:ascii="宋体" w:hAnsi="宋体" w:eastAsia="宋体" w:cs="宋体"/>
          <w:color w:val="auto"/>
          <w:sz w:val="24"/>
          <w:highlight w:val="none"/>
        </w:rPr>
      </w:pPr>
      <w:r>
        <w:rPr>
          <w:rFonts w:hint="eastAsia" w:ascii="宋体" w:hAnsi="宋体" w:eastAsia="宋体" w:cs="宋体"/>
          <w:color w:val="auto"/>
          <w:sz w:val="24"/>
          <w:highlight w:val="none"/>
        </w:rPr>
        <w:t>预算金额：</w:t>
      </w:r>
      <w:r>
        <w:rPr>
          <w:rFonts w:hint="eastAsia" w:ascii="宋体" w:hAnsi="宋体" w:cs="宋体"/>
          <w:color w:val="auto"/>
          <w:sz w:val="24"/>
          <w:highlight w:val="none"/>
          <w:lang w:val="en-US" w:eastAsia="zh-CN"/>
        </w:rPr>
        <w:t>37.6</w:t>
      </w:r>
      <w:r>
        <w:rPr>
          <w:rFonts w:hint="eastAsia" w:ascii="宋体" w:hAnsi="宋体" w:eastAsia="宋体" w:cs="宋体"/>
          <w:color w:val="auto"/>
          <w:sz w:val="24"/>
          <w:highlight w:val="none"/>
        </w:rPr>
        <w:t>万元</w:t>
      </w:r>
    </w:p>
    <w:p>
      <w:pPr>
        <w:spacing w:line="500" w:lineRule="exact"/>
        <w:ind w:firstLine="420" w:firstLineChars="175"/>
        <w:rPr>
          <w:rFonts w:hint="eastAsia" w:ascii="宋体" w:hAnsi="宋体" w:eastAsia="宋体" w:cs="宋体"/>
          <w:color w:val="auto"/>
          <w:sz w:val="24"/>
          <w:highlight w:val="none"/>
        </w:rPr>
      </w:pPr>
      <w:r>
        <w:rPr>
          <w:rFonts w:hint="eastAsia" w:ascii="宋体" w:hAnsi="宋体" w:eastAsia="宋体" w:cs="宋体"/>
          <w:color w:val="auto"/>
          <w:sz w:val="24"/>
          <w:highlight w:val="none"/>
        </w:rPr>
        <w:t>最高限价（如有）：</w:t>
      </w:r>
      <w:r>
        <w:rPr>
          <w:rFonts w:hint="eastAsia" w:ascii="宋体" w:hAnsi="宋体" w:cs="宋体"/>
          <w:color w:val="auto"/>
          <w:sz w:val="24"/>
          <w:highlight w:val="none"/>
          <w:lang w:val="en-US" w:eastAsia="zh-CN"/>
        </w:rPr>
        <w:t>35</w:t>
      </w:r>
      <w:r>
        <w:rPr>
          <w:rFonts w:hint="eastAsia" w:ascii="宋体" w:hAnsi="宋体" w:eastAsia="宋体" w:cs="宋体"/>
          <w:color w:val="auto"/>
          <w:sz w:val="24"/>
          <w:highlight w:val="none"/>
        </w:rPr>
        <w:t>万元</w:t>
      </w:r>
    </w:p>
    <w:p>
      <w:pPr>
        <w:spacing w:line="500" w:lineRule="exact"/>
        <w:ind w:firstLine="420" w:firstLineChars="175"/>
        <w:rPr>
          <w:rFonts w:hint="eastAsia" w:ascii="宋体" w:hAnsi="宋体" w:eastAsia="宋体" w:cs="宋体"/>
          <w:color w:val="auto"/>
          <w:sz w:val="24"/>
          <w:highlight w:val="none"/>
        </w:rPr>
      </w:pPr>
      <w:r>
        <w:rPr>
          <w:rFonts w:hint="eastAsia" w:ascii="宋体" w:hAnsi="宋体" w:eastAsia="宋体" w:cs="宋体"/>
          <w:color w:val="auto"/>
          <w:sz w:val="24"/>
          <w:highlight w:val="none"/>
        </w:rPr>
        <w:t>采购需求：</w:t>
      </w:r>
    </w:p>
    <w:tbl>
      <w:tblPr>
        <w:tblStyle w:val="30"/>
        <w:tblW w:w="5730" w:type="pct"/>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autofit"/>
        <w:tblCellMar>
          <w:top w:w="0" w:type="dxa"/>
          <w:left w:w="0" w:type="dxa"/>
          <w:bottom w:w="0" w:type="dxa"/>
          <w:right w:w="0" w:type="dxa"/>
        </w:tblCellMar>
      </w:tblPr>
      <w:tblGrid>
        <w:gridCol w:w="764"/>
        <w:gridCol w:w="2460"/>
        <w:gridCol w:w="770"/>
        <w:gridCol w:w="4284"/>
        <w:gridCol w:w="1266"/>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1173" w:hRule="atLeast"/>
          <w:jc w:val="center"/>
        </w:trPr>
        <w:tc>
          <w:tcPr>
            <w:tcW w:w="400" w:type="pct"/>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exact"/>
              <w:ind w:left="-1"/>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标</w:t>
            </w:r>
            <w:r>
              <w:rPr>
                <w:rFonts w:hint="eastAsia" w:ascii="宋体" w:hAnsi="宋体" w:cs="宋体"/>
                <w:color w:val="auto"/>
                <w:sz w:val="24"/>
                <w:highlight w:val="none"/>
                <w:lang w:val="en-US" w:eastAsia="zh-CN"/>
              </w:rPr>
              <w:t>包</w:t>
            </w:r>
          </w:p>
        </w:tc>
        <w:tc>
          <w:tcPr>
            <w:tcW w:w="1288" w:type="pct"/>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exact"/>
              <w:ind w:left="-1"/>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标的名称</w:t>
            </w:r>
          </w:p>
        </w:tc>
        <w:tc>
          <w:tcPr>
            <w:tcW w:w="403" w:type="pct"/>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exact"/>
              <w:ind w:left="-1"/>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数量</w:t>
            </w:r>
          </w:p>
        </w:tc>
        <w:tc>
          <w:tcPr>
            <w:tcW w:w="2243" w:type="pct"/>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exact"/>
              <w:ind w:left="-1"/>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简要技术需求或服务要求</w:t>
            </w:r>
          </w:p>
        </w:tc>
        <w:tc>
          <w:tcPr>
            <w:tcW w:w="663" w:type="pct"/>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exact"/>
              <w:ind w:left="-1"/>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本包预算金额（单位：万元）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1420" w:hRule="atLeast"/>
          <w:jc w:val="center"/>
        </w:trPr>
        <w:tc>
          <w:tcPr>
            <w:tcW w:w="400" w:type="pct"/>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exact"/>
              <w:ind w:left="-1"/>
              <w:jc w:val="center"/>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A</w:t>
            </w:r>
          </w:p>
        </w:tc>
        <w:tc>
          <w:tcPr>
            <w:tcW w:w="1288" w:type="pct"/>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eastAsia="zh-CN"/>
              </w:rPr>
              <w:t>临沂大学2024年国际交流中心维修改造家电购置预采购项目</w:t>
            </w:r>
          </w:p>
        </w:tc>
        <w:tc>
          <w:tcPr>
            <w:tcW w:w="403" w:type="pct"/>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exact"/>
              <w:ind w:left="-1"/>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1</w:t>
            </w:r>
          </w:p>
        </w:tc>
        <w:tc>
          <w:tcPr>
            <w:tcW w:w="2243" w:type="pct"/>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电冰箱、抽油烟机、电磁炉、微波炉、洗衣机、烘干机等一宗，成交结果确定后30日内供货安装调试完成并交付使用，包括供货、安装、调试，具体</w:t>
            </w:r>
            <w:r>
              <w:rPr>
                <w:rFonts w:hint="eastAsia" w:ascii="宋体" w:hAnsi="宋体" w:eastAsia="宋体" w:cs="宋体"/>
                <w:color w:val="auto"/>
                <w:sz w:val="24"/>
                <w:highlight w:val="none"/>
              </w:rPr>
              <w:t>详见磋商文件</w:t>
            </w:r>
            <w:r>
              <w:rPr>
                <w:rFonts w:hint="eastAsia" w:ascii="宋体" w:hAnsi="宋体" w:eastAsia="宋体" w:cs="宋体"/>
                <w:color w:val="auto"/>
                <w:sz w:val="24"/>
                <w:highlight w:val="none"/>
                <w:lang w:eastAsia="zh-CN"/>
              </w:rPr>
              <w:t>。</w:t>
            </w:r>
          </w:p>
        </w:tc>
        <w:tc>
          <w:tcPr>
            <w:tcW w:w="663" w:type="pct"/>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exact"/>
              <w:ind w:left="-1"/>
              <w:jc w:val="center"/>
              <w:textAlignment w:val="auto"/>
              <w:rPr>
                <w:rFonts w:hint="default"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37.6</w:t>
            </w:r>
          </w:p>
        </w:tc>
      </w:tr>
    </w:tbl>
    <w:p>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合同履行期限：</w:t>
      </w:r>
      <w:r>
        <w:rPr>
          <w:rFonts w:hint="eastAsia" w:ascii="宋体" w:hAnsi="宋体" w:eastAsia="宋体" w:cs="宋体"/>
          <w:b w:val="0"/>
          <w:bCs w:val="0"/>
          <w:color w:val="auto"/>
          <w:sz w:val="24"/>
          <w:highlight w:val="none"/>
          <w:lang w:val="en-US" w:eastAsia="zh-CN"/>
        </w:rPr>
        <w:t>成交结果确定后30日内供货安装调试完成并交付使用。</w:t>
      </w:r>
    </w:p>
    <w:p>
      <w:pPr>
        <w:spacing w:line="50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本项目不接受联合体投标</w:t>
      </w:r>
      <w:r>
        <w:rPr>
          <w:rFonts w:hint="eastAsia" w:ascii="宋体" w:hAnsi="宋体" w:eastAsia="宋体" w:cs="宋体"/>
          <w:color w:val="auto"/>
          <w:sz w:val="24"/>
          <w:highlight w:val="none"/>
          <w:lang w:eastAsia="zh-CN"/>
        </w:rPr>
        <w:t>。</w:t>
      </w:r>
    </w:p>
    <w:p>
      <w:pPr>
        <w:spacing w:line="500" w:lineRule="exact"/>
        <w:rPr>
          <w:rFonts w:hint="eastAsia" w:ascii="宋体" w:hAnsi="宋体" w:eastAsia="宋体" w:cs="宋体"/>
          <w:color w:val="auto"/>
          <w:sz w:val="24"/>
          <w:highlight w:val="none"/>
        </w:rPr>
      </w:pPr>
      <w:bookmarkStart w:id="206" w:name="_Toc35393622"/>
      <w:bookmarkStart w:id="207" w:name="_Toc28359080"/>
      <w:bookmarkStart w:id="208" w:name="_Toc28359003"/>
      <w:bookmarkStart w:id="209" w:name="_Toc35393791"/>
      <w:r>
        <w:rPr>
          <w:rFonts w:hint="eastAsia" w:ascii="宋体" w:hAnsi="宋体" w:eastAsia="宋体" w:cs="宋体"/>
          <w:color w:val="auto"/>
          <w:sz w:val="24"/>
          <w:highlight w:val="none"/>
        </w:rPr>
        <w:t>二、申请人的资格要求：</w:t>
      </w:r>
      <w:bookmarkEnd w:id="206"/>
      <w:bookmarkEnd w:id="207"/>
      <w:bookmarkEnd w:id="208"/>
      <w:bookmarkEnd w:id="209"/>
    </w:p>
    <w:p>
      <w:pPr>
        <w:spacing w:line="500" w:lineRule="exact"/>
        <w:ind w:firstLine="420" w:firstLineChars="175"/>
        <w:rPr>
          <w:rFonts w:hint="eastAsia" w:ascii="宋体" w:hAnsi="宋体" w:eastAsia="宋体" w:cs="宋体"/>
          <w:color w:val="auto"/>
          <w:sz w:val="24"/>
          <w:highlight w:val="none"/>
        </w:rPr>
      </w:pPr>
      <w:r>
        <w:rPr>
          <w:rFonts w:hint="eastAsia" w:ascii="宋体" w:hAnsi="宋体" w:eastAsia="宋体" w:cs="宋体"/>
          <w:color w:val="auto"/>
          <w:sz w:val="24"/>
          <w:highlight w:val="none"/>
        </w:rPr>
        <w:t>1.满足《中华人民共和国政府采购法》第二十二条规定；</w:t>
      </w:r>
    </w:p>
    <w:p>
      <w:pPr>
        <w:spacing w:line="500" w:lineRule="exact"/>
        <w:ind w:firstLine="420" w:firstLineChars="175"/>
        <w:rPr>
          <w:rFonts w:hint="eastAsia" w:ascii="宋体" w:hAnsi="宋体" w:eastAsia="宋体" w:cs="宋体"/>
          <w:color w:val="auto"/>
          <w:sz w:val="24"/>
          <w:highlight w:val="none"/>
        </w:rPr>
      </w:pPr>
      <w:bookmarkStart w:id="210" w:name="_Toc28359004"/>
      <w:bookmarkStart w:id="211" w:name="_Toc28359081"/>
      <w:r>
        <w:rPr>
          <w:rFonts w:hint="eastAsia" w:ascii="宋体" w:hAnsi="宋体" w:eastAsia="宋体" w:cs="宋体"/>
          <w:color w:val="auto"/>
          <w:sz w:val="24"/>
          <w:highlight w:val="none"/>
        </w:rPr>
        <w:t>2.落实政府采购政策需满足的资格要求：</w:t>
      </w:r>
      <w:r>
        <w:rPr>
          <w:rFonts w:hint="eastAsia" w:ascii="宋体" w:hAnsi="宋体" w:eastAsia="宋体" w:cs="宋体"/>
          <w:color w:val="auto"/>
          <w:sz w:val="24"/>
          <w:highlight w:val="none"/>
          <w:lang w:val="en-US" w:eastAsia="zh-CN"/>
        </w:rPr>
        <w:t>无</w:t>
      </w:r>
      <w:r>
        <w:rPr>
          <w:rFonts w:hint="eastAsia" w:ascii="宋体" w:hAnsi="宋体" w:eastAsia="宋体" w:cs="宋体"/>
          <w:color w:val="auto"/>
          <w:sz w:val="24"/>
          <w:highlight w:val="none"/>
        </w:rPr>
        <w:t>；</w:t>
      </w:r>
    </w:p>
    <w:p>
      <w:pPr>
        <w:pStyle w:val="10"/>
        <w:keepNext w:val="0"/>
        <w:keepLines w:val="0"/>
        <w:pageBreakBefore w:val="0"/>
        <w:widowControl w:val="0"/>
        <w:kinsoku/>
        <w:wordWrap/>
        <w:overflowPunct/>
        <w:topLinePunct w:val="0"/>
        <w:autoSpaceDE/>
        <w:autoSpaceDN/>
        <w:bidi w:val="0"/>
        <w:spacing w:before="0" w:line="480" w:lineRule="exact"/>
        <w:ind w:firstLine="480" w:firstLineChars="200"/>
        <w:textAlignment w:val="auto"/>
        <w:rPr>
          <w:rFonts w:hint="eastAsia" w:ascii="宋体" w:hAnsi="宋体" w:eastAsia="宋体" w:cs="宋体"/>
          <w:color w:val="auto"/>
          <w:highlight w:val="none"/>
          <w:lang w:val="en-US" w:eastAsia="zh-CN"/>
        </w:rPr>
      </w:pPr>
      <w:r>
        <w:rPr>
          <w:rFonts w:hint="eastAsia" w:ascii="宋体" w:hAnsi="宋体" w:eastAsia="宋体" w:cs="宋体"/>
          <w:color w:val="auto"/>
          <w:sz w:val="24"/>
          <w:highlight w:val="none"/>
        </w:rPr>
        <w:t>3.本项目的特定资格要求：（1）在“信用中国”（www.creditchina.gov.cn）、中国政府采购网（www.ccgp.gov.cn）等网站中被列入失信被执行人、</w:t>
      </w:r>
      <w:r>
        <w:rPr>
          <w:rFonts w:hint="eastAsia" w:ascii="宋体" w:hAnsi="宋体" w:eastAsia="宋体" w:cs="宋体"/>
          <w:color w:val="auto"/>
          <w:sz w:val="24"/>
          <w:highlight w:val="none"/>
          <w:lang w:eastAsia="zh-CN"/>
        </w:rPr>
        <w:t>重大税收违法失信主体</w:t>
      </w:r>
      <w:r>
        <w:rPr>
          <w:rFonts w:hint="eastAsia" w:ascii="宋体" w:hAnsi="宋体" w:eastAsia="宋体" w:cs="宋体"/>
          <w:color w:val="auto"/>
          <w:sz w:val="24"/>
          <w:highlight w:val="none"/>
        </w:rPr>
        <w:t>、政府采购严重违法失信行为记录名单的供应商，不得参加本次政府采购活动</w:t>
      </w:r>
      <w:r>
        <w:rPr>
          <w:rFonts w:hint="eastAsia" w:ascii="宋体" w:hAnsi="宋体" w:eastAsia="宋体" w:cs="宋体"/>
          <w:color w:val="auto"/>
          <w:sz w:val="24"/>
          <w:highlight w:val="none"/>
          <w:lang w:eastAsia="zh-CN"/>
        </w:rPr>
        <w:t>；</w:t>
      </w:r>
      <w:r>
        <w:rPr>
          <w:rFonts w:hint="eastAsia" w:ascii="宋体" w:hAnsi="宋体" w:eastAsia="宋体" w:cs="宋体"/>
          <w:color w:val="auto"/>
          <w:highlight w:val="none"/>
          <w:lang w:val="en-US" w:eastAsia="zh-CN"/>
        </w:rPr>
        <w:t>（2）单位负责人为同一人或者存在直接控股、管理关系的不同供应商，不得参加同一合同项下的政府采购活动。</w:t>
      </w:r>
    </w:p>
    <w:p>
      <w:pPr>
        <w:spacing w:line="500" w:lineRule="exact"/>
        <w:rPr>
          <w:rFonts w:hint="eastAsia" w:ascii="宋体" w:hAnsi="宋体" w:eastAsia="宋体" w:cs="宋体"/>
          <w:color w:val="auto"/>
          <w:sz w:val="24"/>
          <w:highlight w:val="none"/>
        </w:rPr>
      </w:pPr>
      <w:bookmarkStart w:id="212" w:name="_Toc35393792"/>
      <w:bookmarkStart w:id="213" w:name="_Toc35393623"/>
      <w:r>
        <w:rPr>
          <w:rFonts w:hint="eastAsia" w:ascii="宋体" w:hAnsi="宋体" w:eastAsia="宋体" w:cs="宋体"/>
          <w:color w:val="auto"/>
          <w:sz w:val="24"/>
          <w:highlight w:val="none"/>
        </w:rPr>
        <w:t>三、获取采购文件</w:t>
      </w:r>
      <w:bookmarkEnd w:id="210"/>
      <w:bookmarkEnd w:id="211"/>
      <w:bookmarkEnd w:id="212"/>
      <w:bookmarkEnd w:id="213"/>
    </w:p>
    <w:p>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1.时间：202</w:t>
      </w:r>
      <w:r>
        <w:rPr>
          <w:rFonts w:hint="eastAsia" w:ascii="宋体" w:hAnsi="宋体" w:eastAsia="宋体" w:cs="宋体"/>
          <w:color w:val="auto"/>
          <w:sz w:val="24"/>
          <w:highlight w:val="none"/>
          <w:lang w:val="en-US" w:eastAsia="zh-CN"/>
        </w:rPr>
        <w:t>4</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lang w:val="en-US" w:eastAsia="zh-CN"/>
        </w:rPr>
        <w:t>6</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lang w:val="en-US" w:eastAsia="zh-CN"/>
        </w:rPr>
        <w:t>3</w:t>
      </w:r>
      <w:r>
        <w:rPr>
          <w:rFonts w:hint="eastAsia" w:ascii="宋体" w:hAnsi="宋体" w:eastAsia="宋体" w:cs="宋体"/>
          <w:color w:val="auto"/>
          <w:sz w:val="24"/>
          <w:highlight w:val="none"/>
        </w:rPr>
        <w:t>日8时30分</w:t>
      </w:r>
      <w:r>
        <w:rPr>
          <w:rFonts w:hint="eastAsia" w:ascii="宋体" w:hAnsi="宋体" w:eastAsia="宋体" w:cs="宋体"/>
          <w:color w:val="auto"/>
          <w:sz w:val="24"/>
          <w:highlight w:val="none"/>
        </w:rPr>
        <w:t>至202</w:t>
      </w:r>
      <w:r>
        <w:rPr>
          <w:rFonts w:hint="eastAsia" w:ascii="宋体" w:hAnsi="宋体" w:eastAsia="宋体" w:cs="宋体"/>
          <w:color w:val="auto"/>
          <w:sz w:val="24"/>
          <w:highlight w:val="none"/>
          <w:lang w:val="en-US" w:eastAsia="zh-CN"/>
        </w:rPr>
        <w:t>4</w:t>
      </w:r>
      <w:r>
        <w:rPr>
          <w:rFonts w:hint="eastAsia" w:ascii="宋体" w:hAnsi="宋体" w:eastAsia="宋体" w:cs="宋体"/>
          <w:color w:val="auto"/>
          <w:sz w:val="24"/>
          <w:highlight w:val="none"/>
        </w:rPr>
        <w:t>年</w:t>
      </w:r>
      <w:r>
        <w:rPr>
          <w:rFonts w:hint="eastAsia" w:ascii="宋体" w:hAnsi="宋体" w:cs="宋体"/>
          <w:color w:val="auto"/>
          <w:sz w:val="24"/>
          <w:highlight w:val="none"/>
          <w:lang w:val="en-US" w:eastAsia="zh-CN"/>
        </w:rPr>
        <w:t>6</w:t>
      </w:r>
      <w:r>
        <w:rPr>
          <w:rFonts w:hint="eastAsia" w:ascii="宋体" w:hAnsi="宋体" w:eastAsia="宋体" w:cs="宋体"/>
          <w:color w:val="auto"/>
          <w:sz w:val="24"/>
          <w:highlight w:val="none"/>
        </w:rPr>
        <w:t>月</w:t>
      </w:r>
      <w:r>
        <w:rPr>
          <w:rFonts w:hint="eastAsia" w:ascii="宋体" w:hAnsi="宋体" w:cs="宋体"/>
          <w:color w:val="auto"/>
          <w:sz w:val="24"/>
          <w:highlight w:val="none"/>
          <w:lang w:val="en-US" w:eastAsia="zh-CN"/>
        </w:rPr>
        <w:t>7</w:t>
      </w:r>
      <w:r>
        <w:rPr>
          <w:rFonts w:hint="eastAsia" w:ascii="宋体" w:hAnsi="宋体" w:eastAsia="宋体" w:cs="宋体"/>
          <w:color w:val="auto"/>
          <w:sz w:val="24"/>
          <w:highlight w:val="none"/>
        </w:rPr>
        <w:t>日17时00分（报名截止时间）（北京时间，法定节假日除外）</w:t>
      </w:r>
    </w:p>
    <w:p>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2.地点：临沂市北城新区北京路与沭河路交汇向北100米路西红日大厦20楼临沂市沂蒙国际招标有限公司；</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3.方式：</w:t>
      </w:r>
      <w:r>
        <w:rPr>
          <w:rFonts w:hint="eastAsia" w:ascii="宋体" w:hAnsi="宋体" w:eastAsia="宋体" w:cs="宋体"/>
          <w:color w:val="auto"/>
          <w:sz w:val="24"/>
          <w:szCs w:val="24"/>
          <w:highlight w:val="none"/>
        </w:rPr>
        <w:t>凡有意参加本次政府采购的</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，须</w:t>
      </w:r>
      <w:r>
        <w:rPr>
          <w:rFonts w:hint="eastAsia" w:ascii="宋体" w:hAnsi="宋体" w:eastAsia="宋体" w:cs="宋体"/>
          <w:color w:val="auto"/>
          <w:sz w:val="24"/>
          <w:szCs w:val="24"/>
          <w:highlight w:val="none"/>
          <w:lang w:val="en-US" w:eastAsia="zh-CN"/>
        </w:rPr>
        <w:t>登录</w:t>
      </w:r>
      <w:r>
        <w:rPr>
          <w:rFonts w:hint="eastAsia" w:ascii="宋体" w:hAnsi="宋体" w:eastAsia="宋体" w:cs="宋体"/>
          <w:color w:val="auto"/>
          <w:sz w:val="24"/>
          <w:szCs w:val="24"/>
          <w:highlight w:val="none"/>
        </w:rPr>
        <w:t>山东省政府采购信息公开平台（http://www.ccgp-shandong.gov.cn）</w:t>
      </w:r>
      <w:r>
        <w:rPr>
          <w:rFonts w:hint="eastAsia" w:ascii="宋体" w:hAnsi="宋体" w:eastAsia="宋体" w:cs="宋体"/>
          <w:color w:val="auto"/>
          <w:sz w:val="24"/>
          <w:szCs w:val="24"/>
          <w:highlight w:val="none"/>
          <w:lang w:val="en-US" w:eastAsia="zh-CN"/>
        </w:rPr>
        <w:t>完成</w:t>
      </w:r>
      <w:r>
        <w:rPr>
          <w:rFonts w:hint="eastAsia" w:ascii="宋体" w:hAnsi="宋体" w:eastAsia="宋体" w:cs="宋体"/>
          <w:color w:val="auto"/>
          <w:sz w:val="24"/>
          <w:szCs w:val="24"/>
          <w:highlight w:val="none"/>
        </w:rPr>
        <w:t>投标备案</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备案后请及时致电代理机构购买竞争性磋商文件及确认投标备案（联系电话：0539-7578911，邮箱ymgjzb@163.com，开户名：临沂市沂蒙国际招标有限公司，开户行：建设银行临沂分行营业部，账号：37001828301050001489）。因自身行为导致未成功获取磋商文件及补充（答疑、澄清）文件、未能够在中国山东政府采购网投标备案，后果自负。</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售价：每套人民币</w:t>
      </w:r>
      <w:r>
        <w:rPr>
          <w:rFonts w:hint="eastAsia" w:ascii="宋体" w:hAnsi="宋体" w:cs="宋体"/>
          <w:color w:val="auto"/>
          <w:sz w:val="24"/>
          <w:szCs w:val="24"/>
          <w:highlight w:val="none"/>
          <w:lang w:val="en-US" w:eastAsia="zh-CN"/>
        </w:rPr>
        <w:t>200</w:t>
      </w:r>
      <w:r>
        <w:rPr>
          <w:rFonts w:hint="eastAsia" w:ascii="宋体" w:hAnsi="宋体" w:eastAsia="宋体" w:cs="宋体"/>
          <w:color w:val="auto"/>
          <w:sz w:val="24"/>
          <w:szCs w:val="24"/>
          <w:highlight w:val="none"/>
        </w:rPr>
        <w:t>元</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售后不退。</w:t>
      </w:r>
    </w:p>
    <w:p>
      <w:pPr>
        <w:spacing w:line="500" w:lineRule="exact"/>
        <w:rPr>
          <w:rFonts w:hint="eastAsia" w:ascii="宋体" w:hAnsi="宋体" w:eastAsia="宋体" w:cs="宋体"/>
          <w:color w:val="auto"/>
          <w:sz w:val="24"/>
          <w:highlight w:val="none"/>
        </w:rPr>
      </w:pPr>
      <w:bookmarkStart w:id="214" w:name="_Toc28359005"/>
      <w:bookmarkStart w:id="215" w:name="_Toc28359082"/>
      <w:bookmarkStart w:id="216" w:name="_Toc35393624"/>
      <w:bookmarkStart w:id="217" w:name="_Toc35393793"/>
      <w:r>
        <w:rPr>
          <w:rFonts w:hint="eastAsia" w:ascii="宋体" w:hAnsi="宋体" w:eastAsia="宋体" w:cs="宋体"/>
          <w:color w:val="auto"/>
          <w:sz w:val="24"/>
          <w:highlight w:val="none"/>
        </w:rPr>
        <w:t>四、提交响应文件</w:t>
      </w:r>
      <w:bookmarkEnd w:id="214"/>
      <w:bookmarkEnd w:id="215"/>
      <w:r>
        <w:rPr>
          <w:rFonts w:hint="eastAsia" w:ascii="宋体" w:hAnsi="宋体" w:eastAsia="宋体" w:cs="宋体"/>
          <w:color w:val="auto"/>
          <w:sz w:val="24"/>
          <w:highlight w:val="none"/>
        </w:rPr>
        <w:t>截止时间和地点</w:t>
      </w:r>
      <w:bookmarkEnd w:id="216"/>
      <w:bookmarkEnd w:id="217"/>
    </w:p>
    <w:p>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1.时间：202</w:t>
      </w:r>
      <w:r>
        <w:rPr>
          <w:rFonts w:hint="eastAsia" w:ascii="宋体" w:hAnsi="宋体" w:eastAsia="宋体" w:cs="宋体"/>
          <w:color w:val="auto"/>
          <w:sz w:val="24"/>
          <w:highlight w:val="none"/>
          <w:lang w:val="en-US" w:eastAsia="zh-CN"/>
        </w:rPr>
        <w:t>4</w:t>
      </w:r>
      <w:r>
        <w:rPr>
          <w:rFonts w:hint="eastAsia" w:ascii="宋体" w:hAnsi="宋体" w:eastAsia="宋体" w:cs="宋体"/>
          <w:color w:val="auto"/>
          <w:sz w:val="24"/>
          <w:highlight w:val="none"/>
        </w:rPr>
        <w:t>年</w:t>
      </w:r>
      <w:r>
        <w:rPr>
          <w:rFonts w:hint="eastAsia" w:ascii="宋体" w:hAnsi="宋体" w:cs="宋体"/>
          <w:color w:val="auto"/>
          <w:sz w:val="24"/>
          <w:highlight w:val="none"/>
          <w:lang w:val="en-US" w:eastAsia="zh-CN"/>
        </w:rPr>
        <w:t>6</w:t>
      </w:r>
      <w:r>
        <w:rPr>
          <w:rFonts w:hint="eastAsia" w:ascii="宋体" w:hAnsi="宋体" w:eastAsia="宋体" w:cs="宋体"/>
          <w:color w:val="auto"/>
          <w:sz w:val="24"/>
          <w:highlight w:val="none"/>
        </w:rPr>
        <w:t>月</w:t>
      </w:r>
      <w:r>
        <w:rPr>
          <w:rFonts w:hint="eastAsia" w:ascii="宋体" w:hAnsi="宋体" w:cs="宋体"/>
          <w:color w:val="auto"/>
          <w:sz w:val="24"/>
          <w:highlight w:val="none"/>
          <w:lang w:val="en-US" w:eastAsia="zh-CN"/>
        </w:rPr>
        <w:t>13</w:t>
      </w:r>
      <w:r>
        <w:rPr>
          <w:rFonts w:hint="eastAsia" w:ascii="宋体" w:hAnsi="宋体" w:eastAsia="宋体" w:cs="宋体"/>
          <w:color w:val="auto"/>
          <w:sz w:val="24"/>
          <w:highlight w:val="none"/>
        </w:rPr>
        <w:t>日</w:t>
      </w:r>
      <w:r>
        <w:rPr>
          <w:rFonts w:hint="eastAsia" w:ascii="宋体" w:hAnsi="宋体" w:cs="宋体"/>
          <w:color w:val="auto"/>
          <w:sz w:val="24"/>
          <w:highlight w:val="none"/>
          <w:lang w:val="en-US" w:eastAsia="zh-CN"/>
        </w:rPr>
        <w:t>14</w:t>
      </w:r>
      <w:r>
        <w:rPr>
          <w:rFonts w:hint="eastAsia" w:ascii="宋体" w:hAnsi="宋体" w:eastAsia="宋体" w:cs="宋体"/>
          <w:color w:val="auto"/>
          <w:sz w:val="24"/>
          <w:highlight w:val="none"/>
        </w:rPr>
        <w:t>时</w:t>
      </w:r>
      <w:r>
        <w:rPr>
          <w:rFonts w:hint="eastAsia" w:ascii="宋体" w:hAnsi="宋体" w:cs="宋体"/>
          <w:color w:val="auto"/>
          <w:sz w:val="24"/>
          <w:highlight w:val="none"/>
          <w:lang w:val="en-US" w:eastAsia="zh-CN"/>
        </w:rPr>
        <w:t>30</w:t>
      </w:r>
      <w:r>
        <w:rPr>
          <w:rFonts w:hint="eastAsia" w:ascii="宋体" w:hAnsi="宋体" w:eastAsia="宋体" w:cs="宋体"/>
          <w:color w:val="auto"/>
          <w:sz w:val="24"/>
          <w:highlight w:val="none"/>
        </w:rPr>
        <w:t>分（北京时间）；</w:t>
      </w:r>
    </w:p>
    <w:p>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2.地点：</w:t>
      </w:r>
      <w:r>
        <w:rPr>
          <w:rFonts w:hint="eastAsia" w:ascii="宋体" w:hAnsi="宋体" w:eastAsia="宋体" w:cs="宋体"/>
          <w:color w:val="auto"/>
          <w:sz w:val="24"/>
          <w:highlight w:val="none"/>
          <w:lang w:val="zh-CN"/>
        </w:rPr>
        <w:t>临沂市北城新区北京路与沭河路交汇向北100米路西红日大厦20楼临沂市沂蒙国际招标有限公司开标室。</w:t>
      </w:r>
    </w:p>
    <w:p>
      <w:pPr>
        <w:spacing w:line="500" w:lineRule="exact"/>
        <w:rPr>
          <w:rFonts w:hint="eastAsia" w:ascii="宋体" w:hAnsi="宋体" w:eastAsia="宋体" w:cs="宋体"/>
          <w:color w:val="auto"/>
          <w:sz w:val="24"/>
          <w:highlight w:val="none"/>
        </w:rPr>
      </w:pPr>
      <w:bookmarkStart w:id="218" w:name="_Toc35393633"/>
      <w:bookmarkStart w:id="219" w:name="_Toc35393802"/>
      <w:bookmarkStart w:id="220" w:name="_Toc28359016"/>
      <w:bookmarkStart w:id="221" w:name="_Toc28359093"/>
      <w:r>
        <w:rPr>
          <w:rFonts w:hint="eastAsia" w:ascii="宋体" w:hAnsi="宋体" w:eastAsia="宋体" w:cs="宋体"/>
          <w:color w:val="auto"/>
          <w:sz w:val="24"/>
          <w:highlight w:val="none"/>
        </w:rPr>
        <w:t>五、开启</w:t>
      </w:r>
      <w:bookmarkEnd w:id="218"/>
      <w:bookmarkEnd w:id="219"/>
      <w:bookmarkEnd w:id="220"/>
      <w:bookmarkEnd w:id="221"/>
      <w:r>
        <w:rPr>
          <w:rFonts w:hint="eastAsia" w:ascii="宋体" w:hAnsi="宋体" w:eastAsia="宋体" w:cs="宋体"/>
          <w:color w:val="auto"/>
          <w:sz w:val="24"/>
          <w:highlight w:val="none"/>
        </w:rPr>
        <w:t xml:space="preserve"> </w:t>
      </w:r>
    </w:p>
    <w:p>
      <w:pPr>
        <w:spacing w:line="500" w:lineRule="exact"/>
        <w:ind w:firstLine="480" w:firstLineChars="200"/>
        <w:rPr>
          <w:rFonts w:hint="eastAsia" w:ascii="宋体" w:hAnsi="宋体" w:eastAsia="宋体" w:cs="宋体"/>
          <w:color w:val="auto"/>
          <w:sz w:val="24"/>
          <w:highlight w:val="none"/>
        </w:rPr>
      </w:pPr>
      <w:bookmarkStart w:id="222" w:name="_Toc28359094"/>
      <w:bookmarkStart w:id="223" w:name="_Toc28359017"/>
      <w:bookmarkStart w:id="224" w:name="_Toc35393634"/>
      <w:bookmarkStart w:id="225" w:name="_Toc35393803"/>
      <w:r>
        <w:rPr>
          <w:rFonts w:hint="eastAsia" w:ascii="宋体" w:hAnsi="宋体" w:eastAsia="宋体" w:cs="宋体"/>
          <w:color w:val="auto"/>
          <w:sz w:val="24"/>
          <w:highlight w:val="none"/>
        </w:rPr>
        <w:t>1.时间：202</w:t>
      </w:r>
      <w:r>
        <w:rPr>
          <w:rFonts w:hint="eastAsia" w:ascii="宋体" w:hAnsi="宋体" w:eastAsia="宋体" w:cs="宋体"/>
          <w:color w:val="auto"/>
          <w:sz w:val="24"/>
          <w:highlight w:val="none"/>
          <w:lang w:val="en-US" w:eastAsia="zh-CN"/>
        </w:rPr>
        <w:t>4</w:t>
      </w:r>
      <w:r>
        <w:rPr>
          <w:rFonts w:hint="eastAsia" w:ascii="宋体" w:hAnsi="宋体" w:eastAsia="宋体" w:cs="宋体"/>
          <w:color w:val="auto"/>
          <w:sz w:val="24"/>
          <w:highlight w:val="none"/>
        </w:rPr>
        <w:t>年</w:t>
      </w:r>
      <w:r>
        <w:rPr>
          <w:rFonts w:hint="eastAsia" w:ascii="宋体" w:hAnsi="宋体" w:cs="宋体"/>
          <w:color w:val="auto"/>
          <w:sz w:val="24"/>
          <w:highlight w:val="none"/>
          <w:lang w:val="en-US" w:eastAsia="zh-CN"/>
        </w:rPr>
        <w:t>6</w:t>
      </w:r>
      <w:r>
        <w:rPr>
          <w:rFonts w:hint="eastAsia" w:ascii="宋体" w:hAnsi="宋体" w:eastAsia="宋体" w:cs="宋体"/>
          <w:color w:val="auto"/>
          <w:sz w:val="24"/>
          <w:highlight w:val="none"/>
        </w:rPr>
        <w:t>月</w:t>
      </w:r>
      <w:r>
        <w:rPr>
          <w:rFonts w:hint="eastAsia" w:ascii="宋体" w:hAnsi="宋体" w:cs="宋体"/>
          <w:color w:val="auto"/>
          <w:sz w:val="24"/>
          <w:highlight w:val="none"/>
          <w:lang w:val="en-US" w:eastAsia="zh-CN"/>
        </w:rPr>
        <w:t>13</w:t>
      </w:r>
      <w:r>
        <w:rPr>
          <w:rFonts w:hint="eastAsia" w:ascii="宋体" w:hAnsi="宋体" w:eastAsia="宋体" w:cs="宋体"/>
          <w:color w:val="auto"/>
          <w:sz w:val="24"/>
          <w:highlight w:val="none"/>
        </w:rPr>
        <w:t>日</w:t>
      </w:r>
      <w:r>
        <w:rPr>
          <w:rFonts w:hint="eastAsia" w:ascii="宋体" w:hAnsi="宋体" w:cs="宋体"/>
          <w:color w:val="auto"/>
          <w:sz w:val="24"/>
          <w:highlight w:val="none"/>
          <w:lang w:val="en-US" w:eastAsia="zh-CN"/>
        </w:rPr>
        <w:t>14</w:t>
      </w:r>
      <w:r>
        <w:rPr>
          <w:rFonts w:hint="eastAsia" w:ascii="宋体" w:hAnsi="宋体" w:eastAsia="宋体" w:cs="宋体"/>
          <w:color w:val="auto"/>
          <w:sz w:val="24"/>
          <w:highlight w:val="none"/>
        </w:rPr>
        <w:t>时</w:t>
      </w:r>
      <w:r>
        <w:rPr>
          <w:rFonts w:hint="eastAsia" w:ascii="宋体" w:hAnsi="宋体" w:cs="宋体"/>
          <w:color w:val="auto"/>
          <w:sz w:val="24"/>
          <w:highlight w:val="none"/>
          <w:lang w:val="en-US" w:eastAsia="zh-CN"/>
        </w:rPr>
        <w:t>30</w:t>
      </w:r>
      <w:r>
        <w:rPr>
          <w:rFonts w:hint="eastAsia" w:ascii="宋体" w:hAnsi="宋体" w:eastAsia="宋体" w:cs="宋体"/>
          <w:color w:val="auto"/>
          <w:sz w:val="24"/>
          <w:highlight w:val="none"/>
        </w:rPr>
        <w:t>分（北京时间）；</w:t>
      </w:r>
    </w:p>
    <w:p>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2.地点：</w:t>
      </w:r>
      <w:r>
        <w:rPr>
          <w:rFonts w:hint="eastAsia" w:ascii="宋体" w:hAnsi="宋体" w:eastAsia="宋体" w:cs="宋体"/>
          <w:color w:val="auto"/>
          <w:sz w:val="24"/>
          <w:highlight w:val="none"/>
          <w:lang w:val="zh-CN"/>
        </w:rPr>
        <w:t>临沂市北城新区北京路与沭河路交汇向北100米路西红日大厦20楼临沂市沂蒙国际招标有限公司开标室。</w:t>
      </w:r>
    </w:p>
    <w:p>
      <w:pPr>
        <w:spacing w:line="50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六、公告期限</w:t>
      </w:r>
      <w:bookmarkEnd w:id="222"/>
      <w:bookmarkEnd w:id="223"/>
      <w:bookmarkEnd w:id="224"/>
      <w:bookmarkEnd w:id="225"/>
    </w:p>
    <w:p>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自本公告发布之日起5个工作日。</w:t>
      </w:r>
    </w:p>
    <w:p>
      <w:pPr>
        <w:spacing w:line="500" w:lineRule="exact"/>
        <w:rPr>
          <w:rFonts w:hint="eastAsia" w:ascii="宋体" w:hAnsi="宋体" w:eastAsia="宋体" w:cs="宋体"/>
          <w:color w:val="auto"/>
          <w:sz w:val="24"/>
          <w:highlight w:val="none"/>
        </w:rPr>
      </w:pPr>
      <w:bookmarkStart w:id="226" w:name="_Toc35393804"/>
      <w:bookmarkStart w:id="227" w:name="_Toc35393635"/>
      <w:r>
        <w:rPr>
          <w:rFonts w:hint="eastAsia" w:ascii="宋体" w:hAnsi="宋体" w:eastAsia="宋体" w:cs="宋体"/>
          <w:color w:val="auto"/>
          <w:sz w:val="24"/>
          <w:highlight w:val="none"/>
        </w:rPr>
        <w:t>七、其他补充事宜</w:t>
      </w:r>
      <w:bookmarkEnd w:id="226"/>
      <w:bookmarkEnd w:id="227"/>
    </w:p>
    <w:p>
      <w:pPr>
        <w:spacing w:line="500" w:lineRule="exact"/>
        <w:ind w:firstLine="720" w:firstLineChars="300"/>
        <w:rPr>
          <w:rFonts w:hint="eastAsia" w:ascii="宋体" w:hAnsi="宋体" w:eastAsia="宋体" w:cs="宋体"/>
          <w:color w:val="auto"/>
          <w:sz w:val="24"/>
          <w:highlight w:val="none"/>
        </w:rPr>
      </w:pPr>
      <w:r>
        <w:rPr>
          <w:rFonts w:hint="eastAsia" w:ascii="宋体" w:hAnsi="宋体" w:eastAsia="宋体" w:cs="宋体"/>
          <w:color w:val="auto"/>
          <w:sz w:val="24"/>
          <w:highlight w:val="none"/>
        </w:rPr>
        <w:t>采购项目需要落实的政府采购政策：《政府采购促进中小企业发展管理办法》（财库〔2020〕46号）、《关于政府采购支持监狱企业发展有关问题的通知》（财库〔2014〕68号）、《关于促进残疾人就业政府采购政策的通知》（财库〔2017〕141号）、《财政部发展改革委生态环境部市场监管总局关于调整优化节能产品、环境标志产品政府采购执行机制的通知》（财库〔2019〕9号）、《商品包装政府采购需求标准（试行）》（财办库〔2020〕123号）、《快递包装政府采购需求标准（试行）》（财办库〔2020〕123号）等。</w:t>
      </w:r>
    </w:p>
    <w:p>
      <w:pPr>
        <w:spacing w:line="500" w:lineRule="exact"/>
        <w:rPr>
          <w:rFonts w:hint="eastAsia" w:ascii="宋体" w:hAnsi="宋体" w:eastAsia="宋体" w:cs="宋体"/>
          <w:color w:val="auto"/>
          <w:sz w:val="24"/>
          <w:highlight w:val="none"/>
        </w:rPr>
      </w:pPr>
      <w:bookmarkStart w:id="228" w:name="_Toc28359095"/>
      <w:bookmarkStart w:id="229" w:name="_Toc35393636"/>
      <w:bookmarkStart w:id="230" w:name="_Toc35393805"/>
      <w:bookmarkStart w:id="231" w:name="_Toc28359018"/>
      <w:r>
        <w:rPr>
          <w:rFonts w:hint="eastAsia" w:ascii="宋体" w:hAnsi="宋体" w:eastAsia="宋体" w:cs="宋体"/>
          <w:color w:val="auto"/>
          <w:sz w:val="24"/>
          <w:highlight w:val="none"/>
        </w:rPr>
        <w:t>八、凡对本次采购提出询问，请按以下方式联系</w:t>
      </w:r>
      <w:bookmarkEnd w:id="228"/>
      <w:bookmarkEnd w:id="229"/>
      <w:bookmarkEnd w:id="230"/>
      <w:bookmarkEnd w:id="231"/>
      <w:r>
        <w:rPr>
          <w:rFonts w:hint="eastAsia" w:ascii="宋体" w:hAnsi="宋体" w:eastAsia="宋体" w:cs="宋体"/>
          <w:color w:val="auto"/>
          <w:sz w:val="24"/>
          <w:highlight w:val="none"/>
        </w:rPr>
        <w:t>:</w:t>
      </w:r>
    </w:p>
    <w:p>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1.采购人：临沂大学</w:t>
      </w:r>
    </w:p>
    <w:p>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联系地址：山东省临沂市双岭路中段</w:t>
      </w:r>
    </w:p>
    <w:p>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联系方式：0539-7258756</w:t>
      </w:r>
    </w:p>
    <w:p>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2.采购代理机构：临沂市沂蒙国际招标有限公司</w:t>
      </w:r>
    </w:p>
    <w:p>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地址：山东省临沂市兰山区柳青街道北京路与沭河路交汇北50米红日大厦20楼2008室</w:t>
      </w:r>
    </w:p>
    <w:p>
      <w:pPr>
        <w:spacing w:line="500" w:lineRule="exact"/>
        <w:ind w:firstLine="480" w:firstLineChars="200"/>
        <w:rPr>
          <w:rFonts w:hint="eastAsia" w:ascii="宋体" w:hAnsi="宋体" w:eastAsia="宋体" w:cs="宋体"/>
          <w:color w:val="auto"/>
          <w:szCs w:val="32"/>
          <w:highlight w:val="none"/>
        </w:rPr>
      </w:pPr>
      <w:r>
        <w:rPr>
          <w:rFonts w:hint="eastAsia" w:ascii="宋体" w:hAnsi="宋体" w:eastAsia="宋体" w:cs="宋体"/>
          <w:color w:val="auto"/>
          <w:sz w:val="24"/>
          <w:highlight w:val="none"/>
        </w:rPr>
        <w:t>联系方式：0539-7578911</w:t>
      </w:r>
      <w:bookmarkEnd w:id="343"/>
      <w:r>
        <w:rPr>
          <w:rFonts w:hint="eastAsia" w:ascii="宋体" w:hAnsi="宋体" w:eastAsia="宋体" w:cs="宋体"/>
          <w:color w:val="auto"/>
          <w:szCs w:val="32"/>
          <w:highlight w:val="none"/>
        </w:rPr>
        <w:br w:type="page"/>
      </w:r>
    </w:p>
    <w:p>
      <w:pPr>
        <w:pStyle w:val="3"/>
        <w:tabs>
          <w:tab w:val="left" w:pos="0"/>
        </w:tabs>
        <w:spacing w:before="0" w:after="0" w:line="480" w:lineRule="exact"/>
        <w:ind w:firstLine="2088" w:firstLineChars="650"/>
        <w:jc w:val="both"/>
        <w:rPr>
          <w:rFonts w:hint="eastAsia" w:ascii="宋体" w:hAnsi="宋体" w:eastAsia="宋体" w:cs="宋体"/>
          <w:color w:val="auto"/>
          <w:szCs w:val="32"/>
          <w:highlight w:val="none"/>
        </w:rPr>
      </w:pPr>
      <w:bookmarkStart w:id="232" w:name="_Toc22616"/>
      <w:r>
        <w:rPr>
          <w:rFonts w:hint="eastAsia" w:ascii="宋体" w:hAnsi="宋体" w:eastAsia="宋体" w:cs="宋体"/>
          <w:color w:val="auto"/>
          <w:szCs w:val="32"/>
          <w:highlight w:val="none"/>
        </w:rPr>
        <w:t>第3章</w:t>
      </w:r>
      <w:bookmarkStart w:id="233" w:name="_Toc10488"/>
      <w:bookmarkStart w:id="234" w:name="_Toc507399903"/>
      <w:bookmarkStart w:id="235" w:name="_Toc216582823"/>
      <w:bookmarkStart w:id="236" w:name="_Toc515647830"/>
      <w:bookmarkStart w:id="237" w:name="_Toc4766814"/>
      <w:bookmarkStart w:id="238" w:name="_Toc31583"/>
      <w:r>
        <w:rPr>
          <w:rFonts w:hint="eastAsia" w:ascii="宋体" w:hAnsi="宋体" w:eastAsia="宋体" w:cs="宋体"/>
          <w:color w:val="auto"/>
          <w:szCs w:val="32"/>
          <w:highlight w:val="none"/>
        </w:rPr>
        <w:t xml:space="preserve"> </w:t>
      </w:r>
      <w:r>
        <w:rPr>
          <w:rFonts w:hint="eastAsia" w:ascii="宋体" w:hAnsi="宋体" w:eastAsia="宋体" w:cs="宋体"/>
          <w:color w:val="auto"/>
          <w:highlight w:val="none"/>
        </w:rPr>
        <w:t>供应商须知</w:t>
      </w:r>
      <w:r>
        <w:rPr>
          <w:rFonts w:hint="eastAsia" w:ascii="宋体" w:hAnsi="宋体" w:eastAsia="宋体" w:cs="宋体"/>
          <w:color w:val="auto"/>
          <w:szCs w:val="32"/>
          <w:highlight w:val="none"/>
        </w:rPr>
        <w:t>资料表</w:t>
      </w:r>
      <w:bookmarkEnd w:id="204"/>
      <w:bookmarkEnd w:id="232"/>
      <w:bookmarkEnd w:id="233"/>
      <w:bookmarkEnd w:id="234"/>
      <w:bookmarkEnd w:id="235"/>
      <w:bookmarkEnd w:id="236"/>
      <w:bookmarkEnd w:id="237"/>
      <w:bookmarkEnd w:id="238"/>
    </w:p>
    <w:p>
      <w:pPr>
        <w:spacing w:line="480" w:lineRule="exact"/>
        <w:ind w:firstLine="360" w:firstLineChars="150"/>
        <w:rPr>
          <w:rFonts w:hint="eastAsia" w:ascii="宋体" w:hAnsi="宋体" w:eastAsia="宋体" w:cs="宋体"/>
          <w:color w:val="auto"/>
          <w:sz w:val="24"/>
          <w:highlight w:val="none"/>
        </w:rPr>
      </w:pPr>
      <w:r>
        <w:rPr>
          <w:rFonts w:hint="eastAsia" w:ascii="宋体" w:hAnsi="宋体" w:eastAsia="宋体" w:cs="宋体"/>
          <w:color w:val="auto"/>
          <w:sz w:val="24"/>
          <w:highlight w:val="none"/>
        </w:rPr>
        <w:t>本表是本磋商项目的具体资料，是对供应商须知的具体补充和修改，如有矛盾，应</w:t>
      </w:r>
      <w:r>
        <w:rPr>
          <w:rFonts w:hint="eastAsia" w:ascii="宋体" w:hAnsi="宋体" w:eastAsia="宋体" w:cs="宋体"/>
          <w:b/>
          <w:color w:val="auto"/>
          <w:sz w:val="24"/>
          <w:highlight w:val="none"/>
        </w:rPr>
        <w:t>以本资料表为准</w:t>
      </w:r>
      <w:r>
        <w:rPr>
          <w:rFonts w:hint="eastAsia" w:ascii="宋体" w:hAnsi="宋体" w:eastAsia="宋体" w:cs="宋体"/>
          <w:color w:val="auto"/>
          <w:sz w:val="24"/>
          <w:highlight w:val="none"/>
        </w:rPr>
        <w:t>。</w:t>
      </w:r>
    </w:p>
    <w:tbl>
      <w:tblPr>
        <w:tblStyle w:val="30"/>
        <w:tblW w:w="949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021"/>
        <w:gridCol w:w="847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12" w:space="0"/>
              <w:left w:val="single" w:color="auto" w:sz="12" w:space="0"/>
              <w:bottom w:val="single" w:color="auto" w:sz="6" w:space="0"/>
              <w:right w:val="single" w:color="auto" w:sz="6" w:space="0"/>
            </w:tcBorders>
            <w:noWrap w:val="0"/>
            <w:vAlign w:val="center"/>
          </w:tcPr>
          <w:p>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条款号</w:t>
            </w:r>
          </w:p>
        </w:tc>
        <w:tc>
          <w:tcPr>
            <w:tcW w:w="8477" w:type="dxa"/>
            <w:tcBorders>
              <w:top w:val="single" w:color="auto" w:sz="12" w:space="0"/>
              <w:left w:val="single" w:color="auto" w:sz="6" w:space="0"/>
              <w:bottom w:val="single" w:color="auto" w:sz="6" w:space="0"/>
              <w:right w:val="single" w:color="auto" w:sz="12" w:space="0"/>
            </w:tcBorders>
            <w:noWrap w:val="0"/>
            <w:vAlign w:val="center"/>
          </w:tcPr>
          <w:p>
            <w:pPr>
              <w:spacing w:line="500" w:lineRule="exact"/>
              <w:ind w:left="-31" w:leftChars="-15" w:firstLine="112" w:firstLineChars="47"/>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内      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1.1</w:t>
            </w:r>
          </w:p>
        </w:tc>
        <w:tc>
          <w:tcPr>
            <w:tcW w:w="8477" w:type="dxa"/>
            <w:tcBorders>
              <w:top w:val="single" w:color="auto" w:sz="6" w:space="0"/>
              <w:left w:val="single" w:color="auto" w:sz="6" w:space="0"/>
              <w:bottom w:val="single" w:color="auto" w:sz="6" w:space="0"/>
              <w:right w:val="single" w:color="auto" w:sz="12" w:space="0"/>
            </w:tcBorders>
            <w:noWrap w:val="0"/>
            <w:vAlign w:val="center"/>
          </w:tcPr>
          <w:p>
            <w:pPr>
              <w:spacing w:line="50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采购人：临沂大学</w:t>
            </w:r>
          </w:p>
          <w:p>
            <w:pPr>
              <w:spacing w:line="50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地    址：山东省临沂市双岭路中段</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临沂大学</w:t>
            </w:r>
            <w:r>
              <w:rPr>
                <w:rFonts w:hint="eastAsia" w:ascii="宋体" w:hAnsi="宋体" w:eastAsia="宋体" w:cs="宋体"/>
                <w:color w:val="auto"/>
                <w:sz w:val="24"/>
                <w:highlight w:val="none"/>
                <w:lang w:eastAsia="zh-CN"/>
              </w:rPr>
              <w:t>）</w:t>
            </w:r>
          </w:p>
          <w:p>
            <w:pPr>
              <w:spacing w:line="50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联系方式：0539-7258756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1.2</w:t>
            </w:r>
          </w:p>
        </w:tc>
        <w:tc>
          <w:tcPr>
            <w:tcW w:w="8477" w:type="dxa"/>
            <w:tcBorders>
              <w:top w:val="single" w:color="auto" w:sz="6" w:space="0"/>
              <w:left w:val="single" w:color="auto" w:sz="6" w:space="0"/>
              <w:bottom w:val="single" w:color="auto" w:sz="6" w:space="0"/>
              <w:right w:val="single" w:color="auto" w:sz="12" w:space="0"/>
            </w:tcBorders>
            <w:noWrap w:val="0"/>
            <w:vAlign w:val="center"/>
          </w:tcPr>
          <w:p>
            <w:pPr>
              <w:spacing w:line="50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采购代理机构：临沂市沂蒙国际招标有限公司</w:t>
            </w:r>
          </w:p>
          <w:p>
            <w:pPr>
              <w:spacing w:line="500" w:lineRule="exact"/>
              <w:ind w:left="-31" w:leftChars="-15"/>
              <w:rPr>
                <w:rFonts w:hint="eastAsia" w:ascii="宋体" w:hAnsi="宋体" w:eastAsia="宋体" w:cs="宋体"/>
                <w:color w:val="auto"/>
                <w:sz w:val="24"/>
                <w:highlight w:val="none"/>
              </w:rPr>
            </w:pPr>
            <w:r>
              <w:rPr>
                <w:rFonts w:hint="eastAsia" w:ascii="宋体" w:hAnsi="宋体" w:eastAsia="宋体" w:cs="宋体"/>
                <w:color w:val="auto"/>
                <w:sz w:val="24"/>
                <w:highlight w:val="none"/>
              </w:rPr>
              <w:t>地址：山东省临沂市兰山区柳青街道北京路与沭河路交汇北50米红日大厦20楼2008室</w:t>
            </w:r>
          </w:p>
          <w:p>
            <w:pPr>
              <w:spacing w:line="50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联系方式：0539-7578911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1.3.4</w:t>
            </w:r>
          </w:p>
        </w:tc>
        <w:tc>
          <w:tcPr>
            <w:tcW w:w="8477" w:type="dxa"/>
            <w:tcBorders>
              <w:top w:val="single" w:color="auto" w:sz="6" w:space="0"/>
              <w:left w:val="single" w:color="auto" w:sz="6" w:space="0"/>
              <w:bottom w:val="single" w:color="auto" w:sz="6" w:space="0"/>
              <w:right w:val="single" w:color="auto" w:sz="12" w:space="0"/>
            </w:tcBorders>
            <w:noWrap w:val="0"/>
            <w:vAlign w:val="center"/>
          </w:tcPr>
          <w:p>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合格供应商的特定资格要求：见磋商公告</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1.3.5</w:t>
            </w:r>
          </w:p>
        </w:tc>
        <w:tc>
          <w:tcPr>
            <w:tcW w:w="8477" w:type="dxa"/>
            <w:tcBorders>
              <w:top w:val="single" w:color="auto" w:sz="6" w:space="0"/>
              <w:left w:val="single" w:color="auto" w:sz="6" w:space="0"/>
              <w:bottom w:val="single" w:color="auto" w:sz="6" w:space="0"/>
              <w:right w:val="single" w:color="auto" w:sz="12" w:space="0"/>
            </w:tcBorders>
            <w:noWrap w:val="0"/>
            <w:vAlign w:val="center"/>
          </w:tcPr>
          <w:p>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是否为专门面向中小企业采购：（是</w:t>
            </w:r>
            <w:r>
              <w:rPr>
                <w:rFonts w:hint="eastAsia" w:ascii="宋体" w:hAnsi="宋体" w:eastAsia="宋体" w:cs="宋体"/>
                <w:color w:val="auto"/>
                <w:sz w:val="24"/>
                <w:highlight w:val="none"/>
              </w:rPr>
              <w:sym w:font="Wingdings 2" w:char="00A3"/>
            </w:r>
            <w:r>
              <w:rPr>
                <w:rFonts w:hint="eastAsia" w:ascii="宋体" w:hAnsi="宋体" w:eastAsia="宋体" w:cs="宋体"/>
                <w:color w:val="auto"/>
                <w:sz w:val="24"/>
                <w:highlight w:val="none"/>
              </w:rPr>
              <w:t xml:space="preserve">   否</w:t>
            </w:r>
            <w:r>
              <w:rPr>
                <w:rFonts w:hint="eastAsia" w:ascii="宋体" w:hAnsi="宋体" w:eastAsia="宋体" w:cs="宋体"/>
                <w:color w:val="auto"/>
                <w:sz w:val="24"/>
                <w:highlight w:val="none"/>
              </w:rPr>
              <w:sym w:font="Wingdings 2" w:char="0052"/>
            </w:r>
            <w:r>
              <w:rPr>
                <w:rFonts w:hint="eastAsia" w:ascii="宋体" w:hAnsi="宋体" w:eastAsia="宋体" w:cs="宋体"/>
                <w:color w:val="auto"/>
                <w:sz w:val="24"/>
                <w:highlight w:val="none"/>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6"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1.4</w:t>
            </w:r>
          </w:p>
        </w:tc>
        <w:tc>
          <w:tcPr>
            <w:tcW w:w="8477" w:type="dxa"/>
            <w:tcBorders>
              <w:top w:val="single" w:color="auto" w:sz="6" w:space="0"/>
              <w:left w:val="single" w:color="auto" w:sz="6" w:space="0"/>
              <w:bottom w:val="single" w:color="auto" w:sz="6" w:space="0"/>
              <w:right w:val="single" w:color="auto" w:sz="12" w:space="0"/>
            </w:tcBorders>
            <w:noWrap w:val="0"/>
            <w:vAlign w:val="center"/>
          </w:tcPr>
          <w:p>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是否允许联合体投标：（是</w:t>
            </w:r>
            <w:r>
              <w:rPr>
                <w:rFonts w:hint="eastAsia" w:ascii="宋体" w:hAnsi="宋体" w:eastAsia="宋体" w:cs="宋体"/>
                <w:color w:val="auto"/>
                <w:sz w:val="24"/>
                <w:highlight w:val="none"/>
              </w:rPr>
              <w:sym w:font="Wingdings 2" w:char="00A3"/>
            </w:r>
            <w:r>
              <w:rPr>
                <w:rFonts w:hint="eastAsia" w:ascii="宋体" w:hAnsi="宋体" w:eastAsia="宋体" w:cs="宋体"/>
                <w:color w:val="auto"/>
                <w:sz w:val="24"/>
                <w:highlight w:val="none"/>
              </w:rPr>
              <w:t xml:space="preserve">    否</w:t>
            </w:r>
            <w:r>
              <w:rPr>
                <w:rFonts w:hint="eastAsia" w:ascii="宋体" w:hAnsi="宋体" w:eastAsia="宋体" w:cs="宋体"/>
                <w:color w:val="auto"/>
                <w:sz w:val="24"/>
                <w:highlight w:val="none"/>
              </w:rPr>
              <w:sym w:font="Wingdings 2" w:char="0052"/>
            </w:r>
            <w:r>
              <w:rPr>
                <w:rFonts w:hint="eastAsia" w:ascii="宋体" w:hAnsi="宋体" w:eastAsia="宋体" w:cs="宋体"/>
                <w:color w:val="auto"/>
                <w:sz w:val="24"/>
                <w:highlight w:val="none"/>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1.4.7</w:t>
            </w:r>
          </w:p>
        </w:tc>
        <w:tc>
          <w:tcPr>
            <w:tcW w:w="8477" w:type="dxa"/>
            <w:tcBorders>
              <w:top w:val="single" w:color="auto" w:sz="6" w:space="0"/>
              <w:left w:val="single" w:color="auto" w:sz="6" w:space="0"/>
              <w:bottom w:val="single" w:color="auto" w:sz="6" w:space="0"/>
              <w:right w:val="single" w:color="auto" w:sz="12" w:space="0"/>
            </w:tcBorders>
            <w:noWrap w:val="0"/>
            <w:vAlign w:val="center"/>
          </w:tcPr>
          <w:p>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联合体的其他资格要求：不适用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8477" w:type="dxa"/>
            <w:tcBorders>
              <w:top w:val="single" w:color="auto" w:sz="6" w:space="0"/>
              <w:left w:val="single" w:color="auto" w:sz="6" w:space="0"/>
              <w:bottom w:val="single" w:color="auto" w:sz="6" w:space="0"/>
              <w:right w:val="single" w:color="auto" w:sz="12" w:space="0"/>
            </w:tcBorders>
            <w:noWrap w:val="0"/>
            <w:vAlign w:val="center"/>
          </w:tcPr>
          <w:p>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本分包最高限价：见磋商公告预算金额；</w:t>
            </w:r>
          </w:p>
          <w:p>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本项目预算属于以下情形：</w:t>
            </w:r>
          </w:p>
          <w:p>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1</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项目为非预采购项目</w:t>
            </w:r>
            <w:r>
              <w:rPr>
                <w:rFonts w:hint="eastAsia" w:ascii="宋体" w:hAnsi="宋体" w:eastAsia="宋体" w:cs="宋体"/>
                <w:color w:val="auto"/>
                <w:sz w:val="24"/>
                <w:highlight w:val="none"/>
              </w:rPr>
              <w:sym w:font="Wingdings 2" w:char="00A3"/>
            </w:r>
            <w:r>
              <w:rPr>
                <w:rFonts w:hint="eastAsia" w:ascii="宋体" w:hAnsi="宋体" w:eastAsia="宋体" w:cs="宋体"/>
                <w:color w:val="auto"/>
                <w:sz w:val="24"/>
                <w:highlight w:val="none"/>
              </w:rPr>
              <w:t xml:space="preserve">    </w:t>
            </w:r>
            <w:r>
              <w:rPr>
                <w:rFonts w:hint="eastAsia" w:ascii="宋体" w:hAnsi="宋体" w:eastAsia="宋体" w:cs="宋体"/>
                <w:color w:val="auto"/>
                <w:sz w:val="24"/>
                <w:highlight w:val="none"/>
              </w:rPr>
              <w:t xml:space="preserve"> 预采购项目</w:t>
            </w:r>
            <w:r>
              <w:rPr>
                <w:rFonts w:hint="eastAsia" w:ascii="宋体" w:hAnsi="宋体" w:eastAsia="宋体" w:cs="宋体"/>
                <w:color w:val="auto"/>
                <w:sz w:val="24"/>
                <w:highlight w:val="none"/>
              </w:rPr>
              <w:sym w:font="Wingdings 2" w:char="0052"/>
            </w:r>
          </w:p>
          <w:p>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2</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项目为非预采购项目，预算见磋商公告。</w:t>
            </w:r>
          </w:p>
          <w:p>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项目为跨年度预采购项目，概算总金额/元，采购年限为/年，当年安排数/元。</w:t>
            </w:r>
          </w:p>
          <w:p>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根据《转发财政部关于做好政府采购信息公开工作的通知》（鲁财采【2015】33号）文件规定，预采购项目有取消和终止采购的可能。</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8477" w:type="dxa"/>
            <w:tcBorders>
              <w:top w:val="single" w:color="auto" w:sz="6" w:space="0"/>
              <w:left w:val="single" w:color="auto" w:sz="6" w:space="0"/>
              <w:bottom w:val="single" w:color="auto" w:sz="6" w:space="0"/>
              <w:right w:val="single" w:color="auto" w:sz="12" w:space="0"/>
            </w:tcBorders>
            <w:noWrap w:val="0"/>
            <w:vAlign w:val="center"/>
          </w:tcPr>
          <w:p>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是否现场踏勘：（是□   否</w:t>
            </w:r>
            <w:r>
              <w:rPr>
                <w:rFonts w:hint="eastAsia" w:ascii="宋体" w:hAnsi="宋体" w:eastAsia="宋体" w:cs="宋体"/>
                <w:color w:val="auto"/>
                <w:sz w:val="24"/>
                <w:highlight w:val="none"/>
              </w:rPr>
              <w:sym w:font="Wingdings 2" w:char="F052"/>
            </w:r>
            <w:r>
              <w:rPr>
                <w:rFonts w:hint="eastAsia" w:ascii="宋体" w:hAnsi="宋体" w:eastAsia="宋体" w:cs="宋体"/>
                <w:color w:val="auto"/>
                <w:sz w:val="24"/>
                <w:highlight w:val="none"/>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4</w:t>
            </w:r>
          </w:p>
        </w:tc>
        <w:tc>
          <w:tcPr>
            <w:tcW w:w="8477" w:type="dxa"/>
            <w:tcBorders>
              <w:top w:val="single" w:color="auto" w:sz="6" w:space="0"/>
              <w:left w:val="single" w:color="auto" w:sz="6" w:space="0"/>
              <w:bottom w:val="single" w:color="auto" w:sz="6" w:space="0"/>
              <w:right w:val="single" w:color="auto" w:sz="12" w:space="0"/>
            </w:tcBorders>
            <w:noWrap w:val="0"/>
            <w:vAlign w:val="center"/>
          </w:tcPr>
          <w:p>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是否兼投不兼中：（是</w:t>
            </w:r>
            <w:r>
              <w:rPr>
                <w:rFonts w:hint="eastAsia" w:ascii="宋体" w:hAnsi="宋体" w:cs="宋体"/>
                <w:color w:val="auto"/>
                <w:sz w:val="24"/>
                <w:highlight w:val="none"/>
                <w:lang w:eastAsia="zh-CN"/>
              </w:rPr>
              <w:t>□</w:t>
            </w:r>
            <w:r>
              <w:rPr>
                <w:rFonts w:hint="eastAsia" w:ascii="宋体" w:hAnsi="宋体" w:eastAsia="宋体" w:cs="宋体"/>
                <w:color w:val="auto"/>
                <w:sz w:val="24"/>
                <w:highlight w:val="none"/>
              </w:rPr>
              <w:t xml:space="preserve">    否</w:t>
            </w:r>
            <w:r>
              <w:rPr>
                <w:rFonts w:hint="eastAsia" w:ascii="宋体" w:hAnsi="宋体" w:eastAsia="宋体" w:cs="宋体"/>
                <w:color w:val="auto"/>
                <w:sz w:val="24"/>
                <w:highlight w:val="none"/>
              </w:rPr>
              <w:sym w:font="Wingdings 2" w:char="0052"/>
            </w:r>
            <w:r>
              <w:rPr>
                <w:rFonts w:hint="eastAsia" w:ascii="宋体" w:hAnsi="宋体" w:eastAsia="宋体" w:cs="宋体"/>
                <w:color w:val="auto"/>
                <w:sz w:val="24"/>
                <w:highlight w:val="none"/>
              </w:rPr>
              <w:t xml:space="preserve"> ）</w:t>
            </w:r>
          </w:p>
          <w:p>
            <w:pPr>
              <w:spacing w:line="500" w:lineRule="exact"/>
              <w:ind w:left="-31" w:leftChars="-15" w:firstLine="112" w:firstLineChars="47"/>
              <w:rPr>
                <w:rFonts w:hint="eastAsia" w:ascii="宋体" w:hAnsi="宋体" w:eastAsia="宋体" w:cs="宋体"/>
                <w:color w:val="auto"/>
                <w:sz w:val="24"/>
                <w:highlight w:val="none"/>
                <w:u w:val="single"/>
                <w:lang w:val="en-US" w:eastAsia="zh-CN"/>
              </w:rPr>
            </w:pPr>
            <w:r>
              <w:rPr>
                <w:rFonts w:hint="eastAsia" w:ascii="宋体" w:hAnsi="宋体" w:eastAsia="宋体" w:cs="宋体"/>
                <w:color w:val="auto"/>
                <w:sz w:val="24"/>
                <w:highlight w:val="none"/>
              </w:rPr>
              <w:t>兼投不兼中描述：</w:t>
            </w:r>
            <w:r>
              <w:rPr>
                <w:rFonts w:hint="eastAsia" w:ascii="宋体" w:hAnsi="宋体" w:cs="宋体"/>
                <w:color w:val="auto"/>
                <w:sz w:val="24"/>
                <w:highlight w:val="none"/>
                <w:lang w:val="en-US" w:eastAsia="zh-CN"/>
              </w:rPr>
              <w:t>无</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5</w:t>
            </w:r>
          </w:p>
        </w:tc>
        <w:tc>
          <w:tcPr>
            <w:tcW w:w="8477" w:type="dxa"/>
            <w:tcBorders>
              <w:top w:val="single" w:color="auto" w:sz="6" w:space="0"/>
              <w:left w:val="single" w:color="auto" w:sz="6" w:space="0"/>
              <w:bottom w:val="single" w:color="auto" w:sz="6" w:space="0"/>
              <w:right w:val="single" w:color="auto" w:sz="12" w:space="0"/>
            </w:tcBorders>
            <w:noWrap w:val="0"/>
            <w:vAlign w:val="center"/>
          </w:tcPr>
          <w:p>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本项目是否采用电子投标：（是□   否</w:t>
            </w:r>
            <w:r>
              <w:rPr>
                <w:rFonts w:hint="eastAsia" w:ascii="宋体" w:hAnsi="宋体" w:eastAsia="宋体" w:cs="宋体"/>
                <w:color w:val="auto"/>
                <w:sz w:val="24"/>
                <w:highlight w:val="none"/>
              </w:rPr>
              <w:sym w:font="Wingdings 2" w:char="F052"/>
            </w:r>
            <w:r>
              <w:rPr>
                <w:rFonts w:hint="eastAsia" w:ascii="宋体" w:hAnsi="宋体" w:eastAsia="宋体" w:cs="宋体"/>
                <w:color w:val="auto"/>
                <w:sz w:val="24"/>
                <w:highlight w:val="none"/>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6</w:t>
            </w:r>
          </w:p>
        </w:tc>
        <w:tc>
          <w:tcPr>
            <w:tcW w:w="8477" w:type="dxa"/>
            <w:tcBorders>
              <w:top w:val="single" w:color="auto" w:sz="6" w:space="0"/>
              <w:left w:val="single" w:color="auto" w:sz="6" w:space="0"/>
              <w:bottom w:val="single" w:color="auto" w:sz="6" w:space="0"/>
              <w:right w:val="single" w:color="auto" w:sz="12" w:space="0"/>
            </w:tcBorders>
            <w:noWrap w:val="0"/>
            <w:vAlign w:val="center"/>
          </w:tcPr>
          <w:p>
            <w:pPr>
              <w:pStyle w:val="73"/>
              <w:keepNext w:val="0"/>
              <w:keepLines w:val="0"/>
              <w:pageBreakBefore w:val="0"/>
              <w:widowControl w:val="0"/>
              <w:tabs>
                <w:tab w:val="left" w:pos="1704"/>
              </w:tabs>
              <w:kinsoku/>
              <w:wordWrap/>
              <w:overflowPunct/>
              <w:topLinePunct w:val="0"/>
              <w:autoSpaceDE/>
              <w:autoSpaceDN/>
              <w:bidi w:val="0"/>
              <w:adjustRightInd/>
              <w:snapToGrid/>
              <w:spacing w:line="480" w:lineRule="exact"/>
              <w:ind w:left="0" w:leftChars="0" w:right="0" w:firstLine="0" w:firstLineChars="0"/>
              <w:jc w:val="both"/>
              <w:textAlignment w:val="auto"/>
              <w:rPr>
                <w:rFonts w:hint="eastAsia" w:ascii="宋体" w:hAnsi="宋体" w:eastAsia="宋体" w:cs="宋体"/>
                <w:color w:val="auto"/>
                <w:sz w:val="24"/>
                <w:highlight w:val="none"/>
              </w:rPr>
            </w:pPr>
            <w:r>
              <w:rPr>
                <w:rFonts w:hint="eastAsia" w:ascii="宋体" w:hAnsi="宋体" w:eastAsia="宋体" w:cs="宋体"/>
                <w:b w:val="0"/>
                <w:bCs w:val="0"/>
                <w:color w:val="auto"/>
                <w:sz w:val="24"/>
                <w:highlight w:val="none"/>
                <w:lang w:val="en-US" w:eastAsia="zh-CN"/>
              </w:rPr>
              <w:t>交付时间：</w:t>
            </w:r>
            <w:r>
              <w:rPr>
                <w:rFonts w:hint="eastAsia" w:cs="宋体"/>
                <w:b w:val="0"/>
                <w:bCs w:val="0"/>
                <w:color w:val="auto"/>
                <w:sz w:val="24"/>
                <w:highlight w:val="none"/>
                <w:lang w:val="en-US" w:eastAsia="zh-CN"/>
              </w:rPr>
              <w:t>成交结果确定后30日内供货安装调试完成并交付使用。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7</w:t>
            </w:r>
          </w:p>
        </w:tc>
        <w:tc>
          <w:tcPr>
            <w:tcW w:w="8477" w:type="dxa"/>
            <w:tcBorders>
              <w:top w:val="single" w:color="auto" w:sz="6" w:space="0"/>
              <w:left w:val="single" w:color="auto" w:sz="6" w:space="0"/>
              <w:bottom w:val="single" w:color="auto" w:sz="6" w:space="0"/>
              <w:right w:val="single" w:color="auto" w:sz="12" w:space="0"/>
            </w:tcBorders>
            <w:noWrap w:val="0"/>
            <w:vAlign w:val="center"/>
          </w:tcPr>
          <w:p>
            <w:pPr>
              <w:spacing w:line="50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报价要求：供应商在报价表中所报总价包括完成供货及相关服务所需的全部费用，包括产品、安全运输、装卸、安装调试、成交服务费、税费、售后服务等。如果报价中有缺项，应视为漏报项价格已分摊在其它项目中。供应商免费提供的项目，应先填写该项目的实际价格，并注明免费，此项不计入总价或合计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8</w:t>
            </w:r>
          </w:p>
        </w:tc>
        <w:tc>
          <w:tcPr>
            <w:tcW w:w="8477" w:type="dxa"/>
            <w:tcBorders>
              <w:top w:val="single" w:color="auto" w:sz="6" w:space="0"/>
              <w:left w:val="single" w:color="auto" w:sz="6" w:space="0"/>
              <w:bottom w:val="single" w:color="auto" w:sz="6" w:space="0"/>
              <w:right w:val="single" w:color="auto" w:sz="12" w:space="0"/>
            </w:tcBorders>
            <w:noWrap w:val="0"/>
            <w:vAlign w:val="center"/>
          </w:tcPr>
          <w:p>
            <w:pPr>
              <w:spacing w:line="500" w:lineRule="exact"/>
              <w:ind w:left="-31" w:leftChars="-15" w:firstLine="112" w:firstLineChars="47"/>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是否提供</w:t>
            </w:r>
            <w:r>
              <w:rPr>
                <w:rFonts w:hint="eastAsia" w:ascii="宋体" w:hAnsi="宋体" w:eastAsia="宋体" w:cs="宋体"/>
                <w:color w:val="auto"/>
                <w:sz w:val="24"/>
                <w:highlight w:val="none"/>
                <w:lang w:val="en-US" w:eastAsia="zh-CN"/>
              </w:rPr>
              <w:t>演示</w:t>
            </w:r>
            <w:r>
              <w:rPr>
                <w:rFonts w:hint="eastAsia" w:ascii="宋体" w:hAnsi="宋体" w:eastAsia="宋体" w:cs="宋体"/>
                <w:color w:val="auto"/>
                <w:sz w:val="24"/>
                <w:highlight w:val="none"/>
              </w:rPr>
              <w:t>： 是</w:t>
            </w:r>
            <w:r>
              <w:rPr>
                <w:rFonts w:hint="eastAsia" w:ascii="宋体" w:hAnsi="宋体" w:eastAsia="宋体" w:cs="宋体"/>
                <w:color w:val="auto"/>
                <w:sz w:val="24"/>
                <w:highlight w:val="none"/>
              </w:rPr>
              <w:sym w:font="Wingdings 2" w:char="00A3"/>
            </w:r>
            <w:r>
              <w:rPr>
                <w:rFonts w:hint="eastAsia" w:ascii="宋体" w:hAnsi="宋体" w:eastAsia="宋体" w:cs="宋体"/>
                <w:color w:val="auto"/>
                <w:sz w:val="24"/>
                <w:highlight w:val="none"/>
              </w:rPr>
              <w:t xml:space="preserve">  否</w:t>
            </w:r>
            <w:r>
              <w:rPr>
                <w:rFonts w:hint="eastAsia" w:ascii="宋体" w:hAnsi="宋体" w:eastAsia="宋体" w:cs="宋体"/>
                <w:color w:val="auto"/>
                <w:sz w:val="24"/>
                <w:highlight w:val="none"/>
              </w:rPr>
              <w:sym w:font="Wingdings 2" w:char="0052"/>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演示要求详见评分细则。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9</w:t>
            </w:r>
          </w:p>
        </w:tc>
        <w:tc>
          <w:tcPr>
            <w:tcW w:w="8477" w:type="dxa"/>
            <w:tcBorders>
              <w:top w:val="single" w:color="auto" w:sz="6" w:space="0"/>
              <w:left w:val="single" w:color="auto" w:sz="6" w:space="0"/>
              <w:bottom w:val="single" w:color="auto" w:sz="6" w:space="0"/>
              <w:right w:val="single" w:color="auto" w:sz="12" w:space="0"/>
            </w:tcBorders>
            <w:noWrap w:val="0"/>
            <w:vAlign w:val="center"/>
          </w:tcPr>
          <w:p>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保证金形式：□保函  □电汇  □支票</w:t>
            </w:r>
          </w:p>
          <w:p>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保证金数额：0万元</w:t>
            </w:r>
          </w:p>
          <w:p>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保证金收款人：/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10</w:t>
            </w:r>
          </w:p>
        </w:tc>
        <w:tc>
          <w:tcPr>
            <w:tcW w:w="8477" w:type="dxa"/>
            <w:tcBorders>
              <w:top w:val="single" w:color="auto" w:sz="6" w:space="0"/>
              <w:left w:val="single" w:color="auto" w:sz="6" w:space="0"/>
              <w:bottom w:val="single" w:color="auto" w:sz="6" w:space="0"/>
              <w:right w:val="single" w:color="auto" w:sz="12" w:space="0"/>
            </w:tcBorders>
            <w:noWrap w:val="0"/>
            <w:vAlign w:val="center"/>
          </w:tcPr>
          <w:p>
            <w:pPr>
              <w:spacing w:line="500" w:lineRule="exact"/>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响应文件份数：四份（一份正本、三份副本），各供应商须提供完整响应文件电子版一份（word格式，U盘或光盘存储）密封后随响应文件一起提交。</w:t>
            </w:r>
          </w:p>
          <w:p>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响应有效期：90日历日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11</w:t>
            </w:r>
          </w:p>
        </w:tc>
        <w:tc>
          <w:tcPr>
            <w:tcW w:w="8477" w:type="dxa"/>
            <w:tcBorders>
              <w:top w:val="single" w:color="auto" w:sz="6" w:space="0"/>
              <w:left w:val="single" w:color="auto" w:sz="6" w:space="0"/>
              <w:bottom w:val="single" w:color="auto" w:sz="6" w:space="0"/>
              <w:right w:val="single" w:color="auto" w:sz="12" w:space="0"/>
            </w:tcBorders>
            <w:noWrap w:val="0"/>
            <w:vAlign w:val="center"/>
          </w:tcPr>
          <w:p>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响应文件提交截止时间：见磋商公告</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12</w:t>
            </w:r>
          </w:p>
        </w:tc>
        <w:tc>
          <w:tcPr>
            <w:tcW w:w="8477" w:type="dxa"/>
            <w:tcBorders>
              <w:top w:val="single" w:color="auto" w:sz="6" w:space="0"/>
              <w:left w:val="single" w:color="auto" w:sz="6" w:space="0"/>
              <w:bottom w:val="single" w:color="auto" w:sz="6" w:space="0"/>
              <w:right w:val="single" w:color="auto" w:sz="12" w:space="0"/>
            </w:tcBorders>
            <w:noWrap w:val="0"/>
            <w:vAlign w:val="center"/>
          </w:tcPr>
          <w:p>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开启响应文件时间：见磋商公告</w:t>
            </w:r>
          </w:p>
          <w:p>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开启地点：见磋商公告</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13</w:t>
            </w:r>
          </w:p>
        </w:tc>
        <w:tc>
          <w:tcPr>
            <w:tcW w:w="8477" w:type="dxa"/>
            <w:tcBorders>
              <w:top w:val="single" w:color="auto" w:sz="6" w:space="0"/>
              <w:left w:val="single" w:color="auto" w:sz="6" w:space="0"/>
              <w:bottom w:val="single" w:color="auto" w:sz="6" w:space="0"/>
              <w:right w:val="single" w:color="auto" w:sz="12" w:space="0"/>
            </w:tcBorders>
            <w:noWrap w:val="0"/>
            <w:vAlign w:val="center"/>
          </w:tcPr>
          <w:p>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推荐成交候选供应商的数量：不少于3家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14</w:t>
            </w:r>
          </w:p>
        </w:tc>
        <w:tc>
          <w:tcPr>
            <w:tcW w:w="8477" w:type="dxa"/>
            <w:tcBorders>
              <w:top w:val="single" w:color="auto" w:sz="6" w:space="0"/>
              <w:left w:val="single" w:color="auto" w:sz="6" w:space="0"/>
              <w:bottom w:val="single" w:color="auto" w:sz="6" w:space="0"/>
              <w:right w:val="single" w:color="auto" w:sz="12" w:space="0"/>
            </w:tcBorders>
            <w:noWrap w:val="0"/>
            <w:vAlign w:val="center"/>
          </w:tcPr>
          <w:p>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采购人是否委托磋商小组直接确定成交供应商：是</w:t>
            </w:r>
            <w:r>
              <w:rPr>
                <w:rFonts w:hint="eastAsia" w:ascii="宋体" w:hAnsi="宋体" w:eastAsia="宋体" w:cs="宋体"/>
                <w:color w:val="auto"/>
                <w:sz w:val="24"/>
                <w:highlight w:val="none"/>
              </w:rPr>
              <w:sym w:font="Wingdings 2" w:char="F052"/>
            </w:r>
            <w:r>
              <w:rPr>
                <w:rFonts w:hint="eastAsia" w:ascii="宋体" w:hAnsi="宋体" w:eastAsia="宋体" w:cs="宋体"/>
                <w:color w:val="auto"/>
                <w:sz w:val="24"/>
                <w:highlight w:val="none"/>
              </w:rPr>
              <w:t xml:space="preserve"> 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15</w:t>
            </w:r>
          </w:p>
        </w:tc>
        <w:tc>
          <w:tcPr>
            <w:tcW w:w="8477" w:type="dxa"/>
            <w:tcBorders>
              <w:top w:val="single" w:color="auto" w:sz="6" w:space="0"/>
              <w:left w:val="single" w:color="auto" w:sz="6" w:space="0"/>
              <w:bottom w:val="single" w:color="auto" w:sz="6" w:space="0"/>
              <w:right w:val="single" w:color="auto" w:sz="12" w:space="0"/>
            </w:tcBorders>
            <w:noWrap w:val="0"/>
            <w:vAlign w:val="center"/>
          </w:tcPr>
          <w:p>
            <w:pPr>
              <w:spacing w:line="50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履约保证金金额：</w:t>
            </w:r>
            <w:r>
              <w:rPr>
                <w:rFonts w:hint="eastAsia" w:ascii="宋体" w:hAnsi="宋体" w:eastAsia="宋体" w:cs="宋体"/>
                <w:color w:val="auto"/>
                <w:sz w:val="24"/>
                <w:highlight w:val="none"/>
                <w:lang w:val="en-US" w:eastAsia="zh-CN"/>
              </w:rPr>
              <w:t>无</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16</w:t>
            </w:r>
          </w:p>
        </w:tc>
        <w:tc>
          <w:tcPr>
            <w:tcW w:w="8477" w:type="dxa"/>
            <w:tcBorders>
              <w:top w:val="single" w:color="auto" w:sz="6" w:space="0"/>
              <w:left w:val="single" w:color="auto" w:sz="6" w:space="0"/>
              <w:bottom w:val="single" w:color="auto" w:sz="6" w:space="0"/>
              <w:right w:val="single" w:color="auto" w:sz="12" w:space="0"/>
            </w:tcBorders>
            <w:noWrap w:val="0"/>
            <w:vAlign w:val="center"/>
          </w:tcPr>
          <w:p>
            <w:pPr>
              <w:spacing w:line="48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本项目是否属于信用担保试点范围：（是</w:t>
            </w:r>
            <w:r>
              <w:rPr>
                <w:rFonts w:hint="eastAsia" w:ascii="宋体" w:hAnsi="宋体" w:eastAsia="宋体" w:cs="宋体"/>
                <w:color w:val="auto"/>
                <w:sz w:val="24"/>
                <w:highlight w:val="none"/>
              </w:rPr>
              <w:sym w:font="Wingdings 2" w:char="0052"/>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否</w:t>
            </w:r>
            <w:r>
              <w:rPr>
                <w:rFonts w:hint="eastAsia" w:ascii="宋体" w:hAnsi="宋体" w:eastAsia="宋体" w:cs="宋体"/>
                <w:color w:val="auto"/>
                <w:sz w:val="24"/>
                <w:highlight w:val="none"/>
              </w:rPr>
              <w:sym w:font="Wingdings 2" w:char="00A3"/>
            </w:r>
            <w:r>
              <w:rPr>
                <w:rFonts w:hint="eastAsia" w:ascii="宋体" w:hAnsi="宋体" w:eastAsia="宋体" w:cs="宋体"/>
                <w:color w:val="auto"/>
                <w:sz w:val="24"/>
                <w:highlight w:val="none"/>
              </w:rPr>
              <w:t>）</w:t>
            </w:r>
          </w:p>
          <w:p>
            <w:pPr>
              <w:spacing w:line="480" w:lineRule="exact"/>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本项目是否可以办理政府采购融资贷款：是</w:t>
            </w:r>
          </w:p>
          <w:p>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b w:val="0"/>
                <w:bCs w:val="0"/>
                <w:color w:val="auto"/>
                <w:sz w:val="24"/>
                <w:highlight w:val="none"/>
                <w:lang w:val="en-US" w:eastAsia="zh-CN"/>
              </w:rPr>
              <w:t>供应商如需了解详细办理程序请登录“http://www.ccgp-shandong-rz.cn/”</w:t>
            </w:r>
            <w:r>
              <w:rPr>
                <w:rFonts w:hint="eastAsia" w:ascii="宋体" w:hAnsi="宋体" w:eastAsia="宋体" w:cs="宋体"/>
                <w:color w:val="auto"/>
                <w:sz w:val="24"/>
                <w:highlight w:val="none"/>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17</w:t>
            </w:r>
          </w:p>
        </w:tc>
        <w:tc>
          <w:tcPr>
            <w:tcW w:w="8477" w:type="dxa"/>
            <w:tcBorders>
              <w:top w:val="single" w:color="auto" w:sz="6" w:space="0"/>
              <w:left w:val="single" w:color="auto" w:sz="6" w:space="0"/>
              <w:bottom w:val="single" w:color="auto" w:sz="6" w:space="0"/>
              <w:right w:val="single" w:color="auto" w:sz="12" w:space="0"/>
            </w:tcBorders>
            <w:noWrap w:val="0"/>
            <w:vAlign w:val="center"/>
          </w:tcPr>
          <w:p>
            <w:pPr>
              <w:spacing w:line="500" w:lineRule="exact"/>
              <w:ind w:left="-31" w:leftChars="-15" w:firstLine="112" w:firstLineChars="47"/>
              <w:rPr>
                <w:rFonts w:hint="default" w:ascii="宋体" w:hAnsi="宋体" w:eastAsia="宋体" w:cs="宋体"/>
                <w:color w:val="auto"/>
                <w:sz w:val="24"/>
                <w:highlight w:val="none"/>
                <w:lang w:val="en-US" w:eastAsia="zh-CN"/>
              </w:rPr>
            </w:pPr>
            <w:r>
              <w:rPr>
                <w:rFonts w:hint="eastAsia" w:ascii="宋体" w:hAnsi="宋体" w:eastAsia="宋体" w:cs="宋体"/>
                <w:color w:val="auto"/>
                <w:sz w:val="24"/>
                <w:highlight w:val="none"/>
              </w:rPr>
              <w:t>预付款比例为：</w:t>
            </w:r>
            <w:r>
              <w:rPr>
                <w:rFonts w:hint="eastAsia" w:ascii="宋体" w:hAnsi="宋体" w:cs="宋体"/>
                <w:color w:val="auto"/>
                <w:sz w:val="24"/>
                <w:highlight w:val="none"/>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18</w:t>
            </w:r>
          </w:p>
        </w:tc>
        <w:tc>
          <w:tcPr>
            <w:tcW w:w="8477" w:type="dxa"/>
            <w:tcBorders>
              <w:top w:val="single" w:color="auto" w:sz="6" w:space="0"/>
              <w:left w:val="single" w:color="auto" w:sz="6" w:space="0"/>
              <w:bottom w:val="single" w:color="auto" w:sz="6" w:space="0"/>
              <w:right w:val="single" w:color="auto" w:sz="12" w:space="0"/>
            </w:tcBorders>
            <w:noWrap w:val="0"/>
            <w:vAlign w:val="center"/>
          </w:tcPr>
          <w:p>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质疑函接收部门、联系电话和通讯地址：</w:t>
            </w:r>
          </w:p>
          <w:p>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联系部门：临沂市沂蒙国际招标有限公司</w:t>
            </w:r>
          </w:p>
          <w:p>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地址：山东省临沂市兰山区柳青街道北京路与沭河路交汇北50米红日大厦20楼2008室</w:t>
            </w:r>
          </w:p>
          <w:p>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联系方式：0539-7578911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19</w:t>
            </w:r>
          </w:p>
        </w:tc>
        <w:tc>
          <w:tcPr>
            <w:tcW w:w="8477" w:type="dxa"/>
            <w:tcBorders>
              <w:top w:val="single" w:color="auto" w:sz="6" w:space="0"/>
              <w:left w:val="single" w:color="auto" w:sz="6" w:space="0"/>
              <w:bottom w:val="single" w:color="auto" w:sz="6" w:space="0"/>
              <w:right w:val="single" w:color="auto" w:sz="12" w:space="0"/>
            </w:tcBorders>
            <w:noWrap w:val="0"/>
            <w:vAlign w:val="center"/>
          </w:tcPr>
          <w:p>
            <w:pPr>
              <w:spacing w:line="500" w:lineRule="exact"/>
              <w:ind w:left="-29" w:leftChars="-14" w:firstLine="28" w:firstLineChars="12"/>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成交服务费：按</w:t>
            </w:r>
            <w:r>
              <w:rPr>
                <w:rFonts w:hint="eastAsia" w:ascii="宋体" w:hAnsi="宋体" w:cs="宋体"/>
                <w:color w:val="auto"/>
                <w:sz w:val="24"/>
                <w:highlight w:val="none"/>
                <w:lang w:val="en-US" w:eastAsia="zh-CN"/>
              </w:rPr>
              <w:t>成交</w:t>
            </w:r>
            <w:r>
              <w:rPr>
                <w:rFonts w:hint="eastAsia" w:ascii="宋体" w:hAnsi="宋体" w:eastAsia="宋体" w:cs="宋体"/>
                <w:color w:val="auto"/>
                <w:sz w:val="24"/>
                <w:highlight w:val="none"/>
              </w:rPr>
              <w:t>金额的1.2%收取，由成交供应商支付，在领取成交通知书前支付给采购代理机构</w:t>
            </w:r>
            <w:r>
              <w:rPr>
                <w:rFonts w:hint="eastAsia" w:ascii="宋体" w:hAnsi="宋体" w:eastAsia="宋体" w:cs="宋体"/>
                <w:color w:val="auto"/>
                <w:sz w:val="24"/>
                <w:highlight w:val="none"/>
                <w:lang w:eastAsia="zh-CN"/>
              </w:rPr>
              <w:t>。</w:t>
            </w:r>
          </w:p>
          <w:p>
            <w:pPr>
              <w:spacing w:line="500" w:lineRule="exact"/>
              <w:ind w:left="-29" w:leftChars="-14" w:firstLine="28" w:firstLineChars="12"/>
              <w:rPr>
                <w:rFonts w:hint="eastAsia" w:ascii="宋体" w:hAnsi="宋体" w:eastAsia="宋体" w:cs="宋体"/>
                <w:color w:val="auto"/>
                <w:sz w:val="24"/>
                <w:highlight w:val="none"/>
              </w:rPr>
            </w:pPr>
            <w:r>
              <w:rPr>
                <w:rFonts w:hint="eastAsia" w:ascii="宋体" w:hAnsi="宋体" w:eastAsia="宋体" w:cs="宋体"/>
                <w:color w:val="auto"/>
                <w:sz w:val="24"/>
                <w:highlight w:val="none"/>
              </w:rPr>
              <w:t>支付形式：转账或电汇</w:t>
            </w:r>
          </w:p>
          <w:p>
            <w:pPr>
              <w:spacing w:line="500" w:lineRule="exact"/>
              <w:ind w:left="-29" w:leftChars="-14" w:firstLine="28" w:firstLineChars="12"/>
              <w:rPr>
                <w:rFonts w:hint="eastAsia" w:ascii="宋体" w:hAnsi="宋体" w:eastAsia="宋体" w:cs="宋体"/>
                <w:color w:val="auto"/>
                <w:sz w:val="24"/>
                <w:highlight w:val="none"/>
              </w:rPr>
            </w:pPr>
            <w:r>
              <w:rPr>
                <w:rFonts w:hint="eastAsia" w:ascii="宋体" w:hAnsi="宋体" w:eastAsia="宋体" w:cs="宋体"/>
                <w:color w:val="auto"/>
                <w:sz w:val="24"/>
                <w:highlight w:val="none"/>
              </w:rPr>
              <w:t>收款信息：</w:t>
            </w:r>
          </w:p>
          <w:p>
            <w:pPr>
              <w:spacing w:line="500" w:lineRule="exact"/>
              <w:ind w:left="-29" w:leftChars="-14" w:firstLine="28" w:firstLineChars="12"/>
              <w:rPr>
                <w:rFonts w:hint="eastAsia" w:ascii="宋体" w:hAnsi="宋体" w:eastAsia="宋体" w:cs="宋体"/>
                <w:color w:val="auto"/>
                <w:sz w:val="24"/>
                <w:highlight w:val="none"/>
              </w:rPr>
            </w:pPr>
            <w:r>
              <w:rPr>
                <w:rFonts w:hint="eastAsia" w:ascii="宋体" w:hAnsi="宋体" w:eastAsia="宋体" w:cs="宋体"/>
                <w:color w:val="auto"/>
                <w:sz w:val="24"/>
                <w:highlight w:val="none"/>
              </w:rPr>
              <w:t>开 户 名：临沂市沂蒙国际招标有限公司</w:t>
            </w:r>
          </w:p>
          <w:p>
            <w:pPr>
              <w:spacing w:line="500" w:lineRule="exact"/>
              <w:ind w:left="-29" w:leftChars="-14" w:firstLine="28" w:firstLineChars="12"/>
              <w:rPr>
                <w:rFonts w:hint="eastAsia" w:ascii="宋体" w:hAnsi="宋体" w:eastAsia="宋体" w:cs="宋体"/>
                <w:color w:val="auto"/>
                <w:sz w:val="24"/>
                <w:highlight w:val="none"/>
              </w:rPr>
            </w:pPr>
            <w:r>
              <w:rPr>
                <w:rFonts w:hint="eastAsia" w:ascii="宋体" w:hAnsi="宋体" w:eastAsia="宋体" w:cs="宋体"/>
                <w:color w:val="auto"/>
                <w:sz w:val="24"/>
                <w:highlight w:val="none"/>
              </w:rPr>
              <w:t>开 户 行：建设银行临沂分行营业部</w:t>
            </w:r>
          </w:p>
          <w:p>
            <w:pPr>
              <w:spacing w:line="500" w:lineRule="exact"/>
              <w:ind w:left="-29" w:leftChars="-14" w:firstLine="28" w:firstLineChars="12"/>
              <w:rPr>
                <w:rFonts w:hint="eastAsia" w:ascii="宋体" w:hAnsi="宋体" w:eastAsia="宋体" w:cs="宋体"/>
                <w:color w:val="auto"/>
                <w:sz w:val="24"/>
                <w:highlight w:val="none"/>
              </w:rPr>
            </w:pPr>
            <w:r>
              <w:rPr>
                <w:rFonts w:hint="eastAsia" w:ascii="宋体" w:hAnsi="宋体" w:eastAsia="宋体" w:cs="宋体"/>
                <w:color w:val="auto"/>
                <w:sz w:val="24"/>
                <w:highlight w:val="none"/>
              </w:rPr>
              <w:t>账    号：37001828301050001489</w:t>
            </w:r>
          </w:p>
          <w:p>
            <w:pPr>
              <w:spacing w:line="500" w:lineRule="exact"/>
              <w:ind w:left="-29" w:leftChars="-14" w:firstLine="28" w:firstLineChars="12"/>
              <w:rPr>
                <w:rFonts w:hint="eastAsia" w:ascii="宋体" w:hAnsi="宋体" w:eastAsia="宋体" w:cs="宋体"/>
                <w:color w:val="auto"/>
                <w:sz w:val="24"/>
                <w:highlight w:val="none"/>
              </w:rPr>
            </w:pPr>
            <w:r>
              <w:rPr>
                <w:rFonts w:hint="eastAsia" w:ascii="宋体" w:hAnsi="宋体" w:eastAsia="宋体" w:cs="宋体"/>
                <w:color w:val="auto"/>
                <w:sz w:val="24"/>
                <w:highlight w:val="none"/>
              </w:rPr>
              <w:t>支付时间：领取成交通知书前。</w:t>
            </w:r>
          </w:p>
          <w:p>
            <w:pPr>
              <w:spacing w:line="50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支付时间：确定成交结果后5个工作日内。</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9498" w:type="dxa"/>
            <w:gridSpan w:val="2"/>
            <w:noWrap w:val="0"/>
            <w:vAlign w:val="center"/>
          </w:tcPr>
          <w:p>
            <w:pPr>
              <w:spacing w:line="500" w:lineRule="exact"/>
              <w:ind w:left="-31" w:leftChars="-15" w:firstLine="112" w:firstLineChars="47"/>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适用于本供应商须知的额外增加的变动：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noWrap w:val="0"/>
            <w:vAlign w:val="center"/>
          </w:tcPr>
          <w:p>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8477" w:type="dxa"/>
            <w:noWrap w:val="0"/>
            <w:vAlign w:val="center"/>
          </w:tcPr>
          <w:p>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法律法规对相应服务规定的条件：详见磋商公告</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noWrap w:val="0"/>
            <w:vAlign w:val="center"/>
          </w:tcPr>
          <w:p>
            <w:pPr>
              <w:spacing w:line="500" w:lineRule="exact"/>
              <w:jc w:val="center"/>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val="en-US" w:eastAsia="zh-CN"/>
              </w:rPr>
              <w:t>2</w:t>
            </w:r>
          </w:p>
        </w:tc>
        <w:tc>
          <w:tcPr>
            <w:tcW w:w="8477" w:type="dxa"/>
            <w:noWrap w:val="0"/>
            <w:vAlign w:val="center"/>
          </w:tcPr>
          <w:p>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是否允许供应商将项目非主体、非关键性工作交由他人完成：是□  否</w:t>
            </w:r>
            <w:r>
              <w:rPr>
                <w:rFonts w:hint="eastAsia" w:ascii="宋体" w:hAnsi="宋体" w:eastAsia="宋体" w:cs="宋体"/>
                <w:color w:val="auto"/>
                <w:sz w:val="24"/>
                <w:highlight w:val="none"/>
              </w:rPr>
              <w:sym w:font="Wingdings 2" w:char="F052"/>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9498" w:type="dxa"/>
            <w:gridSpan w:val="2"/>
            <w:noWrap w:val="0"/>
            <w:vAlign w:val="center"/>
          </w:tcPr>
          <w:p>
            <w:pPr>
              <w:spacing w:line="500" w:lineRule="exact"/>
              <w:ind w:left="-31" w:leftChars="-15" w:firstLine="112" w:firstLineChars="47"/>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合同条款</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noWrap w:val="0"/>
            <w:vAlign w:val="center"/>
          </w:tcPr>
          <w:p>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8477" w:type="dxa"/>
            <w:noWrap w:val="0"/>
            <w:vAlign w:val="center"/>
          </w:tcPr>
          <w:p>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付款途径：采购人支付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noWrap w:val="0"/>
            <w:vAlign w:val="center"/>
          </w:tcPr>
          <w:p>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8477" w:type="dxa"/>
            <w:noWrap w:val="0"/>
            <w:vAlign w:val="center"/>
          </w:tcPr>
          <w:p>
            <w:pPr>
              <w:spacing w:line="50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付款方式：</w:t>
            </w:r>
            <w:r>
              <w:rPr>
                <w:rFonts w:hint="eastAsia" w:ascii="宋体" w:hAnsi="宋体" w:eastAsia="宋体" w:cs="宋体"/>
                <w:color w:val="auto"/>
                <w:sz w:val="24"/>
                <w:highlight w:val="none"/>
              </w:rPr>
              <w:t>合同签订</w:t>
            </w:r>
            <w:r>
              <w:rPr>
                <w:rFonts w:hint="eastAsia" w:ascii="宋体" w:hAnsi="宋体" w:cs="宋体"/>
                <w:color w:val="auto"/>
                <w:sz w:val="24"/>
                <w:highlight w:val="none"/>
                <w:lang w:val="en-US" w:eastAsia="zh-CN"/>
              </w:rPr>
              <w:t>在</w:t>
            </w:r>
            <w:r>
              <w:rPr>
                <w:rFonts w:hint="eastAsia" w:ascii="宋体" w:hAnsi="宋体" w:eastAsia="宋体" w:cs="宋体"/>
                <w:color w:val="auto"/>
                <w:sz w:val="24"/>
                <w:highlight w:val="none"/>
              </w:rPr>
              <w:t>项目完成经验收合格且审计后</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审计费用按鲁价费发</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2004</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239号文执行，由成交人承担</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，一次性全额支付审定额。</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noWrap w:val="0"/>
            <w:vAlign w:val="center"/>
          </w:tcPr>
          <w:p>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8477" w:type="dxa"/>
            <w:noWrap w:val="0"/>
            <w:vAlign w:val="center"/>
          </w:tcPr>
          <w:p>
            <w:pPr>
              <w:pStyle w:val="73"/>
              <w:keepNext w:val="0"/>
              <w:keepLines w:val="0"/>
              <w:pageBreakBefore w:val="0"/>
              <w:widowControl w:val="0"/>
              <w:tabs>
                <w:tab w:val="left" w:pos="1704"/>
              </w:tabs>
              <w:kinsoku/>
              <w:wordWrap/>
              <w:overflowPunct/>
              <w:topLinePunct w:val="0"/>
              <w:autoSpaceDE/>
              <w:autoSpaceDN/>
              <w:bidi w:val="0"/>
              <w:adjustRightInd/>
              <w:snapToGrid/>
              <w:spacing w:line="480" w:lineRule="exact"/>
              <w:ind w:left="0" w:leftChars="0" w:right="0" w:firstLine="0" w:firstLineChars="0"/>
              <w:jc w:val="left"/>
              <w:textAlignment w:val="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质保期：</w:t>
            </w:r>
            <w:r>
              <w:rPr>
                <w:rFonts w:hint="eastAsia" w:cs="宋体"/>
                <w:color w:val="auto"/>
                <w:sz w:val="24"/>
                <w:highlight w:val="none"/>
                <w:lang w:val="en-US" w:eastAsia="zh-CN"/>
              </w:rPr>
              <w:t>1</w:t>
            </w:r>
            <w:r>
              <w:rPr>
                <w:rFonts w:hint="eastAsia" w:ascii="宋体" w:hAnsi="宋体" w:eastAsia="宋体" w:cs="宋体"/>
                <w:color w:val="auto"/>
                <w:sz w:val="24"/>
                <w:highlight w:val="none"/>
              </w:rPr>
              <w:t>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noWrap w:val="0"/>
            <w:vAlign w:val="center"/>
          </w:tcPr>
          <w:p>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4</w:t>
            </w:r>
          </w:p>
        </w:tc>
        <w:tc>
          <w:tcPr>
            <w:tcW w:w="8477" w:type="dxa"/>
            <w:noWrap w:val="0"/>
            <w:vAlign w:val="center"/>
          </w:tcPr>
          <w:p>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交付地点：临沂大学指定地点。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noWrap w:val="0"/>
            <w:vAlign w:val="center"/>
          </w:tcPr>
          <w:p>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5</w:t>
            </w:r>
          </w:p>
        </w:tc>
        <w:tc>
          <w:tcPr>
            <w:tcW w:w="8477" w:type="dxa"/>
            <w:noWrap w:val="0"/>
            <w:vAlign w:val="center"/>
          </w:tcPr>
          <w:p>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争议的解决：提交采购人所在地人民法院。</w:t>
            </w:r>
          </w:p>
        </w:tc>
      </w:tr>
    </w:tbl>
    <w:p>
      <w:pPr>
        <w:spacing w:line="480" w:lineRule="exact"/>
        <w:rPr>
          <w:rFonts w:hint="eastAsia" w:ascii="宋体" w:hAnsi="宋体" w:eastAsia="宋体" w:cs="宋体"/>
          <w:color w:val="auto"/>
          <w:sz w:val="24"/>
          <w:highlight w:val="none"/>
        </w:rPr>
        <w:sectPr>
          <w:headerReference r:id="rId7" w:type="default"/>
          <w:footerReference r:id="rId9" w:type="default"/>
          <w:headerReference r:id="rId8" w:type="even"/>
          <w:footerReference r:id="rId10" w:type="even"/>
          <w:pgSz w:w="11906" w:h="16838"/>
          <w:pgMar w:top="1440" w:right="1797" w:bottom="1440" w:left="1797" w:header="851" w:footer="992" w:gutter="0"/>
          <w:pgBorders>
            <w:top w:val="none" w:sz="0" w:space="0"/>
            <w:left w:val="none" w:sz="0" w:space="0"/>
            <w:bottom w:val="none" w:sz="0" w:space="0"/>
            <w:right w:val="none" w:sz="0" w:space="0"/>
          </w:pgBorders>
          <w:cols w:space="720" w:num="1"/>
          <w:docGrid w:linePitch="312" w:charSpace="0"/>
        </w:sectPr>
      </w:pPr>
    </w:p>
    <w:bookmarkEnd w:id="205"/>
    <w:p>
      <w:pPr>
        <w:pStyle w:val="3"/>
        <w:tabs>
          <w:tab w:val="left" w:pos="0"/>
        </w:tabs>
        <w:spacing w:before="0" w:after="0" w:line="480" w:lineRule="exact"/>
        <w:ind w:firstLine="2088" w:firstLineChars="650"/>
        <w:jc w:val="both"/>
        <w:rPr>
          <w:rFonts w:hint="eastAsia" w:ascii="宋体" w:hAnsi="宋体" w:eastAsia="宋体" w:cs="宋体"/>
          <w:color w:val="auto"/>
          <w:szCs w:val="32"/>
          <w:highlight w:val="none"/>
        </w:rPr>
      </w:pPr>
      <w:bookmarkStart w:id="239" w:name="_Toc16628"/>
      <w:bookmarkStart w:id="240" w:name="_Toc512937852"/>
      <w:r>
        <w:rPr>
          <w:rFonts w:hint="eastAsia" w:ascii="宋体" w:hAnsi="宋体" w:eastAsia="宋体" w:cs="宋体"/>
          <w:color w:val="auto"/>
          <w:szCs w:val="32"/>
          <w:highlight w:val="none"/>
        </w:rPr>
        <w:t>第</w:t>
      </w:r>
      <w:r>
        <w:rPr>
          <w:rFonts w:hint="eastAsia" w:ascii="宋体" w:hAnsi="宋体" w:eastAsia="宋体" w:cs="宋体"/>
          <w:color w:val="auto"/>
          <w:szCs w:val="32"/>
          <w:highlight w:val="none"/>
          <w:lang w:val="en-US" w:eastAsia="zh-CN"/>
        </w:rPr>
        <w:t>4</w:t>
      </w:r>
      <w:r>
        <w:rPr>
          <w:rFonts w:hint="eastAsia" w:ascii="宋体" w:hAnsi="宋体" w:eastAsia="宋体" w:cs="宋体"/>
          <w:color w:val="auto"/>
          <w:szCs w:val="32"/>
          <w:highlight w:val="none"/>
        </w:rPr>
        <w:t>章</w:t>
      </w:r>
      <w:r>
        <w:rPr>
          <w:rFonts w:hint="eastAsia" w:ascii="宋体" w:hAnsi="宋体" w:eastAsia="宋体" w:cs="宋体"/>
          <w:color w:val="auto"/>
          <w:szCs w:val="32"/>
          <w:highlight w:val="none"/>
          <w:lang w:val="en-US" w:eastAsia="zh-CN"/>
        </w:rPr>
        <w:t xml:space="preserve"> </w:t>
      </w:r>
      <w:r>
        <w:rPr>
          <w:rFonts w:hint="eastAsia" w:ascii="宋体" w:hAnsi="宋体" w:eastAsia="宋体" w:cs="宋体"/>
          <w:color w:val="auto"/>
          <w:szCs w:val="32"/>
          <w:highlight w:val="none"/>
          <w:lang w:eastAsia="zh-CN"/>
        </w:rPr>
        <w:t>采购需求一览表及</w:t>
      </w:r>
      <w:r>
        <w:rPr>
          <w:rFonts w:hint="eastAsia" w:ascii="宋体" w:hAnsi="宋体" w:eastAsia="宋体" w:cs="宋体"/>
          <w:color w:val="auto"/>
          <w:szCs w:val="32"/>
          <w:highlight w:val="none"/>
        </w:rPr>
        <w:t>技术规格</w:t>
      </w:r>
      <w:bookmarkEnd w:id="239"/>
    </w:p>
    <w:p>
      <w:pPr>
        <w:keepNext w:val="0"/>
        <w:keepLines w:val="0"/>
        <w:pageBreakBefore w:val="0"/>
        <w:kinsoku/>
        <w:wordWrap/>
        <w:overflowPunct w:val="0"/>
        <w:topLinePunct w:val="0"/>
        <w:autoSpaceDE/>
        <w:autoSpaceDN/>
        <w:bidi w:val="0"/>
        <w:adjustRightInd/>
        <w:snapToGrid/>
        <w:spacing w:line="480" w:lineRule="exact"/>
        <w:outlineLvl w:val="1"/>
        <w:rPr>
          <w:rFonts w:hint="eastAsia" w:ascii="宋体" w:hAnsi="宋体" w:eastAsia="宋体" w:cs="宋体"/>
          <w:b/>
          <w:color w:val="auto"/>
          <w:sz w:val="24"/>
          <w:szCs w:val="24"/>
          <w:highlight w:val="none"/>
        </w:rPr>
      </w:pPr>
      <w:bookmarkStart w:id="241" w:name="_Toc17888"/>
      <w:r>
        <w:rPr>
          <w:rFonts w:hint="eastAsia" w:ascii="宋体" w:hAnsi="宋体" w:eastAsia="宋体" w:cs="宋体"/>
          <w:b/>
          <w:color w:val="auto"/>
          <w:sz w:val="24"/>
          <w:szCs w:val="24"/>
          <w:highlight w:val="none"/>
        </w:rPr>
        <w:t>一、项目说明</w:t>
      </w:r>
      <w:bookmarkEnd w:id="241"/>
    </w:p>
    <w:p>
      <w:pPr>
        <w:keepNext w:val="0"/>
        <w:keepLines w:val="0"/>
        <w:pageBreakBefore w:val="0"/>
        <w:widowControl w:val="0"/>
        <w:kinsoku/>
        <w:wordWrap/>
        <w:overflowPunct/>
        <w:topLinePunct w:val="0"/>
        <w:autoSpaceDE/>
        <w:autoSpaceDN/>
        <w:bidi w:val="0"/>
        <w:adjustRightInd/>
        <w:snapToGrid/>
        <w:spacing w:line="480" w:lineRule="exact"/>
        <w:ind w:left="-31" w:leftChars="-15" w:firstLine="592" w:firstLineChars="247"/>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本项目为</w:t>
      </w:r>
      <w:r>
        <w:rPr>
          <w:rFonts w:hint="eastAsia" w:ascii="宋体" w:hAnsi="宋体" w:cs="宋体"/>
          <w:color w:val="auto"/>
          <w:sz w:val="24"/>
          <w:szCs w:val="24"/>
          <w:highlight w:val="none"/>
          <w:lang w:eastAsia="zh-CN"/>
        </w:rPr>
        <w:t>临沂大学2024年国际交流中心维修改造家电购置预采购项目</w:t>
      </w: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最高限价35</w:t>
      </w:r>
      <w:r>
        <w:rPr>
          <w:rFonts w:hint="eastAsia" w:ascii="宋体" w:hAnsi="宋体" w:eastAsia="宋体" w:cs="宋体"/>
          <w:color w:val="auto"/>
          <w:sz w:val="24"/>
          <w:szCs w:val="24"/>
          <w:highlight w:val="none"/>
        </w:rPr>
        <w:t>万元</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本项目采购设备所属行业说明：依据《国民经济行业分类》GB/T 4754—2017，以上产品所属行业均为工业（制造业）。</w:t>
      </w:r>
    </w:p>
    <w:p>
      <w:pPr>
        <w:keepNext w:val="0"/>
        <w:keepLines w:val="0"/>
        <w:pageBreakBefore w:val="0"/>
        <w:numPr>
          <w:ilvl w:val="0"/>
          <w:numId w:val="4"/>
        </w:numPr>
        <w:kinsoku/>
        <w:wordWrap/>
        <w:overflowPunct w:val="0"/>
        <w:topLinePunct w:val="0"/>
        <w:autoSpaceDE/>
        <w:autoSpaceDN/>
        <w:bidi w:val="0"/>
        <w:adjustRightInd/>
        <w:snapToGrid/>
        <w:spacing w:line="480" w:lineRule="exact"/>
        <w:outlineLvl w:val="1"/>
        <w:rPr>
          <w:rFonts w:hint="eastAsia" w:ascii="宋体" w:hAnsi="宋体" w:eastAsia="宋体" w:cs="宋体"/>
          <w:b/>
          <w:color w:val="auto"/>
          <w:sz w:val="24"/>
          <w:szCs w:val="24"/>
          <w:highlight w:val="none"/>
        </w:rPr>
      </w:pPr>
      <w:bookmarkStart w:id="242" w:name="_Toc5632"/>
      <w:r>
        <w:rPr>
          <w:rFonts w:hint="eastAsia" w:ascii="宋体" w:hAnsi="宋体" w:eastAsia="宋体" w:cs="宋体"/>
          <w:b/>
          <w:color w:val="auto"/>
          <w:sz w:val="24"/>
          <w:szCs w:val="24"/>
          <w:highlight w:val="none"/>
        </w:rPr>
        <w:t>项目采购清单</w:t>
      </w:r>
      <w:bookmarkEnd w:id="242"/>
      <w:r>
        <w:rPr>
          <w:rFonts w:hint="eastAsia" w:ascii="宋体" w:hAnsi="宋体" w:eastAsia="宋体" w:cs="宋体"/>
          <w:b/>
          <w:color w:val="auto"/>
          <w:sz w:val="24"/>
          <w:szCs w:val="24"/>
          <w:highlight w:val="none"/>
        </w:rPr>
        <w:t>：</w:t>
      </w:r>
    </w:p>
    <w:tbl>
      <w:tblPr>
        <w:tblStyle w:val="30"/>
        <w:tblW w:w="9494" w:type="dxa"/>
        <w:tblInd w:w="-28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53"/>
        <w:gridCol w:w="1253"/>
        <w:gridCol w:w="5452"/>
        <w:gridCol w:w="715"/>
        <w:gridCol w:w="556"/>
        <w:gridCol w:w="86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6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序号</w:t>
            </w:r>
          </w:p>
        </w:tc>
        <w:tc>
          <w:tcPr>
            <w:tcW w:w="12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设备名称</w:t>
            </w:r>
          </w:p>
        </w:tc>
        <w:tc>
          <w:tcPr>
            <w:tcW w:w="54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规格要求及主要技术参数指标</w:t>
            </w:r>
          </w:p>
        </w:tc>
        <w:tc>
          <w:tcPr>
            <w:tcW w:w="7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单位</w:t>
            </w:r>
          </w:p>
        </w:tc>
        <w:tc>
          <w:tcPr>
            <w:tcW w:w="5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数量</w:t>
            </w: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安装地点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20" w:hRule="atLeast"/>
        </w:trPr>
        <w:tc>
          <w:tcPr>
            <w:tcW w:w="653"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w:t>
            </w:r>
          </w:p>
        </w:tc>
        <w:tc>
          <w:tcPr>
            <w:tcW w:w="12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双人床</w:t>
            </w:r>
          </w:p>
        </w:tc>
        <w:tc>
          <w:tcPr>
            <w:tcW w:w="54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颜色、材质、尺寸：原木色，1500mm*2100mm，床底离地面300mm, 德国进口3A榉木，大板直拼，硬度强承重好，全实木床，框架结构，杉木无缝铺板。五金配件：使用优质五金连接件，且配件紧密；油漆：采用环保聚酯亚光漆，有害物含量低于GB18581-2009标准，全封闭式涂装，喷涂均匀，经五底三面工艺，漆膜附着力强，成品油漆表面硬度可达3H级，漆面色泽美观，木纹纹理清晰，无渣点、气泡，光滑耐磨；牢固结实，经久耐用。以上各项技术指标均达到国家标准。</w:t>
            </w:r>
          </w:p>
        </w:tc>
        <w:tc>
          <w:tcPr>
            <w:tcW w:w="7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套</w:t>
            </w:r>
          </w:p>
        </w:tc>
        <w:tc>
          <w:tcPr>
            <w:tcW w:w="5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26</w:t>
            </w:r>
          </w:p>
        </w:tc>
        <w:tc>
          <w:tcPr>
            <w:tcW w:w="8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国际交流中心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653"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p>
        </w:tc>
        <w:tc>
          <w:tcPr>
            <w:tcW w:w="12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椰棕床垫</w:t>
            </w:r>
          </w:p>
        </w:tc>
        <w:tc>
          <w:tcPr>
            <w:tcW w:w="54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1500mm*2100mm，厚25cm，与床配套，护脊环保棕，高锰钢弹簧，高弹支撑海绵。</w:t>
            </w:r>
          </w:p>
        </w:tc>
        <w:tc>
          <w:tcPr>
            <w:tcW w:w="7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p>
        </w:tc>
        <w:tc>
          <w:tcPr>
            <w:tcW w:w="5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p>
        </w:tc>
        <w:tc>
          <w:tcPr>
            <w:tcW w:w="8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653"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p>
        </w:tc>
        <w:tc>
          <w:tcPr>
            <w:tcW w:w="12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床头柜</w:t>
            </w:r>
          </w:p>
        </w:tc>
        <w:tc>
          <w:tcPr>
            <w:tcW w:w="54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德国进口3A榉木全实木，与床匹配</w:t>
            </w:r>
          </w:p>
        </w:tc>
        <w:tc>
          <w:tcPr>
            <w:tcW w:w="7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p>
        </w:tc>
        <w:tc>
          <w:tcPr>
            <w:tcW w:w="5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p>
        </w:tc>
        <w:tc>
          <w:tcPr>
            <w:tcW w:w="8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95" w:hRule="atLeast"/>
        </w:trPr>
        <w:tc>
          <w:tcPr>
            <w:tcW w:w="65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w:t>
            </w:r>
          </w:p>
        </w:tc>
        <w:tc>
          <w:tcPr>
            <w:tcW w:w="12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双人床</w:t>
            </w:r>
          </w:p>
        </w:tc>
        <w:tc>
          <w:tcPr>
            <w:tcW w:w="54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颜色、材质、尺寸：原木色，1800mm*2200mm，床底离地面300mm, 德国进口3A榉木，大板直拼，硬度强承重好，全实木床，框架结构；杉木无缝铺板。五金配件：使用优质五金连接件，且配件紧密；油漆：采用环保聚酯亚光漆，有害物含量低于GB18581-2009标准，全封闭式涂装，喷涂均匀，经五底三面工艺，漆膜附着力强，成品油漆表面硬  度可达3H级，漆面色泽美观，木纹纹理清晰，无渣点、气泡，光滑耐磨；牢固结实，经久耐用。以上各项技术指标均达到国家标准。</w:t>
            </w:r>
          </w:p>
        </w:tc>
        <w:tc>
          <w:tcPr>
            <w:tcW w:w="7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套（包括1张床，1个床垫，2个床头柜</w:t>
            </w:r>
          </w:p>
        </w:tc>
        <w:tc>
          <w:tcPr>
            <w:tcW w:w="5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w:t>
            </w:r>
          </w:p>
        </w:tc>
        <w:tc>
          <w:tcPr>
            <w:tcW w:w="8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国际交流中心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0" w:hRule="atLeast"/>
        </w:trPr>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p>
        </w:tc>
        <w:tc>
          <w:tcPr>
            <w:tcW w:w="12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椰棕床垫</w:t>
            </w:r>
          </w:p>
        </w:tc>
        <w:tc>
          <w:tcPr>
            <w:tcW w:w="54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1800mm*2200mm，厚25cm，与床配套，护脊环保棕，高锰钢弹簧，高弹支撑海绵。</w:t>
            </w:r>
          </w:p>
        </w:tc>
        <w:tc>
          <w:tcPr>
            <w:tcW w:w="7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p>
        </w:tc>
        <w:tc>
          <w:tcPr>
            <w:tcW w:w="5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p>
        </w:tc>
        <w:tc>
          <w:tcPr>
            <w:tcW w:w="8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trPr>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p>
        </w:tc>
        <w:tc>
          <w:tcPr>
            <w:tcW w:w="12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床头柜</w:t>
            </w:r>
          </w:p>
        </w:tc>
        <w:tc>
          <w:tcPr>
            <w:tcW w:w="54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德国进口3A榉木全实木，与床匹配</w:t>
            </w:r>
          </w:p>
        </w:tc>
        <w:tc>
          <w:tcPr>
            <w:tcW w:w="7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p>
        </w:tc>
        <w:tc>
          <w:tcPr>
            <w:tcW w:w="5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p>
        </w:tc>
        <w:tc>
          <w:tcPr>
            <w:tcW w:w="8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5" w:hRule="atLeast"/>
        </w:trPr>
        <w:tc>
          <w:tcPr>
            <w:tcW w:w="6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w:t>
            </w:r>
          </w:p>
        </w:tc>
        <w:tc>
          <w:tcPr>
            <w:tcW w:w="12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电冰箱</w:t>
            </w:r>
          </w:p>
        </w:tc>
        <w:tc>
          <w:tcPr>
            <w:tcW w:w="54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双开门，银灰色，双变频一级；容积和尺寸：180L,578mm*499mm*1410mm左右。</w:t>
            </w:r>
          </w:p>
        </w:tc>
        <w:tc>
          <w:tcPr>
            <w:tcW w:w="7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台</w:t>
            </w:r>
          </w:p>
        </w:tc>
        <w:tc>
          <w:tcPr>
            <w:tcW w:w="5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34</w:t>
            </w: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国际交流中心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90" w:hRule="atLeast"/>
        </w:trPr>
        <w:tc>
          <w:tcPr>
            <w:tcW w:w="6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w:t>
            </w:r>
          </w:p>
        </w:tc>
        <w:tc>
          <w:tcPr>
            <w:tcW w:w="12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网络连接口及路由器</w:t>
            </w:r>
          </w:p>
        </w:tc>
        <w:tc>
          <w:tcPr>
            <w:tcW w:w="54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路由器4A千兆版 双核CPU 双千兆 1200M双频无线速率 5G家用智能路由器 四天线穿墙 双频合一</w:t>
            </w:r>
          </w:p>
        </w:tc>
        <w:tc>
          <w:tcPr>
            <w:tcW w:w="7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套</w:t>
            </w:r>
          </w:p>
        </w:tc>
        <w:tc>
          <w:tcPr>
            <w:tcW w:w="5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55</w:t>
            </w: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国际交流中心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6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w:t>
            </w:r>
          </w:p>
        </w:tc>
        <w:tc>
          <w:tcPr>
            <w:tcW w:w="12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插排</w:t>
            </w:r>
          </w:p>
        </w:tc>
        <w:tc>
          <w:tcPr>
            <w:tcW w:w="54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6插， GN-606A 插线板/插排/接线板3米</w:t>
            </w:r>
          </w:p>
        </w:tc>
        <w:tc>
          <w:tcPr>
            <w:tcW w:w="7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个</w:t>
            </w:r>
          </w:p>
        </w:tc>
        <w:tc>
          <w:tcPr>
            <w:tcW w:w="5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95</w:t>
            </w: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国际交流中心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0" w:hRule="atLeast"/>
        </w:trPr>
        <w:tc>
          <w:tcPr>
            <w:tcW w:w="6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w:t>
            </w:r>
          </w:p>
        </w:tc>
        <w:tc>
          <w:tcPr>
            <w:tcW w:w="12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饮水机</w:t>
            </w:r>
          </w:p>
        </w:tc>
        <w:tc>
          <w:tcPr>
            <w:tcW w:w="54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饮水机冷热一体立式机，储柜容积约12L，300mm*270mm*900mm。</w:t>
            </w:r>
          </w:p>
        </w:tc>
        <w:tc>
          <w:tcPr>
            <w:tcW w:w="7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台</w:t>
            </w:r>
          </w:p>
        </w:tc>
        <w:tc>
          <w:tcPr>
            <w:tcW w:w="5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34</w:t>
            </w: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国际交流中心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35" w:hRule="atLeast"/>
        </w:trPr>
        <w:tc>
          <w:tcPr>
            <w:tcW w:w="65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w:t>
            </w:r>
          </w:p>
        </w:tc>
        <w:tc>
          <w:tcPr>
            <w:tcW w:w="12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三人位沙发</w:t>
            </w:r>
          </w:p>
        </w:tc>
        <w:tc>
          <w:tcPr>
            <w:tcW w:w="54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浅胡桃木色，三人位，脚高360mm*坐深590mm*宽216mm；纯实木框架，布艺海绵垫，木质材质橡胶木，流行元素卯榫原木，饰面材质实木，饰面工艺喷漆，可拆洗。海绵：采用一次成型、防老化，优质PU成型发泡高密度海绵，（密度≥40KG/立方），长时间使用不变形，久坐不起皱；五金配件：使用优质五金连接件，且配件紧密；油漆：采用环保聚酯亚光漆，有害物含量低于GB18581-2009标准，全封闭式涂装，喷涂均匀，经五底三面工艺，漆膜附着力强，成品油漆表面硬度可达3H级，漆面色泽美观，木纹纹理清晰，无渣点、气泡，光滑耐磨；牢固结实，经久耐用。以上各项技术指标均达到国家标准。</w:t>
            </w:r>
          </w:p>
        </w:tc>
        <w:tc>
          <w:tcPr>
            <w:tcW w:w="7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套</w:t>
            </w:r>
          </w:p>
        </w:tc>
        <w:tc>
          <w:tcPr>
            <w:tcW w:w="5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15</w:t>
            </w:r>
          </w:p>
        </w:tc>
        <w:tc>
          <w:tcPr>
            <w:tcW w:w="8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国际交流中心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6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p>
        </w:tc>
        <w:tc>
          <w:tcPr>
            <w:tcW w:w="12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茶几</w:t>
            </w:r>
          </w:p>
        </w:tc>
        <w:tc>
          <w:tcPr>
            <w:tcW w:w="54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与沙发配套，长120mm*宽600mm*高450mm</w:t>
            </w:r>
          </w:p>
        </w:tc>
        <w:tc>
          <w:tcPr>
            <w:tcW w:w="7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p>
        </w:tc>
        <w:tc>
          <w:tcPr>
            <w:tcW w:w="5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p>
        </w:tc>
        <w:tc>
          <w:tcPr>
            <w:tcW w:w="8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trPr>
        <w:tc>
          <w:tcPr>
            <w:tcW w:w="6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w:t>
            </w:r>
          </w:p>
        </w:tc>
        <w:tc>
          <w:tcPr>
            <w:tcW w:w="12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单层双杆置物架</w:t>
            </w:r>
          </w:p>
        </w:tc>
        <w:tc>
          <w:tcPr>
            <w:tcW w:w="54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237mm*510mm*121mm，304不锈钢</w:t>
            </w:r>
          </w:p>
        </w:tc>
        <w:tc>
          <w:tcPr>
            <w:tcW w:w="7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套</w:t>
            </w:r>
          </w:p>
        </w:tc>
        <w:tc>
          <w:tcPr>
            <w:tcW w:w="5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57</w:t>
            </w: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国际交流中心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trPr>
        <w:tc>
          <w:tcPr>
            <w:tcW w:w="6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w:t>
            </w:r>
          </w:p>
        </w:tc>
        <w:tc>
          <w:tcPr>
            <w:tcW w:w="12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卫生间厕纸盒</w:t>
            </w:r>
          </w:p>
        </w:tc>
        <w:tc>
          <w:tcPr>
            <w:tcW w:w="54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北欧风格，C19亮光款，304不锈钢（厚1.5mm）卷纸架，打孔两用</w:t>
            </w:r>
          </w:p>
        </w:tc>
        <w:tc>
          <w:tcPr>
            <w:tcW w:w="7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24</w:t>
            </w: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55" w:hRule="atLeast"/>
        </w:trPr>
        <w:tc>
          <w:tcPr>
            <w:tcW w:w="6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w:t>
            </w:r>
          </w:p>
        </w:tc>
        <w:tc>
          <w:tcPr>
            <w:tcW w:w="12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电冰箱</w:t>
            </w:r>
          </w:p>
        </w:tc>
        <w:tc>
          <w:tcPr>
            <w:tcW w:w="54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双开门，银灰色，双变频一级；容积和尺寸：218L,578mm*525mm*1790mm左右。</w:t>
            </w:r>
          </w:p>
        </w:tc>
        <w:tc>
          <w:tcPr>
            <w:tcW w:w="7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台</w:t>
            </w:r>
          </w:p>
        </w:tc>
        <w:tc>
          <w:tcPr>
            <w:tcW w:w="5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w:t>
            </w: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国际交流中心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45" w:hRule="atLeast"/>
        </w:trPr>
        <w:tc>
          <w:tcPr>
            <w:tcW w:w="6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12</w:t>
            </w:r>
          </w:p>
        </w:tc>
        <w:tc>
          <w:tcPr>
            <w:tcW w:w="12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抽油烟机</w:t>
            </w:r>
          </w:p>
        </w:tc>
        <w:tc>
          <w:tcPr>
            <w:tcW w:w="54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顶吸欧式T型机按键式17m³大吸力商场款</w:t>
            </w:r>
          </w:p>
        </w:tc>
        <w:tc>
          <w:tcPr>
            <w:tcW w:w="7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台</w:t>
            </w:r>
          </w:p>
        </w:tc>
        <w:tc>
          <w:tcPr>
            <w:tcW w:w="5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14</w:t>
            </w: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国际交流中心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0" w:hRule="atLeast"/>
        </w:trPr>
        <w:tc>
          <w:tcPr>
            <w:tcW w:w="6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13</w:t>
            </w:r>
          </w:p>
        </w:tc>
        <w:tc>
          <w:tcPr>
            <w:tcW w:w="12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电磁炉</w:t>
            </w:r>
          </w:p>
        </w:tc>
        <w:tc>
          <w:tcPr>
            <w:tcW w:w="54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黑色，280mm*350mm,2000瓦以上</w:t>
            </w:r>
          </w:p>
        </w:tc>
        <w:tc>
          <w:tcPr>
            <w:tcW w:w="7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台</w:t>
            </w:r>
          </w:p>
        </w:tc>
        <w:tc>
          <w:tcPr>
            <w:tcW w:w="5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18</w:t>
            </w: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国际交流中心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65" w:hRule="atLeast"/>
        </w:trPr>
        <w:tc>
          <w:tcPr>
            <w:tcW w:w="6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14</w:t>
            </w:r>
          </w:p>
        </w:tc>
        <w:tc>
          <w:tcPr>
            <w:tcW w:w="12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微波炉</w:t>
            </w:r>
          </w:p>
        </w:tc>
        <w:tc>
          <w:tcPr>
            <w:tcW w:w="54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容量：25L功率：600W（含）-900W（含）；面板类型：平板烹饪方式：微波；颜色分类：黑色；底盘类型：转盘；式内胆材质：涂层；能效等级：一级；控制方式：按键式微波炉是否变频：是开门方式：按键式。</w:t>
            </w:r>
          </w:p>
        </w:tc>
        <w:tc>
          <w:tcPr>
            <w:tcW w:w="7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台</w:t>
            </w:r>
          </w:p>
        </w:tc>
        <w:tc>
          <w:tcPr>
            <w:tcW w:w="5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w:t>
            </w: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国际交流中心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10" w:hRule="atLeast"/>
        </w:trPr>
        <w:tc>
          <w:tcPr>
            <w:tcW w:w="6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15</w:t>
            </w:r>
          </w:p>
        </w:tc>
        <w:tc>
          <w:tcPr>
            <w:tcW w:w="12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餐边柜</w:t>
            </w:r>
          </w:p>
        </w:tc>
        <w:tc>
          <w:tcPr>
            <w:tcW w:w="54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颜色、材质、尺寸：原木色，五层，900mm*400mm*1930mm，玻璃门。饰面材质：木，木质材质：橡木，家具结构：框架结构，门数量：双门。卯榫结构，经防虫、防腐化学处理；五金配件：使用优质五金连接件，且配件紧密；油漆：采用环保聚酯亚光漆，有害物含量低于GB18581-2009标准，全封闭式涂装，喷涂均匀，经五底三面工艺，漆膜附着力强，成品油漆表面硬度可达3H级，漆面色泽美观，木纹纹理清晰，无渣点、气泡，光滑耐磨；牢固结实，经久耐用。以上各项技术指标均达到国家标准。</w:t>
            </w:r>
          </w:p>
        </w:tc>
        <w:tc>
          <w:tcPr>
            <w:tcW w:w="7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个</w:t>
            </w:r>
          </w:p>
        </w:tc>
        <w:tc>
          <w:tcPr>
            <w:tcW w:w="5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w:t>
            </w: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国际交流中心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60" w:hRule="atLeast"/>
        </w:trPr>
        <w:tc>
          <w:tcPr>
            <w:tcW w:w="6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16</w:t>
            </w:r>
          </w:p>
        </w:tc>
        <w:tc>
          <w:tcPr>
            <w:tcW w:w="12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长条餐桌</w:t>
            </w:r>
          </w:p>
        </w:tc>
        <w:tc>
          <w:tcPr>
            <w:tcW w:w="54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颜色、材质、尺寸：原木色，1200mm（长）*1000mm（宽）*730mm（高），桌面为橡木实木板，喷涂环保优质漆，桌面厚度为4cm，环保无异味。架体为优质钢架，钢架尺寸3cm*6cm，钢架厚度为1.5cm，经过酸洗磷化、防锈处理，喷涂优质环保漆，美观结实耐用。</w:t>
            </w:r>
          </w:p>
        </w:tc>
        <w:tc>
          <w:tcPr>
            <w:tcW w:w="7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个</w:t>
            </w:r>
          </w:p>
        </w:tc>
        <w:tc>
          <w:tcPr>
            <w:tcW w:w="5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w:t>
            </w: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国际交流中心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6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17</w:t>
            </w:r>
          </w:p>
        </w:tc>
        <w:tc>
          <w:tcPr>
            <w:tcW w:w="12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洗衣机</w:t>
            </w:r>
          </w:p>
        </w:tc>
        <w:tc>
          <w:tcPr>
            <w:tcW w:w="54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银灰色，滚筒洗衣机洗烘干一体 全自动家用10公斤超薄。能效等级：一级，尺寸：595*570*850mm左右，烘干方式：冷凝式，控制方式：电脑式，显示屏类型：LED，开合方式：前开式，使用方式：全自动。</w:t>
            </w:r>
          </w:p>
        </w:tc>
        <w:tc>
          <w:tcPr>
            <w:tcW w:w="7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台</w:t>
            </w:r>
          </w:p>
        </w:tc>
        <w:tc>
          <w:tcPr>
            <w:tcW w:w="5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w:t>
            </w: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国际交流中心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85" w:hRule="atLeast"/>
        </w:trPr>
        <w:tc>
          <w:tcPr>
            <w:tcW w:w="6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18</w:t>
            </w:r>
          </w:p>
        </w:tc>
        <w:tc>
          <w:tcPr>
            <w:tcW w:w="12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烘干机</w:t>
            </w:r>
          </w:p>
        </w:tc>
        <w:tc>
          <w:tcPr>
            <w:tcW w:w="54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银灰色，双擎热泵式10公斤大容量家用除菌376滚筒干衣机</w:t>
            </w:r>
          </w:p>
        </w:tc>
        <w:tc>
          <w:tcPr>
            <w:tcW w:w="7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台</w:t>
            </w:r>
          </w:p>
        </w:tc>
        <w:tc>
          <w:tcPr>
            <w:tcW w:w="5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w:t>
            </w: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国际交流中心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19</w:t>
            </w:r>
          </w:p>
        </w:tc>
        <w:tc>
          <w:tcPr>
            <w:tcW w:w="12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阳台实木休闲桌椅（茶几），一桌二椅</w:t>
            </w:r>
          </w:p>
        </w:tc>
        <w:tc>
          <w:tcPr>
            <w:tcW w:w="54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drawing>
                <wp:anchor distT="0" distB="0" distL="114300" distR="114300" simplePos="0" relativeHeight="251659264" behindDoc="0" locked="0" layoutInCell="1" allowOverlap="1">
                  <wp:simplePos x="0" y="0"/>
                  <wp:positionH relativeFrom="column">
                    <wp:posOffset>2159635</wp:posOffset>
                  </wp:positionH>
                  <wp:positionV relativeFrom="paragraph">
                    <wp:posOffset>339725</wp:posOffset>
                  </wp:positionV>
                  <wp:extent cx="539750" cy="508635"/>
                  <wp:effectExtent l="0" t="0" r="12700" b="5715"/>
                  <wp:wrapNone/>
                  <wp:docPr id="1" name="图片_1"/>
                  <wp:cNvGraphicFramePr/>
                  <a:graphic xmlns:a="http://schemas.openxmlformats.org/drawingml/2006/main">
                    <a:graphicData uri="http://schemas.openxmlformats.org/drawingml/2006/picture">
                      <pic:pic xmlns:pic="http://schemas.openxmlformats.org/drawingml/2006/picture">
                        <pic:nvPicPr>
                          <pic:cNvPr id="1" name="图片_1"/>
                          <pic:cNvPicPr/>
                        </pic:nvPicPr>
                        <pic:blipFill>
                          <a:blip r:embed="rId14"/>
                          <a:stretch>
                            <a:fillRect/>
                          </a:stretch>
                        </pic:blipFill>
                        <pic:spPr>
                          <a:xfrm>
                            <a:off x="0" y="0"/>
                            <a:ext cx="539750" cy="508635"/>
                          </a:xfrm>
                          <a:prstGeom prst="rect">
                            <a:avLst/>
                          </a:prstGeom>
                          <a:noFill/>
                          <a:ln>
                            <a:noFill/>
                          </a:ln>
                        </pic:spPr>
                      </pic:pic>
                    </a:graphicData>
                  </a:graphic>
                </wp:anchor>
              </w:drawing>
            </w:r>
            <w:r>
              <w:rPr>
                <w:rFonts w:hint="eastAsia" w:ascii="宋体" w:hAnsi="宋体" w:eastAsia="宋体" w:cs="宋体"/>
                <w:color w:val="auto"/>
                <w:sz w:val="24"/>
                <w:szCs w:val="24"/>
                <w:highlight w:val="none"/>
                <w:lang w:val="en-US" w:eastAsia="zh-CN"/>
              </w:rPr>
              <w:t>胡桃木色，圆茶几600x650mm+2把总统椅</w:t>
            </w:r>
          </w:p>
        </w:tc>
        <w:tc>
          <w:tcPr>
            <w:tcW w:w="7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套</w:t>
            </w:r>
          </w:p>
        </w:tc>
        <w:tc>
          <w:tcPr>
            <w:tcW w:w="5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w:t>
            </w: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国际交流中心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60" w:hRule="atLeast"/>
        </w:trPr>
        <w:tc>
          <w:tcPr>
            <w:tcW w:w="6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20</w:t>
            </w:r>
          </w:p>
        </w:tc>
        <w:tc>
          <w:tcPr>
            <w:tcW w:w="12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热水器（备用）</w:t>
            </w:r>
          </w:p>
        </w:tc>
        <w:tc>
          <w:tcPr>
            <w:tcW w:w="54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银灰色，一级能效，微电脑横式，最大容积60L，3300瓦。</w:t>
            </w:r>
          </w:p>
        </w:tc>
        <w:tc>
          <w:tcPr>
            <w:tcW w:w="7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台</w:t>
            </w:r>
          </w:p>
        </w:tc>
        <w:tc>
          <w:tcPr>
            <w:tcW w:w="5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w:t>
            </w: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国际交流中心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21</w:t>
            </w:r>
          </w:p>
        </w:tc>
        <w:tc>
          <w:tcPr>
            <w:tcW w:w="12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乒乓球桌</w:t>
            </w:r>
          </w:p>
        </w:tc>
        <w:tc>
          <w:tcPr>
            <w:tcW w:w="54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台面厚度至少16mm，重量至少84kg，标准尺寸2740*1525*760mm，（赠送1套网架，20个球，2只乒乓球拍）</w:t>
            </w:r>
          </w:p>
        </w:tc>
        <w:tc>
          <w:tcPr>
            <w:tcW w:w="7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套</w:t>
            </w:r>
          </w:p>
        </w:tc>
        <w:tc>
          <w:tcPr>
            <w:tcW w:w="5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w:t>
            </w: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国际交流中心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6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22</w:t>
            </w:r>
          </w:p>
        </w:tc>
        <w:tc>
          <w:tcPr>
            <w:tcW w:w="12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家用多功能一体综合训练器</w:t>
            </w:r>
          </w:p>
        </w:tc>
        <w:tc>
          <w:tcPr>
            <w:tcW w:w="54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深蹲款+80KG包胶玲片【包安装】，50+功能</w:t>
            </w:r>
          </w:p>
        </w:tc>
        <w:tc>
          <w:tcPr>
            <w:tcW w:w="7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套</w:t>
            </w:r>
          </w:p>
        </w:tc>
        <w:tc>
          <w:tcPr>
            <w:tcW w:w="5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w:t>
            </w: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国际交流中心</w:t>
            </w:r>
          </w:p>
        </w:tc>
      </w:tr>
      <w:bookmarkEnd w:id="240"/>
    </w:tbl>
    <w:p>
      <w:pPr>
        <w:pStyle w:val="38"/>
        <w:spacing w:line="480" w:lineRule="exact"/>
        <w:rPr>
          <w:rFonts w:hAnsi="宋体" w:cs="宋体"/>
          <w:b/>
          <w:bCs/>
          <w:color w:val="auto"/>
          <w:kern w:val="2"/>
          <w:szCs w:val="24"/>
          <w:highlight w:val="none"/>
        </w:rPr>
      </w:pPr>
      <w:bookmarkStart w:id="243" w:name="_Toc23476"/>
      <w:bookmarkStart w:id="244" w:name="_Toc68259625"/>
      <w:bookmarkStart w:id="245" w:name="_Toc216582826"/>
      <w:bookmarkStart w:id="246" w:name="_Toc218935355"/>
      <w:bookmarkStart w:id="247" w:name="_Toc219175639"/>
      <w:r>
        <w:rPr>
          <w:rFonts w:hint="eastAsia" w:hAnsi="宋体" w:cs="宋体"/>
          <w:b/>
          <w:bCs/>
          <w:color w:val="auto"/>
          <w:kern w:val="2"/>
          <w:szCs w:val="24"/>
          <w:highlight w:val="none"/>
          <w:lang w:val="en-US" w:eastAsia="zh-CN"/>
        </w:rPr>
        <w:t>三</w:t>
      </w:r>
      <w:r>
        <w:rPr>
          <w:rFonts w:hint="eastAsia" w:hAnsi="宋体" w:cs="宋体"/>
          <w:b/>
          <w:bCs/>
          <w:color w:val="auto"/>
          <w:kern w:val="2"/>
          <w:szCs w:val="24"/>
          <w:highlight w:val="none"/>
        </w:rPr>
        <w:t>、服务要求：</w:t>
      </w:r>
    </w:p>
    <w:p>
      <w:pPr>
        <w:pStyle w:val="38"/>
        <w:spacing w:line="480" w:lineRule="exact"/>
        <w:ind w:firstLine="360" w:firstLineChars="150"/>
        <w:rPr>
          <w:rFonts w:hAnsi="宋体" w:cs="宋体"/>
          <w:color w:val="auto"/>
          <w:kern w:val="2"/>
          <w:szCs w:val="24"/>
          <w:highlight w:val="none"/>
        </w:rPr>
      </w:pPr>
      <w:r>
        <w:rPr>
          <w:rFonts w:hint="eastAsia" w:hAnsi="宋体" w:cs="宋体"/>
          <w:color w:val="auto"/>
          <w:kern w:val="2"/>
          <w:szCs w:val="24"/>
          <w:highlight w:val="none"/>
        </w:rPr>
        <w:t>1、安装和供货：成交人应负责将货物运送到用户指定地点并负责</w:t>
      </w:r>
      <w:r>
        <w:rPr>
          <w:rFonts w:hint="eastAsia" w:ascii="宋体" w:hAnsi="宋体" w:cs="宋体"/>
          <w:color w:val="auto"/>
          <w:sz w:val="24"/>
          <w:szCs w:val="24"/>
          <w:highlight w:val="none"/>
          <w:lang w:eastAsia="zh-CN"/>
        </w:rPr>
        <w:t>公寓设备及家具</w:t>
      </w:r>
      <w:r>
        <w:rPr>
          <w:rFonts w:hint="eastAsia" w:hAnsi="宋体" w:cs="宋体"/>
          <w:color w:val="auto"/>
          <w:kern w:val="2"/>
          <w:szCs w:val="24"/>
          <w:highlight w:val="none"/>
        </w:rPr>
        <w:t xml:space="preserve">安装、调试。安装所需工具及安装材料等均由成交人负责提供。经最终验收合格后，交付采购人使用。 </w:t>
      </w:r>
    </w:p>
    <w:p>
      <w:pPr>
        <w:pStyle w:val="38"/>
        <w:spacing w:line="480" w:lineRule="exact"/>
        <w:ind w:firstLine="360" w:firstLineChars="150"/>
        <w:rPr>
          <w:rFonts w:hAnsi="宋体" w:cs="宋体"/>
          <w:color w:val="auto"/>
          <w:kern w:val="2"/>
          <w:szCs w:val="24"/>
          <w:highlight w:val="none"/>
        </w:rPr>
      </w:pPr>
      <w:r>
        <w:rPr>
          <w:rFonts w:hint="eastAsia" w:hAnsi="宋体" w:cs="宋体"/>
          <w:color w:val="auto"/>
          <w:kern w:val="2"/>
          <w:szCs w:val="24"/>
          <w:highlight w:val="none"/>
          <w:lang w:val="en-US" w:eastAsia="zh-CN"/>
        </w:rPr>
        <w:t>2</w:t>
      </w:r>
      <w:r>
        <w:rPr>
          <w:rFonts w:hint="eastAsia" w:hAnsi="宋体" w:cs="宋体"/>
          <w:color w:val="auto"/>
          <w:kern w:val="2"/>
          <w:szCs w:val="24"/>
          <w:highlight w:val="none"/>
        </w:rPr>
        <w:t>、质量要求及验收标准：达到国家相关质量标准及本项目第4章要求。</w:t>
      </w:r>
      <w:bookmarkStart w:id="248" w:name="_Toc500500994"/>
    </w:p>
    <w:p>
      <w:pPr>
        <w:pStyle w:val="38"/>
        <w:spacing w:line="480" w:lineRule="exact"/>
        <w:ind w:firstLine="360" w:firstLineChars="150"/>
        <w:rPr>
          <w:rFonts w:hAnsi="宋体" w:cs="宋体"/>
          <w:color w:val="auto"/>
          <w:kern w:val="2"/>
          <w:szCs w:val="24"/>
          <w:highlight w:val="none"/>
        </w:rPr>
      </w:pPr>
      <w:r>
        <w:rPr>
          <w:rFonts w:hint="eastAsia" w:hAnsi="宋体" w:cs="宋体"/>
          <w:color w:val="auto"/>
          <w:kern w:val="2"/>
          <w:szCs w:val="24"/>
          <w:highlight w:val="none"/>
          <w:lang w:val="en-US" w:eastAsia="zh-CN"/>
        </w:rPr>
        <w:t>3</w:t>
      </w:r>
      <w:r>
        <w:rPr>
          <w:rFonts w:hint="eastAsia" w:hAnsi="宋体" w:cs="宋体"/>
          <w:color w:val="auto"/>
          <w:kern w:val="2"/>
          <w:szCs w:val="24"/>
          <w:highlight w:val="none"/>
        </w:rPr>
        <w:t>、售后服务：</w:t>
      </w:r>
    </w:p>
    <w:p>
      <w:pPr>
        <w:pStyle w:val="38"/>
        <w:spacing w:line="480" w:lineRule="exact"/>
        <w:ind w:firstLine="360" w:firstLineChars="150"/>
        <w:rPr>
          <w:rFonts w:hAnsi="宋体" w:cs="宋体"/>
          <w:color w:val="auto"/>
          <w:kern w:val="2"/>
          <w:szCs w:val="24"/>
          <w:highlight w:val="none"/>
        </w:rPr>
      </w:pPr>
      <w:r>
        <w:rPr>
          <w:rFonts w:hint="eastAsia" w:hAnsi="宋体" w:cs="宋体"/>
          <w:color w:val="auto"/>
          <w:kern w:val="2"/>
          <w:szCs w:val="24"/>
          <w:highlight w:val="none"/>
        </w:rPr>
        <w:t>（1）供应商应提供完备的售后服务。</w:t>
      </w:r>
    </w:p>
    <w:p>
      <w:pPr>
        <w:pStyle w:val="38"/>
        <w:spacing w:line="480" w:lineRule="exact"/>
        <w:ind w:firstLine="360" w:firstLineChars="150"/>
        <w:rPr>
          <w:rFonts w:hAnsi="宋体" w:cs="宋体"/>
          <w:color w:val="auto"/>
          <w:kern w:val="2"/>
          <w:szCs w:val="24"/>
          <w:highlight w:val="none"/>
        </w:rPr>
      </w:pPr>
      <w:r>
        <w:rPr>
          <w:rFonts w:hint="eastAsia" w:hAnsi="宋体" w:cs="宋体"/>
          <w:color w:val="auto"/>
          <w:kern w:val="2"/>
          <w:szCs w:val="24"/>
          <w:highlight w:val="none"/>
        </w:rPr>
        <w:t>（2）质保期不少于</w:t>
      </w:r>
      <w:r>
        <w:rPr>
          <w:rFonts w:hint="eastAsia" w:hAnsi="宋体" w:cs="宋体"/>
          <w:color w:val="auto"/>
          <w:kern w:val="2"/>
          <w:szCs w:val="24"/>
          <w:highlight w:val="none"/>
          <w:lang w:val="en-US" w:eastAsia="zh-CN"/>
        </w:rPr>
        <w:t>一</w:t>
      </w:r>
      <w:r>
        <w:rPr>
          <w:rFonts w:hint="eastAsia" w:hAnsi="宋体" w:cs="宋体"/>
          <w:color w:val="auto"/>
          <w:kern w:val="2"/>
          <w:szCs w:val="24"/>
          <w:highlight w:val="none"/>
        </w:rPr>
        <w:t>年。质保期计算为自</w:t>
      </w:r>
      <w:r>
        <w:rPr>
          <w:rFonts w:hint="eastAsia" w:hAnsi="宋体" w:cs="宋体"/>
          <w:color w:val="auto"/>
          <w:kern w:val="2"/>
          <w:szCs w:val="24"/>
          <w:highlight w:val="none"/>
          <w:lang w:eastAsia="zh-CN"/>
        </w:rPr>
        <w:t>公寓设备及家具</w:t>
      </w:r>
      <w:r>
        <w:rPr>
          <w:rFonts w:hint="eastAsia" w:hAnsi="宋体" w:cs="宋体"/>
          <w:color w:val="auto"/>
          <w:kern w:val="2"/>
          <w:szCs w:val="24"/>
          <w:highlight w:val="none"/>
        </w:rPr>
        <w:t>供货安装验收合格后起。国家主管部门或者行业标准对货物本身有更高要求的，从其规定并在合同中约定，供应商亦可提报更长的质保期，质保及售后须注明质保主体（原厂或供应商）。</w:t>
      </w:r>
    </w:p>
    <w:p>
      <w:pPr>
        <w:pStyle w:val="38"/>
        <w:spacing w:line="480" w:lineRule="exact"/>
        <w:ind w:firstLine="360" w:firstLineChars="150"/>
        <w:rPr>
          <w:rFonts w:hAnsi="宋体" w:cs="宋体"/>
          <w:color w:val="auto"/>
          <w:szCs w:val="24"/>
          <w:highlight w:val="none"/>
        </w:rPr>
      </w:pPr>
      <w:r>
        <w:rPr>
          <w:rFonts w:hint="eastAsia" w:hAnsi="宋体" w:cs="宋体"/>
          <w:color w:val="auto"/>
          <w:kern w:val="2"/>
          <w:szCs w:val="24"/>
          <w:highlight w:val="none"/>
        </w:rPr>
        <w:t>（3）质保期内免费上</w:t>
      </w:r>
      <w:r>
        <w:rPr>
          <w:rFonts w:hint="eastAsia" w:hAnsi="宋体" w:cs="宋体"/>
          <w:color w:val="auto"/>
          <w:kern w:val="2"/>
          <w:szCs w:val="24"/>
          <w:highlight w:val="none"/>
          <w:lang w:val="en-US" w:eastAsia="zh-CN"/>
        </w:rPr>
        <w:t>门</w:t>
      </w:r>
      <w:r>
        <w:rPr>
          <w:rFonts w:hint="eastAsia" w:hAnsi="宋体" w:cs="宋体"/>
          <w:color w:val="auto"/>
          <w:kern w:val="2"/>
          <w:szCs w:val="24"/>
          <w:highlight w:val="none"/>
        </w:rPr>
        <w:t>服务，</w:t>
      </w:r>
      <w:r>
        <w:rPr>
          <w:rFonts w:hAnsi="宋体" w:cs="宋体"/>
          <w:color w:val="auto"/>
          <w:szCs w:val="24"/>
          <w:highlight w:val="none"/>
        </w:rPr>
        <w:t>提供 7×24小时免费售后服务与支持，出现问题时保证30分钟内电话响应，在2小时内对</w:t>
      </w:r>
      <w:r>
        <w:rPr>
          <w:rFonts w:hint="eastAsia" w:hAnsi="宋体" w:cs="宋体"/>
          <w:color w:val="auto"/>
          <w:szCs w:val="24"/>
          <w:highlight w:val="none"/>
        </w:rPr>
        <w:t>采购</w:t>
      </w:r>
      <w:r>
        <w:rPr>
          <w:rFonts w:hAnsi="宋体" w:cs="宋体"/>
          <w:color w:val="auto"/>
          <w:szCs w:val="24"/>
          <w:highlight w:val="none"/>
        </w:rPr>
        <w:t>人提出的维修要求做出响应并给予解决方案</w:t>
      </w:r>
      <w:r>
        <w:rPr>
          <w:rFonts w:hint="eastAsia" w:hAnsi="宋体" w:cs="宋体"/>
          <w:color w:val="auto"/>
          <w:szCs w:val="24"/>
          <w:highlight w:val="none"/>
        </w:rPr>
        <w:t>并派工程师到达现场，8小时内现场解决故障问题。若未及时解决问题，使用方可采取必要的措施，由此产</w:t>
      </w:r>
      <w:r>
        <w:rPr>
          <w:rFonts w:hint="eastAsia" w:hAnsi="宋体" w:cs="宋体"/>
          <w:color w:val="auto"/>
          <w:szCs w:val="24"/>
          <w:highlight w:val="none"/>
          <w:lang w:eastAsia="zh-CN"/>
        </w:rPr>
        <w:t>生的</w:t>
      </w:r>
      <w:r>
        <w:rPr>
          <w:rFonts w:hint="eastAsia" w:hAnsi="宋体" w:cs="宋体"/>
          <w:color w:val="auto"/>
          <w:szCs w:val="24"/>
          <w:highlight w:val="none"/>
        </w:rPr>
        <w:t>风险和费用应由供货方承担。</w:t>
      </w:r>
    </w:p>
    <w:p>
      <w:pPr>
        <w:pStyle w:val="38"/>
        <w:spacing w:line="480" w:lineRule="exact"/>
        <w:ind w:firstLine="360" w:firstLineChars="150"/>
        <w:rPr>
          <w:rFonts w:hAnsi="宋体" w:cs="宋体"/>
          <w:color w:val="auto"/>
          <w:szCs w:val="24"/>
          <w:highlight w:val="none"/>
        </w:rPr>
      </w:pPr>
      <w:r>
        <w:rPr>
          <w:rFonts w:hint="eastAsia" w:hAnsi="宋体" w:cs="宋体"/>
          <w:color w:val="auto"/>
          <w:szCs w:val="24"/>
          <w:highlight w:val="none"/>
        </w:rPr>
        <w:t>（4）在质保期结束后，成交人必须继续提供对货物的售后服务，仍应按照质保期内承诺提供相关服务，只收取相应的材料费，不收取修理费。</w:t>
      </w:r>
    </w:p>
    <w:p>
      <w:pPr>
        <w:pStyle w:val="38"/>
        <w:spacing w:line="480" w:lineRule="exact"/>
        <w:ind w:firstLine="360" w:firstLineChars="150"/>
        <w:rPr>
          <w:rFonts w:hAnsi="宋体" w:cs="宋体"/>
          <w:color w:val="auto"/>
          <w:szCs w:val="24"/>
          <w:highlight w:val="none"/>
        </w:rPr>
      </w:pPr>
      <w:r>
        <w:rPr>
          <w:rFonts w:hint="eastAsia" w:hAnsi="宋体" w:cs="宋体"/>
          <w:color w:val="auto"/>
          <w:szCs w:val="24"/>
          <w:highlight w:val="none"/>
          <w:lang w:val="en-US" w:eastAsia="zh-CN"/>
        </w:rPr>
        <w:t>4</w:t>
      </w:r>
      <w:r>
        <w:rPr>
          <w:rFonts w:hint="eastAsia" w:hAnsi="宋体" w:cs="宋体"/>
          <w:color w:val="auto"/>
          <w:szCs w:val="24"/>
          <w:highlight w:val="none"/>
        </w:rPr>
        <w:t>、供应商在本项目所使用材料品种、规格和质量应符合国家现行标准。</w:t>
      </w:r>
    </w:p>
    <w:bookmarkEnd w:id="248"/>
    <w:p>
      <w:pPr>
        <w:pStyle w:val="38"/>
        <w:spacing w:line="480" w:lineRule="exact"/>
        <w:rPr>
          <w:rFonts w:hAnsi="宋体" w:cs="宋体"/>
          <w:b/>
          <w:bCs/>
          <w:color w:val="auto"/>
          <w:kern w:val="2"/>
          <w:szCs w:val="24"/>
          <w:highlight w:val="none"/>
        </w:rPr>
      </w:pPr>
      <w:r>
        <w:rPr>
          <w:rFonts w:hint="eastAsia" w:hAnsi="宋体" w:cs="宋体"/>
          <w:b/>
          <w:bCs/>
          <w:color w:val="auto"/>
          <w:kern w:val="2"/>
          <w:szCs w:val="24"/>
          <w:highlight w:val="none"/>
          <w:lang w:val="en-US" w:eastAsia="zh-CN"/>
        </w:rPr>
        <w:t>四</w:t>
      </w:r>
      <w:r>
        <w:rPr>
          <w:rFonts w:hint="eastAsia" w:hAnsi="宋体" w:cs="宋体"/>
          <w:b/>
          <w:bCs/>
          <w:color w:val="auto"/>
          <w:kern w:val="2"/>
          <w:szCs w:val="24"/>
          <w:highlight w:val="none"/>
        </w:rPr>
        <w:t>、其他要求：</w:t>
      </w:r>
    </w:p>
    <w:p>
      <w:pPr>
        <w:pStyle w:val="38"/>
        <w:keepNext w:val="0"/>
        <w:keepLines w:val="0"/>
        <w:pageBreakBefore w:val="0"/>
        <w:widowControl w:val="0"/>
        <w:wordWrap/>
        <w:overflowPunct/>
        <w:autoSpaceDE w:val="0"/>
        <w:autoSpaceDN w:val="0"/>
        <w:bidi w:val="0"/>
        <w:adjustRightInd w:val="0"/>
        <w:spacing w:line="480" w:lineRule="exact"/>
        <w:ind w:firstLine="360" w:firstLineChars="150"/>
        <w:textAlignment w:val="auto"/>
        <w:rPr>
          <w:rFonts w:hAnsi="宋体" w:cs="宋体"/>
          <w:color w:val="auto"/>
          <w:szCs w:val="24"/>
          <w:highlight w:val="none"/>
        </w:rPr>
      </w:pPr>
      <w:r>
        <w:rPr>
          <w:rFonts w:hint="eastAsia" w:hAnsi="宋体" w:cs="宋体"/>
          <w:color w:val="auto"/>
          <w:szCs w:val="24"/>
          <w:highlight w:val="none"/>
        </w:rPr>
        <w:t>1、供应商应保证货物是全新、未使用过的合格产品。并完全符合合同规定的质量、规格和性能的要求。</w:t>
      </w:r>
      <w:r>
        <w:rPr>
          <w:rFonts w:hint="eastAsia" w:hAnsi="宋体" w:cs="宋体"/>
          <w:color w:val="auto"/>
          <w:szCs w:val="24"/>
          <w:highlight w:val="none"/>
          <w:lang w:eastAsia="zh-CN"/>
        </w:rPr>
        <w:t>成交人</w:t>
      </w:r>
      <w:r>
        <w:rPr>
          <w:rFonts w:hint="eastAsia" w:hAnsi="宋体" w:cs="宋体"/>
          <w:color w:val="auto"/>
          <w:szCs w:val="24"/>
          <w:highlight w:val="none"/>
        </w:rPr>
        <w:t>应保证所提供的货物经正确安装、正常运转和保养后，在其使用寿命期内应具有满意的性能。在货物质量保证期内卖方应对由于设计、工艺或者材料的缺陷而发生的任何不足或者故障负责。所投产品应提供详细的技术资料，应有检测报告等详细资料。</w:t>
      </w:r>
    </w:p>
    <w:p>
      <w:pPr>
        <w:pStyle w:val="38"/>
        <w:keepNext w:val="0"/>
        <w:keepLines w:val="0"/>
        <w:pageBreakBefore w:val="0"/>
        <w:widowControl w:val="0"/>
        <w:wordWrap/>
        <w:overflowPunct/>
        <w:autoSpaceDE w:val="0"/>
        <w:autoSpaceDN w:val="0"/>
        <w:bidi w:val="0"/>
        <w:adjustRightInd w:val="0"/>
        <w:spacing w:line="480" w:lineRule="exact"/>
        <w:ind w:firstLine="360" w:firstLineChars="150"/>
        <w:textAlignment w:val="auto"/>
        <w:rPr>
          <w:rFonts w:hAnsi="宋体" w:cs="宋体"/>
          <w:color w:val="auto"/>
          <w:szCs w:val="24"/>
          <w:highlight w:val="none"/>
        </w:rPr>
      </w:pPr>
      <w:r>
        <w:rPr>
          <w:rFonts w:hint="eastAsia" w:hAnsi="宋体" w:cs="宋体"/>
          <w:color w:val="auto"/>
          <w:szCs w:val="24"/>
          <w:highlight w:val="none"/>
        </w:rPr>
        <w:t>2、报价中包含满足采购方上述要求所需的运费、人工、服务费等一切费用，采购方只支付采购货款，不再另外支付其他费用。</w:t>
      </w:r>
    </w:p>
    <w:p>
      <w:pPr>
        <w:keepNext w:val="0"/>
        <w:keepLines w:val="0"/>
        <w:pageBreakBefore w:val="0"/>
        <w:widowControl w:val="0"/>
        <w:kinsoku w:val="0"/>
        <w:wordWrap/>
        <w:overflowPunct/>
        <w:topLinePunct/>
        <w:autoSpaceDE w:val="0"/>
        <w:autoSpaceDN w:val="0"/>
        <w:bidi w:val="0"/>
        <w:adjustRightInd w:val="0"/>
        <w:snapToGrid w:val="0"/>
        <w:spacing w:line="480" w:lineRule="exact"/>
        <w:ind w:firstLine="480" w:firstLineChars="200"/>
        <w:textAlignment w:val="auto"/>
        <w:rPr>
          <w:rFonts w:hint="eastAsia" w:ascii="宋体" w:hAnsi="宋体" w:eastAsia="宋体" w:cs="宋体"/>
          <w:color w:val="auto"/>
          <w:sz w:val="24"/>
          <w:highlight w:val="none"/>
        </w:rPr>
      </w:pPr>
      <w:r>
        <w:rPr>
          <w:rFonts w:hint="eastAsia" w:ascii="宋体" w:hAnsi="宋体" w:cs="宋体"/>
          <w:color w:val="auto"/>
          <w:sz w:val="24"/>
          <w:highlight w:val="none"/>
          <w:lang w:val="en-US" w:eastAsia="zh-CN"/>
        </w:rPr>
        <w:t>3</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成交人</w:t>
      </w:r>
      <w:r>
        <w:rPr>
          <w:rFonts w:hint="eastAsia" w:ascii="宋体" w:hAnsi="宋体" w:eastAsia="宋体" w:cs="宋体"/>
          <w:color w:val="auto"/>
          <w:sz w:val="24"/>
          <w:highlight w:val="none"/>
        </w:rPr>
        <w:t>应遵守现场的一切规章制度，应自行负责现场的安全管理，安全文明安装和调试。</w:t>
      </w:r>
    </w:p>
    <w:p>
      <w:pPr>
        <w:keepNext w:val="0"/>
        <w:keepLines w:val="0"/>
        <w:pageBreakBefore w:val="0"/>
        <w:widowControl w:val="0"/>
        <w:kinsoku w:val="0"/>
        <w:wordWrap/>
        <w:overflowPunct/>
        <w:topLinePunct/>
        <w:autoSpaceDE w:val="0"/>
        <w:autoSpaceDN w:val="0"/>
        <w:bidi w:val="0"/>
        <w:adjustRightInd w:val="0"/>
        <w:snapToGrid w:val="0"/>
        <w:spacing w:line="480" w:lineRule="exact"/>
        <w:ind w:firstLine="480" w:firstLineChars="200"/>
        <w:textAlignment w:val="auto"/>
        <w:rPr>
          <w:rFonts w:hint="eastAsia" w:ascii="宋体" w:hAnsi="宋体" w:eastAsia="宋体" w:cs="宋体"/>
          <w:color w:val="auto"/>
          <w:sz w:val="24"/>
          <w:highlight w:val="none"/>
        </w:rPr>
      </w:pPr>
      <w:r>
        <w:rPr>
          <w:rFonts w:hint="eastAsia" w:ascii="宋体" w:hAnsi="宋体" w:cs="宋体"/>
          <w:color w:val="auto"/>
          <w:sz w:val="24"/>
          <w:highlight w:val="none"/>
          <w:lang w:val="en-US" w:eastAsia="zh-CN"/>
        </w:rPr>
        <w:t>4</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成交人</w:t>
      </w:r>
      <w:r>
        <w:rPr>
          <w:rFonts w:hint="eastAsia" w:ascii="宋体" w:hAnsi="宋体" w:eastAsia="宋体" w:cs="宋体"/>
          <w:color w:val="auto"/>
          <w:sz w:val="24"/>
          <w:highlight w:val="none"/>
        </w:rPr>
        <w:t>应对产品、安装产品</w:t>
      </w:r>
      <w:r>
        <w:rPr>
          <w:rFonts w:hint="eastAsia" w:ascii="宋体" w:hAnsi="宋体" w:cs="宋体"/>
          <w:color w:val="auto"/>
          <w:sz w:val="24"/>
          <w:highlight w:val="none"/>
          <w:lang w:eastAsia="zh-CN"/>
        </w:rPr>
        <w:t>（</w:t>
      </w:r>
      <w:r>
        <w:rPr>
          <w:rFonts w:hint="eastAsia" w:ascii="宋体" w:hAnsi="宋体" w:eastAsia="宋体" w:cs="宋体"/>
          <w:color w:val="auto"/>
          <w:sz w:val="24"/>
          <w:highlight w:val="none"/>
        </w:rPr>
        <w:t>工具</w:t>
      </w:r>
      <w:r>
        <w:rPr>
          <w:rFonts w:hint="eastAsia" w:ascii="宋体" w:hAnsi="宋体" w:cs="宋体"/>
          <w:color w:val="auto"/>
          <w:sz w:val="24"/>
          <w:highlight w:val="none"/>
          <w:lang w:eastAsia="zh-CN"/>
        </w:rPr>
        <w:t>）</w:t>
      </w:r>
      <w:r>
        <w:rPr>
          <w:rFonts w:hint="eastAsia" w:ascii="宋体" w:hAnsi="宋体" w:eastAsia="宋体" w:cs="宋体"/>
          <w:color w:val="auto"/>
          <w:sz w:val="24"/>
          <w:highlight w:val="none"/>
        </w:rPr>
        <w:t>等提供适当的保护、包装或覆盖等处理，以免受损。</w:t>
      </w:r>
    </w:p>
    <w:p>
      <w:pPr>
        <w:keepNext w:val="0"/>
        <w:keepLines w:val="0"/>
        <w:pageBreakBefore w:val="0"/>
        <w:widowControl w:val="0"/>
        <w:kinsoku w:val="0"/>
        <w:wordWrap/>
        <w:overflowPunct/>
        <w:topLinePunct/>
        <w:autoSpaceDE w:val="0"/>
        <w:autoSpaceDN w:val="0"/>
        <w:bidi w:val="0"/>
        <w:adjustRightInd w:val="0"/>
        <w:snapToGrid w:val="0"/>
        <w:spacing w:line="480" w:lineRule="exact"/>
        <w:ind w:firstLine="480" w:firstLineChars="200"/>
        <w:textAlignment w:val="auto"/>
        <w:rPr>
          <w:rFonts w:hint="eastAsia" w:ascii="宋体" w:hAnsi="宋体" w:eastAsia="宋体" w:cs="宋体"/>
          <w:color w:val="auto"/>
          <w:sz w:val="24"/>
          <w:highlight w:val="none"/>
        </w:rPr>
      </w:pPr>
      <w:r>
        <w:rPr>
          <w:rFonts w:hint="eastAsia" w:ascii="宋体" w:hAnsi="宋体" w:cs="宋体"/>
          <w:color w:val="auto"/>
          <w:sz w:val="24"/>
          <w:highlight w:val="none"/>
          <w:lang w:val="en-US" w:eastAsia="zh-CN"/>
        </w:rPr>
        <w:t>5</w:t>
      </w:r>
      <w:r>
        <w:rPr>
          <w:rFonts w:hint="eastAsia" w:ascii="宋体" w:hAnsi="宋体" w:eastAsia="宋体" w:cs="宋体"/>
          <w:color w:val="auto"/>
          <w:sz w:val="24"/>
          <w:highlight w:val="none"/>
        </w:rPr>
        <w:t>、无论安装调试期间或保修过程中，</w:t>
      </w:r>
      <w:r>
        <w:rPr>
          <w:rFonts w:hint="eastAsia" w:ascii="宋体" w:hAnsi="宋体" w:eastAsia="宋体" w:cs="宋体"/>
          <w:color w:val="auto"/>
          <w:sz w:val="24"/>
          <w:highlight w:val="none"/>
          <w:lang w:val="en-US" w:eastAsia="zh-CN"/>
        </w:rPr>
        <w:t>成交人</w:t>
      </w:r>
      <w:r>
        <w:rPr>
          <w:rFonts w:hint="eastAsia" w:ascii="宋体" w:hAnsi="宋体" w:eastAsia="宋体" w:cs="宋体"/>
          <w:color w:val="auto"/>
          <w:sz w:val="24"/>
          <w:highlight w:val="none"/>
        </w:rPr>
        <w:t>负责及时对安装现场进行清理。</w:t>
      </w:r>
    </w:p>
    <w:p>
      <w:pPr>
        <w:keepNext w:val="0"/>
        <w:keepLines w:val="0"/>
        <w:pageBreakBefore w:val="0"/>
        <w:widowControl w:val="0"/>
        <w:kinsoku w:val="0"/>
        <w:wordWrap/>
        <w:overflowPunct/>
        <w:topLinePunct/>
        <w:autoSpaceDE w:val="0"/>
        <w:autoSpaceDN w:val="0"/>
        <w:bidi w:val="0"/>
        <w:adjustRightInd w:val="0"/>
        <w:snapToGrid w:val="0"/>
        <w:spacing w:line="480" w:lineRule="exact"/>
        <w:ind w:firstLine="480" w:firstLineChars="200"/>
        <w:textAlignment w:val="auto"/>
        <w:rPr>
          <w:rFonts w:hint="eastAsia" w:ascii="宋体" w:hAnsi="宋体" w:eastAsia="宋体" w:cs="宋体"/>
          <w:color w:val="auto"/>
          <w:sz w:val="24"/>
          <w:highlight w:val="none"/>
        </w:rPr>
      </w:pPr>
      <w:r>
        <w:rPr>
          <w:rFonts w:hint="eastAsia" w:ascii="宋体" w:hAnsi="宋体" w:cs="宋体"/>
          <w:color w:val="auto"/>
          <w:sz w:val="24"/>
          <w:highlight w:val="none"/>
          <w:lang w:val="en-US" w:eastAsia="zh-CN"/>
        </w:rPr>
        <w:t>6</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成交人</w:t>
      </w:r>
      <w:r>
        <w:rPr>
          <w:rFonts w:hint="eastAsia" w:ascii="宋体" w:hAnsi="宋体" w:eastAsia="宋体" w:cs="宋体"/>
          <w:color w:val="auto"/>
          <w:sz w:val="24"/>
          <w:highlight w:val="none"/>
        </w:rPr>
        <w:t>承担安装调试期间安装场所的安全以及产品和安装调试人员的安全责任。</w:t>
      </w:r>
    </w:p>
    <w:p>
      <w:pPr>
        <w:widowControl/>
        <w:ind w:firstLine="420" w:firstLineChars="200"/>
        <w:jc w:val="left"/>
        <w:rPr>
          <w:rFonts w:hint="eastAsia" w:ascii="宋体" w:hAnsi="宋体" w:eastAsia="宋体" w:cs="宋体"/>
          <w:b/>
          <w:color w:val="auto"/>
          <w:kern w:val="44"/>
          <w:sz w:val="32"/>
          <w:szCs w:val="20"/>
          <w:highlight w:val="none"/>
        </w:rPr>
      </w:pPr>
      <w:r>
        <w:rPr>
          <w:rFonts w:hint="eastAsia" w:ascii="宋体" w:hAnsi="宋体" w:eastAsia="宋体" w:cs="宋体"/>
          <w:color w:val="auto"/>
          <w:highlight w:val="none"/>
        </w:rPr>
        <w:br w:type="page"/>
      </w:r>
    </w:p>
    <w:p>
      <w:pPr>
        <w:rPr>
          <w:rFonts w:hint="eastAsia" w:ascii="宋体" w:hAnsi="宋体" w:eastAsia="宋体" w:cs="宋体"/>
          <w:color w:val="auto"/>
          <w:highlight w:val="none"/>
        </w:rPr>
        <w:sectPr>
          <w:headerReference r:id="rId11" w:type="default"/>
          <w:footerReference r:id="rId12" w:type="default"/>
          <w:pgSz w:w="11906" w:h="16838"/>
          <w:pgMar w:top="1440" w:right="1797" w:bottom="1440" w:left="1797" w:header="851" w:footer="992" w:gutter="0"/>
          <w:pgBorders>
            <w:top w:val="none" w:sz="0" w:space="0"/>
            <w:left w:val="none" w:sz="0" w:space="0"/>
            <w:bottom w:val="none" w:sz="0" w:space="0"/>
            <w:right w:val="none" w:sz="0" w:space="0"/>
          </w:pgBorders>
          <w:cols w:space="720" w:num="1"/>
          <w:docGrid w:linePitch="312" w:charSpace="0"/>
        </w:sectPr>
      </w:pPr>
    </w:p>
    <w:p>
      <w:pPr>
        <w:pStyle w:val="3"/>
        <w:tabs>
          <w:tab w:val="left" w:pos="0"/>
        </w:tabs>
        <w:spacing w:before="0" w:after="0" w:line="480" w:lineRule="exact"/>
        <w:ind w:firstLine="2249" w:firstLineChars="700"/>
        <w:jc w:val="both"/>
        <w:rPr>
          <w:rFonts w:hint="eastAsia" w:ascii="宋体" w:hAnsi="宋体" w:eastAsia="宋体" w:cs="宋体"/>
          <w:color w:val="auto"/>
          <w:highlight w:val="none"/>
        </w:rPr>
      </w:pPr>
      <w:r>
        <w:rPr>
          <w:rFonts w:hint="eastAsia" w:ascii="宋体" w:hAnsi="宋体" w:eastAsia="宋体" w:cs="宋体"/>
          <w:color w:val="auto"/>
          <w:highlight w:val="none"/>
        </w:rPr>
        <w:t xml:space="preserve">第5章  </w:t>
      </w:r>
      <w:bookmarkStart w:id="249" w:name="_Toc515647832"/>
      <w:bookmarkStart w:id="250" w:name="_Toc4766816"/>
      <w:bookmarkStart w:id="251" w:name="_Toc32647"/>
      <w:bookmarkStart w:id="252" w:name="_Toc7971"/>
      <w:bookmarkStart w:id="253" w:name="_Toc507399907"/>
      <w:r>
        <w:rPr>
          <w:rFonts w:hint="eastAsia" w:ascii="宋体" w:hAnsi="宋体" w:eastAsia="宋体" w:cs="宋体"/>
          <w:color w:val="auto"/>
          <w:highlight w:val="none"/>
        </w:rPr>
        <w:t>评审方法和标准</w:t>
      </w:r>
      <w:bookmarkEnd w:id="243"/>
      <w:bookmarkEnd w:id="244"/>
      <w:bookmarkEnd w:id="245"/>
      <w:bookmarkEnd w:id="246"/>
      <w:bookmarkEnd w:id="247"/>
      <w:bookmarkEnd w:id="249"/>
      <w:bookmarkEnd w:id="250"/>
      <w:bookmarkEnd w:id="251"/>
      <w:bookmarkEnd w:id="252"/>
      <w:bookmarkEnd w:id="253"/>
    </w:p>
    <w:p>
      <w:pPr>
        <w:pStyle w:val="10"/>
        <w:tabs>
          <w:tab w:val="clear" w:pos="567"/>
        </w:tabs>
        <w:spacing w:before="0" w:line="480" w:lineRule="exact"/>
        <w:ind w:firstLine="540" w:firstLineChars="225"/>
        <w:rPr>
          <w:rFonts w:hint="eastAsia" w:ascii="宋体" w:hAnsi="宋体" w:eastAsia="宋体" w:cs="宋体"/>
          <w:color w:val="auto"/>
          <w:highlight w:val="none"/>
        </w:rPr>
      </w:pPr>
    </w:p>
    <w:p>
      <w:pPr>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本项目将按照竞争性磋商文件第一章供应商须知中“五 提交响应文件截止及磋商</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六 确定成交”及本章的规定评审。</w:t>
      </w:r>
    </w:p>
    <w:p>
      <w:pPr>
        <w:pStyle w:val="10"/>
        <w:tabs>
          <w:tab w:val="clear" w:pos="567"/>
        </w:tabs>
        <w:spacing w:before="0" w:line="480" w:lineRule="exact"/>
        <w:ind w:firstLine="540" w:firstLineChars="225"/>
        <w:rPr>
          <w:rFonts w:hint="eastAsia" w:ascii="宋体" w:hAnsi="宋体" w:eastAsia="宋体" w:cs="宋体"/>
          <w:color w:val="auto"/>
          <w:highlight w:val="none"/>
        </w:rPr>
      </w:pPr>
      <w:r>
        <w:rPr>
          <w:rFonts w:hint="eastAsia" w:ascii="宋体" w:hAnsi="宋体" w:eastAsia="宋体" w:cs="宋体"/>
          <w:color w:val="auto"/>
          <w:highlight w:val="none"/>
        </w:rPr>
        <w:t>本次评审采用综合评分法，将依据供应商响应文件对其业绩、服务方案、价格等各项因素进行评价，综合评选出最佳报价方案。每一供应商的最终得分为所有评委评分的算术平均值。评审结果按评审得分由高到低顺序排列。得分相同的，按最后报价由低到高顺序排列。得分且最后报价相同的，按技术指标优劣由高到低顺序排列。</w:t>
      </w:r>
      <w:bookmarkStart w:id="254" w:name="percentDesc"/>
      <w:bookmarkEnd w:id="254"/>
    </w:p>
    <w:p>
      <w:pPr>
        <w:pStyle w:val="4"/>
        <w:bidi w:val="0"/>
        <w:rPr>
          <w:rFonts w:hint="eastAsia" w:ascii="宋体" w:hAnsi="宋体" w:eastAsia="宋体" w:cs="宋体"/>
          <w:color w:val="auto"/>
          <w:highlight w:val="none"/>
        </w:rPr>
      </w:pPr>
      <w:bookmarkStart w:id="255" w:name="_Toc46238261"/>
      <w:bookmarkStart w:id="256" w:name="_Toc45562497"/>
      <w:bookmarkStart w:id="257" w:name="_Toc499"/>
      <w:bookmarkStart w:id="258" w:name="_Toc46136844"/>
      <w:bookmarkStart w:id="259" w:name="_Toc68259626"/>
      <w:r>
        <w:rPr>
          <w:rFonts w:hint="eastAsia" w:ascii="宋体" w:hAnsi="宋体" w:eastAsia="宋体" w:cs="宋体"/>
          <w:color w:val="auto"/>
          <w:highlight w:val="none"/>
        </w:rPr>
        <w:t>（一）初步评审</w:t>
      </w:r>
      <w:bookmarkEnd w:id="255"/>
      <w:bookmarkEnd w:id="256"/>
      <w:bookmarkEnd w:id="257"/>
      <w:bookmarkEnd w:id="258"/>
      <w:bookmarkEnd w:id="259"/>
    </w:p>
    <w:tbl>
      <w:tblPr>
        <w:tblStyle w:val="30"/>
        <w:tblW w:w="9678" w:type="dxa"/>
        <w:jc w:val="center"/>
        <w:tblLayout w:type="fixed"/>
        <w:tblCellMar>
          <w:top w:w="0" w:type="dxa"/>
          <w:left w:w="0" w:type="dxa"/>
          <w:bottom w:w="0" w:type="dxa"/>
          <w:right w:w="0" w:type="dxa"/>
        </w:tblCellMar>
      </w:tblPr>
      <w:tblGrid>
        <w:gridCol w:w="825"/>
        <w:gridCol w:w="527"/>
        <w:gridCol w:w="6157"/>
        <w:gridCol w:w="2169"/>
      </w:tblGrid>
      <w:tr>
        <w:tblPrEx>
          <w:tblCellMar>
            <w:top w:w="0" w:type="dxa"/>
            <w:left w:w="0" w:type="dxa"/>
            <w:bottom w:w="0" w:type="dxa"/>
            <w:right w:w="0" w:type="dxa"/>
          </w:tblCellMar>
        </w:tblPrEx>
        <w:trPr>
          <w:trHeight w:val="567" w:hRule="exact"/>
          <w:jc w:val="center"/>
        </w:trPr>
        <w:tc>
          <w:tcPr>
            <w:tcW w:w="825"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position w:val="-2"/>
                <w:sz w:val="24"/>
                <w:highlight w:val="none"/>
                <w:lang w:eastAsia="en-US"/>
              </w:rPr>
              <w:t>评审</w:t>
            </w:r>
          </w:p>
          <w:p>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position w:val="-3"/>
                <w:sz w:val="24"/>
                <w:highlight w:val="none"/>
                <w:lang w:eastAsia="en-US"/>
              </w:rPr>
              <w:t>方式</w:t>
            </w:r>
          </w:p>
        </w:tc>
        <w:tc>
          <w:tcPr>
            <w:tcW w:w="52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position w:val="-2"/>
                <w:sz w:val="24"/>
                <w:highlight w:val="none"/>
                <w:lang w:eastAsia="en-US"/>
              </w:rPr>
              <w:t>序</w:t>
            </w:r>
          </w:p>
          <w:p>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position w:val="-3"/>
                <w:sz w:val="24"/>
                <w:highlight w:val="none"/>
                <w:lang w:eastAsia="en-US"/>
              </w:rPr>
              <w:t>号</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ind w:left="142" w:hanging="141" w:hangingChars="59"/>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sz w:val="24"/>
                <w:highlight w:val="none"/>
                <w:lang w:eastAsia="en-US"/>
              </w:rPr>
              <w:t>评审因素</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position w:val="-2"/>
                <w:sz w:val="24"/>
                <w:highlight w:val="none"/>
              </w:rPr>
              <w:t>是否符合</w:t>
            </w:r>
          </w:p>
        </w:tc>
      </w:tr>
      <w:tr>
        <w:tblPrEx>
          <w:tblCellMar>
            <w:top w:w="0" w:type="dxa"/>
            <w:left w:w="0" w:type="dxa"/>
            <w:bottom w:w="0" w:type="dxa"/>
            <w:right w:w="0" w:type="dxa"/>
          </w:tblCellMar>
        </w:tblPrEx>
        <w:trPr>
          <w:trHeight w:val="567" w:hRule="exact"/>
          <w:jc w:val="center"/>
        </w:trPr>
        <w:tc>
          <w:tcPr>
            <w:tcW w:w="825" w:type="dxa"/>
            <w:vMerge w:val="restart"/>
            <w:tcBorders>
              <w:top w:val="single" w:color="000000" w:sz="2" w:space="0"/>
              <w:left w:val="single" w:color="000000" w:sz="2" w:space="0"/>
              <w:bottom w:val="nil"/>
              <w:right w:val="single" w:color="000000" w:sz="2" w:space="0"/>
            </w:tcBorders>
            <w:noWrap w:val="0"/>
            <w:vAlign w:val="center"/>
          </w:tcPr>
          <w:p>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sz w:val="24"/>
                <w:highlight w:val="none"/>
                <w:lang w:eastAsia="en-US"/>
              </w:rPr>
              <w:t>资格评审</w:t>
            </w:r>
          </w:p>
        </w:tc>
        <w:tc>
          <w:tcPr>
            <w:tcW w:w="52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position w:val="-2"/>
                <w:sz w:val="24"/>
                <w:highlight w:val="none"/>
                <w:lang w:eastAsia="en-US"/>
              </w:rPr>
              <w:t>1</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ind w:left="216" w:leftChars="103"/>
              <w:jc w:val="left"/>
              <w:rPr>
                <w:rFonts w:hint="eastAsia" w:ascii="宋体" w:hAnsi="宋体" w:eastAsia="宋体" w:cs="宋体"/>
                <w:color w:val="auto"/>
                <w:kern w:val="0"/>
                <w:position w:val="-2"/>
                <w:sz w:val="24"/>
                <w:highlight w:val="none"/>
              </w:rPr>
            </w:pPr>
            <w:r>
              <w:rPr>
                <w:rFonts w:hint="eastAsia" w:ascii="宋体" w:hAnsi="宋体" w:eastAsia="宋体" w:cs="宋体"/>
                <w:color w:val="auto"/>
                <w:kern w:val="0"/>
                <w:position w:val="-2"/>
                <w:sz w:val="24"/>
                <w:highlight w:val="none"/>
              </w:rPr>
              <w:t>以竞争性磋商文件规定的方式获取竞争性磋商文件</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是否在规定时间内获取</w:t>
            </w:r>
          </w:p>
        </w:tc>
      </w:tr>
      <w:tr>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nil"/>
              <w:right w:val="single" w:color="000000" w:sz="2" w:space="0"/>
            </w:tcBorders>
            <w:noWrap w:val="0"/>
            <w:vAlign w:val="center"/>
          </w:tcPr>
          <w:p>
            <w:pPr>
              <w:widowControl/>
              <w:spacing w:line="480" w:lineRule="exact"/>
              <w:jc w:val="center"/>
              <w:rPr>
                <w:rFonts w:hint="eastAsia" w:ascii="宋体" w:hAnsi="宋体" w:eastAsia="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position w:val="-2"/>
                <w:sz w:val="24"/>
                <w:highlight w:val="none"/>
                <w:lang w:eastAsia="en-US"/>
              </w:rPr>
              <w:t>2</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ind w:left="216" w:leftChars="103"/>
              <w:jc w:val="left"/>
              <w:rPr>
                <w:rFonts w:hint="eastAsia" w:ascii="宋体" w:hAnsi="宋体" w:eastAsia="宋体" w:cs="宋体"/>
                <w:color w:val="auto"/>
                <w:kern w:val="0"/>
                <w:position w:val="-2"/>
                <w:sz w:val="24"/>
                <w:highlight w:val="none"/>
              </w:rPr>
            </w:pPr>
            <w:r>
              <w:rPr>
                <w:rFonts w:hint="eastAsia" w:ascii="宋体" w:hAnsi="宋体" w:eastAsia="宋体" w:cs="宋体"/>
                <w:color w:val="auto"/>
                <w:kern w:val="0"/>
                <w:position w:val="-2"/>
                <w:sz w:val="24"/>
                <w:highlight w:val="none"/>
              </w:rPr>
              <w:t>在中华人民共和国境内注册</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注册地是否符合</w:t>
            </w:r>
          </w:p>
        </w:tc>
      </w:tr>
      <w:tr>
        <w:tblPrEx>
          <w:tblCellMar>
            <w:top w:w="0" w:type="dxa"/>
            <w:left w:w="0" w:type="dxa"/>
            <w:bottom w:w="0" w:type="dxa"/>
            <w:right w:w="0" w:type="dxa"/>
          </w:tblCellMar>
        </w:tblPrEx>
        <w:trPr>
          <w:trHeight w:val="439" w:hRule="exact"/>
          <w:jc w:val="center"/>
        </w:trPr>
        <w:tc>
          <w:tcPr>
            <w:tcW w:w="825" w:type="dxa"/>
            <w:vMerge w:val="continue"/>
            <w:tcBorders>
              <w:top w:val="single" w:color="000000" w:sz="2" w:space="0"/>
              <w:left w:val="single" w:color="000000" w:sz="2" w:space="0"/>
              <w:bottom w:val="nil"/>
              <w:right w:val="single" w:color="000000" w:sz="2" w:space="0"/>
            </w:tcBorders>
            <w:noWrap w:val="0"/>
            <w:vAlign w:val="center"/>
          </w:tcPr>
          <w:p>
            <w:pPr>
              <w:widowControl/>
              <w:spacing w:line="480" w:lineRule="exact"/>
              <w:jc w:val="center"/>
              <w:rPr>
                <w:rFonts w:hint="eastAsia" w:ascii="宋体" w:hAnsi="宋体" w:eastAsia="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position w:val="-2"/>
                <w:sz w:val="24"/>
                <w:highlight w:val="none"/>
                <w:lang w:eastAsia="en-US"/>
              </w:rPr>
              <w:t>3</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ind w:left="216" w:leftChars="103"/>
              <w:jc w:val="left"/>
              <w:rPr>
                <w:rFonts w:hint="eastAsia" w:ascii="宋体" w:hAnsi="宋体" w:eastAsia="宋体" w:cs="宋体"/>
                <w:color w:val="auto"/>
                <w:kern w:val="0"/>
                <w:position w:val="-2"/>
                <w:sz w:val="24"/>
                <w:highlight w:val="none"/>
                <w:lang w:val="en-US" w:eastAsia="zh-CN"/>
              </w:rPr>
            </w:pPr>
            <w:r>
              <w:rPr>
                <w:rFonts w:hint="eastAsia" w:ascii="宋体" w:hAnsi="宋体" w:eastAsia="宋体" w:cs="宋体"/>
                <w:color w:val="auto"/>
                <w:kern w:val="0"/>
                <w:position w:val="-2"/>
                <w:sz w:val="24"/>
                <w:highlight w:val="none"/>
              </w:rPr>
              <w:t>营业执照副本</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是否按要求提供</w:t>
            </w:r>
          </w:p>
        </w:tc>
      </w:tr>
      <w:tr>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nil"/>
              <w:right w:val="single" w:color="000000" w:sz="2" w:space="0"/>
            </w:tcBorders>
            <w:noWrap w:val="0"/>
            <w:vAlign w:val="center"/>
          </w:tcPr>
          <w:p>
            <w:pPr>
              <w:widowControl/>
              <w:spacing w:line="480" w:lineRule="exact"/>
              <w:jc w:val="center"/>
              <w:rPr>
                <w:rFonts w:hint="eastAsia" w:ascii="宋体" w:hAnsi="宋体" w:eastAsia="宋体" w:cs="宋体"/>
                <w:color w:val="auto"/>
                <w:kern w:val="0"/>
                <w:sz w:val="24"/>
                <w:highlight w:val="none"/>
                <w:lang w:eastAsia="en-US"/>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position w:val="-2"/>
                <w:sz w:val="24"/>
                <w:highlight w:val="none"/>
                <w:lang w:eastAsia="en-US"/>
              </w:rPr>
              <w:t>4</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ind w:left="216" w:leftChars="103"/>
              <w:jc w:val="left"/>
              <w:rPr>
                <w:rFonts w:hint="eastAsia" w:ascii="宋体" w:hAnsi="宋体" w:eastAsia="宋体" w:cs="宋体"/>
                <w:color w:val="auto"/>
                <w:kern w:val="0"/>
                <w:position w:val="-2"/>
                <w:sz w:val="24"/>
                <w:highlight w:val="none"/>
              </w:rPr>
            </w:pPr>
            <w:r>
              <w:rPr>
                <w:rFonts w:hint="eastAsia" w:ascii="宋体" w:hAnsi="宋体" w:eastAsia="宋体" w:cs="宋体"/>
                <w:color w:val="auto"/>
                <w:kern w:val="0"/>
                <w:position w:val="-2"/>
                <w:sz w:val="24"/>
                <w:highlight w:val="none"/>
              </w:rPr>
              <w:t>法定代表人/负责人身份证明书或法定代表人/负责人授权委托书</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格式及内容是否完整</w:t>
            </w:r>
          </w:p>
        </w:tc>
      </w:tr>
      <w:tr>
        <w:tblPrEx>
          <w:tblCellMar>
            <w:top w:w="0" w:type="dxa"/>
            <w:left w:w="0" w:type="dxa"/>
            <w:bottom w:w="0" w:type="dxa"/>
            <w:right w:w="0" w:type="dxa"/>
          </w:tblCellMar>
        </w:tblPrEx>
        <w:trPr>
          <w:trHeight w:val="624" w:hRule="exact"/>
          <w:jc w:val="center"/>
        </w:trPr>
        <w:tc>
          <w:tcPr>
            <w:tcW w:w="825" w:type="dxa"/>
            <w:vMerge w:val="continue"/>
            <w:tcBorders>
              <w:top w:val="single" w:color="000000" w:sz="2" w:space="0"/>
              <w:left w:val="single" w:color="000000" w:sz="2" w:space="0"/>
              <w:bottom w:val="nil"/>
              <w:right w:val="single" w:color="000000" w:sz="2" w:space="0"/>
            </w:tcBorders>
            <w:noWrap w:val="0"/>
            <w:vAlign w:val="center"/>
          </w:tcPr>
          <w:p>
            <w:pPr>
              <w:widowControl/>
              <w:spacing w:line="480" w:lineRule="exact"/>
              <w:jc w:val="center"/>
              <w:rPr>
                <w:rFonts w:hint="eastAsia" w:ascii="宋体" w:hAnsi="宋体" w:eastAsia="宋体" w:cs="宋体"/>
                <w:color w:val="auto"/>
                <w:kern w:val="0"/>
                <w:sz w:val="24"/>
                <w:highlight w:val="none"/>
                <w:lang w:eastAsia="en-US"/>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kern w:val="0"/>
                <w:position w:val="-2"/>
                <w:sz w:val="24"/>
                <w:highlight w:val="none"/>
              </w:rPr>
            </w:pPr>
            <w:r>
              <w:rPr>
                <w:rFonts w:hint="eastAsia" w:ascii="宋体" w:hAnsi="宋体" w:eastAsia="宋体" w:cs="宋体"/>
                <w:color w:val="auto"/>
                <w:kern w:val="0"/>
                <w:position w:val="-2"/>
                <w:sz w:val="24"/>
                <w:highlight w:val="none"/>
              </w:rPr>
              <w:t>5</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ind w:left="216" w:leftChars="103"/>
              <w:jc w:val="left"/>
              <w:rPr>
                <w:rFonts w:hint="eastAsia" w:ascii="宋体" w:hAnsi="宋体" w:eastAsia="宋体" w:cs="宋体"/>
                <w:color w:val="auto"/>
                <w:kern w:val="0"/>
                <w:position w:val="-2"/>
                <w:sz w:val="24"/>
                <w:highlight w:val="none"/>
                <w:lang w:val="en-US" w:eastAsia="zh-CN"/>
              </w:rPr>
            </w:pPr>
            <w:r>
              <w:rPr>
                <w:rFonts w:hint="eastAsia" w:ascii="宋体" w:hAnsi="宋体" w:eastAsia="宋体" w:cs="宋体"/>
                <w:color w:val="auto"/>
                <w:kern w:val="0"/>
                <w:position w:val="-2"/>
                <w:sz w:val="24"/>
                <w:highlight w:val="none"/>
              </w:rPr>
              <w:t>具有良好的商业信誉和健全的财务会计制度的</w:t>
            </w:r>
            <w:r>
              <w:rPr>
                <w:rFonts w:hint="eastAsia" w:ascii="宋体" w:hAnsi="宋体" w:eastAsia="宋体" w:cs="宋体"/>
                <w:color w:val="auto"/>
                <w:kern w:val="0"/>
                <w:position w:val="-2"/>
                <w:sz w:val="24"/>
                <w:highlight w:val="none"/>
                <w:lang w:val="en-US" w:eastAsia="zh-CN"/>
              </w:rPr>
              <w:t>证明材料</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是否按要求提供</w:t>
            </w:r>
          </w:p>
        </w:tc>
      </w:tr>
      <w:tr>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nil"/>
              <w:right w:val="single" w:color="000000" w:sz="2" w:space="0"/>
            </w:tcBorders>
            <w:noWrap w:val="0"/>
            <w:vAlign w:val="center"/>
          </w:tcPr>
          <w:p>
            <w:pPr>
              <w:widowControl/>
              <w:spacing w:line="480" w:lineRule="exact"/>
              <w:jc w:val="center"/>
              <w:rPr>
                <w:rFonts w:hint="eastAsia" w:ascii="宋体" w:hAnsi="宋体" w:eastAsia="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position w:val="-2"/>
                <w:sz w:val="24"/>
                <w:highlight w:val="none"/>
              </w:rPr>
              <w:t>6</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ind w:left="216" w:leftChars="103"/>
              <w:jc w:val="left"/>
              <w:rPr>
                <w:rFonts w:hint="eastAsia" w:ascii="宋体" w:hAnsi="宋体" w:eastAsia="宋体" w:cs="宋体"/>
                <w:color w:val="auto"/>
                <w:kern w:val="0"/>
                <w:position w:val="-2"/>
                <w:sz w:val="24"/>
                <w:highlight w:val="none"/>
              </w:rPr>
            </w:pPr>
            <w:r>
              <w:rPr>
                <w:rFonts w:hint="eastAsia" w:ascii="宋体" w:hAnsi="宋体" w:eastAsia="宋体" w:cs="宋体"/>
                <w:color w:val="auto"/>
                <w:kern w:val="0"/>
                <w:position w:val="-2"/>
                <w:sz w:val="24"/>
                <w:highlight w:val="none"/>
              </w:rPr>
              <w:t>依法缴纳税收和社会保障资金承诺函</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是否按要求提供</w:t>
            </w:r>
          </w:p>
        </w:tc>
      </w:tr>
      <w:tr>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nil"/>
              <w:right w:val="single" w:color="000000" w:sz="2" w:space="0"/>
            </w:tcBorders>
            <w:noWrap w:val="0"/>
            <w:vAlign w:val="center"/>
          </w:tcPr>
          <w:p>
            <w:pPr>
              <w:widowControl/>
              <w:spacing w:line="480" w:lineRule="exact"/>
              <w:jc w:val="center"/>
              <w:rPr>
                <w:rFonts w:hint="eastAsia" w:ascii="宋体" w:hAnsi="宋体" w:eastAsia="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position w:val="-2"/>
                <w:sz w:val="24"/>
                <w:highlight w:val="none"/>
              </w:rPr>
              <w:t>7</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ind w:left="216" w:leftChars="103"/>
              <w:jc w:val="left"/>
              <w:rPr>
                <w:rFonts w:hint="eastAsia" w:ascii="宋体" w:hAnsi="宋体" w:eastAsia="宋体" w:cs="宋体"/>
                <w:color w:val="auto"/>
                <w:kern w:val="0"/>
                <w:position w:val="-2"/>
                <w:sz w:val="24"/>
                <w:highlight w:val="none"/>
              </w:rPr>
            </w:pPr>
            <w:r>
              <w:rPr>
                <w:rFonts w:hint="eastAsia" w:ascii="宋体" w:hAnsi="宋体" w:eastAsia="宋体" w:cs="宋体"/>
                <w:color w:val="auto"/>
                <w:kern w:val="0"/>
                <w:position w:val="-2"/>
                <w:sz w:val="24"/>
                <w:highlight w:val="none"/>
              </w:rPr>
              <w:t>无重大违法记录的书面声明</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是否按要求提供</w:t>
            </w:r>
          </w:p>
        </w:tc>
      </w:tr>
      <w:tr>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nil"/>
              <w:right w:val="single" w:color="000000" w:sz="2" w:space="0"/>
            </w:tcBorders>
            <w:noWrap w:val="0"/>
            <w:vAlign w:val="center"/>
          </w:tcPr>
          <w:p>
            <w:pPr>
              <w:widowControl/>
              <w:spacing w:line="480" w:lineRule="exact"/>
              <w:jc w:val="center"/>
              <w:rPr>
                <w:rFonts w:hint="eastAsia" w:ascii="宋体" w:hAnsi="宋体" w:eastAsia="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position w:val="-2"/>
                <w:sz w:val="24"/>
                <w:highlight w:val="none"/>
              </w:rPr>
              <w:t>8</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ind w:left="216" w:leftChars="103"/>
              <w:jc w:val="left"/>
              <w:rPr>
                <w:rFonts w:hint="eastAsia" w:ascii="宋体" w:hAnsi="宋体" w:eastAsia="宋体" w:cs="宋体"/>
                <w:color w:val="auto"/>
                <w:kern w:val="0"/>
                <w:position w:val="-2"/>
                <w:sz w:val="24"/>
                <w:highlight w:val="none"/>
              </w:rPr>
            </w:pPr>
            <w:r>
              <w:rPr>
                <w:rFonts w:hint="eastAsia" w:ascii="宋体" w:hAnsi="宋体" w:eastAsia="宋体" w:cs="宋体"/>
                <w:color w:val="auto"/>
                <w:kern w:val="0"/>
                <w:position w:val="-2"/>
                <w:sz w:val="24"/>
                <w:highlight w:val="none"/>
              </w:rPr>
              <w:t>信用记录（由代理机构</w:t>
            </w:r>
            <w:r>
              <w:rPr>
                <w:rFonts w:hint="eastAsia" w:ascii="宋体" w:hAnsi="宋体" w:eastAsia="宋体" w:cs="宋体"/>
                <w:color w:val="auto"/>
                <w:kern w:val="0"/>
                <w:position w:val="-2"/>
                <w:sz w:val="24"/>
                <w:highlight w:val="none"/>
                <w:lang w:val="en-US" w:eastAsia="zh-CN"/>
              </w:rPr>
              <w:t>查询</w:t>
            </w:r>
            <w:r>
              <w:rPr>
                <w:rFonts w:hint="eastAsia" w:ascii="宋体" w:hAnsi="宋体" w:eastAsia="宋体" w:cs="宋体"/>
                <w:color w:val="auto"/>
                <w:kern w:val="0"/>
                <w:position w:val="-2"/>
                <w:sz w:val="24"/>
                <w:highlight w:val="none"/>
              </w:rPr>
              <w:t>）</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是否按要求提供</w:t>
            </w:r>
          </w:p>
        </w:tc>
      </w:tr>
      <w:tr>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nil"/>
              <w:right w:val="single" w:color="000000" w:sz="2" w:space="0"/>
            </w:tcBorders>
            <w:noWrap w:val="0"/>
            <w:vAlign w:val="center"/>
          </w:tcPr>
          <w:p>
            <w:pPr>
              <w:widowControl/>
              <w:spacing w:line="480" w:lineRule="exact"/>
              <w:jc w:val="center"/>
              <w:rPr>
                <w:rFonts w:hint="eastAsia" w:ascii="宋体" w:hAnsi="宋体" w:eastAsia="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kern w:val="0"/>
                <w:position w:val="-2"/>
                <w:sz w:val="24"/>
                <w:highlight w:val="none"/>
              </w:rPr>
            </w:pPr>
            <w:r>
              <w:rPr>
                <w:rFonts w:hint="eastAsia" w:ascii="宋体" w:hAnsi="宋体" w:eastAsia="宋体" w:cs="宋体"/>
                <w:color w:val="auto"/>
                <w:kern w:val="0"/>
                <w:position w:val="-2"/>
                <w:sz w:val="24"/>
                <w:highlight w:val="none"/>
              </w:rPr>
              <w:t>9</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ind w:left="216" w:leftChars="103"/>
              <w:jc w:val="left"/>
              <w:rPr>
                <w:rFonts w:hint="eastAsia" w:ascii="宋体" w:hAnsi="宋体" w:eastAsia="宋体" w:cs="宋体"/>
                <w:color w:val="auto"/>
                <w:kern w:val="0"/>
                <w:position w:val="-2"/>
                <w:sz w:val="24"/>
                <w:szCs w:val="24"/>
                <w:highlight w:val="none"/>
                <w:lang w:val="en-US" w:eastAsia="zh-CN" w:bidi="ar-SA"/>
              </w:rPr>
            </w:pPr>
            <w:r>
              <w:rPr>
                <w:rFonts w:hint="eastAsia" w:ascii="宋体" w:hAnsi="宋体" w:eastAsia="宋体" w:cs="宋体"/>
                <w:color w:val="auto"/>
                <w:kern w:val="0"/>
                <w:position w:val="-2"/>
                <w:sz w:val="24"/>
                <w:highlight w:val="none"/>
              </w:rPr>
              <w:t>供应商须知资料表中要求的供应商其他资格要求</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highlight w:val="none"/>
              </w:rPr>
              <w:t>是否存在不良记录</w:t>
            </w:r>
          </w:p>
        </w:tc>
      </w:tr>
      <w:tr>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nil"/>
              <w:right w:val="single" w:color="000000" w:sz="2" w:space="0"/>
            </w:tcBorders>
            <w:noWrap w:val="0"/>
            <w:vAlign w:val="center"/>
          </w:tcPr>
          <w:p>
            <w:pPr>
              <w:widowControl/>
              <w:spacing w:line="480" w:lineRule="exact"/>
              <w:jc w:val="center"/>
              <w:rPr>
                <w:rFonts w:hint="eastAsia" w:ascii="宋体" w:hAnsi="宋体" w:eastAsia="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position w:val="-2"/>
                <w:sz w:val="24"/>
                <w:highlight w:val="none"/>
              </w:rPr>
              <w:t>10</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ind w:left="216" w:leftChars="103"/>
              <w:jc w:val="left"/>
              <w:rPr>
                <w:rFonts w:hint="eastAsia" w:ascii="宋体" w:hAnsi="宋体" w:eastAsia="宋体" w:cs="宋体"/>
                <w:color w:val="auto"/>
                <w:kern w:val="0"/>
                <w:position w:val="-2"/>
                <w:sz w:val="24"/>
                <w:szCs w:val="24"/>
                <w:highlight w:val="none"/>
                <w:lang w:val="en-US" w:eastAsia="zh-CN" w:bidi="ar-SA"/>
              </w:rPr>
            </w:pPr>
            <w:r>
              <w:rPr>
                <w:rFonts w:hint="eastAsia" w:ascii="宋体" w:hAnsi="宋体" w:eastAsia="宋体" w:cs="宋体"/>
                <w:color w:val="auto"/>
                <w:kern w:val="0"/>
                <w:position w:val="-2"/>
                <w:sz w:val="24"/>
                <w:highlight w:val="none"/>
              </w:rPr>
              <w:t>其他内容</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highlight w:val="none"/>
              </w:rPr>
              <w:t>是否按要求提供</w:t>
            </w:r>
          </w:p>
        </w:tc>
      </w:tr>
      <w:tr>
        <w:tblPrEx>
          <w:tblCellMar>
            <w:top w:w="0" w:type="dxa"/>
            <w:left w:w="0" w:type="dxa"/>
            <w:bottom w:w="0" w:type="dxa"/>
            <w:right w:w="0" w:type="dxa"/>
          </w:tblCellMar>
        </w:tblPrEx>
        <w:trPr>
          <w:trHeight w:val="567" w:hRule="exact"/>
          <w:jc w:val="center"/>
        </w:trPr>
        <w:tc>
          <w:tcPr>
            <w:tcW w:w="825" w:type="dxa"/>
            <w:vMerge w:val="restart"/>
            <w:tcBorders>
              <w:top w:val="single" w:color="auto" w:sz="4"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sz w:val="24"/>
                <w:highlight w:val="none"/>
                <w:lang w:eastAsia="en-US"/>
              </w:rPr>
              <w:t>符合性评审</w:t>
            </w:r>
          </w:p>
        </w:tc>
        <w:tc>
          <w:tcPr>
            <w:tcW w:w="52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position w:val="-2"/>
                <w:sz w:val="24"/>
                <w:highlight w:val="none"/>
                <w:lang w:eastAsia="en-US"/>
              </w:rPr>
              <w:t>1</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ind w:left="216" w:leftChars="103"/>
              <w:jc w:val="left"/>
              <w:rPr>
                <w:rFonts w:hint="eastAsia" w:ascii="宋体" w:hAnsi="宋体" w:eastAsia="宋体" w:cs="宋体"/>
                <w:color w:val="auto"/>
                <w:kern w:val="0"/>
                <w:position w:val="-2"/>
                <w:sz w:val="24"/>
                <w:highlight w:val="none"/>
              </w:rPr>
            </w:pPr>
            <w:r>
              <w:rPr>
                <w:rFonts w:hint="eastAsia" w:ascii="宋体" w:hAnsi="宋体" w:eastAsia="宋体" w:cs="宋体"/>
                <w:color w:val="auto"/>
                <w:kern w:val="0"/>
                <w:position w:val="-2"/>
                <w:sz w:val="24"/>
                <w:highlight w:val="none"/>
              </w:rPr>
              <w:t>未按照磋商文件规定要求签署、盖章的</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highlight w:val="none"/>
              </w:rPr>
            </w:pPr>
            <w:r>
              <w:rPr>
                <w:rFonts w:hint="eastAsia" w:ascii="宋体" w:hAnsi="宋体" w:eastAsia="宋体" w:cs="宋体"/>
                <w:color w:val="auto"/>
                <w:kern w:val="0"/>
                <w:sz w:val="24"/>
                <w:highlight w:val="none"/>
              </w:rPr>
              <w:t>是否按要求提供</w:t>
            </w:r>
          </w:p>
        </w:tc>
      </w:tr>
      <w:tr>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noWrap w:val="0"/>
            <w:vAlign w:val="center"/>
          </w:tcPr>
          <w:p>
            <w:pPr>
              <w:widowControl/>
              <w:spacing w:line="480" w:lineRule="exact"/>
              <w:jc w:val="center"/>
              <w:rPr>
                <w:rFonts w:hint="eastAsia" w:ascii="宋体" w:hAnsi="宋体" w:eastAsia="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sz w:val="24"/>
                <w:highlight w:val="none"/>
                <w:lang w:eastAsia="en-US"/>
              </w:rPr>
              <w:t>2</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ind w:left="216" w:leftChars="103"/>
              <w:jc w:val="left"/>
              <w:rPr>
                <w:rFonts w:hint="eastAsia" w:ascii="宋体" w:hAnsi="宋体" w:eastAsia="宋体" w:cs="宋体"/>
                <w:color w:val="auto"/>
                <w:kern w:val="0"/>
                <w:position w:val="-2"/>
                <w:sz w:val="24"/>
                <w:highlight w:val="none"/>
              </w:rPr>
            </w:pPr>
            <w:r>
              <w:rPr>
                <w:rFonts w:hint="eastAsia" w:ascii="宋体" w:hAnsi="宋体" w:eastAsia="宋体" w:cs="宋体"/>
                <w:color w:val="auto"/>
                <w:kern w:val="0"/>
                <w:position w:val="-2"/>
                <w:sz w:val="24"/>
                <w:highlight w:val="none"/>
              </w:rPr>
              <w:t>报价一览表</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highlight w:val="none"/>
              </w:rPr>
            </w:pPr>
            <w:r>
              <w:rPr>
                <w:rFonts w:hint="eastAsia" w:ascii="宋体" w:hAnsi="宋体" w:eastAsia="宋体" w:cs="宋体"/>
                <w:color w:val="auto"/>
                <w:kern w:val="0"/>
                <w:sz w:val="24"/>
                <w:highlight w:val="none"/>
              </w:rPr>
              <w:t>是否按要求提供</w:t>
            </w:r>
          </w:p>
        </w:tc>
      </w:tr>
      <w:tr>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noWrap w:val="0"/>
            <w:vAlign w:val="center"/>
          </w:tcPr>
          <w:p>
            <w:pPr>
              <w:widowControl/>
              <w:spacing w:line="480" w:lineRule="exact"/>
              <w:jc w:val="center"/>
              <w:rPr>
                <w:rFonts w:hint="eastAsia" w:ascii="宋体" w:hAnsi="宋体" w:eastAsia="宋体" w:cs="宋体"/>
                <w:color w:val="auto"/>
                <w:kern w:val="0"/>
                <w:sz w:val="24"/>
                <w:highlight w:val="none"/>
                <w:lang w:eastAsia="en-US"/>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position w:val="-2"/>
                <w:sz w:val="24"/>
                <w:highlight w:val="none"/>
                <w:lang w:eastAsia="en-US"/>
              </w:rPr>
              <w:t>3</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ind w:left="216" w:leftChars="103"/>
              <w:jc w:val="left"/>
              <w:rPr>
                <w:rFonts w:hint="eastAsia" w:ascii="宋体" w:hAnsi="宋体" w:eastAsia="宋体" w:cs="宋体"/>
                <w:color w:val="auto"/>
                <w:kern w:val="0"/>
                <w:position w:val="-2"/>
                <w:sz w:val="24"/>
                <w:highlight w:val="none"/>
              </w:rPr>
            </w:pPr>
            <w:r>
              <w:rPr>
                <w:rFonts w:hint="eastAsia" w:ascii="宋体" w:hAnsi="宋体" w:eastAsia="宋体" w:cs="宋体"/>
                <w:color w:val="auto"/>
                <w:kern w:val="0"/>
                <w:position w:val="-2"/>
                <w:sz w:val="24"/>
                <w:highlight w:val="none"/>
              </w:rPr>
              <w:t>分项报价表</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highlight w:val="none"/>
              </w:rPr>
            </w:pPr>
            <w:r>
              <w:rPr>
                <w:rFonts w:hint="eastAsia" w:ascii="宋体" w:hAnsi="宋体" w:eastAsia="宋体" w:cs="宋体"/>
                <w:color w:val="auto"/>
                <w:kern w:val="0"/>
                <w:sz w:val="24"/>
                <w:highlight w:val="none"/>
              </w:rPr>
              <w:t>是否按要求提供</w:t>
            </w:r>
          </w:p>
        </w:tc>
      </w:tr>
      <w:tr>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noWrap w:val="0"/>
            <w:vAlign w:val="center"/>
          </w:tcPr>
          <w:p>
            <w:pPr>
              <w:widowControl/>
              <w:spacing w:line="480" w:lineRule="exact"/>
              <w:jc w:val="center"/>
              <w:rPr>
                <w:rFonts w:hint="eastAsia" w:ascii="宋体" w:hAnsi="宋体" w:eastAsia="宋体" w:cs="宋体"/>
                <w:color w:val="auto"/>
                <w:kern w:val="0"/>
                <w:sz w:val="24"/>
                <w:highlight w:val="none"/>
                <w:lang w:eastAsia="en-US"/>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position w:val="-2"/>
                <w:sz w:val="24"/>
                <w:highlight w:val="none"/>
                <w:lang w:eastAsia="en-US"/>
              </w:rPr>
              <w:t>4</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ind w:left="216" w:leftChars="103"/>
              <w:jc w:val="left"/>
              <w:rPr>
                <w:rFonts w:hint="eastAsia" w:ascii="宋体" w:hAnsi="宋体" w:eastAsia="宋体" w:cs="宋体"/>
                <w:color w:val="auto"/>
                <w:kern w:val="0"/>
                <w:position w:val="-2"/>
                <w:sz w:val="24"/>
                <w:highlight w:val="none"/>
              </w:rPr>
            </w:pPr>
            <w:r>
              <w:rPr>
                <w:rFonts w:hint="eastAsia" w:ascii="宋体" w:hAnsi="宋体" w:eastAsia="宋体" w:cs="宋体"/>
                <w:color w:val="auto"/>
                <w:kern w:val="0"/>
                <w:position w:val="-2"/>
                <w:sz w:val="24"/>
                <w:highlight w:val="none"/>
              </w:rPr>
              <w:t>技术明细表（含偏离）</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highlight w:val="none"/>
              </w:rPr>
            </w:pPr>
            <w:r>
              <w:rPr>
                <w:rFonts w:hint="eastAsia" w:ascii="宋体" w:hAnsi="宋体" w:eastAsia="宋体" w:cs="宋体"/>
                <w:color w:val="auto"/>
                <w:kern w:val="0"/>
                <w:sz w:val="24"/>
                <w:highlight w:val="none"/>
              </w:rPr>
              <w:t>是否按要求提供</w:t>
            </w:r>
          </w:p>
        </w:tc>
      </w:tr>
      <w:tr>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noWrap w:val="0"/>
            <w:vAlign w:val="center"/>
          </w:tcPr>
          <w:p>
            <w:pPr>
              <w:widowControl/>
              <w:spacing w:line="480" w:lineRule="exact"/>
              <w:jc w:val="center"/>
              <w:rPr>
                <w:rFonts w:hint="eastAsia" w:ascii="宋体" w:hAnsi="宋体" w:eastAsia="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position w:val="-2"/>
                <w:sz w:val="24"/>
                <w:highlight w:val="none"/>
                <w:lang w:eastAsia="en-US"/>
              </w:rPr>
              <w:t>5</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ind w:left="216" w:leftChars="103"/>
              <w:jc w:val="left"/>
              <w:rPr>
                <w:rFonts w:hint="eastAsia" w:ascii="宋体" w:hAnsi="宋体" w:eastAsia="宋体" w:cs="宋体"/>
                <w:color w:val="auto"/>
                <w:kern w:val="0"/>
                <w:position w:val="-2"/>
                <w:sz w:val="24"/>
                <w:szCs w:val="24"/>
                <w:highlight w:val="none"/>
                <w:lang w:val="en-US" w:eastAsia="zh-CN" w:bidi="ar-SA"/>
              </w:rPr>
            </w:pPr>
            <w:r>
              <w:rPr>
                <w:rFonts w:hint="eastAsia" w:ascii="宋体" w:hAnsi="宋体" w:eastAsia="宋体" w:cs="宋体"/>
                <w:color w:val="auto"/>
                <w:kern w:val="0"/>
                <w:position w:val="-2"/>
                <w:sz w:val="24"/>
                <w:highlight w:val="none"/>
              </w:rPr>
              <w:t>“第4章 采购需求一览表及技术规格”中实质性要求条款情况</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highlight w:val="none"/>
              </w:rPr>
              <w:t>是否满足</w:t>
            </w:r>
          </w:p>
        </w:tc>
      </w:tr>
      <w:tr>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noWrap w:val="0"/>
            <w:vAlign w:val="center"/>
          </w:tcPr>
          <w:p>
            <w:pPr>
              <w:widowControl/>
              <w:spacing w:line="480" w:lineRule="exact"/>
              <w:jc w:val="center"/>
              <w:rPr>
                <w:rFonts w:hint="eastAsia" w:ascii="宋体" w:hAnsi="宋体" w:eastAsia="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kern w:val="0"/>
                <w:position w:val="-2"/>
                <w:sz w:val="24"/>
                <w:highlight w:val="none"/>
                <w:lang w:val="en-US" w:eastAsia="zh-CN"/>
              </w:rPr>
            </w:pPr>
            <w:r>
              <w:rPr>
                <w:rFonts w:hint="eastAsia" w:ascii="宋体" w:hAnsi="宋体" w:eastAsia="宋体" w:cs="宋体"/>
                <w:color w:val="auto"/>
                <w:kern w:val="0"/>
                <w:position w:val="-2"/>
                <w:sz w:val="24"/>
                <w:highlight w:val="none"/>
                <w:lang w:val="en-US" w:eastAsia="zh-CN"/>
              </w:rPr>
              <w:t>6</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ind w:left="216" w:leftChars="103"/>
              <w:jc w:val="left"/>
              <w:rPr>
                <w:rFonts w:hint="eastAsia" w:ascii="宋体" w:hAnsi="宋体" w:eastAsia="宋体" w:cs="宋体"/>
                <w:color w:val="auto"/>
                <w:kern w:val="0"/>
                <w:position w:val="-2"/>
                <w:sz w:val="24"/>
                <w:highlight w:val="none"/>
              </w:rPr>
            </w:pPr>
            <w:r>
              <w:rPr>
                <w:rFonts w:hint="eastAsia" w:ascii="宋体" w:hAnsi="宋体" w:eastAsia="宋体" w:cs="宋体"/>
                <w:color w:val="auto"/>
                <w:kern w:val="0"/>
                <w:position w:val="-2"/>
                <w:sz w:val="24"/>
                <w:highlight w:val="none"/>
              </w:rPr>
              <w:t>未按规定提供强制节能产品</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是否满足</w:t>
            </w:r>
          </w:p>
        </w:tc>
      </w:tr>
      <w:tr>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noWrap w:val="0"/>
            <w:vAlign w:val="center"/>
          </w:tcPr>
          <w:p>
            <w:pPr>
              <w:widowControl/>
              <w:spacing w:line="480" w:lineRule="exact"/>
              <w:jc w:val="center"/>
              <w:rPr>
                <w:rFonts w:hint="eastAsia" w:ascii="宋体" w:hAnsi="宋体" w:eastAsia="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kern w:val="0"/>
                <w:position w:val="-2"/>
                <w:sz w:val="24"/>
                <w:highlight w:val="none"/>
                <w:lang w:val="en-US" w:eastAsia="zh-CN"/>
              </w:rPr>
            </w:pPr>
            <w:r>
              <w:rPr>
                <w:rFonts w:hint="eastAsia" w:ascii="宋体" w:hAnsi="宋体" w:eastAsia="宋体" w:cs="宋体"/>
                <w:color w:val="auto"/>
                <w:kern w:val="0"/>
                <w:position w:val="-2"/>
                <w:sz w:val="24"/>
                <w:highlight w:val="none"/>
                <w:lang w:val="en-US" w:eastAsia="zh-CN"/>
              </w:rPr>
              <w:t>7</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ind w:left="216" w:leftChars="103"/>
              <w:jc w:val="left"/>
              <w:rPr>
                <w:rFonts w:hint="eastAsia" w:ascii="宋体" w:hAnsi="宋体" w:eastAsia="宋体" w:cs="宋体"/>
                <w:color w:val="auto"/>
                <w:kern w:val="0"/>
                <w:position w:val="-2"/>
                <w:sz w:val="24"/>
                <w:highlight w:val="none"/>
              </w:rPr>
            </w:pPr>
            <w:r>
              <w:rPr>
                <w:rFonts w:hint="eastAsia" w:ascii="宋体" w:hAnsi="宋体" w:eastAsia="宋体" w:cs="宋体"/>
                <w:color w:val="auto"/>
                <w:kern w:val="0"/>
                <w:position w:val="-2"/>
                <w:sz w:val="24"/>
                <w:highlight w:val="none"/>
              </w:rPr>
              <w:t>未按规定提供进口产品</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是否满足</w:t>
            </w:r>
          </w:p>
        </w:tc>
      </w:tr>
      <w:tr>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noWrap w:val="0"/>
            <w:vAlign w:val="center"/>
          </w:tcPr>
          <w:p>
            <w:pPr>
              <w:widowControl/>
              <w:spacing w:line="480" w:lineRule="exact"/>
              <w:jc w:val="center"/>
              <w:rPr>
                <w:rFonts w:hint="eastAsia" w:ascii="宋体" w:hAnsi="宋体" w:eastAsia="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position w:val="-2"/>
                <w:sz w:val="24"/>
                <w:highlight w:val="none"/>
                <w:lang w:eastAsia="en-US"/>
              </w:rPr>
              <w:t>8</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ind w:left="216" w:leftChars="103"/>
              <w:jc w:val="left"/>
              <w:rPr>
                <w:rFonts w:hint="eastAsia" w:ascii="宋体" w:hAnsi="宋体" w:eastAsia="宋体" w:cs="宋体"/>
                <w:color w:val="auto"/>
                <w:kern w:val="0"/>
                <w:position w:val="-2"/>
                <w:sz w:val="24"/>
                <w:szCs w:val="24"/>
                <w:highlight w:val="none"/>
                <w:lang w:val="en-US" w:eastAsia="zh-CN" w:bidi="ar-SA"/>
              </w:rPr>
            </w:pPr>
            <w:r>
              <w:rPr>
                <w:rFonts w:hint="eastAsia" w:ascii="宋体" w:hAnsi="宋体" w:eastAsia="宋体" w:cs="宋体"/>
                <w:color w:val="auto"/>
                <w:kern w:val="0"/>
                <w:position w:val="-2"/>
                <w:sz w:val="24"/>
                <w:highlight w:val="none"/>
              </w:rPr>
              <w:t>报价超过项目预算或最高限价的</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highlight w:val="none"/>
              </w:rPr>
              <w:t>是否超出</w:t>
            </w:r>
          </w:p>
        </w:tc>
      </w:tr>
      <w:tr>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noWrap w:val="0"/>
            <w:vAlign w:val="center"/>
          </w:tcPr>
          <w:p>
            <w:pPr>
              <w:widowControl/>
              <w:spacing w:line="480" w:lineRule="exact"/>
              <w:jc w:val="center"/>
              <w:rPr>
                <w:rFonts w:hint="eastAsia" w:ascii="宋体" w:hAnsi="宋体" w:eastAsia="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position w:val="-2"/>
                <w:sz w:val="24"/>
                <w:highlight w:val="none"/>
                <w:lang w:eastAsia="en-US"/>
              </w:rPr>
              <w:t>9</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ind w:left="216" w:leftChars="103"/>
              <w:jc w:val="left"/>
              <w:rPr>
                <w:rFonts w:hint="eastAsia" w:ascii="宋体" w:hAnsi="宋体" w:eastAsia="宋体" w:cs="宋体"/>
                <w:color w:val="auto"/>
                <w:kern w:val="0"/>
                <w:position w:val="-2"/>
                <w:sz w:val="24"/>
                <w:szCs w:val="24"/>
                <w:highlight w:val="none"/>
                <w:lang w:val="en-US" w:eastAsia="zh-CN" w:bidi="ar-SA"/>
              </w:rPr>
            </w:pPr>
            <w:r>
              <w:rPr>
                <w:rFonts w:hint="eastAsia" w:ascii="宋体" w:hAnsi="宋体" w:eastAsia="宋体" w:cs="宋体"/>
                <w:color w:val="auto"/>
                <w:kern w:val="0"/>
                <w:position w:val="-2"/>
                <w:sz w:val="24"/>
                <w:highlight w:val="none"/>
              </w:rPr>
              <w:t>响应文件有效期不足的</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highlight w:val="none"/>
              </w:rPr>
              <w:t>是否满足磋商文件要求</w:t>
            </w:r>
          </w:p>
        </w:tc>
      </w:tr>
      <w:tr>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noWrap w:val="0"/>
            <w:vAlign w:val="center"/>
          </w:tcPr>
          <w:p>
            <w:pPr>
              <w:widowControl/>
              <w:spacing w:line="480" w:lineRule="exact"/>
              <w:jc w:val="center"/>
              <w:rPr>
                <w:rFonts w:hint="eastAsia" w:ascii="宋体" w:hAnsi="宋体" w:eastAsia="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position w:val="-2"/>
                <w:sz w:val="24"/>
                <w:highlight w:val="none"/>
                <w:lang w:eastAsia="en-US"/>
              </w:rPr>
              <w:t>10</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ind w:left="216" w:leftChars="103"/>
              <w:jc w:val="left"/>
              <w:rPr>
                <w:rFonts w:hint="eastAsia" w:ascii="宋体" w:hAnsi="宋体" w:eastAsia="宋体" w:cs="宋体"/>
                <w:color w:val="auto"/>
                <w:kern w:val="0"/>
                <w:position w:val="-2"/>
                <w:sz w:val="24"/>
                <w:szCs w:val="24"/>
                <w:highlight w:val="none"/>
                <w:lang w:val="en-US" w:eastAsia="zh-CN" w:bidi="ar-SA"/>
              </w:rPr>
            </w:pPr>
            <w:r>
              <w:rPr>
                <w:rFonts w:hint="eastAsia" w:ascii="宋体" w:hAnsi="宋体" w:eastAsia="宋体" w:cs="宋体"/>
                <w:color w:val="auto"/>
                <w:kern w:val="0"/>
                <w:position w:val="-2"/>
                <w:sz w:val="24"/>
                <w:highlight w:val="none"/>
              </w:rPr>
              <w:t>联合体响应文件未附联合体响应文件协议书的</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position w:val="-2"/>
                <w:sz w:val="24"/>
                <w:highlight w:val="none"/>
              </w:rPr>
              <w:t>本项目不接受</w:t>
            </w:r>
          </w:p>
        </w:tc>
      </w:tr>
      <w:tr>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noWrap w:val="0"/>
            <w:vAlign w:val="center"/>
          </w:tcPr>
          <w:p>
            <w:pPr>
              <w:widowControl/>
              <w:spacing w:line="480" w:lineRule="exact"/>
              <w:jc w:val="center"/>
              <w:rPr>
                <w:rFonts w:hint="eastAsia" w:ascii="宋体" w:hAnsi="宋体" w:eastAsia="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position w:val="-2"/>
                <w:sz w:val="24"/>
                <w:highlight w:val="none"/>
                <w:lang w:eastAsia="en-US"/>
              </w:rPr>
              <w:t>11</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ind w:left="216" w:leftChars="103"/>
              <w:jc w:val="left"/>
              <w:rPr>
                <w:rFonts w:hint="eastAsia" w:ascii="宋体" w:hAnsi="宋体" w:eastAsia="宋体" w:cs="宋体"/>
                <w:color w:val="auto"/>
                <w:kern w:val="0"/>
                <w:position w:val="-2"/>
                <w:sz w:val="24"/>
                <w:szCs w:val="24"/>
                <w:highlight w:val="none"/>
                <w:lang w:val="en-US" w:eastAsia="zh-CN" w:bidi="ar-SA"/>
              </w:rPr>
            </w:pPr>
            <w:r>
              <w:rPr>
                <w:rFonts w:hint="eastAsia" w:ascii="宋体" w:hAnsi="宋体" w:eastAsia="宋体" w:cs="宋体"/>
                <w:color w:val="auto"/>
                <w:kern w:val="0"/>
                <w:position w:val="-2"/>
                <w:sz w:val="24"/>
                <w:highlight w:val="none"/>
              </w:rPr>
              <w:t>不符合磋商文件中有关分包规定的</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highlight w:val="none"/>
              </w:rPr>
              <w:t>是否存在</w:t>
            </w:r>
          </w:p>
        </w:tc>
      </w:tr>
      <w:tr>
        <w:tblPrEx>
          <w:tblCellMar>
            <w:top w:w="0" w:type="dxa"/>
            <w:left w:w="0" w:type="dxa"/>
            <w:bottom w:w="0" w:type="dxa"/>
            <w:right w:w="0" w:type="dxa"/>
          </w:tblCellMar>
        </w:tblPrEx>
        <w:trPr>
          <w:trHeight w:val="540"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noWrap w:val="0"/>
            <w:vAlign w:val="center"/>
          </w:tcPr>
          <w:p>
            <w:pPr>
              <w:widowControl/>
              <w:spacing w:line="480" w:lineRule="exact"/>
              <w:jc w:val="center"/>
              <w:rPr>
                <w:rFonts w:hint="eastAsia" w:ascii="宋体" w:hAnsi="宋体" w:eastAsia="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position w:val="-2"/>
                <w:sz w:val="24"/>
                <w:highlight w:val="none"/>
                <w:lang w:eastAsia="en-US"/>
              </w:rPr>
              <w:t>12</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ind w:left="216" w:leftChars="103"/>
              <w:jc w:val="left"/>
              <w:rPr>
                <w:rFonts w:hint="eastAsia" w:ascii="宋体" w:hAnsi="宋体" w:eastAsia="宋体" w:cs="宋体"/>
                <w:color w:val="auto"/>
                <w:kern w:val="0"/>
                <w:position w:val="-2"/>
                <w:sz w:val="24"/>
                <w:szCs w:val="24"/>
                <w:highlight w:val="none"/>
                <w:lang w:val="en-US" w:eastAsia="zh-CN" w:bidi="ar-SA"/>
              </w:rPr>
            </w:pPr>
            <w:r>
              <w:rPr>
                <w:rFonts w:hint="eastAsia" w:ascii="宋体" w:hAnsi="宋体" w:eastAsia="宋体" w:cs="宋体"/>
                <w:color w:val="auto"/>
                <w:kern w:val="0"/>
                <w:position w:val="-2"/>
                <w:sz w:val="24"/>
                <w:highlight w:val="none"/>
              </w:rPr>
              <w:t>属于串通投标，或者依法被视为串通投标</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0"/>
                <w:sz w:val="24"/>
                <w:highlight w:val="none"/>
              </w:rPr>
              <w:t>是否存在</w:t>
            </w:r>
          </w:p>
        </w:tc>
      </w:tr>
      <w:tr>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noWrap w:val="0"/>
            <w:vAlign w:val="center"/>
          </w:tcPr>
          <w:p>
            <w:pPr>
              <w:widowControl/>
              <w:spacing w:line="480" w:lineRule="exact"/>
              <w:jc w:val="center"/>
              <w:rPr>
                <w:rFonts w:hint="eastAsia" w:ascii="宋体" w:hAnsi="宋体" w:eastAsia="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position w:val="-2"/>
                <w:sz w:val="24"/>
                <w:highlight w:val="none"/>
                <w:lang w:eastAsia="en-US"/>
              </w:rPr>
              <w:t>1</w:t>
            </w:r>
            <w:r>
              <w:rPr>
                <w:rFonts w:hint="eastAsia" w:ascii="宋体" w:hAnsi="宋体" w:eastAsia="宋体" w:cs="宋体"/>
                <w:color w:val="auto"/>
                <w:kern w:val="0"/>
                <w:position w:val="-2"/>
                <w:sz w:val="24"/>
                <w:highlight w:val="none"/>
              </w:rPr>
              <w:t>3</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ind w:left="216" w:leftChars="103"/>
              <w:jc w:val="left"/>
              <w:rPr>
                <w:rFonts w:hint="eastAsia" w:ascii="宋体" w:hAnsi="宋体" w:eastAsia="宋体" w:cs="宋体"/>
                <w:color w:val="auto"/>
                <w:kern w:val="0"/>
                <w:position w:val="-2"/>
                <w:sz w:val="24"/>
                <w:szCs w:val="24"/>
                <w:highlight w:val="none"/>
                <w:lang w:val="en-US" w:eastAsia="zh-CN" w:bidi="ar-SA"/>
              </w:rPr>
            </w:pPr>
            <w:r>
              <w:rPr>
                <w:rFonts w:hint="eastAsia" w:ascii="宋体" w:hAnsi="宋体" w:eastAsia="宋体" w:cs="宋体"/>
                <w:color w:val="auto"/>
                <w:kern w:val="0"/>
                <w:position w:val="-2"/>
                <w:sz w:val="24"/>
                <w:highlight w:val="none"/>
              </w:rPr>
              <w:t>响应文件含有采购人不能接受的附加条件的</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0"/>
                <w:sz w:val="24"/>
                <w:highlight w:val="none"/>
              </w:rPr>
              <w:t>是否存在</w:t>
            </w:r>
          </w:p>
        </w:tc>
      </w:tr>
      <w:tr>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noWrap w:val="0"/>
            <w:vAlign w:val="center"/>
          </w:tcPr>
          <w:p>
            <w:pPr>
              <w:widowControl/>
              <w:spacing w:line="480" w:lineRule="exact"/>
              <w:jc w:val="center"/>
              <w:rPr>
                <w:rFonts w:hint="eastAsia" w:ascii="宋体" w:hAnsi="宋体" w:eastAsia="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position w:val="-2"/>
                <w:sz w:val="24"/>
                <w:highlight w:val="none"/>
                <w:lang w:val="en-US" w:eastAsia="zh-CN"/>
              </w:rPr>
              <w:t>14</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ind w:left="216" w:leftChars="103"/>
              <w:jc w:val="left"/>
              <w:rPr>
                <w:rFonts w:hint="eastAsia" w:ascii="宋体" w:hAnsi="宋体" w:eastAsia="宋体" w:cs="宋体"/>
                <w:color w:val="auto"/>
                <w:kern w:val="0"/>
                <w:position w:val="-2"/>
                <w:sz w:val="24"/>
                <w:szCs w:val="24"/>
                <w:highlight w:val="none"/>
                <w:lang w:val="en-US" w:eastAsia="zh-CN" w:bidi="ar-SA"/>
              </w:rPr>
            </w:pPr>
            <w:r>
              <w:rPr>
                <w:rFonts w:hint="eastAsia" w:ascii="宋体" w:hAnsi="宋体" w:eastAsia="宋体" w:cs="宋体"/>
                <w:color w:val="auto"/>
                <w:kern w:val="0"/>
                <w:position w:val="-2"/>
                <w:sz w:val="24"/>
                <w:highlight w:val="none"/>
              </w:rPr>
              <w:t>属于磋商文件规定的其他无效响应情形</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0"/>
                <w:sz w:val="24"/>
                <w:highlight w:val="none"/>
              </w:rPr>
              <w:t>是否存在</w:t>
            </w:r>
          </w:p>
        </w:tc>
      </w:tr>
      <w:tr>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noWrap w:val="0"/>
            <w:vAlign w:val="center"/>
          </w:tcPr>
          <w:p>
            <w:pPr>
              <w:widowControl/>
              <w:spacing w:line="480" w:lineRule="exact"/>
              <w:jc w:val="center"/>
              <w:rPr>
                <w:rFonts w:hint="eastAsia" w:ascii="宋体" w:hAnsi="宋体" w:eastAsia="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position w:val="-2"/>
                <w:sz w:val="24"/>
                <w:highlight w:val="none"/>
                <w:lang w:val="en-US" w:eastAsia="zh-CN"/>
              </w:rPr>
              <w:t>15</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ind w:left="216" w:leftChars="103"/>
              <w:jc w:val="left"/>
              <w:rPr>
                <w:rFonts w:hint="eastAsia" w:ascii="宋体" w:hAnsi="宋体" w:eastAsia="宋体" w:cs="宋体"/>
                <w:color w:val="auto"/>
                <w:kern w:val="0"/>
                <w:position w:val="-2"/>
                <w:sz w:val="24"/>
                <w:szCs w:val="24"/>
                <w:highlight w:val="none"/>
                <w:lang w:val="en-US" w:eastAsia="zh-CN" w:bidi="ar-SA"/>
              </w:rPr>
            </w:pPr>
            <w:r>
              <w:rPr>
                <w:rFonts w:hint="eastAsia" w:ascii="宋体" w:hAnsi="宋体" w:eastAsia="宋体" w:cs="宋体"/>
                <w:color w:val="auto"/>
                <w:kern w:val="0"/>
                <w:position w:val="-2"/>
                <w:sz w:val="24"/>
                <w:highlight w:val="none"/>
              </w:rPr>
              <w:t>不符合法规和磋商文件中规定的其他实质性要求的</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highlight w:val="none"/>
              </w:rPr>
              <w:t>是否存在</w:t>
            </w:r>
          </w:p>
        </w:tc>
      </w:tr>
    </w:tbl>
    <w:p>
      <w:pPr>
        <w:pStyle w:val="4"/>
        <w:numPr>
          <w:ilvl w:val="0"/>
          <w:numId w:val="5"/>
        </w:numPr>
        <w:spacing w:line="480" w:lineRule="exact"/>
        <w:rPr>
          <w:rFonts w:hint="eastAsia" w:ascii="宋体" w:hAnsi="宋体" w:eastAsia="宋体" w:cs="宋体"/>
          <w:color w:val="auto"/>
          <w:sz w:val="24"/>
          <w:szCs w:val="22"/>
          <w:highlight w:val="none"/>
        </w:rPr>
      </w:pPr>
      <w:bookmarkStart w:id="260" w:name="_Toc3860"/>
      <w:bookmarkStart w:id="261" w:name="_Toc68259627"/>
      <w:r>
        <w:rPr>
          <w:rFonts w:hint="eastAsia" w:ascii="宋体" w:hAnsi="宋体" w:eastAsia="宋体" w:cs="宋体"/>
          <w:color w:val="auto"/>
          <w:sz w:val="24"/>
          <w:szCs w:val="22"/>
          <w:highlight w:val="none"/>
        </w:rPr>
        <w:t>评分细则</w:t>
      </w:r>
      <w:bookmarkEnd w:id="260"/>
      <w:bookmarkEnd w:id="261"/>
    </w:p>
    <w:p>
      <w:pPr>
        <w:numPr>
          <w:ilvl w:val="0"/>
          <w:numId w:val="0"/>
        </w:numPr>
        <w:rPr>
          <w:rFonts w:hint="eastAsia" w:ascii="宋体" w:hAnsi="宋体" w:eastAsia="宋体" w:cs="宋体"/>
          <w:b/>
          <w:bCs/>
          <w:color w:val="auto"/>
          <w:sz w:val="24"/>
          <w:szCs w:val="24"/>
          <w:highlight w:val="none"/>
          <w:lang w:val="en-US" w:eastAsia="zh-CN"/>
        </w:rPr>
      </w:pPr>
    </w:p>
    <w:tbl>
      <w:tblPr>
        <w:tblStyle w:val="30"/>
        <w:tblW w:w="587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3"/>
        <w:gridCol w:w="769"/>
        <w:gridCol w:w="1299"/>
        <w:gridCol w:w="72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32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bidi w:val="0"/>
              <w:adjustRightInd/>
              <w:snapToGrid/>
              <w:spacing w:line="500" w:lineRule="exact"/>
              <w:jc w:val="center"/>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序号</w:t>
            </w:r>
          </w:p>
        </w:tc>
        <w:tc>
          <w:tcPr>
            <w:tcW w:w="38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bidi w:val="0"/>
              <w:adjustRightInd/>
              <w:snapToGrid/>
              <w:spacing w:line="500" w:lineRule="exact"/>
              <w:jc w:val="center"/>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评分项目</w:t>
            </w:r>
          </w:p>
        </w:tc>
        <w:tc>
          <w:tcPr>
            <w:tcW w:w="648"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bidi w:val="0"/>
              <w:adjustRightInd/>
              <w:snapToGrid/>
              <w:spacing w:line="500" w:lineRule="exact"/>
              <w:jc w:val="center"/>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评分细项</w:t>
            </w:r>
          </w:p>
        </w:tc>
        <w:tc>
          <w:tcPr>
            <w:tcW w:w="3641"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bidi w:val="0"/>
              <w:adjustRightInd/>
              <w:snapToGrid/>
              <w:spacing w:line="500" w:lineRule="exact"/>
              <w:jc w:val="center"/>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0" w:hRule="atLeast"/>
          <w:jc w:val="center"/>
        </w:trPr>
        <w:tc>
          <w:tcPr>
            <w:tcW w:w="326" w:type="pct"/>
            <w:tcBorders>
              <w:top w:val="single" w:color="auto" w:sz="4" w:space="0"/>
              <w:left w:val="single" w:color="auto" w:sz="4" w:space="0"/>
              <w:right w:val="single" w:color="auto" w:sz="4" w:space="0"/>
            </w:tcBorders>
            <w:noWrap w:val="0"/>
            <w:vAlign w:val="center"/>
          </w:tcPr>
          <w:p>
            <w:pPr>
              <w:keepNext w:val="0"/>
              <w:keepLines w:val="0"/>
              <w:pageBreakBefore w:val="0"/>
              <w:widowControl/>
              <w:kinsoku/>
              <w:overflowPunct/>
              <w:bidi w:val="0"/>
              <w:adjustRightInd/>
              <w:snapToGrid/>
              <w:spacing w:line="50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383" w:type="pct"/>
            <w:tcBorders>
              <w:top w:val="single" w:color="auto" w:sz="4" w:space="0"/>
              <w:left w:val="single" w:color="auto" w:sz="4" w:space="0"/>
              <w:right w:val="single" w:color="auto" w:sz="4" w:space="0"/>
            </w:tcBorders>
            <w:noWrap w:val="0"/>
            <w:vAlign w:val="center"/>
          </w:tcPr>
          <w:p>
            <w:pPr>
              <w:keepNext w:val="0"/>
              <w:keepLines w:val="0"/>
              <w:pageBreakBefore w:val="0"/>
              <w:widowControl/>
              <w:kinsoku/>
              <w:overflowPunct/>
              <w:bidi w:val="0"/>
              <w:adjustRightInd/>
              <w:snapToGrid/>
              <w:spacing w:line="50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报价部分</w:t>
            </w:r>
          </w:p>
        </w:tc>
        <w:tc>
          <w:tcPr>
            <w:tcW w:w="648" w:type="pct"/>
            <w:tcBorders>
              <w:top w:val="single" w:color="auto" w:sz="4" w:space="0"/>
              <w:left w:val="single" w:color="auto" w:sz="4" w:space="0"/>
              <w:right w:val="single" w:color="auto" w:sz="4" w:space="0"/>
            </w:tcBorders>
            <w:noWrap w:val="0"/>
            <w:vAlign w:val="center"/>
          </w:tcPr>
          <w:p>
            <w:pPr>
              <w:keepNext w:val="0"/>
              <w:keepLines w:val="0"/>
              <w:pageBreakBefore w:val="0"/>
              <w:widowControl/>
              <w:kinsoku/>
              <w:overflowPunct/>
              <w:bidi w:val="0"/>
              <w:adjustRightInd/>
              <w:snapToGrid/>
              <w:spacing w:line="50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报价得分（</w:t>
            </w:r>
            <w:r>
              <w:rPr>
                <w:rFonts w:hint="eastAsia" w:ascii="宋体" w:hAnsi="宋体" w:cs="宋体"/>
                <w:color w:val="auto"/>
                <w:sz w:val="24"/>
                <w:highlight w:val="none"/>
                <w:lang w:val="en-US" w:eastAsia="zh-CN"/>
              </w:rPr>
              <w:t>30</w:t>
            </w:r>
            <w:r>
              <w:rPr>
                <w:rFonts w:hint="eastAsia" w:ascii="宋体" w:hAnsi="宋体" w:eastAsia="宋体" w:cs="宋体"/>
                <w:color w:val="auto"/>
                <w:sz w:val="24"/>
                <w:highlight w:val="none"/>
              </w:rPr>
              <w:t>分）</w:t>
            </w:r>
          </w:p>
        </w:tc>
        <w:tc>
          <w:tcPr>
            <w:tcW w:w="3641"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bidi w:val="0"/>
              <w:adjustRightInd/>
              <w:snapToGrid/>
              <w:spacing w:line="500" w:lineRule="exact"/>
              <w:ind w:firstLine="600" w:firstLineChars="25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以满足磋商文件要求且最终报价最低的报价为评标基准价，其价格分为满分</w:t>
            </w:r>
            <w:r>
              <w:rPr>
                <w:rFonts w:hint="eastAsia" w:ascii="宋体" w:hAnsi="宋体" w:cs="宋体"/>
                <w:color w:val="auto"/>
                <w:sz w:val="24"/>
                <w:highlight w:val="none"/>
                <w:lang w:val="en-US" w:eastAsia="zh-CN"/>
              </w:rPr>
              <w:t>30</w:t>
            </w:r>
            <w:r>
              <w:rPr>
                <w:rFonts w:hint="eastAsia" w:ascii="宋体" w:hAnsi="宋体" w:eastAsia="宋体" w:cs="宋体"/>
                <w:color w:val="auto"/>
                <w:sz w:val="24"/>
                <w:highlight w:val="none"/>
              </w:rPr>
              <w:t>分，其他供应商的价格分按照下列公式计算：报价得分=（评标基准价/最后报价）×</w:t>
            </w:r>
            <w:r>
              <w:rPr>
                <w:rFonts w:hint="eastAsia" w:ascii="宋体" w:hAnsi="宋体" w:cs="宋体"/>
                <w:color w:val="auto"/>
                <w:sz w:val="24"/>
                <w:highlight w:val="none"/>
                <w:lang w:val="en-US" w:eastAsia="zh-CN"/>
              </w:rPr>
              <w:t>30</w:t>
            </w:r>
            <w:r>
              <w:rPr>
                <w:rFonts w:hint="eastAsia" w:ascii="宋体" w:hAnsi="宋体" w:eastAsia="宋体" w:cs="宋体"/>
                <w:color w:val="auto"/>
                <w:sz w:val="24"/>
                <w:highlight w:val="none"/>
              </w:rPr>
              <w:t>。</w:t>
            </w:r>
          </w:p>
          <w:p>
            <w:pPr>
              <w:keepNext w:val="0"/>
              <w:keepLines w:val="0"/>
              <w:pageBreakBefore w:val="0"/>
              <w:widowControl/>
              <w:kinsoku/>
              <w:overflowPunct/>
              <w:bidi w:val="0"/>
              <w:adjustRightInd/>
              <w:snapToGrid/>
              <w:spacing w:line="5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说明：磋商小组认为供应商的报价明显低于其他通过符合性审查供应商的报价，有可能影响产品质量或者不能诚信履约的，应当要求其在评标现场合理的时间内提供书面说明，必要时提交相关证明材料；供应商不能证明其报价合理性的，经磋商小组取得一致意见后，可拒绝该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0" w:hRule="atLeast"/>
          <w:jc w:val="center"/>
        </w:trPr>
        <w:tc>
          <w:tcPr>
            <w:tcW w:w="326" w:type="pct"/>
            <w:tcBorders>
              <w:top w:val="single" w:color="auto" w:sz="4" w:space="0"/>
              <w:left w:val="single" w:color="auto" w:sz="4" w:space="0"/>
              <w:right w:val="single" w:color="auto" w:sz="4" w:space="0"/>
            </w:tcBorders>
            <w:noWrap w:val="0"/>
            <w:vAlign w:val="center"/>
          </w:tcPr>
          <w:p>
            <w:pPr>
              <w:keepNext w:val="0"/>
              <w:keepLines w:val="0"/>
              <w:pageBreakBefore w:val="0"/>
              <w:widowControl/>
              <w:kinsoku/>
              <w:overflowPunct/>
              <w:bidi w:val="0"/>
              <w:adjustRightInd/>
              <w:snapToGrid/>
              <w:spacing w:line="500" w:lineRule="exact"/>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2</w:t>
            </w:r>
          </w:p>
        </w:tc>
        <w:tc>
          <w:tcPr>
            <w:tcW w:w="383" w:type="pct"/>
            <w:tcBorders>
              <w:top w:val="single" w:color="auto" w:sz="4" w:space="0"/>
              <w:left w:val="single" w:color="auto" w:sz="4" w:space="0"/>
              <w:right w:val="single" w:color="auto" w:sz="4" w:space="0"/>
            </w:tcBorders>
            <w:noWrap w:val="0"/>
            <w:vAlign w:val="center"/>
          </w:tcPr>
          <w:p>
            <w:pPr>
              <w:keepNext w:val="0"/>
              <w:keepLines w:val="0"/>
              <w:pageBreakBefore w:val="0"/>
              <w:widowControl/>
              <w:kinsoku/>
              <w:overflowPunct/>
              <w:bidi w:val="0"/>
              <w:adjustRightInd/>
              <w:snapToGrid/>
              <w:spacing w:line="500" w:lineRule="exact"/>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商务部分</w:t>
            </w:r>
          </w:p>
        </w:tc>
        <w:tc>
          <w:tcPr>
            <w:tcW w:w="648" w:type="pct"/>
            <w:tcBorders>
              <w:top w:val="single" w:color="auto" w:sz="4" w:space="0"/>
              <w:left w:val="single" w:color="auto" w:sz="4" w:space="0"/>
              <w:right w:val="single" w:color="auto" w:sz="4" w:space="0"/>
            </w:tcBorders>
            <w:noWrap w:val="0"/>
            <w:vAlign w:val="center"/>
          </w:tcPr>
          <w:p>
            <w:pPr>
              <w:keepNext w:val="0"/>
              <w:keepLines w:val="0"/>
              <w:pageBreakBefore w:val="0"/>
              <w:kinsoku/>
              <w:overflowPunct/>
              <w:bidi w:val="0"/>
              <w:adjustRightInd/>
              <w:snapToGrid/>
              <w:spacing w:line="500" w:lineRule="exact"/>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szCs w:val="22"/>
                <w:highlight w:val="none"/>
              </w:rPr>
              <w:t>同类业绩（5分）</w:t>
            </w:r>
          </w:p>
        </w:tc>
        <w:tc>
          <w:tcPr>
            <w:tcW w:w="3641"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bidi w:val="0"/>
              <w:adjustRightInd/>
              <w:snapToGrid/>
              <w:spacing w:line="500" w:lineRule="exact"/>
              <w:ind w:firstLine="468" w:firstLineChars="19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w:t>
            </w:r>
            <w:r>
              <w:rPr>
                <w:rFonts w:hint="eastAsia" w:ascii="宋体" w:hAnsi="宋体" w:eastAsia="宋体" w:cs="宋体"/>
                <w:color w:val="auto"/>
                <w:sz w:val="24"/>
                <w:highlight w:val="none"/>
                <w:lang w:val="en-US" w:eastAsia="zh-CN"/>
              </w:rPr>
              <w:t>2021</w:t>
            </w:r>
            <w:r>
              <w:rPr>
                <w:rFonts w:hint="eastAsia" w:ascii="宋体" w:hAnsi="宋体" w:eastAsia="宋体" w:cs="宋体"/>
                <w:color w:val="auto"/>
                <w:sz w:val="24"/>
                <w:highlight w:val="none"/>
              </w:rPr>
              <w:t>年1月1日以来同类项目业绩，每提供一份业绩得1分，最多得5分。</w:t>
            </w:r>
          </w:p>
          <w:p>
            <w:pPr>
              <w:keepNext w:val="0"/>
              <w:keepLines w:val="0"/>
              <w:pageBreakBefore w:val="0"/>
              <w:widowControl/>
              <w:kinsoku/>
              <w:overflowPunct/>
              <w:bidi w:val="0"/>
              <w:adjustRightInd/>
              <w:snapToGrid/>
              <w:spacing w:line="500" w:lineRule="exact"/>
              <w:ind w:firstLine="468" w:firstLineChars="19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注：供应商需在响应文件中提供</w:t>
            </w:r>
            <w:r>
              <w:rPr>
                <w:rFonts w:hint="eastAsia" w:ascii="宋体" w:hAnsi="宋体" w:eastAsia="宋体" w:cs="宋体"/>
                <w:color w:val="auto"/>
                <w:sz w:val="24"/>
                <w:szCs w:val="24"/>
                <w:highlight w:val="none"/>
              </w:rPr>
              <w:t>中标（成交）</w:t>
            </w:r>
            <w:r>
              <w:rPr>
                <w:rFonts w:hint="eastAsia" w:ascii="宋体" w:hAnsi="宋体" w:eastAsia="宋体" w:cs="宋体"/>
                <w:color w:val="auto"/>
                <w:sz w:val="24"/>
                <w:highlight w:val="none"/>
                <w:lang w:val="en-US" w:eastAsia="zh-CN"/>
              </w:rPr>
              <w:t>和</w:t>
            </w:r>
            <w:r>
              <w:rPr>
                <w:rFonts w:hint="eastAsia" w:ascii="宋体" w:hAnsi="宋体" w:eastAsia="宋体" w:cs="宋体"/>
                <w:color w:val="auto"/>
                <w:sz w:val="24"/>
                <w:highlight w:val="none"/>
              </w:rPr>
              <w:t>完整合同复印件（含首页、产品明细页、签字或盖章页）并加盖供应商公章，时间以合同签订时间为准，</w:t>
            </w:r>
            <w:r>
              <w:rPr>
                <w:rFonts w:hint="eastAsia" w:ascii="宋体" w:hAnsi="宋体" w:eastAsia="宋体" w:cs="宋体"/>
                <w:color w:val="auto"/>
                <w:sz w:val="24"/>
                <w:szCs w:val="24"/>
                <w:highlight w:val="none"/>
              </w:rPr>
              <w:t>并提供合同和中标（成交）通知书原件供现场查验。</w:t>
            </w:r>
            <w:r>
              <w:rPr>
                <w:rFonts w:hint="eastAsia" w:ascii="宋体" w:hAnsi="宋体" w:eastAsia="宋体" w:cs="宋体"/>
                <w:color w:val="auto"/>
                <w:sz w:val="24"/>
                <w:highlight w:val="none"/>
              </w:rPr>
              <w:t>成交人业绩将作为成交公告附件向社会公布，接受社会监督。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326" w:type="pct"/>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kinsoku/>
              <w:overflowPunct/>
              <w:bidi w:val="0"/>
              <w:adjustRightInd/>
              <w:snapToGrid/>
              <w:spacing w:line="500" w:lineRule="exact"/>
              <w:textAlignment w:val="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val="en-US" w:eastAsia="zh-CN"/>
              </w:rPr>
              <w:t>3</w:t>
            </w:r>
          </w:p>
        </w:tc>
        <w:tc>
          <w:tcPr>
            <w:tcW w:w="383" w:type="pct"/>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kinsoku/>
              <w:overflowPunct/>
              <w:bidi w:val="0"/>
              <w:adjustRightInd/>
              <w:snapToGrid/>
              <w:spacing w:line="500" w:lineRule="exact"/>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技术</w:t>
            </w:r>
            <w:r>
              <w:rPr>
                <w:rFonts w:hint="eastAsia" w:ascii="宋体" w:hAnsi="宋体" w:eastAsia="宋体" w:cs="宋体"/>
                <w:color w:val="auto"/>
                <w:sz w:val="24"/>
                <w:highlight w:val="none"/>
              </w:rPr>
              <w:t>部分</w:t>
            </w:r>
          </w:p>
        </w:tc>
        <w:tc>
          <w:tcPr>
            <w:tcW w:w="648"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bidi w:val="0"/>
              <w:adjustRightInd/>
              <w:snapToGrid/>
              <w:spacing w:line="50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产品技术参数（</w:t>
            </w:r>
            <w:r>
              <w:rPr>
                <w:rFonts w:hint="eastAsia" w:ascii="宋体" w:hAnsi="宋体" w:cs="宋体"/>
                <w:color w:val="auto"/>
                <w:sz w:val="24"/>
                <w:highlight w:val="none"/>
                <w:lang w:val="en-US" w:eastAsia="zh-CN"/>
              </w:rPr>
              <w:t>25</w:t>
            </w:r>
            <w:r>
              <w:rPr>
                <w:rFonts w:hint="eastAsia" w:ascii="宋体" w:hAnsi="宋体" w:eastAsia="宋体" w:cs="宋体"/>
                <w:color w:val="auto"/>
                <w:sz w:val="24"/>
                <w:highlight w:val="none"/>
              </w:rPr>
              <w:t>分）</w:t>
            </w:r>
          </w:p>
        </w:tc>
        <w:tc>
          <w:tcPr>
            <w:tcW w:w="3641"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bidi w:val="0"/>
              <w:adjustRightInd/>
              <w:snapToGrid/>
              <w:spacing w:line="500" w:lineRule="exact"/>
              <w:ind w:firstLine="468" w:firstLineChars="195"/>
              <w:textAlignment w:val="auto"/>
              <w:rPr>
                <w:rFonts w:hint="eastAsia" w:ascii="宋体" w:hAnsi="宋体" w:eastAsia="宋体" w:cs="宋体"/>
                <w:color w:val="auto"/>
                <w:sz w:val="24"/>
                <w:highlight w:val="none"/>
              </w:rPr>
            </w:pPr>
            <w:r>
              <w:rPr>
                <w:rFonts w:hint="eastAsia" w:ascii="宋体" w:hAnsi="宋体" w:cs="宋体"/>
                <w:color w:val="auto"/>
                <w:sz w:val="24"/>
                <w:highlight w:val="none"/>
              </w:rPr>
              <w:t>针对磋商文件中的技术要求，根据所投产品技术性能、技术参数、技术响应等与磋商文件要求的符合情况进行打分，完全符合磋商文件要求没有负偏离的得25分。存在负偏离的，每项扣</w:t>
            </w:r>
            <w:r>
              <w:rPr>
                <w:rFonts w:hint="eastAsia" w:ascii="宋体" w:hAnsi="宋体" w:cs="宋体"/>
                <w:color w:val="auto"/>
                <w:sz w:val="24"/>
                <w:highlight w:val="none"/>
                <w:lang w:val="en-US" w:eastAsia="zh-CN"/>
              </w:rPr>
              <w:t>0.5</w:t>
            </w:r>
            <w:r>
              <w:rPr>
                <w:rFonts w:hint="eastAsia" w:ascii="宋体" w:hAnsi="宋体" w:cs="宋体"/>
                <w:color w:val="auto"/>
                <w:sz w:val="24"/>
                <w:highlight w:val="none"/>
              </w:rPr>
              <w:t>分；对磋商文件技术要求不</w:t>
            </w:r>
            <w:r>
              <w:rPr>
                <w:rFonts w:hint="eastAsia" w:ascii="宋体" w:hAnsi="宋体" w:cs="宋体"/>
                <w:color w:val="auto"/>
                <w:sz w:val="24"/>
                <w:highlight w:val="none"/>
                <w:lang w:eastAsia="zh-CN"/>
              </w:rPr>
              <w:t>作</w:t>
            </w:r>
            <w:r>
              <w:rPr>
                <w:rFonts w:hint="eastAsia" w:ascii="宋体" w:hAnsi="宋体" w:cs="宋体"/>
                <w:color w:val="auto"/>
                <w:sz w:val="24"/>
                <w:highlight w:val="none"/>
              </w:rPr>
              <w:t>任何响应的，认定为负偏离以及有负偏离而未注明的，每发现一项扣</w:t>
            </w:r>
            <w:r>
              <w:rPr>
                <w:rFonts w:hint="eastAsia" w:ascii="宋体" w:hAnsi="宋体" w:cs="宋体"/>
                <w:color w:val="auto"/>
                <w:sz w:val="24"/>
                <w:highlight w:val="none"/>
                <w:lang w:val="en-US" w:eastAsia="zh-CN"/>
              </w:rPr>
              <w:t>1</w:t>
            </w:r>
            <w:r>
              <w:rPr>
                <w:rFonts w:hint="eastAsia" w:ascii="宋体" w:hAnsi="宋体" w:cs="宋体"/>
                <w:color w:val="auto"/>
                <w:sz w:val="24"/>
                <w:highlight w:val="none"/>
              </w:rPr>
              <w:t>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326" w:type="pct"/>
            <w:vMerge w:val="continue"/>
            <w:tcBorders>
              <w:left w:val="single" w:color="auto" w:sz="4" w:space="0"/>
              <w:right w:val="single" w:color="auto" w:sz="4" w:space="0"/>
            </w:tcBorders>
            <w:noWrap w:val="0"/>
            <w:vAlign w:val="center"/>
          </w:tcPr>
          <w:p>
            <w:pPr>
              <w:keepNext w:val="0"/>
              <w:keepLines w:val="0"/>
              <w:pageBreakBefore w:val="0"/>
              <w:widowControl/>
              <w:kinsoku/>
              <w:overflowPunct/>
              <w:bidi w:val="0"/>
              <w:adjustRightInd/>
              <w:snapToGrid/>
              <w:spacing w:line="500" w:lineRule="exact"/>
              <w:textAlignment w:val="auto"/>
              <w:rPr>
                <w:rFonts w:hint="eastAsia" w:ascii="宋体" w:hAnsi="宋体" w:eastAsia="宋体" w:cs="宋体"/>
                <w:color w:val="auto"/>
                <w:sz w:val="24"/>
                <w:highlight w:val="none"/>
              </w:rPr>
            </w:pPr>
          </w:p>
        </w:tc>
        <w:tc>
          <w:tcPr>
            <w:tcW w:w="383" w:type="pct"/>
            <w:vMerge w:val="continue"/>
            <w:tcBorders>
              <w:left w:val="single" w:color="auto" w:sz="4" w:space="0"/>
              <w:right w:val="single" w:color="auto" w:sz="4" w:space="0"/>
            </w:tcBorders>
            <w:noWrap w:val="0"/>
            <w:vAlign w:val="center"/>
          </w:tcPr>
          <w:p>
            <w:pPr>
              <w:keepNext w:val="0"/>
              <w:keepLines w:val="0"/>
              <w:pageBreakBefore w:val="0"/>
              <w:widowControl/>
              <w:kinsoku/>
              <w:overflowPunct/>
              <w:bidi w:val="0"/>
              <w:adjustRightInd/>
              <w:snapToGrid/>
              <w:spacing w:line="500" w:lineRule="exact"/>
              <w:jc w:val="center"/>
              <w:textAlignment w:val="auto"/>
              <w:rPr>
                <w:rFonts w:hint="eastAsia" w:ascii="宋体" w:hAnsi="宋体" w:eastAsia="宋体" w:cs="宋体"/>
                <w:color w:val="auto"/>
                <w:sz w:val="24"/>
                <w:highlight w:val="none"/>
              </w:rPr>
            </w:pPr>
          </w:p>
        </w:tc>
        <w:tc>
          <w:tcPr>
            <w:tcW w:w="648"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bidi w:val="0"/>
              <w:adjustRightInd/>
              <w:snapToGrid/>
              <w:spacing w:line="500" w:lineRule="exact"/>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szCs w:val="22"/>
                <w:highlight w:val="none"/>
              </w:rPr>
              <w:t>技术方案实施（</w:t>
            </w:r>
            <w:r>
              <w:rPr>
                <w:rFonts w:hint="eastAsia" w:ascii="宋体" w:hAnsi="宋体" w:cs="宋体"/>
                <w:color w:val="auto"/>
                <w:sz w:val="24"/>
                <w:szCs w:val="22"/>
                <w:highlight w:val="none"/>
                <w:lang w:val="en-US" w:eastAsia="zh-CN"/>
              </w:rPr>
              <w:t>25</w:t>
            </w:r>
            <w:r>
              <w:rPr>
                <w:rFonts w:hint="eastAsia" w:ascii="宋体" w:hAnsi="宋体" w:eastAsia="宋体" w:cs="宋体"/>
                <w:color w:val="auto"/>
                <w:sz w:val="24"/>
                <w:szCs w:val="22"/>
                <w:highlight w:val="none"/>
              </w:rPr>
              <w:t>分）</w:t>
            </w:r>
          </w:p>
        </w:tc>
        <w:tc>
          <w:tcPr>
            <w:tcW w:w="3641" w:type="pct"/>
            <w:tcBorders>
              <w:top w:val="single" w:color="auto" w:sz="4" w:space="0"/>
              <w:left w:val="single" w:color="auto" w:sz="4" w:space="0"/>
              <w:bottom w:val="single" w:color="auto" w:sz="4" w:space="0"/>
              <w:right w:val="single" w:color="auto" w:sz="4" w:space="0"/>
            </w:tcBorders>
            <w:noWrap w:val="0"/>
            <w:vAlign w:val="center"/>
          </w:tcPr>
          <w:p>
            <w:pPr>
              <w:widowControl/>
              <w:spacing w:line="480" w:lineRule="exact"/>
              <w:ind w:firstLine="468" w:firstLineChars="195"/>
              <w:rPr>
                <w:rFonts w:ascii="宋体" w:hAnsi="宋体" w:cs="宋体"/>
                <w:color w:val="auto"/>
                <w:sz w:val="24"/>
                <w:highlight w:val="none"/>
              </w:rPr>
            </w:pPr>
            <w:r>
              <w:rPr>
                <w:rFonts w:hint="eastAsia" w:ascii="宋体" w:hAnsi="宋体" w:cs="宋体"/>
                <w:color w:val="auto"/>
                <w:sz w:val="24"/>
                <w:highlight w:val="none"/>
              </w:rPr>
              <w:t>1、实施方案：针对本项目的具体供货运输方案、安装调试方案、项目实施团队情况的完整、规范得5分，每存在一项不足扣1分，扣完为止，未提供本项说明不得分；</w:t>
            </w:r>
          </w:p>
          <w:p>
            <w:pPr>
              <w:widowControl/>
              <w:spacing w:line="480" w:lineRule="exact"/>
              <w:ind w:firstLine="468" w:firstLineChars="195"/>
              <w:rPr>
                <w:rFonts w:ascii="宋体" w:hAnsi="宋体" w:cs="宋体"/>
                <w:color w:val="auto"/>
                <w:sz w:val="24"/>
                <w:highlight w:val="none"/>
              </w:rPr>
            </w:pPr>
            <w:r>
              <w:rPr>
                <w:rFonts w:hint="eastAsia" w:ascii="宋体" w:hAnsi="宋体" w:cs="宋体"/>
                <w:color w:val="auto"/>
                <w:sz w:val="24"/>
                <w:highlight w:val="none"/>
              </w:rPr>
              <w:t>2、质量保障方案：针对本项目的质量保障措施方案等全面、切实可行得5分，每存在一项不足扣1分，扣完为止，未提供本项说明不得分；</w:t>
            </w:r>
          </w:p>
          <w:p>
            <w:pPr>
              <w:widowControl/>
              <w:spacing w:line="480" w:lineRule="exact"/>
              <w:ind w:firstLine="468" w:firstLineChars="195"/>
              <w:rPr>
                <w:rFonts w:ascii="宋体" w:hAnsi="宋体" w:cs="宋体"/>
                <w:color w:val="auto"/>
                <w:sz w:val="24"/>
                <w:highlight w:val="none"/>
              </w:rPr>
            </w:pPr>
            <w:r>
              <w:rPr>
                <w:rFonts w:hint="eastAsia" w:ascii="宋体" w:hAnsi="宋体" w:cs="宋体"/>
                <w:color w:val="auto"/>
                <w:sz w:val="24"/>
                <w:highlight w:val="none"/>
              </w:rPr>
              <w:t>3、进度计划及保障措施：针对本项目的供货安装、调试进度计划、进度控制保障措施完整、具体、</w:t>
            </w:r>
            <w:r>
              <w:rPr>
                <w:rFonts w:hint="eastAsia" w:ascii="宋体" w:hAnsi="宋体" w:cs="宋体"/>
                <w:color w:val="auto"/>
                <w:sz w:val="24"/>
                <w:highlight w:val="none"/>
                <w:lang w:eastAsia="zh-CN"/>
              </w:rPr>
              <w:t>具有</w:t>
            </w:r>
            <w:r>
              <w:rPr>
                <w:rFonts w:hint="eastAsia" w:ascii="宋体" w:hAnsi="宋体" w:cs="宋体"/>
                <w:color w:val="auto"/>
                <w:sz w:val="24"/>
                <w:highlight w:val="none"/>
              </w:rPr>
              <w:t>针对性得5分，每存在一项不足扣1分，扣完为止，未提供本项说明不得分；</w:t>
            </w:r>
          </w:p>
          <w:p>
            <w:pPr>
              <w:widowControl/>
              <w:spacing w:line="480" w:lineRule="exact"/>
              <w:ind w:firstLine="468" w:firstLineChars="195"/>
              <w:rPr>
                <w:rFonts w:ascii="宋体" w:hAnsi="宋体" w:cs="宋体"/>
                <w:color w:val="auto"/>
                <w:sz w:val="24"/>
                <w:highlight w:val="none"/>
              </w:rPr>
            </w:pPr>
            <w:r>
              <w:rPr>
                <w:rFonts w:hint="eastAsia" w:ascii="宋体" w:hAnsi="宋体" w:cs="宋体"/>
                <w:color w:val="auto"/>
                <w:sz w:val="24"/>
                <w:highlight w:val="none"/>
              </w:rPr>
              <w:t>4、货物验收标准：具有货物的验收标准且具有可执行性得5分，标准内容不详细不明确的，每有一处扣1 分，扣完为止，响应文件中无相关描述的，本项不得分。</w:t>
            </w:r>
          </w:p>
          <w:p>
            <w:pPr>
              <w:keepNext w:val="0"/>
              <w:keepLines w:val="0"/>
              <w:pageBreakBefore w:val="0"/>
              <w:widowControl/>
              <w:kinsoku/>
              <w:overflowPunct/>
              <w:bidi w:val="0"/>
              <w:adjustRightInd/>
              <w:snapToGrid/>
              <w:spacing w:line="500" w:lineRule="exact"/>
              <w:ind w:firstLine="468" w:firstLineChars="195"/>
              <w:textAlignment w:val="auto"/>
              <w:rPr>
                <w:rFonts w:hint="eastAsia" w:ascii="宋体" w:hAnsi="宋体" w:eastAsia="宋体" w:cs="宋体"/>
                <w:color w:val="auto"/>
                <w:sz w:val="24"/>
                <w:highlight w:val="none"/>
              </w:rPr>
            </w:pPr>
            <w:r>
              <w:rPr>
                <w:rFonts w:hint="eastAsia" w:ascii="宋体" w:hAnsi="宋体" w:cs="宋体"/>
                <w:color w:val="auto"/>
                <w:sz w:val="24"/>
                <w:highlight w:val="none"/>
              </w:rPr>
              <w:t>5、应急保障措施：针对本项目的应急情况、突击性任务时维护人员、设备安排预案和应急方案完整、针对性强得5分，每存在一项不足扣1分，扣完为止，未提供本项说明不得分。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326" w:type="pct"/>
            <w:vMerge w:val="restart"/>
            <w:tcBorders>
              <w:left w:val="single" w:color="auto" w:sz="4" w:space="0"/>
              <w:right w:val="single" w:color="auto" w:sz="4" w:space="0"/>
            </w:tcBorders>
            <w:noWrap w:val="0"/>
            <w:vAlign w:val="center"/>
          </w:tcPr>
          <w:p>
            <w:pPr>
              <w:keepNext w:val="0"/>
              <w:keepLines w:val="0"/>
              <w:pageBreakBefore w:val="0"/>
              <w:widowControl/>
              <w:kinsoku/>
              <w:overflowPunct/>
              <w:bidi w:val="0"/>
              <w:adjustRightInd/>
              <w:snapToGrid/>
              <w:spacing w:line="500" w:lineRule="exact"/>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4</w:t>
            </w:r>
          </w:p>
        </w:tc>
        <w:tc>
          <w:tcPr>
            <w:tcW w:w="383" w:type="pct"/>
            <w:vMerge w:val="restart"/>
            <w:tcBorders>
              <w:left w:val="single" w:color="auto" w:sz="4" w:space="0"/>
              <w:right w:val="single" w:color="auto" w:sz="4" w:space="0"/>
            </w:tcBorders>
            <w:noWrap w:val="0"/>
            <w:vAlign w:val="center"/>
          </w:tcPr>
          <w:p>
            <w:pPr>
              <w:keepNext w:val="0"/>
              <w:keepLines w:val="0"/>
              <w:pageBreakBefore w:val="0"/>
              <w:widowControl/>
              <w:kinsoku/>
              <w:overflowPunct/>
              <w:bidi w:val="0"/>
              <w:adjustRightInd/>
              <w:snapToGrid/>
              <w:spacing w:line="500" w:lineRule="exact"/>
              <w:jc w:val="center"/>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服务部分</w:t>
            </w:r>
          </w:p>
        </w:tc>
        <w:tc>
          <w:tcPr>
            <w:tcW w:w="648"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bidi w:val="0"/>
              <w:adjustRightInd/>
              <w:snapToGrid/>
              <w:spacing w:line="500" w:lineRule="exact"/>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szCs w:val="22"/>
                <w:highlight w:val="none"/>
              </w:rPr>
              <w:t>售后服务方案（1</w:t>
            </w:r>
            <w:r>
              <w:rPr>
                <w:rFonts w:hint="eastAsia" w:ascii="宋体" w:hAnsi="宋体" w:cs="宋体"/>
                <w:color w:val="auto"/>
                <w:sz w:val="24"/>
                <w:szCs w:val="22"/>
                <w:highlight w:val="none"/>
                <w:lang w:val="en-US" w:eastAsia="zh-CN"/>
              </w:rPr>
              <w:t>0</w:t>
            </w:r>
            <w:r>
              <w:rPr>
                <w:rFonts w:hint="eastAsia" w:ascii="宋体" w:hAnsi="宋体" w:eastAsia="宋体" w:cs="宋体"/>
                <w:color w:val="auto"/>
                <w:sz w:val="24"/>
                <w:szCs w:val="22"/>
                <w:highlight w:val="none"/>
              </w:rPr>
              <w:t>分）</w:t>
            </w:r>
          </w:p>
        </w:tc>
        <w:tc>
          <w:tcPr>
            <w:tcW w:w="3641"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autoSpaceDE w:val="0"/>
              <w:bidi w:val="0"/>
              <w:adjustRightInd/>
              <w:snapToGrid/>
              <w:spacing w:line="500" w:lineRule="exact"/>
              <w:ind w:firstLine="458" w:firstLineChars="191"/>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要求提供售后服务方案，要求方案至少包含：售后服务内容范围、售后服务人员方案、售后服务响应和完成时间、退换货方案、售后服务质量保障措施等五个方面内容，内容完整无缺项的得1</w:t>
            </w:r>
            <w:r>
              <w:rPr>
                <w:rFonts w:hint="eastAsia" w:ascii="宋体" w:hAnsi="宋体" w:cs="宋体"/>
                <w:color w:val="auto"/>
                <w:sz w:val="24"/>
                <w:highlight w:val="none"/>
                <w:lang w:val="en-US" w:eastAsia="zh-CN"/>
              </w:rPr>
              <w:t>0</w:t>
            </w:r>
            <w:r>
              <w:rPr>
                <w:rFonts w:hint="eastAsia" w:ascii="宋体" w:hAnsi="宋体" w:eastAsia="宋体" w:cs="宋体"/>
                <w:color w:val="auto"/>
                <w:sz w:val="24"/>
                <w:highlight w:val="none"/>
              </w:rPr>
              <w:t>分，每缺一项扣</w:t>
            </w:r>
            <w:r>
              <w:rPr>
                <w:rFonts w:hint="eastAsia" w:ascii="宋体" w:hAnsi="宋体" w:cs="宋体"/>
                <w:color w:val="auto"/>
                <w:sz w:val="24"/>
                <w:highlight w:val="none"/>
                <w:lang w:val="en-US" w:eastAsia="zh-CN"/>
              </w:rPr>
              <w:t>2</w:t>
            </w:r>
            <w:r>
              <w:rPr>
                <w:rFonts w:hint="eastAsia" w:ascii="宋体" w:hAnsi="宋体" w:eastAsia="宋体" w:cs="宋体"/>
                <w:color w:val="auto"/>
                <w:sz w:val="24"/>
                <w:highlight w:val="none"/>
              </w:rPr>
              <w:t>分，内容不完整或可行性差每一处扣1分，扣完为止。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326" w:type="pct"/>
            <w:vMerge w:val="continue"/>
            <w:tcBorders>
              <w:left w:val="single" w:color="auto" w:sz="4" w:space="0"/>
              <w:right w:val="single" w:color="auto" w:sz="4" w:space="0"/>
            </w:tcBorders>
            <w:noWrap w:val="0"/>
            <w:vAlign w:val="center"/>
          </w:tcPr>
          <w:p>
            <w:pPr>
              <w:keepNext w:val="0"/>
              <w:keepLines w:val="0"/>
              <w:pageBreakBefore w:val="0"/>
              <w:widowControl/>
              <w:kinsoku/>
              <w:overflowPunct/>
              <w:bidi w:val="0"/>
              <w:adjustRightInd/>
              <w:snapToGrid/>
              <w:spacing w:line="500" w:lineRule="exact"/>
              <w:textAlignment w:val="auto"/>
              <w:rPr>
                <w:rFonts w:hint="eastAsia" w:ascii="宋体" w:hAnsi="宋体" w:eastAsia="宋体" w:cs="宋体"/>
                <w:color w:val="auto"/>
                <w:sz w:val="24"/>
                <w:highlight w:val="none"/>
              </w:rPr>
            </w:pPr>
          </w:p>
        </w:tc>
        <w:tc>
          <w:tcPr>
            <w:tcW w:w="383" w:type="pct"/>
            <w:vMerge w:val="continue"/>
            <w:tcBorders>
              <w:left w:val="single" w:color="auto" w:sz="4" w:space="0"/>
              <w:right w:val="single" w:color="auto" w:sz="4" w:space="0"/>
            </w:tcBorders>
            <w:noWrap w:val="0"/>
            <w:vAlign w:val="center"/>
          </w:tcPr>
          <w:p>
            <w:pPr>
              <w:keepNext w:val="0"/>
              <w:keepLines w:val="0"/>
              <w:pageBreakBefore w:val="0"/>
              <w:widowControl/>
              <w:kinsoku/>
              <w:overflowPunct/>
              <w:bidi w:val="0"/>
              <w:adjustRightInd/>
              <w:snapToGrid/>
              <w:spacing w:line="500" w:lineRule="exact"/>
              <w:jc w:val="center"/>
              <w:textAlignment w:val="auto"/>
              <w:rPr>
                <w:rFonts w:hint="eastAsia" w:ascii="宋体" w:hAnsi="宋体" w:eastAsia="宋体" w:cs="宋体"/>
                <w:color w:val="auto"/>
                <w:sz w:val="24"/>
                <w:highlight w:val="none"/>
              </w:rPr>
            </w:pPr>
          </w:p>
        </w:tc>
        <w:tc>
          <w:tcPr>
            <w:tcW w:w="648" w:type="pct"/>
            <w:tcBorders>
              <w:top w:val="single" w:color="auto" w:sz="4" w:space="0"/>
              <w:left w:val="single" w:color="auto" w:sz="4" w:space="0"/>
              <w:bottom w:val="single" w:color="auto" w:sz="4" w:space="0"/>
              <w:right w:val="single" w:color="auto" w:sz="4" w:space="0"/>
            </w:tcBorders>
            <w:noWrap w:val="0"/>
            <w:vAlign w:val="center"/>
          </w:tcPr>
          <w:p>
            <w:pPr>
              <w:widowControl/>
              <w:spacing w:line="50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优惠</w:t>
            </w:r>
            <w:r>
              <w:rPr>
                <w:rFonts w:hint="eastAsia" w:ascii="宋体" w:hAnsi="宋体" w:eastAsia="宋体" w:cs="宋体"/>
                <w:color w:val="auto"/>
                <w:sz w:val="24"/>
                <w:highlight w:val="none"/>
                <w:lang w:val="en-US" w:eastAsia="zh-CN"/>
              </w:rPr>
              <w:t>措施</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5分</w:t>
            </w:r>
            <w:r>
              <w:rPr>
                <w:rFonts w:hint="eastAsia" w:ascii="宋体" w:hAnsi="宋体" w:eastAsia="宋体" w:cs="宋体"/>
                <w:color w:val="auto"/>
                <w:sz w:val="24"/>
                <w:highlight w:val="none"/>
                <w:lang w:eastAsia="zh-CN"/>
              </w:rPr>
              <w:t>）</w:t>
            </w:r>
          </w:p>
        </w:tc>
        <w:tc>
          <w:tcPr>
            <w:tcW w:w="3641" w:type="pct"/>
            <w:tcBorders>
              <w:top w:val="single" w:color="auto" w:sz="4" w:space="0"/>
              <w:left w:val="single" w:color="auto" w:sz="4" w:space="0"/>
              <w:bottom w:val="single" w:color="auto" w:sz="4" w:space="0"/>
              <w:right w:val="single" w:color="auto" w:sz="4" w:space="0"/>
            </w:tcBorders>
            <w:noWrap w:val="0"/>
            <w:vAlign w:val="center"/>
          </w:tcPr>
          <w:p>
            <w:pPr>
              <w:widowControl/>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供应商提供的与本项目履约有关的优惠</w:t>
            </w:r>
            <w:r>
              <w:rPr>
                <w:rFonts w:hint="eastAsia" w:ascii="宋体" w:hAnsi="宋体" w:eastAsia="宋体" w:cs="宋体"/>
                <w:color w:val="auto"/>
                <w:sz w:val="24"/>
                <w:highlight w:val="none"/>
                <w:lang w:val="en-US" w:eastAsia="zh-CN"/>
              </w:rPr>
              <w:t>措施</w:t>
            </w:r>
            <w:r>
              <w:rPr>
                <w:rFonts w:hint="eastAsia" w:ascii="宋体" w:hAnsi="宋体" w:eastAsia="宋体" w:cs="宋体"/>
                <w:color w:val="auto"/>
                <w:sz w:val="24"/>
                <w:highlight w:val="none"/>
              </w:rPr>
              <w:t>是否具有实质性</w:t>
            </w:r>
            <w:r>
              <w:rPr>
                <w:rFonts w:hint="eastAsia" w:ascii="宋体" w:hAnsi="宋体" w:eastAsia="宋体" w:cs="宋体"/>
                <w:color w:val="auto"/>
                <w:sz w:val="24"/>
                <w:highlight w:val="none"/>
                <w:lang w:eastAsia="zh-CN"/>
              </w:rPr>
              <w:t>（如保质期</w:t>
            </w:r>
            <w:r>
              <w:rPr>
                <w:rFonts w:hint="eastAsia" w:ascii="宋体" w:hAnsi="宋体" w:eastAsia="宋体" w:cs="宋体"/>
                <w:color w:val="auto"/>
                <w:sz w:val="24"/>
                <w:highlight w:val="none"/>
                <w:lang w:val="en-US" w:eastAsia="zh-CN"/>
              </w:rPr>
              <w:t>在磋商文件要求基础上每</w:t>
            </w:r>
            <w:r>
              <w:rPr>
                <w:rFonts w:hint="eastAsia" w:ascii="宋体" w:hAnsi="宋体" w:eastAsia="宋体" w:cs="宋体"/>
                <w:color w:val="auto"/>
                <w:sz w:val="24"/>
                <w:highlight w:val="none"/>
                <w:lang w:eastAsia="zh-CN"/>
              </w:rPr>
              <w:t>增加</w:t>
            </w:r>
            <w:r>
              <w:rPr>
                <w:rFonts w:hint="eastAsia" w:ascii="宋体" w:hAnsi="宋体" w:cs="宋体"/>
                <w:color w:val="auto"/>
                <w:sz w:val="24"/>
                <w:highlight w:val="none"/>
                <w:lang w:val="en-US" w:eastAsia="zh-CN"/>
              </w:rPr>
              <w:t>半</w:t>
            </w:r>
            <w:r>
              <w:rPr>
                <w:rFonts w:hint="eastAsia" w:ascii="宋体" w:hAnsi="宋体" w:eastAsia="宋体" w:cs="宋体"/>
                <w:color w:val="auto"/>
                <w:sz w:val="24"/>
                <w:highlight w:val="none"/>
                <w:lang w:eastAsia="zh-CN"/>
              </w:rPr>
              <w:t>年得1分）</w:t>
            </w:r>
            <w:r>
              <w:rPr>
                <w:rFonts w:hint="eastAsia" w:ascii="宋体" w:hAnsi="宋体" w:eastAsia="宋体" w:cs="宋体"/>
                <w:color w:val="auto"/>
                <w:sz w:val="24"/>
                <w:highlight w:val="none"/>
              </w:rPr>
              <w:t>，经磋商小组认定每有效1条得1分，最多得5分。</w:t>
            </w:r>
          </w:p>
        </w:tc>
      </w:tr>
    </w:tbl>
    <w:p>
      <w:pPr>
        <w:keepNext w:val="0"/>
        <w:keepLines w:val="0"/>
        <w:pageBreakBefore w:val="0"/>
        <w:wordWrap/>
        <w:overflowPunct w:val="0"/>
        <w:bidi w:val="0"/>
        <w:spacing w:line="480" w:lineRule="exac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政府采购政策落实措施说明：</w:t>
      </w:r>
    </w:p>
    <w:p>
      <w:pPr>
        <w:keepNext w:val="0"/>
        <w:keepLines w:val="0"/>
        <w:pageBreakBefore w:val="0"/>
        <w:wordWrap/>
        <w:overflowPunct w:val="0"/>
        <w:bidi w:val="0"/>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（1）政策文件：</w:t>
      </w:r>
    </w:p>
    <w:p>
      <w:pPr>
        <w:keepNext w:val="0"/>
        <w:keepLines w:val="0"/>
        <w:pageBreakBefore w:val="0"/>
        <w:wordWrap/>
        <w:overflowPunct w:val="0"/>
        <w:bidi w:val="0"/>
        <w:spacing w:line="480" w:lineRule="exact"/>
        <w:ind w:firstLine="480" w:firstLineChars="200"/>
        <w:rPr>
          <w:rFonts w:hint="eastAsia" w:ascii="宋体" w:hAnsi="宋体" w:eastAsia="宋体" w:cs="宋体"/>
          <w:color w:val="auto"/>
          <w:position w:val="-3"/>
          <w:sz w:val="24"/>
          <w:highlight w:val="none"/>
        </w:rPr>
      </w:pPr>
      <w:r>
        <w:rPr>
          <w:rFonts w:hint="eastAsia" w:ascii="宋体" w:hAnsi="宋体" w:eastAsia="宋体" w:cs="宋体"/>
          <w:color w:val="auto"/>
          <w:position w:val="-3"/>
          <w:sz w:val="24"/>
          <w:highlight w:val="none"/>
        </w:rPr>
        <w:t>《</w:t>
      </w:r>
      <w:r>
        <w:rPr>
          <w:rFonts w:hint="eastAsia" w:ascii="宋体" w:hAnsi="宋体" w:eastAsia="宋体" w:cs="宋体"/>
          <w:color w:val="auto"/>
          <w:position w:val="-3"/>
          <w:sz w:val="24"/>
          <w:highlight w:val="none"/>
          <w:lang w:eastAsia="zh-CN"/>
        </w:rPr>
        <w:t>政府采购促进中小企业发展管理办法</w:t>
      </w:r>
      <w:r>
        <w:rPr>
          <w:rFonts w:hint="eastAsia" w:ascii="宋体" w:hAnsi="宋体" w:eastAsia="宋体" w:cs="宋体"/>
          <w:color w:val="auto"/>
          <w:position w:val="-3"/>
          <w:sz w:val="24"/>
          <w:highlight w:val="none"/>
        </w:rPr>
        <w:t>》（财</w:t>
      </w:r>
      <w:r>
        <w:rPr>
          <w:rFonts w:hint="eastAsia" w:ascii="宋体" w:hAnsi="宋体" w:eastAsia="宋体" w:cs="宋体"/>
          <w:color w:val="auto"/>
          <w:spacing w:val="1"/>
          <w:position w:val="-3"/>
          <w:sz w:val="24"/>
          <w:highlight w:val="none"/>
        </w:rPr>
        <w:t>库</w:t>
      </w:r>
      <w:r>
        <w:rPr>
          <w:rFonts w:hint="eastAsia" w:ascii="宋体" w:hAnsi="宋体" w:eastAsia="宋体" w:cs="宋体"/>
          <w:color w:val="auto"/>
          <w:position w:val="-3"/>
          <w:sz w:val="24"/>
          <w:highlight w:val="none"/>
        </w:rPr>
        <w:t>[2020]46号）；</w:t>
      </w:r>
    </w:p>
    <w:p>
      <w:pPr>
        <w:keepNext w:val="0"/>
        <w:keepLines w:val="0"/>
        <w:pageBreakBefore w:val="0"/>
        <w:wordWrap/>
        <w:overflowPunct w:val="0"/>
        <w:bidi w:val="0"/>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《财政部 司法部关于政府采购支持监狱企业发展有关问题的通知》（财库〔2014〕68号）；</w:t>
      </w:r>
    </w:p>
    <w:p>
      <w:pPr>
        <w:keepNext w:val="0"/>
        <w:keepLines w:val="0"/>
        <w:pageBreakBefore w:val="0"/>
        <w:wordWrap/>
        <w:overflowPunct w:val="0"/>
        <w:bidi w:val="0"/>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《三部门联合发布关于促进残疾人就业政府采购政策的通知》（财库〔2017〕141号）；</w:t>
      </w:r>
    </w:p>
    <w:p>
      <w:pPr>
        <w:keepNext w:val="0"/>
        <w:keepLines w:val="0"/>
        <w:pageBreakBefore w:val="0"/>
        <w:wordWrap/>
        <w:overflowPunct w:val="0"/>
        <w:bidi w:val="0"/>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财政部国家发展改革委关于印发《节能产品政府采购实施意见》的通知（财库〔2004〕185号）；</w:t>
      </w:r>
    </w:p>
    <w:p>
      <w:pPr>
        <w:keepNext w:val="0"/>
        <w:keepLines w:val="0"/>
        <w:pageBreakBefore w:val="0"/>
        <w:wordWrap/>
        <w:overflowPunct w:val="0"/>
        <w:bidi w:val="0"/>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《财政部 发展改革委 生态环境部 市场监管总局关于调整优化节能产品、环境标志产品政府采购执行机制的通知》财库〔2019〕9号；</w:t>
      </w:r>
    </w:p>
    <w:p>
      <w:pPr>
        <w:keepNext w:val="0"/>
        <w:keepLines w:val="0"/>
        <w:pageBreakBefore w:val="0"/>
        <w:wordWrap/>
        <w:overflowPunct w:val="0"/>
        <w:bidi w:val="0"/>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《关于印发环境标志产品政府采购品目清单的通知》财库〔2019〕18号；</w:t>
      </w:r>
    </w:p>
    <w:p>
      <w:pPr>
        <w:keepNext w:val="0"/>
        <w:keepLines w:val="0"/>
        <w:pageBreakBefore w:val="0"/>
        <w:wordWrap/>
        <w:overflowPunct w:val="0"/>
        <w:bidi w:val="0"/>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《关于印发节能产品政府采购品目清单的通知》财库〔2019〕19号；</w:t>
      </w:r>
    </w:p>
    <w:p>
      <w:pPr>
        <w:keepNext w:val="0"/>
        <w:keepLines w:val="0"/>
        <w:pageBreakBefore w:val="0"/>
        <w:wordWrap/>
        <w:overflowPunct w:val="0"/>
        <w:bidi w:val="0"/>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《山东省节能环保产品政府采购评审办法》（鲁财库〔2007〕32号）。</w:t>
      </w:r>
    </w:p>
    <w:p>
      <w:pPr>
        <w:keepNext w:val="0"/>
        <w:keepLines w:val="0"/>
        <w:pageBreakBefore w:val="0"/>
        <w:wordWrap/>
        <w:overflowPunct w:val="0"/>
        <w:bidi w:val="0"/>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（2）政策要求</w:t>
      </w:r>
    </w:p>
    <w:p>
      <w:pPr>
        <w:keepNext w:val="0"/>
        <w:keepLines w:val="0"/>
        <w:pageBreakBefore w:val="0"/>
        <w:wordWrap/>
        <w:overflowPunct w:val="0"/>
        <w:bidi w:val="0"/>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对满足价格扣除条件且在投标（响应）文件中提交了《中小企业声明函</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残疾人福利性单位声明函》或省级以上监狱管理局、戒毒管理局（含新疆生产建设兵团）出具的属于监狱企业的证明文件的供应商，其投标报价扣除10%后参与评审。对于同时属于小微企业、监狱企业或残疾人福利性单位的，不重复进行报价扣除。《</w:t>
      </w:r>
      <w:r>
        <w:rPr>
          <w:rFonts w:hint="eastAsia" w:ascii="宋体" w:hAnsi="宋体" w:eastAsia="宋体" w:cs="宋体"/>
          <w:color w:val="auto"/>
          <w:sz w:val="24"/>
          <w:highlight w:val="none"/>
          <w:lang w:eastAsia="zh-CN"/>
        </w:rPr>
        <w:t>政府采购促进中小企业发展管理办法</w:t>
      </w:r>
      <w:r>
        <w:rPr>
          <w:rFonts w:hint="eastAsia" w:ascii="宋体" w:hAnsi="宋体" w:eastAsia="宋体" w:cs="宋体"/>
          <w:color w:val="auto"/>
          <w:sz w:val="24"/>
          <w:highlight w:val="none"/>
        </w:rPr>
        <w:t>》所指中小企业（含中型、小型、微型企业，下同）应当同时符合以下条件：</w:t>
      </w:r>
    </w:p>
    <w:p>
      <w:pPr>
        <w:keepNext w:val="0"/>
        <w:keepLines w:val="0"/>
        <w:pageBreakBefore w:val="0"/>
        <w:tabs>
          <w:tab w:val="left" w:pos="993"/>
          <w:tab w:val="left" w:pos="1440"/>
        </w:tabs>
        <w:wordWrap/>
        <w:bidi w:val="0"/>
        <w:spacing w:line="480" w:lineRule="exact"/>
        <w:ind w:firstLine="708" w:firstLineChars="295"/>
        <w:rPr>
          <w:rFonts w:hint="eastAsia" w:ascii="宋体" w:hAnsi="宋体" w:eastAsia="宋体" w:cs="宋体"/>
          <w:color w:val="auto"/>
          <w:kern w:val="11"/>
          <w:sz w:val="24"/>
          <w:highlight w:val="none"/>
        </w:rPr>
      </w:pPr>
      <w:r>
        <w:rPr>
          <w:rFonts w:hint="eastAsia" w:ascii="宋体" w:hAnsi="宋体" w:eastAsia="宋体" w:cs="宋体"/>
          <w:color w:val="auto"/>
          <w:kern w:val="11"/>
          <w:sz w:val="24"/>
          <w:highlight w:val="none"/>
        </w:rPr>
        <w:fldChar w:fldCharType="begin"/>
      </w:r>
      <w:r>
        <w:rPr>
          <w:rFonts w:hint="eastAsia" w:ascii="宋体" w:hAnsi="宋体" w:eastAsia="宋体" w:cs="宋体"/>
          <w:color w:val="auto"/>
          <w:kern w:val="11"/>
          <w:sz w:val="24"/>
          <w:highlight w:val="none"/>
        </w:rPr>
        <w:instrText xml:space="preserve"> = 1 \* GB3 </w:instrText>
      </w:r>
      <w:r>
        <w:rPr>
          <w:rFonts w:hint="eastAsia" w:ascii="宋体" w:hAnsi="宋体" w:eastAsia="宋体" w:cs="宋体"/>
          <w:color w:val="auto"/>
          <w:kern w:val="11"/>
          <w:sz w:val="24"/>
          <w:highlight w:val="none"/>
        </w:rPr>
        <w:fldChar w:fldCharType="separate"/>
      </w:r>
      <w:r>
        <w:rPr>
          <w:rFonts w:hint="eastAsia" w:ascii="宋体" w:hAnsi="宋体" w:eastAsia="宋体" w:cs="宋体"/>
          <w:color w:val="auto"/>
          <w:kern w:val="11"/>
          <w:sz w:val="24"/>
          <w:highlight w:val="none"/>
        </w:rPr>
        <w:t>①</w:t>
      </w:r>
      <w:r>
        <w:rPr>
          <w:rFonts w:hint="eastAsia" w:ascii="宋体" w:hAnsi="宋体" w:eastAsia="宋体" w:cs="宋体"/>
          <w:color w:val="auto"/>
          <w:kern w:val="11"/>
          <w:sz w:val="24"/>
          <w:highlight w:val="none"/>
        </w:rPr>
        <w:fldChar w:fldCharType="end"/>
      </w:r>
      <w:r>
        <w:rPr>
          <w:rFonts w:hint="eastAsia" w:ascii="宋体" w:hAnsi="宋体" w:eastAsia="宋体" w:cs="宋体"/>
          <w:color w:val="auto"/>
          <w:kern w:val="11"/>
          <w:sz w:val="24"/>
          <w:highlight w:val="none"/>
        </w:rPr>
        <w:t xml:space="preserve">符合中小企业划分标准； </w:t>
      </w:r>
    </w:p>
    <w:p>
      <w:pPr>
        <w:keepNext w:val="0"/>
        <w:keepLines w:val="0"/>
        <w:pageBreakBefore w:val="0"/>
        <w:tabs>
          <w:tab w:val="left" w:pos="993"/>
          <w:tab w:val="left" w:pos="1440"/>
        </w:tabs>
        <w:wordWrap/>
        <w:bidi w:val="0"/>
        <w:spacing w:line="480" w:lineRule="exact"/>
        <w:ind w:left="283" w:leftChars="135" w:firstLine="424" w:firstLineChars="177"/>
        <w:rPr>
          <w:rFonts w:hint="eastAsia" w:ascii="宋体" w:hAnsi="宋体" w:eastAsia="宋体" w:cs="宋体"/>
          <w:color w:val="auto"/>
          <w:kern w:val="11"/>
          <w:sz w:val="24"/>
          <w:highlight w:val="none"/>
        </w:rPr>
      </w:pPr>
      <w:r>
        <w:rPr>
          <w:rFonts w:hint="eastAsia" w:ascii="宋体" w:hAnsi="宋体" w:eastAsia="宋体" w:cs="宋体"/>
          <w:color w:val="auto"/>
          <w:kern w:val="11"/>
          <w:sz w:val="24"/>
          <w:highlight w:val="none"/>
        </w:rPr>
        <w:fldChar w:fldCharType="begin"/>
      </w:r>
      <w:r>
        <w:rPr>
          <w:rFonts w:hint="eastAsia" w:ascii="宋体" w:hAnsi="宋体" w:eastAsia="宋体" w:cs="宋体"/>
          <w:color w:val="auto"/>
          <w:kern w:val="11"/>
          <w:sz w:val="24"/>
          <w:highlight w:val="none"/>
        </w:rPr>
        <w:instrText xml:space="preserve"> = 2 \* GB3 </w:instrText>
      </w:r>
      <w:r>
        <w:rPr>
          <w:rFonts w:hint="eastAsia" w:ascii="宋体" w:hAnsi="宋体" w:eastAsia="宋体" w:cs="宋体"/>
          <w:color w:val="auto"/>
          <w:kern w:val="11"/>
          <w:sz w:val="24"/>
          <w:highlight w:val="none"/>
        </w:rPr>
        <w:fldChar w:fldCharType="separate"/>
      </w:r>
      <w:r>
        <w:rPr>
          <w:rFonts w:hint="eastAsia" w:ascii="宋体" w:hAnsi="宋体" w:eastAsia="宋体" w:cs="宋体"/>
          <w:color w:val="auto"/>
          <w:kern w:val="11"/>
          <w:sz w:val="24"/>
          <w:highlight w:val="none"/>
        </w:rPr>
        <w:t>②</w:t>
      </w:r>
      <w:r>
        <w:rPr>
          <w:rFonts w:hint="eastAsia" w:ascii="宋体" w:hAnsi="宋体" w:eastAsia="宋体" w:cs="宋体"/>
          <w:color w:val="auto"/>
          <w:kern w:val="11"/>
          <w:sz w:val="24"/>
          <w:highlight w:val="none"/>
        </w:rPr>
        <w:fldChar w:fldCharType="end"/>
      </w:r>
      <w:r>
        <w:rPr>
          <w:rFonts w:hint="eastAsia" w:ascii="宋体" w:hAnsi="宋体" w:eastAsia="宋体" w:cs="宋体"/>
          <w:color w:val="auto"/>
          <w:kern w:val="11"/>
          <w:sz w:val="24"/>
          <w:highlight w:val="none"/>
        </w:rPr>
        <w:t>提供本企业制造的货物、承担的工程或者服务，或者提供其他中小企业制造的货物。本项所称货物不包括使用大型企业注册商标的货物。</w:t>
      </w:r>
    </w:p>
    <w:p>
      <w:pPr>
        <w:keepNext w:val="0"/>
        <w:keepLines w:val="0"/>
        <w:pageBreakBefore w:val="0"/>
        <w:wordWrap/>
        <w:overflowPunct w:val="0"/>
        <w:bidi w:val="0"/>
        <w:spacing w:line="480" w:lineRule="exact"/>
        <w:ind w:firstLine="480" w:firstLineChars="200"/>
        <w:rPr>
          <w:rFonts w:hint="eastAsia" w:ascii="宋体" w:hAnsi="宋体" w:eastAsia="宋体" w:cs="宋体"/>
          <w:color w:val="auto"/>
          <w:highlight w:val="none"/>
        </w:rPr>
      </w:pPr>
      <w:r>
        <w:rPr>
          <w:rFonts w:hint="eastAsia" w:ascii="宋体" w:hAnsi="宋体" w:eastAsia="宋体" w:cs="宋体"/>
          <w:color w:val="auto"/>
          <w:sz w:val="24"/>
          <w:highlight w:val="none"/>
        </w:rPr>
        <w:t>在本次货物采购项目中，供应商提供的货物既有中小企业制造货物，也有大型企业制造货物的，不享受本办法规定的中小企业扶持政策。</w:t>
      </w:r>
    </w:p>
    <w:p>
      <w:pPr>
        <w:keepNext w:val="0"/>
        <w:keepLines w:val="0"/>
        <w:pageBreakBefore w:val="0"/>
        <w:tabs>
          <w:tab w:val="left" w:pos="1440"/>
        </w:tabs>
        <w:wordWrap/>
        <w:bidi w:val="0"/>
        <w:spacing w:line="480" w:lineRule="exact"/>
        <w:ind w:left="284"/>
        <w:rPr>
          <w:rFonts w:hint="eastAsia" w:ascii="宋体" w:hAnsi="宋体" w:eastAsia="宋体" w:cs="宋体"/>
          <w:color w:val="auto"/>
          <w:highlight w:val="none"/>
        </w:rPr>
      </w:pPr>
      <w:r>
        <w:rPr>
          <w:rFonts w:hint="eastAsia" w:ascii="宋体" w:hAnsi="宋体" w:eastAsia="宋体" w:cs="宋体"/>
          <w:color w:val="auto"/>
          <w:kern w:val="11"/>
          <w:sz w:val="24"/>
          <w:highlight w:val="none"/>
        </w:rPr>
        <w:t xml:space="preserve">    中小企业划分标准以《工业和信息化部、国家统计局、国家发展和改革委员会、财政部关于印发中小企业划型标准规定的通知》（工信部联企业[2011]300号）规定的划分标准为准。</w:t>
      </w:r>
    </w:p>
    <w:p>
      <w:pPr>
        <w:keepNext w:val="0"/>
        <w:keepLines w:val="0"/>
        <w:pageBreakBefore w:val="0"/>
        <w:wordWrap/>
        <w:topLinePunct/>
        <w:bidi w:val="0"/>
        <w:spacing w:line="480" w:lineRule="exact"/>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根据《国务院办公厅关于建立政府强制采购节能产品制度的通知》（国办发</w:t>
      </w:r>
      <w:r>
        <w:rPr>
          <w:rFonts w:hint="eastAsia" w:ascii="宋体" w:hAnsi="宋体" w:eastAsia="宋体" w:cs="宋体"/>
          <w:color w:val="auto"/>
          <w:sz w:val="24"/>
          <w:highlight w:val="none"/>
        </w:rPr>
        <w:t>〔2007〕</w:t>
      </w:r>
      <w:r>
        <w:rPr>
          <w:rFonts w:hint="eastAsia" w:ascii="宋体" w:hAnsi="宋体" w:eastAsia="宋体" w:cs="宋体"/>
          <w:color w:val="auto"/>
          <w:sz w:val="24"/>
          <w:szCs w:val="28"/>
          <w:highlight w:val="none"/>
        </w:rPr>
        <w:t>51号）文件、《财政部 发展改革委 生态环境部 市场监管总局关于调整优化节能产品、环境标志产品政府采购执行机制的通知》（财库</w:t>
      </w:r>
      <w:r>
        <w:rPr>
          <w:rFonts w:hint="eastAsia" w:ascii="宋体" w:hAnsi="宋体" w:eastAsia="宋体" w:cs="宋体"/>
          <w:color w:val="auto"/>
          <w:sz w:val="24"/>
          <w:highlight w:val="none"/>
        </w:rPr>
        <w:t>〔2019〕</w:t>
      </w:r>
      <w:r>
        <w:rPr>
          <w:rFonts w:hint="eastAsia" w:ascii="宋体" w:hAnsi="宋体" w:eastAsia="宋体" w:cs="宋体"/>
          <w:color w:val="auto"/>
          <w:sz w:val="24"/>
          <w:szCs w:val="28"/>
          <w:highlight w:val="none"/>
        </w:rPr>
        <w:t>9号）、《财政部 发展改革委关于印发节能产品政府采购品目清单的通知》（财库</w:t>
      </w:r>
      <w:r>
        <w:rPr>
          <w:rFonts w:hint="eastAsia" w:ascii="宋体" w:hAnsi="宋体" w:eastAsia="宋体" w:cs="宋体"/>
          <w:color w:val="auto"/>
          <w:sz w:val="24"/>
          <w:highlight w:val="none"/>
        </w:rPr>
        <w:t>〔2019〕</w:t>
      </w:r>
      <w:r>
        <w:rPr>
          <w:rFonts w:hint="eastAsia" w:ascii="宋体" w:hAnsi="宋体" w:eastAsia="宋体" w:cs="宋体"/>
          <w:color w:val="auto"/>
          <w:sz w:val="24"/>
          <w:szCs w:val="28"/>
          <w:highlight w:val="none"/>
        </w:rPr>
        <w:t>19号）文件规定，节能品目清单所列产品包括政府强制采购和优先采购的节能产品。其中，台式计算机，便携式计算机，平板式微型计算机，激光打印机，针式打印机，液晶显示器，制冷压缩机，空调机组，专用制冷、空调设备，镇流器，空调机，电热水器，普通照明用双端荧光灯，电视设备，视频设备，便器，水嘴等品目为政府强制采购的节能产品</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具体品目以“★”标注</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 xml:space="preserve">。其他品目为政府优先采购的节能产品。               </w:t>
      </w:r>
    </w:p>
    <w:p>
      <w:pPr>
        <w:keepNext w:val="0"/>
        <w:keepLines w:val="0"/>
        <w:pageBreakBefore w:val="0"/>
        <w:wordWrap/>
        <w:topLinePunct/>
        <w:bidi w:val="0"/>
        <w:spacing w:line="480" w:lineRule="exact"/>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根据《山东省节能环保产品政府采购评审办法》（鲁财库</w:t>
      </w:r>
      <w:r>
        <w:rPr>
          <w:rFonts w:hint="eastAsia" w:ascii="宋体" w:hAnsi="宋体" w:eastAsia="宋体" w:cs="宋体"/>
          <w:color w:val="auto"/>
          <w:sz w:val="24"/>
          <w:highlight w:val="none"/>
        </w:rPr>
        <w:t>〔2007〕</w:t>
      </w:r>
      <w:r>
        <w:rPr>
          <w:rFonts w:hint="eastAsia" w:ascii="宋体" w:hAnsi="宋体" w:eastAsia="宋体" w:cs="宋体"/>
          <w:color w:val="auto"/>
          <w:sz w:val="24"/>
          <w:szCs w:val="28"/>
          <w:highlight w:val="none"/>
        </w:rPr>
        <w:t>32号）文件规定，对节能、环保产品评审加分：</w:t>
      </w:r>
    </w:p>
    <w:p>
      <w:pPr>
        <w:keepNext w:val="0"/>
        <w:keepLines w:val="0"/>
        <w:pageBreakBefore w:val="0"/>
        <w:wordWrap/>
        <w:bidi w:val="0"/>
        <w:adjustRightInd w:val="0"/>
        <w:snapToGrid w:val="0"/>
        <w:spacing w:line="480" w:lineRule="exact"/>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节能产品加分=技术加分+报价加分=（节能产品报价之和÷总报价）×</w:t>
      </w:r>
      <w:r>
        <w:rPr>
          <w:rFonts w:hint="eastAsia" w:ascii="宋体" w:hAnsi="宋体" w:eastAsia="宋体" w:cs="宋体"/>
          <w:color w:val="auto"/>
          <w:sz w:val="24"/>
          <w:szCs w:val="28"/>
          <w:highlight w:val="none"/>
          <w:lang w:val="en-US" w:eastAsia="zh-CN"/>
        </w:rPr>
        <w:t>6</w:t>
      </w:r>
      <w:r>
        <w:rPr>
          <w:rFonts w:hint="eastAsia" w:ascii="宋体" w:hAnsi="宋体" w:eastAsia="宋体" w:cs="宋体"/>
          <w:color w:val="auto"/>
          <w:sz w:val="24"/>
          <w:szCs w:val="28"/>
          <w:highlight w:val="none"/>
        </w:rPr>
        <w:t>%×技术部分总分值+（节能产品报价之和÷总报价）×</w:t>
      </w:r>
      <w:r>
        <w:rPr>
          <w:rFonts w:hint="eastAsia" w:ascii="宋体" w:hAnsi="宋体" w:eastAsia="宋体" w:cs="宋体"/>
          <w:color w:val="auto"/>
          <w:sz w:val="24"/>
          <w:szCs w:val="28"/>
          <w:highlight w:val="none"/>
          <w:lang w:val="en-US" w:eastAsia="zh-CN"/>
        </w:rPr>
        <w:t>6</w:t>
      </w:r>
      <w:r>
        <w:rPr>
          <w:rFonts w:hint="eastAsia" w:ascii="宋体" w:hAnsi="宋体" w:eastAsia="宋体" w:cs="宋体"/>
          <w:color w:val="auto"/>
          <w:sz w:val="24"/>
          <w:szCs w:val="28"/>
          <w:highlight w:val="none"/>
        </w:rPr>
        <w:t>%×价格部分总分值。</w:t>
      </w:r>
    </w:p>
    <w:p>
      <w:pPr>
        <w:keepNext w:val="0"/>
        <w:keepLines w:val="0"/>
        <w:pageBreakBefore w:val="0"/>
        <w:wordWrap/>
        <w:bidi w:val="0"/>
        <w:adjustRightInd w:val="0"/>
        <w:snapToGrid w:val="0"/>
        <w:spacing w:line="480" w:lineRule="exact"/>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其中节能产品报价中不含强制性节能产品的报价。</w:t>
      </w:r>
    </w:p>
    <w:p>
      <w:pPr>
        <w:keepNext w:val="0"/>
        <w:keepLines w:val="0"/>
        <w:pageBreakBefore w:val="0"/>
        <w:wordWrap/>
        <w:bidi w:val="0"/>
        <w:adjustRightInd w:val="0"/>
        <w:snapToGrid w:val="0"/>
        <w:spacing w:line="480" w:lineRule="exact"/>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环保产品加分=技术加分+报价加分=（环保产品报价之和÷总报价）×</w:t>
      </w:r>
      <w:r>
        <w:rPr>
          <w:rFonts w:hint="eastAsia" w:ascii="宋体" w:hAnsi="宋体" w:eastAsia="宋体" w:cs="宋体"/>
          <w:color w:val="auto"/>
          <w:sz w:val="24"/>
          <w:szCs w:val="28"/>
          <w:highlight w:val="none"/>
          <w:lang w:val="en-US" w:eastAsia="zh-CN"/>
        </w:rPr>
        <w:t>6</w:t>
      </w:r>
      <w:r>
        <w:rPr>
          <w:rFonts w:hint="eastAsia" w:ascii="宋体" w:hAnsi="宋体" w:eastAsia="宋体" w:cs="宋体"/>
          <w:color w:val="auto"/>
          <w:sz w:val="24"/>
          <w:szCs w:val="28"/>
          <w:highlight w:val="none"/>
        </w:rPr>
        <w:t>%×技术部分总分值+（环保产品报价之和÷总报价）×</w:t>
      </w:r>
      <w:r>
        <w:rPr>
          <w:rFonts w:hint="eastAsia" w:ascii="宋体" w:hAnsi="宋体" w:eastAsia="宋体" w:cs="宋体"/>
          <w:color w:val="auto"/>
          <w:sz w:val="24"/>
          <w:szCs w:val="28"/>
          <w:highlight w:val="none"/>
          <w:lang w:val="en-US" w:eastAsia="zh-CN"/>
        </w:rPr>
        <w:t>6</w:t>
      </w:r>
      <w:r>
        <w:rPr>
          <w:rFonts w:hint="eastAsia" w:ascii="宋体" w:hAnsi="宋体" w:eastAsia="宋体" w:cs="宋体"/>
          <w:color w:val="auto"/>
          <w:sz w:val="24"/>
          <w:szCs w:val="28"/>
          <w:highlight w:val="none"/>
        </w:rPr>
        <w:t>%×价格部分总分值。</w:t>
      </w:r>
    </w:p>
    <w:p>
      <w:pPr>
        <w:keepNext w:val="0"/>
        <w:keepLines w:val="0"/>
        <w:pageBreakBefore w:val="0"/>
        <w:wordWrap/>
        <w:bidi w:val="0"/>
        <w:adjustRightInd w:val="0"/>
        <w:snapToGrid w:val="0"/>
        <w:spacing w:line="480" w:lineRule="exact"/>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注：1.节能产品是指列入财政部、发展改革委制定的《节能产品政府采购</w:t>
      </w:r>
      <w:bookmarkStart w:id="262" w:name="_Toc4832_WPSOffice_Level2"/>
      <w:r>
        <w:rPr>
          <w:rFonts w:hint="eastAsia" w:ascii="宋体" w:hAnsi="宋体" w:eastAsia="宋体" w:cs="宋体"/>
          <w:color w:val="auto"/>
          <w:sz w:val="24"/>
          <w:szCs w:val="28"/>
          <w:highlight w:val="none"/>
        </w:rPr>
        <w:t>品目清单》范围</w:t>
      </w:r>
      <w:bookmarkEnd w:id="262"/>
      <w:r>
        <w:rPr>
          <w:rFonts w:hint="eastAsia" w:ascii="宋体" w:hAnsi="宋体" w:eastAsia="宋体" w:cs="宋体"/>
          <w:color w:val="auto"/>
          <w:sz w:val="24"/>
          <w:szCs w:val="28"/>
          <w:highlight w:val="none"/>
        </w:rPr>
        <w:t>的产品；环保产品是指列入财政部、生态环境部制定的《环境标志产品政府采购品目清单》范围的产品；2.产品是否属于享受政府采购政策的上述类</w:t>
      </w:r>
      <w:bookmarkStart w:id="263" w:name="_Toc17013_WPSOffice_Level2"/>
      <w:r>
        <w:rPr>
          <w:rFonts w:hint="eastAsia" w:ascii="宋体" w:hAnsi="宋体" w:eastAsia="宋体" w:cs="宋体"/>
          <w:color w:val="auto"/>
          <w:sz w:val="24"/>
          <w:szCs w:val="28"/>
          <w:highlight w:val="none"/>
        </w:rPr>
        <w:t>型，</w:t>
      </w:r>
      <w:bookmarkEnd w:id="263"/>
      <w:r>
        <w:rPr>
          <w:rFonts w:hint="eastAsia" w:ascii="宋体" w:hAnsi="宋体" w:eastAsia="宋体" w:cs="宋体"/>
          <w:color w:val="auto"/>
          <w:sz w:val="24"/>
          <w:szCs w:val="28"/>
          <w:highlight w:val="none"/>
        </w:rPr>
        <w:t>依据国家确定的认证机构出具的处于有效期之内的中国节能产品认证证书、中国环境标志产品认证证书并附相关认证信息截图或具体查询网址，对获得证书的产品实施政府优先采购或强制采购。以上证书以原件复印件为准，超过认证证书有效截止日期的自动失效。</w:t>
      </w:r>
    </w:p>
    <w:p>
      <w:pPr>
        <w:pStyle w:val="3"/>
        <w:spacing w:line="480" w:lineRule="exact"/>
        <w:rPr>
          <w:rFonts w:hint="eastAsia" w:ascii="宋体" w:hAnsi="宋体" w:eastAsia="宋体" w:cs="宋体"/>
          <w:color w:val="auto"/>
          <w:highlight w:val="none"/>
        </w:rPr>
      </w:pPr>
      <w:r>
        <w:rPr>
          <w:rFonts w:hint="eastAsia" w:ascii="宋体" w:hAnsi="宋体" w:eastAsia="宋体" w:cs="宋体"/>
          <w:color w:val="auto"/>
          <w:highlight w:val="none"/>
        </w:rPr>
        <w:br w:type="page"/>
      </w:r>
      <w:bookmarkStart w:id="264" w:name="_Toc46235126"/>
      <w:bookmarkStart w:id="265" w:name="_Toc216582812"/>
      <w:bookmarkStart w:id="266" w:name="_Toc68259628"/>
      <w:bookmarkStart w:id="267" w:name="_Toc15882"/>
      <w:bookmarkStart w:id="268" w:name="_Toc518923106"/>
      <w:r>
        <w:rPr>
          <w:rFonts w:hint="eastAsia" w:ascii="宋体" w:hAnsi="宋体" w:eastAsia="宋体" w:cs="宋体"/>
          <w:color w:val="auto"/>
          <w:highlight w:val="none"/>
        </w:rPr>
        <w:t>第6章 响应文件格式</w:t>
      </w:r>
      <w:bookmarkEnd w:id="264"/>
      <w:bookmarkEnd w:id="265"/>
      <w:bookmarkEnd w:id="266"/>
      <w:bookmarkEnd w:id="267"/>
      <w:bookmarkEnd w:id="268"/>
    </w:p>
    <w:p>
      <w:pPr>
        <w:pStyle w:val="4"/>
        <w:spacing w:line="480" w:lineRule="exact"/>
        <w:ind w:left="774" w:hanging="722" w:hangingChars="257"/>
        <w:rPr>
          <w:rFonts w:hint="eastAsia" w:ascii="宋体" w:hAnsi="宋体" w:eastAsia="宋体" w:cs="宋体"/>
          <w:color w:val="auto"/>
          <w:highlight w:val="none"/>
        </w:rPr>
      </w:pPr>
      <w:bookmarkStart w:id="269" w:name="_Toc68259629"/>
      <w:bookmarkStart w:id="270" w:name="_Toc46235127"/>
      <w:bookmarkStart w:id="271" w:name="_Toc27723"/>
      <w:r>
        <w:rPr>
          <w:rFonts w:hint="eastAsia" w:ascii="宋体" w:hAnsi="宋体" w:eastAsia="宋体" w:cs="宋体"/>
          <w:color w:val="auto"/>
          <w:highlight w:val="none"/>
        </w:rPr>
        <w:t>一、封面格式</w:t>
      </w:r>
      <w:bookmarkEnd w:id="269"/>
      <w:bookmarkEnd w:id="270"/>
      <w:bookmarkEnd w:id="271"/>
    </w:p>
    <w:tbl>
      <w:tblPr>
        <w:tblStyle w:val="30"/>
        <w:tblW w:w="85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8" w:type="dxa"/>
            <w:noWrap w:val="0"/>
            <w:vAlign w:val="top"/>
          </w:tcPr>
          <w:p>
            <w:pPr>
              <w:spacing w:line="480" w:lineRule="exact"/>
              <w:jc w:val="center"/>
              <w:rPr>
                <w:rFonts w:hint="eastAsia" w:ascii="宋体" w:hAnsi="宋体" w:eastAsia="宋体" w:cs="宋体"/>
                <w:color w:val="auto"/>
                <w:highlight w:val="none"/>
              </w:rPr>
            </w:pPr>
          </w:p>
          <w:p>
            <w:pPr>
              <w:spacing w:line="480" w:lineRule="exact"/>
              <w:jc w:val="center"/>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响应文件</w:t>
            </w:r>
          </w:p>
          <w:p>
            <w:pPr>
              <w:spacing w:line="480" w:lineRule="exact"/>
              <w:jc w:val="center"/>
              <w:rPr>
                <w:rFonts w:hint="eastAsia" w:ascii="宋体" w:hAnsi="宋体" w:eastAsia="宋体" w:cs="宋体"/>
                <w:b/>
                <w:color w:val="auto"/>
                <w:sz w:val="30"/>
                <w:szCs w:val="30"/>
                <w:highlight w:val="none"/>
              </w:rPr>
            </w:pPr>
          </w:p>
          <w:p>
            <w:pPr>
              <w:spacing w:line="48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项目编号：</w:t>
            </w:r>
          </w:p>
          <w:p>
            <w:pPr>
              <w:spacing w:line="48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项目名称：</w:t>
            </w:r>
          </w:p>
          <w:p>
            <w:pPr>
              <w:spacing w:line="48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项目包号：</w:t>
            </w:r>
          </w:p>
          <w:p>
            <w:pPr>
              <w:spacing w:line="48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供应商名称（公章）：</w:t>
            </w:r>
          </w:p>
          <w:p>
            <w:pPr>
              <w:spacing w:line="480" w:lineRule="exact"/>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rPr>
              <w:t>日 期</w:t>
            </w:r>
            <w:r>
              <w:rPr>
                <w:rFonts w:hint="eastAsia" w:ascii="宋体" w:hAnsi="宋体" w:eastAsia="宋体" w:cs="宋体"/>
                <w:color w:val="auto"/>
                <w:highlight w:val="none"/>
                <w:lang w:eastAsia="zh-CN"/>
              </w:rPr>
              <w:t>：</w:t>
            </w:r>
          </w:p>
          <w:p>
            <w:pPr>
              <w:spacing w:line="480" w:lineRule="exact"/>
              <w:rPr>
                <w:rFonts w:hint="eastAsia" w:ascii="宋体" w:hAnsi="宋体" w:eastAsia="宋体" w:cs="宋体"/>
                <w:color w:val="auto"/>
                <w:highlight w:val="none"/>
              </w:rPr>
            </w:pPr>
          </w:p>
        </w:tc>
      </w:tr>
    </w:tbl>
    <w:p>
      <w:pPr>
        <w:rPr>
          <w:rFonts w:hint="eastAsia" w:ascii="宋体" w:hAnsi="宋体" w:eastAsia="宋体" w:cs="宋体"/>
          <w:color w:val="auto"/>
          <w:highlight w:val="none"/>
        </w:rPr>
      </w:pPr>
      <w:bookmarkStart w:id="272" w:name="_Toc46235128"/>
      <w:bookmarkStart w:id="273" w:name="_Toc68259630"/>
      <w:bookmarkStart w:id="274" w:name="_Toc518923108"/>
      <w:r>
        <w:rPr>
          <w:rFonts w:hint="eastAsia" w:ascii="宋体" w:hAnsi="宋体" w:eastAsia="宋体" w:cs="宋体"/>
          <w:color w:val="auto"/>
          <w:highlight w:val="none"/>
        </w:rPr>
        <w:br w:type="page"/>
      </w:r>
    </w:p>
    <w:p>
      <w:pPr>
        <w:pStyle w:val="4"/>
        <w:spacing w:line="480" w:lineRule="exact"/>
        <w:ind w:left="774" w:hanging="722" w:hangingChars="257"/>
        <w:rPr>
          <w:rFonts w:hint="eastAsia" w:ascii="宋体" w:hAnsi="宋体" w:eastAsia="宋体" w:cs="宋体"/>
          <w:color w:val="auto"/>
          <w:highlight w:val="none"/>
        </w:rPr>
      </w:pPr>
      <w:bookmarkStart w:id="275" w:name="_Toc13711"/>
      <w:r>
        <w:rPr>
          <w:rFonts w:hint="eastAsia" w:ascii="宋体" w:hAnsi="宋体" w:eastAsia="宋体" w:cs="宋体"/>
          <w:color w:val="auto"/>
          <w:highlight w:val="none"/>
        </w:rPr>
        <w:t>二、评审因素索引表</w:t>
      </w:r>
      <w:bookmarkEnd w:id="275"/>
    </w:p>
    <w:p>
      <w:pPr>
        <w:pStyle w:val="2"/>
        <w:spacing w:line="480" w:lineRule="exact"/>
        <w:ind w:left="0" w:firstLine="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致供应商：</w:t>
      </w:r>
    </w:p>
    <w:p>
      <w:pPr>
        <w:pStyle w:val="2"/>
        <w:spacing w:line="360" w:lineRule="auto"/>
        <w:ind w:left="0" w:leftChars="0" w:firstLine="480" w:firstLineChars="20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highlight w:val="none"/>
        </w:rPr>
        <w:t>为了使评委专家能够在有限的时间内，对您的产品或项目情况进行充分地了解及熟悉，提升综合全面评审水平，做到更加客观、公正、科学地进行评价评分。请高度重视，务必清晰准确地填写该表栏目</w:t>
      </w:r>
      <w:r>
        <w:rPr>
          <w:rFonts w:hint="eastAsia" w:ascii="宋体" w:hAnsi="宋体" w:eastAsia="宋体" w:cs="宋体"/>
          <w:b/>
          <w:bCs/>
          <w:color w:val="auto"/>
          <w:sz w:val="24"/>
          <w:highlight w:val="none"/>
          <w:u w:val="single"/>
        </w:rPr>
        <w:t>（报价或价格项不必填写）</w:t>
      </w:r>
      <w:r>
        <w:rPr>
          <w:rFonts w:hint="eastAsia" w:ascii="宋体" w:hAnsi="宋体" w:eastAsia="宋体" w:cs="宋体"/>
          <w:color w:val="auto"/>
          <w:sz w:val="24"/>
          <w:highlight w:val="none"/>
        </w:rPr>
        <w:t>。</w:t>
      </w:r>
    </w:p>
    <w:tbl>
      <w:tblPr>
        <w:tblStyle w:val="30"/>
        <w:tblW w:w="564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0"/>
        <w:gridCol w:w="1214"/>
        <w:gridCol w:w="6500"/>
        <w:gridCol w:w="8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jc w:val="center"/>
        </w:trPr>
        <w:tc>
          <w:tcPr>
            <w:tcW w:w="566" w:type="pct"/>
            <w:tcBorders>
              <w:top w:val="single" w:color="auto" w:sz="4" w:space="0"/>
              <w:left w:val="single" w:color="auto" w:sz="4" w:space="0"/>
              <w:bottom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评分项目</w:t>
            </w:r>
          </w:p>
        </w:tc>
        <w:tc>
          <w:tcPr>
            <w:tcW w:w="630" w:type="pct"/>
            <w:tcBorders>
              <w:top w:val="single" w:color="auto" w:sz="4" w:space="0"/>
              <w:left w:val="single" w:color="auto" w:sz="4" w:space="0"/>
              <w:bottom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附表或</w:t>
            </w:r>
          </w:p>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材料序号</w:t>
            </w:r>
          </w:p>
        </w:tc>
        <w:tc>
          <w:tcPr>
            <w:tcW w:w="3378" w:type="pct"/>
            <w:tcBorders>
              <w:top w:val="single" w:color="auto" w:sz="4" w:space="0"/>
              <w:left w:val="single" w:color="auto" w:sz="4" w:space="0"/>
              <w:bottom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材料明细</w:t>
            </w:r>
          </w:p>
        </w:tc>
        <w:tc>
          <w:tcPr>
            <w:tcW w:w="424" w:type="pct"/>
            <w:tcBorders>
              <w:top w:val="single" w:color="auto" w:sz="4" w:space="0"/>
              <w:left w:val="single" w:color="auto" w:sz="4" w:space="0"/>
              <w:bottom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对应</w:t>
            </w:r>
          </w:p>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66" w:type="pct"/>
            <w:vMerge w:val="restart"/>
            <w:tcBorders>
              <w:top w:val="single" w:color="auto" w:sz="4" w:space="0"/>
              <w:left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供</w:t>
            </w:r>
          </w:p>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应</w:t>
            </w:r>
          </w:p>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商</w:t>
            </w:r>
          </w:p>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投</w:t>
            </w:r>
          </w:p>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标</w:t>
            </w:r>
          </w:p>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资</w:t>
            </w:r>
          </w:p>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格</w:t>
            </w:r>
          </w:p>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资</w:t>
            </w:r>
          </w:p>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质</w:t>
            </w:r>
          </w:p>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证</w:t>
            </w:r>
          </w:p>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明</w:t>
            </w:r>
          </w:p>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材</w:t>
            </w:r>
          </w:p>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料</w:t>
            </w:r>
          </w:p>
        </w:tc>
        <w:tc>
          <w:tcPr>
            <w:tcW w:w="630" w:type="pct"/>
            <w:tcBorders>
              <w:top w:val="single" w:color="auto" w:sz="4" w:space="0"/>
              <w:left w:val="single" w:color="auto" w:sz="4" w:space="0"/>
              <w:bottom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1</w:t>
            </w:r>
          </w:p>
        </w:tc>
        <w:tc>
          <w:tcPr>
            <w:tcW w:w="3378" w:type="pct"/>
            <w:tcBorders>
              <w:top w:val="single" w:color="auto" w:sz="4" w:space="0"/>
              <w:left w:val="single" w:color="auto" w:sz="4" w:space="0"/>
              <w:bottom w:val="single" w:color="auto" w:sz="4" w:space="0"/>
              <w:right w:val="single" w:color="auto" w:sz="4" w:space="0"/>
            </w:tcBorders>
            <w:noWrap/>
            <w:vAlign w:val="center"/>
          </w:tcPr>
          <w:p>
            <w:pPr>
              <w:spacing w:line="300" w:lineRule="auto"/>
              <w:jc w:val="left"/>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lang w:val="en-US" w:eastAsia="zh-CN"/>
              </w:rPr>
              <w:t>响应</w:t>
            </w:r>
            <w:r>
              <w:rPr>
                <w:rFonts w:hint="eastAsia" w:ascii="宋体" w:hAnsi="宋体" w:eastAsia="宋体" w:cs="宋体"/>
                <w:b w:val="0"/>
                <w:bCs/>
                <w:color w:val="auto"/>
                <w:sz w:val="24"/>
                <w:szCs w:val="24"/>
                <w:highlight w:val="none"/>
              </w:rPr>
              <w:t>函</w:t>
            </w:r>
          </w:p>
        </w:tc>
        <w:tc>
          <w:tcPr>
            <w:tcW w:w="424" w:type="pct"/>
            <w:tcBorders>
              <w:top w:val="single" w:color="auto" w:sz="4" w:space="0"/>
              <w:left w:val="single" w:color="auto" w:sz="4" w:space="0"/>
              <w:bottom w:val="single" w:color="auto" w:sz="4" w:space="0"/>
              <w:right w:val="single" w:color="auto" w:sz="4" w:space="0"/>
            </w:tcBorders>
            <w:noWrap/>
            <w:vAlign w:val="center"/>
          </w:tcPr>
          <w:p>
            <w:pPr>
              <w:spacing w:line="300" w:lineRule="auto"/>
              <w:rPr>
                <w:rFonts w:hint="eastAsia" w:ascii="宋体" w:hAnsi="宋体" w:eastAsia="宋体" w:cs="宋体"/>
                <w:b w:val="0"/>
                <w:bCs/>
                <w:color w:val="auto"/>
                <w:kern w:val="2"/>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66" w:type="pct"/>
            <w:vMerge w:val="continue"/>
            <w:tcBorders>
              <w:left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sz w:val="24"/>
                <w:szCs w:val="24"/>
                <w:highlight w:val="none"/>
                <w:lang w:val="en-US" w:eastAsia="zh-CN"/>
              </w:rPr>
            </w:pPr>
          </w:p>
        </w:tc>
        <w:tc>
          <w:tcPr>
            <w:tcW w:w="630" w:type="pct"/>
            <w:tcBorders>
              <w:top w:val="single" w:color="auto" w:sz="4" w:space="0"/>
              <w:left w:val="single" w:color="auto" w:sz="4" w:space="0"/>
              <w:bottom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2</w:t>
            </w:r>
          </w:p>
        </w:tc>
        <w:tc>
          <w:tcPr>
            <w:tcW w:w="3378" w:type="pct"/>
            <w:tcBorders>
              <w:top w:val="single" w:color="auto" w:sz="4" w:space="0"/>
              <w:left w:val="single" w:color="auto" w:sz="4" w:space="0"/>
              <w:bottom w:val="single" w:color="auto" w:sz="4" w:space="0"/>
              <w:right w:val="single" w:color="auto" w:sz="4" w:space="0"/>
            </w:tcBorders>
            <w:noWrap/>
            <w:vAlign w:val="center"/>
          </w:tcPr>
          <w:p>
            <w:pPr>
              <w:spacing w:line="300" w:lineRule="auto"/>
              <w:jc w:val="left"/>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法定代表人授权委托书</w:t>
            </w:r>
          </w:p>
        </w:tc>
        <w:tc>
          <w:tcPr>
            <w:tcW w:w="424" w:type="pct"/>
            <w:tcBorders>
              <w:top w:val="single" w:color="auto" w:sz="4" w:space="0"/>
              <w:left w:val="single" w:color="auto" w:sz="4" w:space="0"/>
              <w:bottom w:val="single" w:color="auto" w:sz="4" w:space="0"/>
              <w:right w:val="single" w:color="auto" w:sz="4" w:space="0"/>
            </w:tcBorders>
            <w:noWrap/>
            <w:vAlign w:val="center"/>
          </w:tcPr>
          <w:p>
            <w:pPr>
              <w:spacing w:line="300" w:lineRule="auto"/>
              <w:rPr>
                <w:rFonts w:hint="eastAsia" w:ascii="宋体" w:hAnsi="宋体" w:eastAsia="宋体" w:cs="宋体"/>
                <w:b w:val="0"/>
                <w:bCs/>
                <w:color w:val="auto"/>
                <w:kern w:val="2"/>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66" w:type="pct"/>
            <w:vMerge w:val="continue"/>
            <w:tcBorders>
              <w:left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sz w:val="24"/>
                <w:szCs w:val="24"/>
                <w:highlight w:val="none"/>
                <w:lang w:val="en-US" w:eastAsia="zh-CN"/>
              </w:rPr>
            </w:pPr>
          </w:p>
        </w:tc>
        <w:tc>
          <w:tcPr>
            <w:tcW w:w="630" w:type="pct"/>
            <w:tcBorders>
              <w:top w:val="single" w:color="auto" w:sz="4" w:space="0"/>
              <w:left w:val="single" w:color="auto" w:sz="4" w:space="0"/>
              <w:bottom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3</w:t>
            </w:r>
          </w:p>
        </w:tc>
        <w:tc>
          <w:tcPr>
            <w:tcW w:w="3378" w:type="pct"/>
            <w:tcBorders>
              <w:top w:val="single" w:color="auto" w:sz="4" w:space="0"/>
              <w:left w:val="single" w:color="auto" w:sz="4" w:space="0"/>
              <w:bottom w:val="single" w:color="auto" w:sz="4" w:space="0"/>
              <w:right w:val="single" w:color="auto" w:sz="4" w:space="0"/>
            </w:tcBorders>
            <w:noWrap/>
            <w:vAlign w:val="center"/>
          </w:tcPr>
          <w:p>
            <w:pPr>
              <w:pStyle w:val="4"/>
              <w:keepNext w:val="0"/>
              <w:jc w:val="left"/>
              <w:rPr>
                <w:rFonts w:hint="eastAsia" w:ascii="宋体" w:hAnsi="宋体" w:eastAsia="宋体" w:cs="宋体"/>
                <w:b w:val="0"/>
                <w:bCs/>
                <w:color w:val="auto"/>
                <w:kern w:val="2"/>
                <w:sz w:val="24"/>
                <w:szCs w:val="24"/>
                <w:highlight w:val="none"/>
                <w:lang w:val="en-US" w:eastAsia="zh-CN" w:bidi="ar-SA"/>
              </w:rPr>
            </w:pPr>
            <w:bookmarkStart w:id="276" w:name="_Toc3417"/>
            <w:r>
              <w:rPr>
                <w:rFonts w:hint="eastAsia" w:ascii="宋体" w:hAnsi="宋体" w:eastAsia="宋体" w:cs="宋体"/>
                <w:b w:val="0"/>
                <w:bCs/>
                <w:color w:val="auto"/>
                <w:kern w:val="2"/>
                <w:sz w:val="24"/>
                <w:szCs w:val="24"/>
                <w:highlight w:val="none"/>
                <w:lang w:val="en-US" w:eastAsia="zh-CN" w:bidi="ar-SA"/>
              </w:rPr>
              <w:t>法定代表人身份证明书</w:t>
            </w:r>
            <w:bookmarkEnd w:id="276"/>
          </w:p>
        </w:tc>
        <w:tc>
          <w:tcPr>
            <w:tcW w:w="424" w:type="pct"/>
            <w:tcBorders>
              <w:top w:val="single" w:color="auto" w:sz="4" w:space="0"/>
              <w:left w:val="single" w:color="auto" w:sz="4" w:space="0"/>
              <w:bottom w:val="single" w:color="auto" w:sz="4" w:space="0"/>
              <w:right w:val="single" w:color="auto" w:sz="4" w:space="0"/>
            </w:tcBorders>
            <w:noWrap/>
            <w:vAlign w:val="center"/>
          </w:tcPr>
          <w:p>
            <w:pPr>
              <w:spacing w:line="300" w:lineRule="auto"/>
              <w:rPr>
                <w:rFonts w:hint="eastAsia" w:ascii="宋体" w:hAnsi="宋体" w:eastAsia="宋体" w:cs="宋体"/>
                <w:b w:val="0"/>
                <w:bCs/>
                <w:color w:val="auto"/>
                <w:kern w:val="2"/>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66" w:type="pct"/>
            <w:vMerge w:val="continue"/>
            <w:tcBorders>
              <w:left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sz w:val="24"/>
                <w:szCs w:val="24"/>
                <w:highlight w:val="none"/>
                <w:lang w:val="en-US" w:eastAsia="zh-CN"/>
              </w:rPr>
            </w:pPr>
          </w:p>
        </w:tc>
        <w:tc>
          <w:tcPr>
            <w:tcW w:w="630" w:type="pct"/>
            <w:tcBorders>
              <w:top w:val="single" w:color="auto" w:sz="4" w:space="0"/>
              <w:left w:val="single" w:color="auto" w:sz="4" w:space="0"/>
              <w:bottom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4</w:t>
            </w:r>
          </w:p>
        </w:tc>
        <w:tc>
          <w:tcPr>
            <w:tcW w:w="3378" w:type="pct"/>
            <w:tcBorders>
              <w:top w:val="single" w:color="auto" w:sz="4" w:space="0"/>
              <w:left w:val="single" w:color="auto" w:sz="4" w:space="0"/>
              <w:bottom w:val="single" w:color="auto" w:sz="4" w:space="0"/>
              <w:right w:val="single" w:color="auto" w:sz="4" w:space="0"/>
            </w:tcBorders>
            <w:noWrap/>
            <w:vAlign w:val="center"/>
          </w:tcPr>
          <w:p>
            <w:pPr>
              <w:spacing w:line="300" w:lineRule="auto"/>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报价一览表</w:t>
            </w:r>
          </w:p>
        </w:tc>
        <w:tc>
          <w:tcPr>
            <w:tcW w:w="424" w:type="pct"/>
            <w:tcBorders>
              <w:top w:val="single" w:color="auto" w:sz="4" w:space="0"/>
              <w:left w:val="single" w:color="auto" w:sz="4" w:space="0"/>
              <w:bottom w:val="single" w:color="auto" w:sz="4" w:space="0"/>
              <w:right w:val="single" w:color="auto" w:sz="4" w:space="0"/>
            </w:tcBorders>
            <w:noWrap/>
            <w:vAlign w:val="center"/>
          </w:tcPr>
          <w:p>
            <w:pPr>
              <w:spacing w:line="300" w:lineRule="auto"/>
              <w:rPr>
                <w:rFonts w:hint="eastAsia" w:ascii="宋体" w:hAnsi="宋体" w:eastAsia="宋体" w:cs="宋体"/>
                <w:b w:val="0"/>
                <w:bCs/>
                <w:color w:val="auto"/>
                <w:kern w:val="2"/>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66" w:type="pct"/>
            <w:vMerge w:val="continue"/>
            <w:tcBorders>
              <w:left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sz w:val="24"/>
                <w:szCs w:val="24"/>
                <w:highlight w:val="none"/>
                <w:lang w:val="en-US" w:eastAsia="zh-CN"/>
              </w:rPr>
            </w:pPr>
          </w:p>
        </w:tc>
        <w:tc>
          <w:tcPr>
            <w:tcW w:w="630" w:type="pct"/>
            <w:tcBorders>
              <w:top w:val="single" w:color="auto" w:sz="4" w:space="0"/>
              <w:left w:val="single" w:color="auto" w:sz="4" w:space="0"/>
              <w:bottom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5</w:t>
            </w:r>
          </w:p>
        </w:tc>
        <w:tc>
          <w:tcPr>
            <w:tcW w:w="3378" w:type="pct"/>
            <w:tcBorders>
              <w:top w:val="single" w:color="auto" w:sz="4" w:space="0"/>
              <w:left w:val="single" w:color="auto" w:sz="4" w:space="0"/>
              <w:bottom w:val="single" w:color="auto" w:sz="4" w:space="0"/>
              <w:right w:val="single" w:color="auto" w:sz="4" w:space="0"/>
            </w:tcBorders>
            <w:noWrap/>
            <w:vAlign w:val="center"/>
          </w:tcPr>
          <w:p>
            <w:pPr>
              <w:spacing w:line="300" w:lineRule="auto"/>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sz w:val="24"/>
                <w:szCs w:val="24"/>
                <w:highlight w:val="none"/>
                <w:u w:val="none"/>
              </w:rPr>
              <w:t>营业执照等证明文件</w:t>
            </w:r>
          </w:p>
        </w:tc>
        <w:tc>
          <w:tcPr>
            <w:tcW w:w="424" w:type="pct"/>
            <w:tcBorders>
              <w:top w:val="single" w:color="auto" w:sz="4" w:space="0"/>
              <w:left w:val="single" w:color="auto" w:sz="4" w:space="0"/>
              <w:bottom w:val="single" w:color="auto" w:sz="4" w:space="0"/>
              <w:right w:val="single" w:color="auto" w:sz="4" w:space="0"/>
            </w:tcBorders>
            <w:noWrap/>
            <w:vAlign w:val="center"/>
          </w:tcPr>
          <w:p>
            <w:pPr>
              <w:spacing w:line="300" w:lineRule="auto"/>
              <w:rPr>
                <w:rFonts w:hint="eastAsia" w:ascii="宋体" w:hAnsi="宋体" w:eastAsia="宋体" w:cs="宋体"/>
                <w:b w:val="0"/>
                <w:bCs/>
                <w:color w:val="auto"/>
                <w:kern w:val="2"/>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66" w:type="pct"/>
            <w:vMerge w:val="continue"/>
            <w:tcBorders>
              <w:left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sz w:val="24"/>
                <w:szCs w:val="24"/>
                <w:highlight w:val="none"/>
                <w:lang w:val="en-US" w:eastAsia="zh-CN"/>
              </w:rPr>
            </w:pPr>
          </w:p>
        </w:tc>
        <w:tc>
          <w:tcPr>
            <w:tcW w:w="630" w:type="pct"/>
            <w:tcBorders>
              <w:top w:val="single" w:color="auto" w:sz="4" w:space="0"/>
              <w:left w:val="single" w:color="auto" w:sz="4" w:space="0"/>
              <w:bottom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6</w:t>
            </w:r>
          </w:p>
        </w:tc>
        <w:tc>
          <w:tcPr>
            <w:tcW w:w="3378" w:type="pct"/>
            <w:tcBorders>
              <w:top w:val="single" w:color="auto" w:sz="4" w:space="0"/>
              <w:left w:val="single" w:color="auto" w:sz="4" w:space="0"/>
              <w:bottom w:val="single" w:color="auto" w:sz="4" w:space="0"/>
              <w:right w:val="single" w:color="auto" w:sz="4" w:space="0"/>
            </w:tcBorders>
            <w:noWrap/>
            <w:vAlign w:val="center"/>
          </w:tcPr>
          <w:p>
            <w:pPr>
              <w:spacing w:line="300" w:lineRule="auto"/>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sz w:val="24"/>
                <w:szCs w:val="24"/>
                <w:highlight w:val="none"/>
                <w:u w:val="none"/>
              </w:rPr>
              <w:t>具有良好的商业信誉和健全的财务会计制度的证明文件</w:t>
            </w:r>
          </w:p>
        </w:tc>
        <w:tc>
          <w:tcPr>
            <w:tcW w:w="424" w:type="pct"/>
            <w:tcBorders>
              <w:top w:val="single" w:color="auto" w:sz="4" w:space="0"/>
              <w:left w:val="single" w:color="auto" w:sz="4" w:space="0"/>
              <w:bottom w:val="single" w:color="auto" w:sz="4" w:space="0"/>
              <w:right w:val="single" w:color="auto" w:sz="4" w:space="0"/>
            </w:tcBorders>
            <w:noWrap/>
            <w:vAlign w:val="center"/>
          </w:tcPr>
          <w:p>
            <w:pPr>
              <w:spacing w:line="300" w:lineRule="auto"/>
              <w:rPr>
                <w:rFonts w:hint="eastAsia" w:ascii="宋体" w:hAnsi="宋体" w:eastAsia="宋体" w:cs="宋体"/>
                <w:b w:val="0"/>
                <w:bCs/>
                <w:color w:val="auto"/>
                <w:kern w:val="2"/>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66" w:type="pct"/>
            <w:vMerge w:val="continue"/>
            <w:tcBorders>
              <w:left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sz w:val="24"/>
                <w:szCs w:val="24"/>
                <w:highlight w:val="none"/>
                <w:lang w:val="en-US" w:eastAsia="zh-CN"/>
              </w:rPr>
            </w:pPr>
          </w:p>
        </w:tc>
        <w:tc>
          <w:tcPr>
            <w:tcW w:w="630" w:type="pct"/>
            <w:tcBorders>
              <w:top w:val="single" w:color="auto" w:sz="4" w:space="0"/>
              <w:left w:val="single" w:color="auto" w:sz="4" w:space="0"/>
              <w:bottom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7</w:t>
            </w:r>
          </w:p>
        </w:tc>
        <w:tc>
          <w:tcPr>
            <w:tcW w:w="3378" w:type="pct"/>
            <w:tcBorders>
              <w:top w:val="single" w:color="auto" w:sz="4" w:space="0"/>
              <w:left w:val="single" w:color="auto" w:sz="4" w:space="0"/>
              <w:bottom w:val="single" w:color="auto" w:sz="4" w:space="0"/>
              <w:right w:val="single" w:color="auto" w:sz="4" w:space="0"/>
            </w:tcBorders>
            <w:noWrap/>
            <w:vAlign w:val="center"/>
          </w:tcPr>
          <w:p>
            <w:pPr>
              <w:spacing w:line="300" w:lineRule="auto"/>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sz w:val="24"/>
                <w:szCs w:val="24"/>
                <w:highlight w:val="none"/>
                <w:u w:val="none"/>
              </w:rPr>
              <w:t>依法缴纳税收和社会保障资金承诺函</w:t>
            </w:r>
          </w:p>
        </w:tc>
        <w:tc>
          <w:tcPr>
            <w:tcW w:w="424" w:type="pct"/>
            <w:tcBorders>
              <w:top w:val="single" w:color="auto" w:sz="4" w:space="0"/>
              <w:left w:val="single" w:color="auto" w:sz="4" w:space="0"/>
              <w:bottom w:val="single" w:color="auto" w:sz="4" w:space="0"/>
              <w:right w:val="single" w:color="auto" w:sz="4" w:space="0"/>
            </w:tcBorders>
            <w:noWrap/>
            <w:vAlign w:val="center"/>
          </w:tcPr>
          <w:p>
            <w:pPr>
              <w:spacing w:line="300" w:lineRule="auto"/>
              <w:rPr>
                <w:rFonts w:hint="eastAsia" w:ascii="宋体" w:hAnsi="宋体" w:eastAsia="宋体" w:cs="宋体"/>
                <w:b w:val="0"/>
                <w:bCs/>
                <w:color w:val="auto"/>
                <w:kern w:val="2"/>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66" w:type="pct"/>
            <w:vMerge w:val="continue"/>
            <w:tcBorders>
              <w:left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sz w:val="24"/>
                <w:szCs w:val="24"/>
                <w:highlight w:val="none"/>
                <w:lang w:val="en-US" w:eastAsia="zh-CN"/>
              </w:rPr>
            </w:pPr>
          </w:p>
        </w:tc>
        <w:tc>
          <w:tcPr>
            <w:tcW w:w="630" w:type="pct"/>
            <w:tcBorders>
              <w:top w:val="single" w:color="auto" w:sz="4" w:space="0"/>
              <w:left w:val="single" w:color="auto" w:sz="4" w:space="0"/>
              <w:bottom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8</w:t>
            </w:r>
          </w:p>
        </w:tc>
        <w:tc>
          <w:tcPr>
            <w:tcW w:w="3378" w:type="pct"/>
            <w:tcBorders>
              <w:top w:val="single" w:color="auto" w:sz="4" w:space="0"/>
              <w:left w:val="single" w:color="auto" w:sz="4" w:space="0"/>
              <w:bottom w:val="single" w:color="auto" w:sz="4" w:space="0"/>
              <w:right w:val="single" w:color="auto" w:sz="4" w:space="0"/>
            </w:tcBorders>
            <w:noWrap/>
            <w:vAlign w:val="center"/>
          </w:tcPr>
          <w:p>
            <w:pPr>
              <w:spacing w:line="300" w:lineRule="auto"/>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sz w:val="24"/>
                <w:szCs w:val="24"/>
                <w:highlight w:val="none"/>
                <w:u w:val="none"/>
              </w:rPr>
              <w:t>参加政府采购活动前3年内在经营活动中没有重大违法记录的书面声明</w:t>
            </w:r>
          </w:p>
        </w:tc>
        <w:tc>
          <w:tcPr>
            <w:tcW w:w="424" w:type="pct"/>
            <w:tcBorders>
              <w:top w:val="single" w:color="auto" w:sz="4" w:space="0"/>
              <w:left w:val="single" w:color="auto" w:sz="4" w:space="0"/>
              <w:bottom w:val="single" w:color="auto" w:sz="4" w:space="0"/>
              <w:right w:val="single" w:color="auto" w:sz="4" w:space="0"/>
            </w:tcBorders>
            <w:noWrap/>
            <w:vAlign w:val="center"/>
          </w:tcPr>
          <w:p>
            <w:pPr>
              <w:spacing w:line="300" w:lineRule="auto"/>
              <w:rPr>
                <w:rFonts w:hint="eastAsia" w:ascii="宋体" w:hAnsi="宋体" w:eastAsia="宋体" w:cs="宋体"/>
                <w:b w:val="0"/>
                <w:bCs/>
                <w:color w:val="auto"/>
                <w:kern w:val="2"/>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66" w:type="pct"/>
            <w:vMerge w:val="continue"/>
            <w:tcBorders>
              <w:left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sz w:val="24"/>
                <w:szCs w:val="24"/>
                <w:highlight w:val="none"/>
                <w:lang w:val="en-US" w:eastAsia="zh-CN"/>
              </w:rPr>
            </w:pPr>
          </w:p>
        </w:tc>
        <w:tc>
          <w:tcPr>
            <w:tcW w:w="630" w:type="pct"/>
            <w:tcBorders>
              <w:top w:val="single" w:color="auto" w:sz="4" w:space="0"/>
              <w:left w:val="single" w:color="auto" w:sz="4" w:space="0"/>
              <w:bottom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9</w:t>
            </w:r>
          </w:p>
        </w:tc>
        <w:tc>
          <w:tcPr>
            <w:tcW w:w="3378" w:type="pct"/>
            <w:tcBorders>
              <w:top w:val="single" w:color="auto" w:sz="4" w:space="0"/>
              <w:left w:val="single" w:color="auto" w:sz="4" w:space="0"/>
              <w:bottom w:val="single" w:color="auto" w:sz="4" w:space="0"/>
              <w:right w:val="single" w:color="auto" w:sz="4" w:space="0"/>
            </w:tcBorders>
            <w:noWrap/>
            <w:vAlign w:val="center"/>
          </w:tcPr>
          <w:p>
            <w:pPr>
              <w:spacing w:line="300" w:lineRule="auto"/>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sz w:val="24"/>
                <w:szCs w:val="24"/>
                <w:highlight w:val="none"/>
                <w:u w:val="none"/>
              </w:rPr>
              <w:t>供应商反商业贿赂承诺书</w:t>
            </w:r>
          </w:p>
        </w:tc>
        <w:tc>
          <w:tcPr>
            <w:tcW w:w="424" w:type="pct"/>
            <w:tcBorders>
              <w:top w:val="single" w:color="auto" w:sz="4" w:space="0"/>
              <w:left w:val="single" w:color="auto" w:sz="4" w:space="0"/>
              <w:bottom w:val="single" w:color="auto" w:sz="4" w:space="0"/>
              <w:right w:val="single" w:color="auto" w:sz="4" w:space="0"/>
            </w:tcBorders>
            <w:noWrap/>
            <w:vAlign w:val="center"/>
          </w:tcPr>
          <w:p>
            <w:pPr>
              <w:spacing w:line="300" w:lineRule="auto"/>
              <w:rPr>
                <w:rFonts w:hint="eastAsia" w:ascii="宋体" w:hAnsi="宋体" w:eastAsia="宋体" w:cs="宋体"/>
                <w:b w:val="0"/>
                <w:bCs/>
                <w:color w:val="auto"/>
                <w:kern w:val="2"/>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5000" w:type="pct"/>
            <w:gridSpan w:val="4"/>
            <w:tcBorders>
              <w:left w:val="single" w:color="auto" w:sz="4" w:space="0"/>
              <w:bottom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以下为评分项目，请填写明确页码，以免遗漏评分材料。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566" w:type="pct"/>
            <w:tcBorders>
              <w:left w:val="single" w:color="auto" w:sz="4" w:space="0"/>
              <w:bottom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sz w:val="24"/>
                <w:szCs w:val="24"/>
                <w:highlight w:val="none"/>
              </w:rPr>
              <w:t>评分项目</w:t>
            </w:r>
          </w:p>
        </w:tc>
        <w:tc>
          <w:tcPr>
            <w:tcW w:w="630" w:type="pct"/>
            <w:tcBorders>
              <w:left w:val="single" w:color="auto" w:sz="4" w:space="0"/>
              <w:bottom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评审指标及分值</w:t>
            </w:r>
          </w:p>
        </w:tc>
        <w:tc>
          <w:tcPr>
            <w:tcW w:w="3378" w:type="pct"/>
            <w:tcBorders>
              <w:left w:val="single" w:color="auto" w:sz="4" w:space="0"/>
              <w:bottom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sz w:val="24"/>
                <w:szCs w:val="24"/>
                <w:highlight w:val="none"/>
                <w:vertAlign w:val="baseline"/>
                <w:lang w:val="en-US" w:eastAsia="zh-CN"/>
              </w:rPr>
              <w:t>评审内容及标准</w:t>
            </w:r>
          </w:p>
        </w:tc>
        <w:tc>
          <w:tcPr>
            <w:tcW w:w="424" w:type="pct"/>
            <w:tcBorders>
              <w:left w:val="single" w:color="auto" w:sz="4" w:space="0"/>
              <w:bottom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对应</w:t>
            </w:r>
          </w:p>
          <w:p>
            <w:pPr>
              <w:spacing w:line="300" w:lineRule="auto"/>
              <w:jc w:val="center"/>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566" w:type="pct"/>
            <w:tcBorders>
              <w:top w:val="single" w:color="auto" w:sz="4" w:space="0"/>
              <w:left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报价</w:t>
            </w:r>
          </w:p>
        </w:tc>
        <w:tc>
          <w:tcPr>
            <w:tcW w:w="630" w:type="pct"/>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宋体" w:hAnsi="宋体" w:eastAsia="宋体" w:cs="宋体"/>
                <w:b w:val="0"/>
                <w:bCs/>
                <w:color w:val="auto"/>
                <w:sz w:val="24"/>
                <w:szCs w:val="24"/>
                <w:highlight w:val="none"/>
                <w:lang w:val="en-US"/>
              </w:rPr>
            </w:pPr>
            <w:r>
              <w:rPr>
                <w:rFonts w:hint="eastAsia" w:ascii="宋体" w:hAnsi="宋体" w:cs="宋体"/>
                <w:b w:val="0"/>
                <w:bCs/>
                <w:color w:val="auto"/>
                <w:sz w:val="24"/>
                <w:szCs w:val="24"/>
                <w:highlight w:val="none"/>
                <w:lang w:val="en-US" w:eastAsia="zh-CN"/>
              </w:rPr>
              <w:t>30</w:t>
            </w:r>
          </w:p>
        </w:tc>
        <w:tc>
          <w:tcPr>
            <w:tcW w:w="3378" w:type="pct"/>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both"/>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以满足磋商文件要求且最终报价最低的报价为评标基准价，其价格分为满分</w:t>
            </w:r>
            <w:r>
              <w:rPr>
                <w:rFonts w:hint="eastAsia" w:ascii="宋体" w:hAnsi="宋体" w:cs="宋体"/>
                <w:b w:val="0"/>
                <w:bCs/>
                <w:color w:val="auto"/>
                <w:sz w:val="24"/>
                <w:szCs w:val="24"/>
                <w:highlight w:val="none"/>
                <w:lang w:val="en-US" w:eastAsia="zh-CN"/>
              </w:rPr>
              <w:t>30</w:t>
            </w:r>
            <w:r>
              <w:rPr>
                <w:rFonts w:hint="eastAsia" w:ascii="宋体" w:hAnsi="宋体" w:eastAsia="宋体" w:cs="宋体"/>
                <w:b w:val="0"/>
                <w:bCs/>
                <w:color w:val="auto"/>
                <w:sz w:val="24"/>
                <w:szCs w:val="24"/>
                <w:highlight w:val="none"/>
              </w:rPr>
              <w:t>分，其他供应商的价格分按照下列公式计算：报价得分=（评标基准价/最后报价）×</w:t>
            </w:r>
            <w:r>
              <w:rPr>
                <w:rFonts w:hint="eastAsia" w:ascii="宋体" w:hAnsi="宋体" w:cs="宋体"/>
                <w:b w:val="0"/>
                <w:bCs/>
                <w:color w:val="auto"/>
                <w:sz w:val="24"/>
                <w:szCs w:val="24"/>
                <w:highlight w:val="none"/>
                <w:lang w:val="en-US" w:eastAsia="zh-CN"/>
              </w:rPr>
              <w:t>30</w:t>
            </w:r>
            <w:r>
              <w:rPr>
                <w:rFonts w:hint="eastAsia" w:ascii="宋体" w:hAnsi="宋体" w:eastAsia="宋体" w:cs="宋体"/>
                <w:b w:val="0"/>
                <w:bCs/>
                <w:color w:val="auto"/>
                <w:sz w:val="24"/>
                <w:szCs w:val="24"/>
                <w:highlight w:val="none"/>
              </w:rPr>
              <w:t>。</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both"/>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说明：磋商小组认为供应商的报价明显低于其他通过符合性审查供应商的报价，有可能影响产品质量或者不能诚信履约的，应当要求其在评标现场合理的时间内提供书面说明，必要时提交相关证明材料；供应商不能证明其报价合理性的，经磋商小组取得一致意见后，可拒绝该报价。</w:t>
            </w:r>
          </w:p>
        </w:tc>
        <w:tc>
          <w:tcPr>
            <w:tcW w:w="424" w:type="pct"/>
            <w:tcBorders>
              <w:top w:val="single" w:color="auto" w:sz="4" w:space="0"/>
              <w:left w:val="single" w:color="auto" w:sz="4" w:space="0"/>
              <w:bottom w:val="single" w:color="auto" w:sz="4" w:space="0"/>
              <w:right w:val="single" w:color="auto" w:sz="4" w:space="0"/>
            </w:tcBorders>
            <w:noWrap/>
            <w:vAlign w:val="center"/>
          </w:tcPr>
          <w:p>
            <w:pPr>
              <w:spacing w:line="300" w:lineRule="auto"/>
              <w:rPr>
                <w:rFonts w:hint="eastAsia" w:ascii="宋体" w:hAnsi="宋体" w:eastAsia="宋体" w:cs="宋体"/>
                <w:b w:val="0"/>
                <w:bCs/>
                <w:color w:val="auto"/>
                <w:sz w:val="24"/>
                <w:szCs w:val="24"/>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566" w:type="pct"/>
            <w:tcBorders>
              <w:top w:val="single" w:color="auto" w:sz="4" w:space="0"/>
              <w:left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b w:val="0"/>
                <w:bCs/>
                <w:color w:val="auto"/>
                <w:sz w:val="24"/>
                <w:szCs w:val="24"/>
                <w:highlight w:val="none"/>
              </w:rPr>
            </w:pPr>
            <w:r>
              <w:rPr>
                <w:rFonts w:hint="eastAsia" w:ascii="宋体" w:hAnsi="宋体" w:eastAsia="宋体" w:cs="宋体"/>
                <w:color w:val="auto"/>
                <w:sz w:val="24"/>
                <w:szCs w:val="22"/>
                <w:highlight w:val="none"/>
              </w:rPr>
              <w:t>同类业绩</w:t>
            </w:r>
          </w:p>
        </w:tc>
        <w:tc>
          <w:tcPr>
            <w:tcW w:w="630" w:type="pct"/>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5</w:t>
            </w:r>
          </w:p>
        </w:tc>
        <w:tc>
          <w:tcPr>
            <w:tcW w:w="3378" w:type="pct"/>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overflowPunct/>
              <w:bidi w:val="0"/>
              <w:adjustRightInd/>
              <w:snapToGrid/>
              <w:spacing w:line="500" w:lineRule="exact"/>
              <w:ind w:firstLine="468" w:firstLineChars="19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w:t>
            </w:r>
            <w:r>
              <w:rPr>
                <w:rFonts w:hint="eastAsia" w:ascii="宋体" w:hAnsi="宋体" w:eastAsia="宋体" w:cs="宋体"/>
                <w:color w:val="auto"/>
                <w:sz w:val="24"/>
                <w:highlight w:val="none"/>
                <w:lang w:val="en-US" w:eastAsia="zh-CN"/>
              </w:rPr>
              <w:t>2021</w:t>
            </w:r>
            <w:r>
              <w:rPr>
                <w:rFonts w:hint="eastAsia" w:ascii="宋体" w:hAnsi="宋体" w:eastAsia="宋体" w:cs="宋体"/>
                <w:color w:val="auto"/>
                <w:sz w:val="24"/>
                <w:highlight w:val="none"/>
              </w:rPr>
              <w:t>年1月1日以来同类项目业绩，每提供一份业绩得1分，最多得5分。</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both"/>
              <w:textAlignment w:val="auto"/>
              <w:rPr>
                <w:rFonts w:hint="eastAsia" w:ascii="宋体" w:hAnsi="宋体" w:eastAsia="宋体" w:cs="宋体"/>
                <w:b w:val="0"/>
                <w:bCs/>
                <w:color w:val="auto"/>
                <w:sz w:val="24"/>
                <w:szCs w:val="24"/>
                <w:highlight w:val="none"/>
              </w:rPr>
            </w:pPr>
            <w:r>
              <w:rPr>
                <w:rFonts w:hint="eastAsia" w:ascii="宋体" w:hAnsi="宋体" w:eastAsia="宋体" w:cs="宋体"/>
                <w:color w:val="auto"/>
                <w:sz w:val="24"/>
                <w:highlight w:val="none"/>
              </w:rPr>
              <w:t>注：供应商需在响应文件中提供</w:t>
            </w:r>
            <w:r>
              <w:rPr>
                <w:rFonts w:hint="eastAsia" w:ascii="宋体" w:hAnsi="宋体" w:eastAsia="宋体" w:cs="宋体"/>
                <w:color w:val="auto"/>
                <w:sz w:val="24"/>
                <w:szCs w:val="24"/>
                <w:highlight w:val="none"/>
              </w:rPr>
              <w:t>中标（成交）</w:t>
            </w:r>
            <w:r>
              <w:rPr>
                <w:rFonts w:hint="eastAsia" w:ascii="宋体" w:hAnsi="宋体" w:eastAsia="宋体" w:cs="宋体"/>
                <w:color w:val="auto"/>
                <w:sz w:val="24"/>
                <w:highlight w:val="none"/>
                <w:lang w:val="en-US" w:eastAsia="zh-CN"/>
              </w:rPr>
              <w:t>和</w:t>
            </w:r>
            <w:r>
              <w:rPr>
                <w:rFonts w:hint="eastAsia" w:ascii="宋体" w:hAnsi="宋体" w:eastAsia="宋体" w:cs="宋体"/>
                <w:color w:val="auto"/>
                <w:sz w:val="24"/>
                <w:highlight w:val="none"/>
              </w:rPr>
              <w:t>完整合同复印件（含首页、产品明细页、签字或盖章页）并加盖供应商公章，时间以合同签订时间为准，</w:t>
            </w:r>
            <w:r>
              <w:rPr>
                <w:rFonts w:hint="eastAsia" w:ascii="宋体" w:hAnsi="宋体" w:eastAsia="宋体" w:cs="宋体"/>
                <w:color w:val="auto"/>
                <w:sz w:val="24"/>
                <w:szCs w:val="24"/>
                <w:highlight w:val="none"/>
              </w:rPr>
              <w:t>并提供合同和中标（成交）通知书原件供现场查验。</w:t>
            </w:r>
            <w:r>
              <w:rPr>
                <w:rFonts w:hint="eastAsia" w:ascii="宋体" w:hAnsi="宋体" w:eastAsia="宋体" w:cs="宋体"/>
                <w:color w:val="auto"/>
                <w:sz w:val="24"/>
                <w:highlight w:val="none"/>
              </w:rPr>
              <w:t>成交人业绩将作为成交公告附件向社会公布，接受社会监督。</w:t>
            </w:r>
          </w:p>
        </w:tc>
        <w:tc>
          <w:tcPr>
            <w:tcW w:w="424" w:type="pct"/>
            <w:tcBorders>
              <w:top w:val="single" w:color="auto" w:sz="4" w:space="0"/>
              <w:left w:val="single" w:color="auto" w:sz="4" w:space="0"/>
              <w:bottom w:val="single" w:color="auto" w:sz="4" w:space="0"/>
              <w:right w:val="single" w:color="auto" w:sz="4" w:space="0"/>
            </w:tcBorders>
            <w:noWrap/>
            <w:vAlign w:val="center"/>
          </w:tcPr>
          <w:p>
            <w:pPr>
              <w:spacing w:line="300" w:lineRule="auto"/>
              <w:rPr>
                <w:rFonts w:hint="eastAsia" w:ascii="宋体" w:hAnsi="宋体" w:eastAsia="宋体" w:cs="宋体"/>
                <w:b w:val="0"/>
                <w:bCs/>
                <w:color w:val="auto"/>
                <w:sz w:val="24"/>
                <w:szCs w:val="24"/>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1" w:hRule="atLeast"/>
          <w:jc w:val="center"/>
        </w:trPr>
        <w:tc>
          <w:tcPr>
            <w:tcW w:w="566" w:type="pct"/>
            <w:tcBorders>
              <w:left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b w:val="0"/>
                <w:bCs/>
                <w:color w:val="auto"/>
                <w:sz w:val="24"/>
                <w:szCs w:val="24"/>
                <w:highlight w:val="none"/>
              </w:rPr>
            </w:pPr>
            <w:r>
              <w:rPr>
                <w:rFonts w:hint="eastAsia" w:ascii="宋体" w:hAnsi="宋体" w:eastAsia="宋体" w:cs="宋体"/>
                <w:color w:val="auto"/>
                <w:sz w:val="24"/>
                <w:szCs w:val="24"/>
                <w:highlight w:val="none"/>
              </w:rPr>
              <w:t>产品技术参数</w:t>
            </w:r>
          </w:p>
        </w:tc>
        <w:tc>
          <w:tcPr>
            <w:tcW w:w="630" w:type="pct"/>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宋体" w:hAnsi="宋体" w:eastAsia="宋体" w:cs="宋体"/>
                <w:b w:val="0"/>
                <w:bCs/>
                <w:color w:val="auto"/>
                <w:sz w:val="24"/>
                <w:szCs w:val="24"/>
                <w:highlight w:val="none"/>
                <w:lang w:val="en-US"/>
              </w:rPr>
            </w:pPr>
            <w:r>
              <w:rPr>
                <w:rFonts w:hint="eastAsia" w:ascii="宋体" w:hAnsi="宋体" w:cs="宋体"/>
                <w:b w:val="0"/>
                <w:bCs/>
                <w:color w:val="auto"/>
                <w:sz w:val="24"/>
                <w:szCs w:val="24"/>
                <w:highlight w:val="none"/>
                <w:lang w:val="en-US" w:eastAsia="zh-CN"/>
              </w:rPr>
              <w:t>25</w:t>
            </w:r>
          </w:p>
        </w:tc>
        <w:tc>
          <w:tcPr>
            <w:tcW w:w="3378" w:type="pct"/>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snapToGrid/>
              <w:spacing w:line="480" w:lineRule="exact"/>
              <w:ind w:firstLine="240" w:firstLineChars="100"/>
              <w:jc w:val="both"/>
              <w:textAlignment w:val="auto"/>
              <w:rPr>
                <w:rFonts w:hint="eastAsia" w:ascii="宋体" w:hAnsi="宋体" w:eastAsia="宋体" w:cs="宋体"/>
                <w:b w:val="0"/>
                <w:bCs/>
                <w:color w:val="auto"/>
                <w:sz w:val="24"/>
                <w:szCs w:val="24"/>
                <w:highlight w:val="none"/>
              </w:rPr>
            </w:pPr>
            <w:r>
              <w:rPr>
                <w:rFonts w:hint="eastAsia" w:ascii="宋体" w:hAnsi="宋体" w:cs="宋体"/>
                <w:color w:val="auto"/>
                <w:sz w:val="24"/>
                <w:highlight w:val="none"/>
              </w:rPr>
              <w:t>针对磋商文件中的技术要求，根据所投产品技术性能、技术参数、技术响应等与磋商文件要求的符合情况进行打分，完全符合磋商文件要求没有负偏离的得25分。存在负偏离的，每项扣</w:t>
            </w:r>
            <w:r>
              <w:rPr>
                <w:rFonts w:hint="eastAsia" w:ascii="宋体" w:hAnsi="宋体" w:cs="宋体"/>
                <w:color w:val="auto"/>
                <w:sz w:val="24"/>
                <w:highlight w:val="none"/>
                <w:lang w:val="en-US" w:eastAsia="zh-CN"/>
              </w:rPr>
              <w:t>0.5</w:t>
            </w:r>
            <w:r>
              <w:rPr>
                <w:rFonts w:hint="eastAsia" w:ascii="宋体" w:hAnsi="宋体" w:cs="宋体"/>
                <w:color w:val="auto"/>
                <w:sz w:val="24"/>
                <w:highlight w:val="none"/>
              </w:rPr>
              <w:t>分；对磋商文件技术要求不</w:t>
            </w:r>
            <w:r>
              <w:rPr>
                <w:rFonts w:hint="eastAsia" w:ascii="宋体" w:hAnsi="宋体" w:cs="宋体"/>
                <w:color w:val="auto"/>
                <w:sz w:val="24"/>
                <w:highlight w:val="none"/>
                <w:lang w:eastAsia="zh-CN"/>
              </w:rPr>
              <w:t>作</w:t>
            </w:r>
            <w:r>
              <w:rPr>
                <w:rFonts w:hint="eastAsia" w:ascii="宋体" w:hAnsi="宋体" w:cs="宋体"/>
                <w:color w:val="auto"/>
                <w:sz w:val="24"/>
                <w:highlight w:val="none"/>
              </w:rPr>
              <w:t>任何响应的，认定为负偏离以及有负偏离而未注明的，每发现一项扣</w:t>
            </w:r>
            <w:r>
              <w:rPr>
                <w:rFonts w:hint="eastAsia" w:ascii="宋体" w:hAnsi="宋体" w:cs="宋体"/>
                <w:color w:val="auto"/>
                <w:sz w:val="24"/>
                <w:highlight w:val="none"/>
                <w:lang w:val="en-US" w:eastAsia="zh-CN"/>
              </w:rPr>
              <w:t>1</w:t>
            </w:r>
            <w:r>
              <w:rPr>
                <w:rFonts w:hint="eastAsia" w:ascii="宋体" w:hAnsi="宋体" w:cs="宋体"/>
                <w:color w:val="auto"/>
                <w:sz w:val="24"/>
                <w:highlight w:val="none"/>
              </w:rPr>
              <w:t>分，扣完为止。</w:t>
            </w:r>
          </w:p>
        </w:tc>
        <w:tc>
          <w:tcPr>
            <w:tcW w:w="424" w:type="pct"/>
            <w:tcBorders>
              <w:top w:val="single" w:color="auto" w:sz="4" w:space="0"/>
              <w:left w:val="single" w:color="auto" w:sz="4" w:space="0"/>
              <w:bottom w:val="single" w:color="auto" w:sz="4" w:space="0"/>
              <w:right w:val="single" w:color="auto" w:sz="4" w:space="0"/>
            </w:tcBorders>
            <w:noWrap/>
            <w:vAlign w:val="center"/>
          </w:tcPr>
          <w:p>
            <w:pPr>
              <w:numPr>
                <w:ilvl w:val="0"/>
                <w:numId w:val="0"/>
              </w:numPr>
              <w:topLinePunct/>
              <w:spacing w:line="360" w:lineRule="auto"/>
              <w:ind w:left="0" w:leftChars="0" w:firstLine="0" w:firstLineChars="0"/>
              <w:jc w:val="both"/>
              <w:rPr>
                <w:rFonts w:hint="eastAsia" w:ascii="宋体" w:hAnsi="宋体" w:eastAsia="宋体" w:cs="宋体"/>
                <w:b w:val="0"/>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566" w:type="pct"/>
            <w:tcBorders>
              <w:left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b w:val="0"/>
                <w:bCs/>
                <w:color w:val="auto"/>
                <w:sz w:val="24"/>
                <w:szCs w:val="24"/>
                <w:highlight w:val="none"/>
              </w:rPr>
            </w:pPr>
            <w:r>
              <w:rPr>
                <w:rFonts w:hint="eastAsia" w:ascii="宋体" w:hAnsi="宋体" w:eastAsia="宋体" w:cs="宋体"/>
                <w:color w:val="auto"/>
                <w:sz w:val="24"/>
                <w:szCs w:val="24"/>
                <w:highlight w:val="none"/>
              </w:rPr>
              <w:t>技术方案实施</w:t>
            </w:r>
          </w:p>
        </w:tc>
        <w:tc>
          <w:tcPr>
            <w:tcW w:w="630" w:type="pct"/>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宋体" w:hAnsi="宋体" w:eastAsia="宋体" w:cs="宋体"/>
                <w:b w:val="0"/>
                <w:bCs/>
                <w:color w:val="auto"/>
                <w:sz w:val="24"/>
                <w:szCs w:val="24"/>
                <w:highlight w:val="none"/>
                <w:lang w:val="en-US"/>
              </w:rPr>
            </w:pPr>
            <w:r>
              <w:rPr>
                <w:rFonts w:hint="eastAsia" w:ascii="宋体" w:hAnsi="宋体" w:cs="宋体"/>
                <w:b w:val="0"/>
                <w:bCs/>
                <w:color w:val="auto"/>
                <w:sz w:val="24"/>
                <w:szCs w:val="24"/>
                <w:highlight w:val="none"/>
                <w:lang w:val="en-US" w:eastAsia="zh-CN"/>
              </w:rPr>
              <w:t>25</w:t>
            </w:r>
          </w:p>
        </w:tc>
        <w:tc>
          <w:tcPr>
            <w:tcW w:w="3378" w:type="pct"/>
            <w:tcBorders>
              <w:top w:val="single" w:color="auto" w:sz="4" w:space="0"/>
              <w:left w:val="single" w:color="auto" w:sz="4" w:space="0"/>
              <w:bottom w:val="single" w:color="auto" w:sz="4" w:space="0"/>
              <w:right w:val="single" w:color="auto" w:sz="4" w:space="0"/>
            </w:tcBorders>
            <w:noWrap/>
            <w:vAlign w:val="center"/>
          </w:tcPr>
          <w:p>
            <w:pPr>
              <w:widowControl/>
              <w:spacing w:line="480" w:lineRule="exact"/>
              <w:ind w:firstLine="468" w:firstLineChars="195"/>
              <w:rPr>
                <w:rFonts w:ascii="宋体" w:hAnsi="宋体" w:cs="宋体"/>
                <w:color w:val="auto"/>
                <w:sz w:val="24"/>
                <w:highlight w:val="none"/>
              </w:rPr>
            </w:pPr>
            <w:r>
              <w:rPr>
                <w:rFonts w:hint="eastAsia" w:ascii="宋体" w:hAnsi="宋体" w:cs="宋体"/>
                <w:color w:val="auto"/>
                <w:sz w:val="24"/>
                <w:highlight w:val="none"/>
              </w:rPr>
              <w:t>1、实施方案：针对本项目的具体供货运输方案、安装调试方案、项目实施团队情况的完整、规范得5分，每存在一项不足扣1分，扣完为止，未提供本项说明不得分；</w:t>
            </w:r>
          </w:p>
          <w:p>
            <w:pPr>
              <w:widowControl/>
              <w:spacing w:line="480" w:lineRule="exact"/>
              <w:ind w:firstLine="468" w:firstLineChars="195"/>
              <w:rPr>
                <w:rFonts w:ascii="宋体" w:hAnsi="宋体" w:cs="宋体"/>
                <w:color w:val="auto"/>
                <w:sz w:val="24"/>
                <w:highlight w:val="none"/>
              </w:rPr>
            </w:pPr>
            <w:r>
              <w:rPr>
                <w:rFonts w:hint="eastAsia" w:ascii="宋体" w:hAnsi="宋体" w:cs="宋体"/>
                <w:color w:val="auto"/>
                <w:sz w:val="24"/>
                <w:highlight w:val="none"/>
              </w:rPr>
              <w:t>2、质量保障方案：针对本项目的质量保障措施方案等全面、切实可行得5分，每存在一项不足扣1分，扣完为止，未提供本项说明不得分；</w:t>
            </w:r>
          </w:p>
          <w:p>
            <w:pPr>
              <w:widowControl/>
              <w:spacing w:line="480" w:lineRule="exact"/>
              <w:ind w:firstLine="468" w:firstLineChars="195"/>
              <w:rPr>
                <w:rFonts w:ascii="宋体" w:hAnsi="宋体" w:cs="宋体"/>
                <w:color w:val="auto"/>
                <w:sz w:val="24"/>
                <w:highlight w:val="none"/>
              </w:rPr>
            </w:pPr>
            <w:r>
              <w:rPr>
                <w:rFonts w:hint="eastAsia" w:ascii="宋体" w:hAnsi="宋体" w:cs="宋体"/>
                <w:color w:val="auto"/>
                <w:sz w:val="24"/>
                <w:highlight w:val="none"/>
              </w:rPr>
              <w:t>3、进度计划及保障措施：针对本项目的供货安装、调试进度计划、进度控制保障措施完整、具体、</w:t>
            </w:r>
            <w:r>
              <w:rPr>
                <w:rFonts w:hint="eastAsia" w:ascii="宋体" w:hAnsi="宋体" w:cs="宋体"/>
                <w:color w:val="auto"/>
                <w:sz w:val="24"/>
                <w:highlight w:val="none"/>
                <w:lang w:eastAsia="zh-CN"/>
              </w:rPr>
              <w:t>具有</w:t>
            </w:r>
            <w:r>
              <w:rPr>
                <w:rFonts w:hint="eastAsia" w:ascii="宋体" w:hAnsi="宋体" w:cs="宋体"/>
                <w:color w:val="auto"/>
                <w:sz w:val="24"/>
                <w:highlight w:val="none"/>
              </w:rPr>
              <w:t>针对性得5分，每存在一项不足扣1分，扣完为止，未提供本项说明不得分；</w:t>
            </w:r>
          </w:p>
          <w:p>
            <w:pPr>
              <w:widowControl/>
              <w:spacing w:line="480" w:lineRule="exact"/>
              <w:ind w:firstLine="468" w:firstLineChars="195"/>
              <w:rPr>
                <w:rFonts w:ascii="宋体" w:hAnsi="宋体" w:cs="宋体"/>
                <w:color w:val="auto"/>
                <w:sz w:val="24"/>
                <w:highlight w:val="none"/>
              </w:rPr>
            </w:pPr>
            <w:r>
              <w:rPr>
                <w:rFonts w:hint="eastAsia" w:ascii="宋体" w:hAnsi="宋体" w:cs="宋体"/>
                <w:color w:val="auto"/>
                <w:sz w:val="24"/>
                <w:highlight w:val="none"/>
              </w:rPr>
              <w:t>4、货物验收标准：具有货物的验收标准且具有可执行性得5分，标准内容不详细不明确的，每有一处扣1 分，扣完为止，响应文件中无相关描述的，本项不得分。</w:t>
            </w:r>
          </w:p>
          <w:p>
            <w:pPr>
              <w:keepNext w:val="0"/>
              <w:keepLines w:val="0"/>
              <w:pageBreakBefore w:val="0"/>
              <w:widowControl w:val="0"/>
              <w:kinsoku/>
              <w:wordWrap/>
              <w:overflowPunct/>
              <w:topLinePunct w:val="0"/>
              <w:autoSpaceDE/>
              <w:autoSpaceDN/>
              <w:bidi w:val="0"/>
              <w:adjustRightInd/>
              <w:snapToGrid/>
              <w:spacing w:line="480" w:lineRule="exact"/>
              <w:ind w:firstLine="240" w:firstLineChars="100"/>
              <w:jc w:val="both"/>
              <w:textAlignment w:val="auto"/>
              <w:rPr>
                <w:rFonts w:hint="eastAsia" w:ascii="宋体" w:hAnsi="宋体" w:eastAsia="宋体" w:cs="宋体"/>
                <w:b w:val="0"/>
                <w:bCs/>
                <w:color w:val="auto"/>
                <w:sz w:val="24"/>
                <w:szCs w:val="24"/>
                <w:highlight w:val="none"/>
                <w:lang w:val="en-US" w:eastAsia="zh-CN"/>
              </w:rPr>
            </w:pPr>
            <w:r>
              <w:rPr>
                <w:rFonts w:hint="eastAsia" w:ascii="宋体" w:hAnsi="宋体" w:cs="宋体"/>
                <w:color w:val="auto"/>
                <w:sz w:val="24"/>
                <w:highlight w:val="none"/>
              </w:rPr>
              <w:t>5、应急保障措施：针对本项目的应急情况、突击性任务时维护人员、设备安排预案和应急方案完整、针对性强得5分，每存在一项不足扣1分，扣完为止，未提供本项说明不得分。</w:t>
            </w:r>
          </w:p>
        </w:tc>
        <w:tc>
          <w:tcPr>
            <w:tcW w:w="424" w:type="pct"/>
            <w:tcBorders>
              <w:top w:val="single" w:color="auto" w:sz="4" w:space="0"/>
              <w:left w:val="single" w:color="auto" w:sz="4" w:space="0"/>
              <w:bottom w:val="single" w:color="auto" w:sz="4" w:space="0"/>
              <w:right w:val="single" w:color="auto" w:sz="4" w:space="0"/>
            </w:tcBorders>
            <w:noWrap/>
            <w:vAlign w:val="center"/>
          </w:tcPr>
          <w:p>
            <w:pPr>
              <w:pStyle w:val="10"/>
              <w:spacing w:before="0" w:line="300" w:lineRule="auto"/>
              <w:rPr>
                <w:rFonts w:hint="eastAsia" w:ascii="宋体" w:hAnsi="宋体" w:eastAsia="宋体" w:cs="宋体"/>
                <w:b w:val="0"/>
                <w:bCs/>
                <w:color w:val="auto"/>
                <w:sz w:val="24"/>
                <w:szCs w:val="24"/>
                <w:highlight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566" w:type="pct"/>
            <w:tcBorders>
              <w:left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b w:val="0"/>
                <w:bCs/>
                <w:color w:val="auto"/>
                <w:sz w:val="24"/>
                <w:szCs w:val="24"/>
                <w:highlight w:val="none"/>
              </w:rPr>
            </w:pPr>
            <w:r>
              <w:rPr>
                <w:rFonts w:hint="eastAsia" w:ascii="宋体" w:hAnsi="宋体" w:eastAsia="宋体" w:cs="宋体"/>
                <w:color w:val="auto"/>
                <w:sz w:val="24"/>
                <w:szCs w:val="22"/>
                <w:highlight w:val="none"/>
              </w:rPr>
              <w:t>售后服务方案</w:t>
            </w:r>
          </w:p>
        </w:tc>
        <w:tc>
          <w:tcPr>
            <w:tcW w:w="630" w:type="pct"/>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宋体" w:hAnsi="宋体" w:eastAsia="宋体" w:cs="宋体"/>
                <w:b w:val="0"/>
                <w:bCs/>
                <w:color w:val="auto"/>
                <w:sz w:val="24"/>
                <w:szCs w:val="24"/>
                <w:highlight w:val="none"/>
                <w:lang w:val="en-US" w:eastAsia="zh-CN"/>
              </w:rPr>
            </w:pPr>
            <w:r>
              <w:rPr>
                <w:rFonts w:hint="eastAsia" w:ascii="宋体" w:hAnsi="宋体" w:cs="宋体"/>
                <w:color w:val="auto"/>
                <w:sz w:val="24"/>
                <w:szCs w:val="22"/>
                <w:highlight w:val="none"/>
                <w:lang w:val="en-US" w:eastAsia="zh-CN"/>
              </w:rPr>
              <w:t>10</w:t>
            </w:r>
          </w:p>
        </w:tc>
        <w:tc>
          <w:tcPr>
            <w:tcW w:w="3378" w:type="pct"/>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overflowPunct/>
              <w:autoSpaceDE w:val="0"/>
              <w:bidi w:val="0"/>
              <w:adjustRightInd/>
              <w:snapToGrid/>
              <w:spacing w:line="500" w:lineRule="exact"/>
              <w:ind w:firstLine="458" w:firstLineChars="191"/>
              <w:textAlignment w:val="auto"/>
              <w:rPr>
                <w:rFonts w:hint="eastAsia" w:ascii="宋体" w:hAnsi="宋体" w:eastAsia="宋体" w:cs="宋体"/>
                <w:b w:val="0"/>
                <w:bCs/>
                <w:color w:val="auto"/>
                <w:sz w:val="24"/>
                <w:szCs w:val="24"/>
                <w:highlight w:val="none"/>
              </w:rPr>
            </w:pPr>
            <w:r>
              <w:rPr>
                <w:rFonts w:hint="eastAsia" w:ascii="宋体" w:hAnsi="宋体" w:eastAsia="宋体" w:cs="宋体"/>
                <w:color w:val="auto"/>
                <w:sz w:val="24"/>
                <w:highlight w:val="none"/>
              </w:rPr>
              <w:t>要求提供售后服务方案，要求方案至少包含：售后服务内容范围、售后服务人员方案、售后服务响应和完成时间、退换货方案、售后服务质量保障措施等五个方面内容，内容完整无缺项的得</w:t>
            </w:r>
            <w:r>
              <w:rPr>
                <w:rFonts w:hint="eastAsia" w:ascii="宋体" w:hAnsi="宋体" w:cs="宋体"/>
                <w:color w:val="auto"/>
                <w:sz w:val="24"/>
                <w:highlight w:val="none"/>
                <w:lang w:val="en-US" w:eastAsia="zh-CN"/>
              </w:rPr>
              <w:t>10</w:t>
            </w:r>
            <w:r>
              <w:rPr>
                <w:rFonts w:hint="eastAsia" w:ascii="宋体" w:hAnsi="宋体" w:eastAsia="宋体" w:cs="宋体"/>
                <w:color w:val="auto"/>
                <w:sz w:val="24"/>
                <w:highlight w:val="none"/>
              </w:rPr>
              <w:t>分，每缺一项扣</w:t>
            </w:r>
            <w:r>
              <w:rPr>
                <w:rFonts w:hint="eastAsia" w:ascii="宋体" w:hAnsi="宋体" w:cs="宋体"/>
                <w:color w:val="auto"/>
                <w:sz w:val="24"/>
                <w:highlight w:val="none"/>
                <w:lang w:val="en-US" w:eastAsia="zh-CN"/>
              </w:rPr>
              <w:t>2</w:t>
            </w:r>
            <w:r>
              <w:rPr>
                <w:rFonts w:hint="eastAsia" w:ascii="宋体" w:hAnsi="宋体" w:eastAsia="宋体" w:cs="宋体"/>
                <w:color w:val="auto"/>
                <w:sz w:val="24"/>
                <w:highlight w:val="none"/>
              </w:rPr>
              <w:t>分，内容不完整或可行性差每一处扣1分，扣完为止。</w:t>
            </w:r>
          </w:p>
        </w:tc>
        <w:tc>
          <w:tcPr>
            <w:tcW w:w="424" w:type="pct"/>
            <w:tcBorders>
              <w:top w:val="single" w:color="auto" w:sz="4" w:space="0"/>
              <w:left w:val="single" w:color="auto" w:sz="4" w:space="0"/>
              <w:bottom w:val="single" w:color="auto" w:sz="4" w:space="0"/>
              <w:right w:val="single" w:color="auto" w:sz="4" w:space="0"/>
            </w:tcBorders>
            <w:noWrap/>
            <w:vAlign w:val="center"/>
          </w:tcPr>
          <w:p>
            <w:pPr>
              <w:numPr>
                <w:ilvl w:val="0"/>
                <w:numId w:val="0"/>
              </w:numPr>
              <w:spacing w:line="300" w:lineRule="auto"/>
              <w:rPr>
                <w:rFonts w:hint="eastAsia" w:ascii="宋体" w:hAnsi="宋体" w:eastAsia="宋体" w:cs="宋体"/>
                <w:b w:val="0"/>
                <w:bCs/>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3" w:hRule="atLeast"/>
          <w:jc w:val="center"/>
        </w:trPr>
        <w:tc>
          <w:tcPr>
            <w:tcW w:w="566" w:type="pct"/>
            <w:tcBorders>
              <w:left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b w:val="0"/>
                <w:bCs/>
                <w:color w:val="auto"/>
                <w:sz w:val="24"/>
                <w:szCs w:val="24"/>
                <w:highlight w:val="none"/>
              </w:rPr>
            </w:pPr>
            <w:r>
              <w:rPr>
                <w:rFonts w:hint="eastAsia" w:ascii="宋体" w:hAnsi="宋体" w:eastAsia="宋体" w:cs="宋体"/>
                <w:color w:val="auto"/>
                <w:sz w:val="24"/>
                <w:highlight w:val="none"/>
              </w:rPr>
              <w:t>优惠</w:t>
            </w:r>
            <w:r>
              <w:rPr>
                <w:rFonts w:hint="eastAsia" w:ascii="宋体" w:hAnsi="宋体" w:eastAsia="宋体" w:cs="宋体"/>
                <w:color w:val="auto"/>
                <w:sz w:val="24"/>
                <w:highlight w:val="none"/>
                <w:lang w:val="en-US" w:eastAsia="zh-CN"/>
              </w:rPr>
              <w:t>措施</w:t>
            </w:r>
          </w:p>
        </w:tc>
        <w:tc>
          <w:tcPr>
            <w:tcW w:w="630" w:type="pct"/>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b w:val="0"/>
                <w:bCs/>
                <w:color w:val="auto"/>
                <w:sz w:val="24"/>
                <w:szCs w:val="24"/>
                <w:highlight w:val="none"/>
                <w:lang w:val="en-US"/>
              </w:rPr>
            </w:pPr>
            <w:r>
              <w:rPr>
                <w:rFonts w:hint="eastAsia" w:ascii="宋体" w:hAnsi="宋体" w:eastAsia="宋体" w:cs="宋体"/>
                <w:b w:val="0"/>
                <w:bCs/>
                <w:color w:val="auto"/>
                <w:sz w:val="24"/>
                <w:szCs w:val="24"/>
                <w:highlight w:val="none"/>
                <w:lang w:val="en-US" w:eastAsia="zh-CN"/>
              </w:rPr>
              <w:t>5</w:t>
            </w:r>
          </w:p>
        </w:tc>
        <w:tc>
          <w:tcPr>
            <w:tcW w:w="3378" w:type="pct"/>
            <w:tcBorders>
              <w:top w:val="single" w:color="auto" w:sz="4" w:space="0"/>
              <w:left w:val="single" w:color="auto" w:sz="4" w:space="0"/>
              <w:bottom w:val="single" w:color="auto" w:sz="4" w:space="0"/>
              <w:right w:val="single" w:color="auto" w:sz="4" w:space="0"/>
            </w:tcBorders>
            <w:noWrap/>
            <w:vAlign w:val="center"/>
          </w:tcPr>
          <w:p>
            <w:pPr>
              <w:pStyle w:val="29"/>
              <w:keepNext w:val="0"/>
              <w:keepLines w:val="0"/>
              <w:pageBreakBefore w:val="0"/>
              <w:widowControl w:val="0"/>
              <w:kinsoku/>
              <w:wordWrap/>
              <w:topLinePunct w:val="0"/>
              <w:autoSpaceDE/>
              <w:autoSpaceDN/>
              <w:bidi w:val="0"/>
              <w:adjustRightInd/>
              <w:snapToGrid/>
              <w:spacing w:line="480" w:lineRule="exact"/>
              <w:ind w:left="0" w:leftChars="0" w:firstLine="448" w:firstLineChars="200"/>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供应商提供的与本项目履约有关的优惠措施是否具有实质性（如保质期在磋商文件要求基础上每增加</w:t>
            </w:r>
            <w:r>
              <w:rPr>
                <w:rFonts w:hint="eastAsia" w:ascii="宋体" w:hAnsi="宋体" w:eastAsia="宋体" w:cs="宋体"/>
                <w:b w:val="0"/>
                <w:bCs/>
                <w:color w:val="auto"/>
                <w:sz w:val="24"/>
                <w:szCs w:val="24"/>
                <w:highlight w:val="none"/>
                <w:lang w:val="en-US" w:eastAsia="zh-CN"/>
              </w:rPr>
              <w:t>半年</w:t>
            </w:r>
            <w:r>
              <w:rPr>
                <w:rFonts w:hint="eastAsia" w:ascii="宋体" w:hAnsi="宋体" w:eastAsia="宋体" w:cs="宋体"/>
                <w:b w:val="0"/>
                <w:bCs/>
                <w:color w:val="auto"/>
                <w:sz w:val="24"/>
                <w:szCs w:val="24"/>
                <w:highlight w:val="none"/>
              </w:rPr>
              <w:t>得</w:t>
            </w:r>
            <w:r>
              <w:rPr>
                <w:rFonts w:hint="eastAsia" w:ascii="宋体" w:hAnsi="宋体" w:eastAsia="宋体" w:cs="宋体"/>
                <w:b w:val="0"/>
                <w:bCs/>
                <w:color w:val="auto"/>
                <w:sz w:val="24"/>
                <w:szCs w:val="24"/>
                <w:highlight w:val="none"/>
                <w:lang w:val="en-US" w:eastAsia="zh-CN"/>
              </w:rPr>
              <w:t>1</w:t>
            </w:r>
            <w:r>
              <w:rPr>
                <w:rFonts w:hint="eastAsia" w:ascii="宋体" w:hAnsi="宋体" w:eastAsia="宋体" w:cs="宋体"/>
                <w:b w:val="0"/>
                <w:bCs/>
                <w:color w:val="auto"/>
                <w:sz w:val="24"/>
                <w:szCs w:val="24"/>
                <w:highlight w:val="none"/>
              </w:rPr>
              <w:t>分），经磋商小组认定每有效1条得1分，最多得5分。</w:t>
            </w:r>
          </w:p>
        </w:tc>
        <w:tc>
          <w:tcPr>
            <w:tcW w:w="424" w:type="pct"/>
            <w:tcBorders>
              <w:top w:val="single" w:color="auto" w:sz="4" w:space="0"/>
              <w:left w:val="single" w:color="auto" w:sz="4" w:space="0"/>
              <w:bottom w:val="single" w:color="auto" w:sz="4" w:space="0"/>
              <w:right w:val="single" w:color="auto" w:sz="4" w:space="0"/>
            </w:tcBorders>
            <w:noWrap/>
            <w:vAlign w:val="center"/>
          </w:tcPr>
          <w:p>
            <w:pPr>
              <w:spacing w:line="300" w:lineRule="auto"/>
              <w:rPr>
                <w:rFonts w:hint="eastAsia" w:ascii="宋体" w:hAnsi="宋体" w:eastAsia="宋体" w:cs="宋体"/>
                <w:b w:val="0"/>
                <w:bCs/>
                <w:color w:val="auto"/>
                <w:sz w:val="24"/>
                <w:szCs w:val="24"/>
                <w:highlight w:val="none"/>
                <w:lang w:val="en-US" w:eastAsia="zh-CN"/>
              </w:rPr>
            </w:pPr>
          </w:p>
        </w:tc>
      </w:tr>
    </w:tbl>
    <w:p>
      <w:pPr>
        <w:pStyle w:val="2"/>
        <w:spacing w:line="480" w:lineRule="exact"/>
        <w:ind w:left="0" w:firstLine="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说明：该表的位置应封装在</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（响应文件）目录之前。</w:t>
      </w:r>
    </w:p>
    <w:p>
      <w:pPr>
        <w:pStyle w:val="38"/>
        <w:rPr>
          <w:rFonts w:hint="eastAsia" w:ascii="宋体" w:hAnsi="宋体" w:eastAsia="宋体" w:cs="宋体"/>
          <w:color w:val="auto"/>
          <w:sz w:val="24"/>
          <w:szCs w:val="24"/>
          <w:highlight w:val="none"/>
        </w:rPr>
      </w:pPr>
    </w:p>
    <w:p>
      <w:pPr>
        <w:rPr>
          <w:rFonts w:hint="eastAsia" w:ascii="宋体" w:hAnsi="宋体" w:eastAsia="宋体" w:cs="宋体"/>
          <w:color w:val="auto"/>
          <w:highlight w:val="none"/>
        </w:rPr>
      </w:pPr>
    </w:p>
    <w:p>
      <w:pPr>
        <w:rPr>
          <w:rFonts w:hint="eastAsia" w:ascii="宋体" w:hAnsi="宋体" w:eastAsia="宋体" w:cs="宋体"/>
          <w:color w:val="auto"/>
          <w:highlight w:val="none"/>
        </w:rPr>
      </w:pPr>
      <w:r>
        <w:rPr>
          <w:rFonts w:hint="eastAsia" w:ascii="宋体" w:hAnsi="宋体" w:eastAsia="宋体" w:cs="宋体"/>
          <w:color w:val="auto"/>
          <w:highlight w:val="none"/>
        </w:rPr>
        <w:br w:type="page"/>
      </w:r>
    </w:p>
    <w:p>
      <w:pPr>
        <w:pStyle w:val="6"/>
        <w:rPr>
          <w:rFonts w:hint="eastAsia" w:ascii="宋体" w:hAnsi="宋体" w:eastAsia="宋体" w:cs="宋体"/>
          <w:color w:val="auto"/>
          <w:highlight w:val="none"/>
        </w:rPr>
      </w:pPr>
    </w:p>
    <w:p>
      <w:pPr>
        <w:pStyle w:val="4"/>
        <w:numPr>
          <w:ilvl w:val="0"/>
          <w:numId w:val="0"/>
        </w:numPr>
        <w:spacing w:line="480" w:lineRule="exact"/>
        <w:ind w:leftChars="177"/>
        <w:jc w:val="center"/>
        <w:rPr>
          <w:rFonts w:hint="eastAsia" w:ascii="宋体" w:hAnsi="宋体" w:eastAsia="宋体" w:cs="宋体"/>
          <w:color w:val="auto"/>
          <w:highlight w:val="none"/>
        </w:rPr>
      </w:pPr>
      <w:bookmarkStart w:id="277" w:name="_Toc7206"/>
      <w:r>
        <w:rPr>
          <w:rFonts w:hint="eastAsia" w:ascii="宋体" w:hAnsi="宋体" w:cs="宋体"/>
          <w:color w:val="auto"/>
          <w:highlight w:val="none"/>
          <w:lang w:val="en-US" w:eastAsia="zh-CN"/>
        </w:rPr>
        <w:t>三、</w:t>
      </w:r>
      <w:r>
        <w:rPr>
          <w:rFonts w:hint="eastAsia" w:ascii="宋体" w:hAnsi="宋体" w:eastAsia="宋体" w:cs="宋体"/>
          <w:color w:val="auto"/>
          <w:highlight w:val="none"/>
        </w:rPr>
        <w:t>报价一览表</w:t>
      </w:r>
      <w:bookmarkEnd w:id="272"/>
      <w:bookmarkEnd w:id="273"/>
      <w:bookmarkEnd w:id="274"/>
      <w:bookmarkEnd w:id="277"/>
    </w:p>
    <w:p>
      <w:pPr>
        <w:numPr>
          <w:ilvl w:val="0"/>
          <w:numId w:val="0"/>
        </w:numPr>
        <w:ind w:leftChars="177"/>
        <w:rPr>
          <w:rFonts w:hint="eastAsia" w:ascii="宋体" w:hAnsi="宋体" w:eastAsia="宋体" w:cs="宋体"/>
          <w:color w:val="auto"/>
          <w:highlight w:val="none"/>
        </w:rPr>
      </w:pPr>
    </w:p>
    <w:p>
      <w:pPr>
        <w:spacing w:line="300" w:lineRule="auto"/>
        <w:ind w:firstLine="3631"/>
        <w:rPr>
          <w:rFonts w:hint="eastAsia" w:ascii="宋体" w:hAnsi="宋体" w:cs="仿宋_GB2312"/>
          <w:color w:val="auto"/>
          <w:sz w:val="28"/>
          <w:szCs w:val="28"/>
          <w:highlight w:val="none"/>
        </w:rPr>
      </w:pPr>
      <w:bookmarkStart w:id="278" w:name="_Hlt520356241"/>
      <w:bookmarkEnd w:id="278"/>
      <w:bookmarkStart w:id="279" w:name="_Toc480942349"/>
      <w:bookmarkStart w:id="280" w:name="_Ref467988698"/>
      <w:bookmarkStart w:id="281" w:name="_Toc520356217"/>
      <w:bookmarkStart w:id="282" w:name="_Toc216582813"/>
      <w:r>
        <w:rPr>
          <w:rFonts w:hint="eastAsia" w:ascii="宋体" w:hAnsi="宋体"/>
          <w:color w:val="auto"/>
          <w:sz w:val="24"/>
          <w:szCs w:val="24"/>
          <w:highlight w:val="none"/>
        </w:rPr>
        <w:t xml:space="preserve">                    </w:t>
      </w:r>
      <w:r>
        <w:rPr>
          <w:rFonts w:hint="eastAsia" w:ascii="宋体" w:hAnsi="宋体" w:cs="仿宋_GB2312"/>
          <w:color w:val="auto"/>
          <w:sz w:val="28"/>
          <w:szCs w:val="28"/>
          <w:highlight w:val="none"/>
        </w:rPr>
        <w:t xml:space="preserve"> 金额单位：元</w:t>
      </w:r>
    </w:p>
    <w:tbl>
      <w:tblPr>
        <w:tblStyle w:val="30"/>
        <w:tblW w:w="10019" w:type="dxa"/>
        <w:jc w:val="center"/>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83"/>
        <w:gridCol w:w="7136"/>
      </w:tblGrid>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cantSplit/>
          <w:trHeight w:val="875" w:hRule="atLeast"/>
          <w:jc w:val="center"/>
        </w:trPr>
        <w:tc>
          <w:tcPr>
            <w:tcW w:w="2883" w:type="dxa"/>
            <w:tcBorders>
              <w:right w:val="single" w:color="auto" w:sz="4" w:space="0"/>
            </w:tcBorders>
            <w:noWrap w:val="0"/>
            <w:vAlign w:val="center"/>
          </w:tcPr>
          <w:p>
            <w:pPr>
              <w:spacing w:line="300" w:lineRule="auto"/>
              <w:jc w:val="center"/>
              <w:rPr>
                <w:rFonts w:hint="eastAsia" w:ascii="宋体" w:hAnsi="宋体"/>
                <w:color w:val="auto"/>
                <w:sz w:val="24"/>
                <w:szCs w:val="24"/>
                <w:highlight w:val="none"/>
              </w:rPr>
            </w:pPr>
            <w:r>
              <w:rPr>
                <w:rFonts w:hint="eastAsia" w:ascii="宋体" w:hAnsi="宋体"/>
                <w:color w:val="auto"/>
                <w:sz w:val="24"/>
                <w:szCs w:val="24"/>
                <w:highlight w:val="none"/>
              </w:rPr>
              <w:t>项目名称</w:t>
            </w:r>
          </w:p>
        </w:tc>
        <w:tc>
          <w:tcPr>
            <w:tcW w:w="7136" w:type="dxa"/>
            <w:tcBorders>
              <w:left w:val="single" w:color="auto" w:sz="4" w:space="0"/>
            </w:tcBorders>
            <w:noWrap w:val="0"/>
            <w:vAlign w:val="center"/>
          </w:tcPr>
          <w:p>
            <w:pPr>
              <w:spacing w:line="300" w:lineRule="auto"/>
              <w:jc w:val="both"/>
              <w:rPr>
                <w:rFonts w:hint="eastAsia" w:ascii="宋体" w:hAnsi="宋体"/>
                <w:color w:val="auto"/>
                <w:sz w:val="24"/>
                <w:szCs w:val="24"/>
                <w:highlight w:val="none"/>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cantSplit/>
          <w:trHeight w:val="833" w:hRule="atLeast"/>
          <w:jc w:val="center"/>
        </w:trPr>
        <w:tc>
          <w:tcPr>
            <w:tcW w:w="2883" w:type="dxa"/>
            <w:tcBorders>
              <w:right w:val="single" w:color="auto" w:sz="4" w:space="0"/>
            </w:tcBorders>
            <w:noWrap w:val="0"/>
            <w:vAlign w:val="center"/>
          </w:tcPr>
          <w:p>
            <w:pPr>
              <w:spacing w:line="300" w:lineRule="auto"/>
              <w:jc w:val="center"/>
              <w:rPr>
                <w:rFonts w:hint="eastAsia" w:ascii="宋体" w:hAnsi="宋体"/>
                <w:color w:val="auto"/>
                <w:sz w:val="24"/>
                <w:szCs w:val="24"/>
                <w:highlight w:val="none"/>
              </w:rPr>
            </w:pPr>
            <w:r>
              <w:rPr>
                <w:rFonts w:hint="eastAsia" w:ascii="宋体" w:hAnsi="宋体"/>
                <w:color w:val="auto"/>
                <w:sz w:val="24"/>
                <w:szCs w:val="24"/>
                <w:highlight w:val="none"/>
              </w:rPr>
              <w:t>项目编号</w:t>
            </w:r>
          </w:p>
        </w:tc>
        <w:tc>
          <w:tcPr>
            <w:tcW w:w="7136" w:type="dxa"/>
            <w:tcBorders>
              <w:left w:val="single" w:color="auto" w:sz="4" w:space="0"/>
            </w:tcBorders>
            <w:noWrap w:val="0"/>
            <w:vAlign w:val="center"/>
          </w:tcPr>
          <w:p>
            <w:pPr>
              <w:spacing w:line="300" w:lineRule="auto"/>
              <w:jc w:val="both"/>
              <w:rPr>
                <w:rFonts w:hint="eastAsia" w:ascii="宋体" w:hAnsi="宋体" w:eastAsia="宋体"/>
                <w:color w:val="auto"/>
                <w:sz w:val="24"/>
                <w:szCs w:val="24"/>
                <w:highlight w:val="none"/>
                <w:lang w:eastAsia="zh-CN"/>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cantSplit/>
          <w:trHeight w:val="833" w:hRule="atLeast"/>
          <w:jc w:val="center"/>
        </w:trPr>
        <w:tc>
          <w:tcPr>
            <w:tcW w:w="2883" w:type="dxa"/>
            <w:tcBorders>
              <w:right w:val="single" w:color="auto" w:sz="4" w:space="0"/>
            </w:tcBorders>
            <w:noWrap w:val="0"/>
            <w:vAlign w:val="center"/>
          </w:tcPr>
          <w:p>
            <w:pPr>
              <w:spacing w:line="300" w:lineRule="auto"/>
              <w:jc w:val="center"/>
              <w:rPr>
                <w:rFonts w:hint="default" w:ascii="宋体" w:hAnsi="宋体" w:eastAsia="宋体"/>
                <w:color w:val="auto"/>
                <w:sz w:val="24"/>
                <w:szCs w:val="24"/>
                <w:highlight w:val="none"/>
                <w:lang w:val="en-US" w:eastAsia="zh-CN"/>
              </w:rPr>
            </w:pPr>
            <w:r>
              <w:rPr>
                <w:rFonts w:hint="eastAsia" w:ascii="宋体" w:hAnsi="宋体"/>
                <w:color w:val="auto"/>
                <w:sz w:val="24"/>
                <w:szCs w:val="24"/>
                <w:highlight w:val="none"/>
                <w:lang w:val="en-US" w:eastAsia="zh-CN"/>
              </w:rPr>
              <w:t>项目包号</w:t>
            </w:r>
          </w:p>
        </w:tc>
        <w:tc>
          <w:tcPr>
            <w:tcW w:w="7136" w:type="dxa"/>
            <w:tcBorders>
              <w:left w:val="single" w:color="auto" w:sz="4" w:space="0"/>
            </w:tcBorders>
            <w:noWrap w:val="0"/>
            <w:vAlign w:val="center"/>
          </w:tcPr>
          <w:p>
            <w:pPr>
              <w:spacing w:line="300" w:lineRule="auto"/>
              <w:jc w:val="both"/>
              <w:rPr>
                <w:rFonts w:hint="eastAsia" w:ascii="宋体" w:hAnsi="宋体"/>
                <w:color w:val="auto"/>
                <w:sz w:val="24"/>
                <w:szCs w:val="24"/>
                <w:highlight w:val="none"/>
                <w:lang w:eastAsia="zh-CN"/>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046" w:hRule="atLeast"/>
          <w:jc w:val="center"/>
        </w:trPr>
        <w:tc>
          <w:tcPr>
            <w:tcW w:w="2883" w:type="dxa"/>
            <w:tcBorders>
              <w:right w:val="single" w:color="auto" w:sz="4" w:space="0"/>
            </w:tcBorders>
            <w:noWrap w:val="0"/>
            <w:vAlign w:val="center"/>
          </w:tcPr>
          <w:p>
            <w:pPr>
              <w:spacing w:line="300" w:lineRule="auto"/>
              <w:jc w:val="center"/>
              <w:rPr>
                <w:rFonts w:hint="eastAsia" w:ascii="宋体" w:hAnsi="宋体"/>
                <w:color w:val="auto"/>
                <w:sz w:val="24"/>
                <w:szCs w:val="24"/>
                <w:highlight w:val="none"/>
              </w:rPr>
            </w:pPr>
            <w:r>
              <w:rPr>
                <w:rFonts w:hint="eastAsia" w:ascii="宋体" w:hAnsi="宋体"/>
                <w:color w:val="auto"/>
                <w:sz w:val="24"/>
                <w:szCs w:val="24"/>
                <w:highlight w:val="none"/>
              </w:rPr>
              <w:t>报价</w:t>
            </w:r>
            <w:r>
              <w:rPr>
                <w:rFonts w:ascii="宋体" w:hAnsi="宋体"/>
                <w:color w:val="auto"/>
                <w:sz w:val="24"/>
                <w:szCs w:val="24"/>
                <w:highlight w:val="none"/>
              </w:rPr>
              <w:t>总金额</w:t>
            </w:r>
          </w:p>
        </w:tc>
        <w:tc>
          <w:tcPr>
            <w:tcW w:w="7136" w:type="dxa"/>
            <w:tcBorders>
              <w:left w:val="single" w:color="auto" w:sz="4" w:space="0"/>
            </w:tcBorders>
            <w:noWrap w:val="0"/>
            <w:vAlign w:val="center"/>
          </w:tcPr>
          <w:p>
            <w:pPr>
              <w:spacing w:line="300" w:lineRule="auto"/>
              <w:jc w:val="both"/>
              <w:rPr>
                <w:rFonts w:hint="eastAsia" w:ascii="宋体" w:hAnsi="宋体"/>
                <w:color w:val="auto"/>
                <w:sz w:val="24"/>
                <w:szCs w:val="24"/>
                <w:highlight w:val="none"/>
              </w:rPr>
            </w:pPr>
            <w:r>
              <w:rPr>
                <w:rFonts w:hint="eastAsia" w:ascii="宋体" w:hAnsi="宋体"/>
                <w:color w:val="auto"/>
                <w:sz w:val="24"/>
                <w:szCs w:val="24"/>
                <w:highlight w:val="none"/>
              </w:rPr>
              <w:t>（小写）</w:t>
            </w:r>
          </w:p>
          <w:p>
            <w:pPr>
              <w:spacing w:line="300" w:lineRule="auto"/>
              <w:jc w:val="both"/>
              <w:rPr>
                <w:rFonts w:hint="eastAsia" w:ascii="宋体" w:hAnsi="宋体"/>
                <w:color w:val="auto"/>
                <w:sz w:val="24"/>
                <w:szCs w:val="24"/>
                <w:highlight w:val="none"/>
              </w:rPr>
            </w:pPr>
            <w:r>
              <w:rPr>
                <w:rFonts w:hint="eastAsia" w:ascii="宋体" w:hAnsi="宋体"/>
                <w:color w:val="auto"/>
                <w:sz w:val="24"/>
                <w:szCs w:val="24"/>
                <w:highlight w:val="none"/>
              </w:rPr>
              <w:t>（大写）</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31" w:hRule="atLeast"/>
          <w:jc w:val="center"/>
        </w:trPr>
        <w:tc>
          <w:tcPr>
            <w:tcW w:w="2883" w:type="dxa"/>
            <w:tcBorders>
              <w:right w:val="single" w:color="auto" w:sz="4" w:space="0"/>
            </w:tcBorders>
            <w:noWrap w:val="0"/>
            <w:vAlign w:val="center"/>
          </w:tcPr>
          <w:p>
            <w:pPr>
              <w:spacing w:line="300" w:lineRule="auto"/>
              <w:jc w:val="center"/>
              <w:rPr>
                <w:rFonts w:ascii="宋体" w:hAnsi="宋体"/>
                <w:color w:val="auto"/>
                <w:sz w:val="24"/>
                <w:szCs w:val="24"/>
                <w:highlight w:val="none"/>
              </w:rPr>
            </w:pPr>
            <w:r>
              <w:rPr>
                <w:rFonts w:hint="eastAsia" w:ascii="宋体" w:hAnsi="宋体"/>
                <w:color w:val="auto"/>
                <w:sz w:val="24"/>
                <w:szCs w:val="24"/>
                <w:highlight w:val="none"/>
              </w:rPr>
              <w:t>完成周期</w:t>
            </w:r>
            <w:r>
              <w:rPr>
                <w:rFonts w:ascii="宋体" w:hAnsi="宋体"/>
                <w:color w:val="auto"/>
                <w:sz w:val="24"/>
                <w:szCs w:val="24"/>
                <w:highlight w:val="none"/>
              </w:rPr>
              <w:t>承诺</w:t>
            </w:r>
          </w:p>
        </w:tc>
        <w:tc>
          <w:tcPr>
            <w:tcW w:w="7136" w:type="dxa"/>
            <w:tcBorders>
              <w:left w:val="single" w:color="auto" w:sz="4" w:space="0"/>
            </w:tcBorders>
            <w:noWrap w:val="0"/>
            <w:vAlign w:val="center"/>
          </w:tcPr>
          <w:p>
            <w:pPr>
              <w:spacing w:line="240" w:lineRule="atLeast"/>
              <w:rPr>
                <w:rFonts w:ascii="宋体" w:hAnsi="宋体"/>
                <w:color w:val="auto"/>
                <w:sz w:val="24"/>
                <w:szCs w:val="24"/>
                <w:highlight w:val="none"/>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96" w:hRule="atLeast"/>
          <w:jc w:val="center"/>
        </w:trPr>
        <w:tc>
          <w:tcPr>
            <w:tcW w:w="2883" w:type="dxa"/>
            <w:tcBorders>
              <w:right w:val="single" w:color="auto" w:sz="4" w:space="0"/>
            </w:tcBorders>
            <w:noWrap w:val="0"/>
            <w:vAlign w:val="center"/>
          </w:tcPr>
          <w:p>
            <w:pPr>
              <w:spacing w:line="300" w:lineRule="auto"/>
              <w:jc w:val="center"/>
              <w:rPr>
                <w:rFonts w:ascii="宋体" w:hAnsi="宋体"/>
                <w:color w:val="auto"/>
                <w:sz w:val="24"/>
                <w:szCs w:val="24"/>
                <w:highlight w:val="none"/>
              </w:rPr>
            </w:pPr>
            <w:r>
              <w:rPr>
                <w:rFonts w:hint="eastAsia" w:ascii="宋体" w:hAnsi="宋体"/>
                <w:color w:val="auto"/>
                <w:sz w:val="24"/>
                <w:szCs w:val="24"/>
                <w:highlight w:val="none"/>
                <w:lang w:val="en-US" w:eastAsia="zh-CN"/>
              </w:rPr>
              <w:t>质保</w:t>
            </w:r>
            <w:r>
              <w:rPr>
                <w:rFonts w:hint="eastAsia" w:ascii="宋体" w:hAnsi="宋体"/>
                <w:color w:val="auto"/>
                <w:sz w:val="24"/>
                <w:szCs w:val="24"/>
                <w:highlight w:val="none"/>
              </w:rPr>
              <w:t>期承诺</w:t>
            </w:r>
          </w:p>
        </w:tc>
        <w:tc>
          <w:tcPr>
            <w:tcW w:w="7136" w:type="dxa"/>
            <w:tcBorders>
              <w:left w:val="single" w:color="auto" w:sz="4" w:space="0"/>
            </w:tcBorders>
            <w:noWrap w:val="0"/>
            <w:vAlign w:val="center"/>
          </w:tcPr>
          <w:p>
            <w:pPr>
              <w:spacing w:line="240" w:lineRule="atLeast"/>
              <w:rPr>
                <w:rFonts w:ascii="宋体" w:hAnsi="宋体"/>
                <w:color w:val="auto"/>
                <w:sz w:val="24"/>
                <w:szCs w:val="24"/>
                <w:highlight w:val="none"/>
              </w:rPr>
            </w:pPr>
          </w:p>
        </w:tc>
      </w:tr>
    </w:tbl>
    <w:p>
      <w:pPr>
        <w:spacing w:line="300" w:lineRule="auto"/>
        <w:ind w:firstLine="3631"/>
        <w:rPr>
          <w:rFonts w:hint="eastAsia" w:ascii="宋体" w:hAnsi="宋体" w:cs="仿宋_GB2312"/>
          <w:color w:val="auto"/>
          <w:sz w:val="28"/>
          <w:szCs w:val="28"/>
          <w:highlight w:val="none"/>
        </w:rPr>
      </w:pPr>
    </w:p>
    <w:p>
      <w:pPr>
        <w:tabs>
          <w:tab w:val="left" w:pos="567"/>
          <w:tab w:val="left" w:pos="1146"/>
          <w:tab w:val="left" w:pos="1719"/>
          <w:tab w:val="left" w:pos="2483"/>
        </w:tabs>
        <w:spacing w:before="120" w:line="480" w:lineRule="exact"/>
        <w:ind w:leftChars="-135" w:hanging="283" w:hangingChars="118"/>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说明： 1、报价一览表中“总价”是指提供服务及货物的全部费用的报价</w:t>
      </w:r>
      <w:r>
        <w:rPr>
          <w:rFonts w:hint="eastAsia" w:ascii="宋体" w:hAnsi="宋体" w:cs="宋体"/>
          <w:color w:val="auto"/>
          <w:sz w:val="24"/>
          <w:szCs w:val="21"/>
          <w:highlight w:val="none"/>
          <w:lang w:eastAsia="zh-CN"/>
        </w:rPr>
        <w:t>，</w:t>
      </w:r>
      <w:r>
        <w:rPr>
          <w:rFonts w:hint="eastAsia" w:ascii="宋体" w:hAnsi="宋体" w:cs="宋体"/>
          <w:color w:val="auto"/>
          <w:sz w:val="24"/>
          <w:szCs w:val="21"/>
          <w:highlight w:val="none"/>
          <w:lang w:val="en-US" w:eastAsia="zh-CN"/>
        </w:rPr>
        <w:t>供应商根据所投包号对应填写，不参加投标的，须保留该包行，内容不填写</w:t>
      </w:r>
      <w:r>
        <w:rPr>
          <w:rFonts w:hint="eastAsia" w:ascii="宋体" w:hAnsi="宋体" w:eastAsia="宋体" w:cs="宋体"/>
          <w:color w:val="auto"/>
          <w:sz w:val="24"/>
          <w:szCs w:val="21"/>
          <w:highlight w:val="none"/>
        </w:rPr>
        <w:t>。</w:t>
      </w:r>
    </w:p>
    <w:p>
      <w:pPr>
        <w:tabs>
          <w:tab w:val="left" w:pos="567"/>
          <w:tab w:val="left" w:pos="1146"/>
          <w:tab w:val="left" w:pos="1719"/>
          <w:tab w:val="left" w:pos="2483"/>
        </w:tabs>
        <w:spacing w:before="120" w:line="480" w:lineRule="exact"/>
        <w:ind w:firstLine="600" w:firstLineChars="250"/>
        <w:rPr>
          <w:rFonts w:hint="eastAsia" w:ascii="宋体" w:hAnsi="宋体" w:eastAsia="宋体" w:cs="宋体"/>
          <w:color w:val="auto"/>
          <w:sz w:val="24"/>
          <w:highlight w:val="none"/>
        </w:rPr>
      </w:pPr>
      <w:r>
        <w:rPr>
          <w:rFonts w:hint="eastAsia" w:ascii="宋体" w:hAnsi="宋体" w:eastAsia="宋体" w:cs="宋体"/>
          <w:color w:val="auto"/>
          <w:sz w:val="24"/>
          <w:szCs w:val="21"/>
          <w:highlight w:val="none"/>
        </w:rPr>
        <w:t>2、</w:t>
      </w:r>
      <w:r>
        <w:rPr>
          <w:rFonts w:hint="eastAsia" w:ascii="宋体" w:hAnsi="宋体" w:eastAsia="宋体" w:cs="宋体"/>
          <w:color w:val="auto"/>
          <w:sz w:val="24"/>
          <w:highlight w:val="none"/>
        </w:rPr>
        <w:t>总价应和分项报价表的合计总价相一致。</w:t>
      </w:r>
    </w:p>
    <w:p>
      <w:pPr>
        <w:tabs>
          <w:tab w:val="left" w:pos="567"/>
          <w:tab w:val="left" w:pos="1146"/>
          <w:tab w:val="left" w:pos="1719"/>
          <w:tab w:val="left" w:pos="2483"/>
        </w:tabs>
        <w:spacing w:before="120" w:line="480" w:lineRule="exact"/>
        <w:ind w:firstLine="600" w:firstLineChars="250"/>
        <w:rPr>
          <w:rFonts w:hint="eastAsia" w:ascii="宋体" w:hAnsi="宋体" w:eastAsia="宋体" w:cs="宋体"/>
          <w:color w:val="auto"/>
          <w:sz w:val="24"/>
          <w:szCs w:val="21"/>
          <w:highlight w:val="none"/>
        </w:rPr>
      </w:pPr>
      <w:r>
        <w:rPr>
          <w:rFonts w:hint="eastAsia" w:ascii="宋体" w:hAnsi="宋体" w:eastAsia="宋体" w:cs="宋体"/>
          <w:color w:val="auto"/>
          <w:sz w:val="24"/>
          <w:highlight w:val="none"/>
        </w:rPr>
        <w:t>3、本表后附分项报价表。</w:t>
      </w:r>
    </w:p>
    <w:p>
      <w:pPr>
        <w:pStyle w:val="16"/>
        <w:spacing w:line="480" w:lineRule="exact"/>
        <w:ind w:firstLine="480" w:firstLineChars="200"/>
        <w:rPr>
          <w:rFonts w:hint="eastAsia" w:ascii="宋体" w:hAnsi="宋体" w:eastAsia="宋体" w:cs="宋体"/>
          <w:color w:val="auto"/>
          <w:sz w:val="24"/>
          <w:szCs w:val="24"/>
          <w:highlight w:val="none"/>
        </w:rPr>
      </w:pPr>
    </w:p>
    <w:p>
      <w:pPr>
        <w:pStyle w:val="16"/>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公章</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：______________</w:t>
      </w:r>
    </w:p>
    <w:p>
      <w:pPr>
        <w:pStyle w:val="16"/>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法定代表人或负责人或其授权代表</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签字或盖章</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：______________</w:t>
      </w:r>
    </w:p>
    <w:p>
      <w:pPr>
        <w:pStyle w:val="16"/>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日期：______年____月____日</w:t>
      </w:r>
    </w:p>
    <w:p>
      <w:pPr>
        <w:tabs>
          <w:tab w:val="left" w:pos="567"/>
          <w:tab w:val="left" w:pos="1146"/>
          <w:tab w:val="left" w:pos="1719"/>
          <w:tab w:val="left" w:pos="2483"/>
        </w:tabs>
        <w:spacing w:before="120" w:line="480" w:lineRule="exact"/>
        <w:ind w:left="377" w:leftChars="46" w:hanging="280" w:hangingChars="117"/>
        <w:rPr>
          <w:rFonts w:hint="eastAsia" w:ascii="宋体" w:hAnsi="宋体" w:eastAsia="宋体" w:cs="宋体"/>
          <w:color w:val="auto"/>
          <w:sz w:val="24"/>
          <w:szCs w:val="21"/>
          <w:highlight w:val="none"/>
        </w:rPr>
      </w:pPr>
    </w:p>
    <w:p>
      <w:pPr>
        <w:tabs>
          <w:tab w:val="left" w:pos="567"/>
          <w:tab w:val="left" w:pos="1146"/>
          <w:tab w:val="left" w:pos="1719"/>
          <w:tab w:val="left" w:pos="2483"/>
        </w:tabs>
        <w:spacing w:before="120" w:line="480" w:lineRule="exact"/>
        <w:ind w:left="377" w:leftChars="46" w:hanging="280" w:hangingChars="117"/>
        <w:rPr>
          <w:rFonts w:hint="eastAsia" w:ascii="宋体" w:hAnsi="宋体" w:eastAsia="宋体" w:cs="宋体"/>
          <w:color w:val="auto"/>
          <w:sz w:val="24"/>
          <w:szCs w:val="21"/>
          <w:highlight w:val="none"/>
        </w:rPr>
      </w:pPr>
    </w:p>
    <w:p>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pPr>
        <w:pStyle w:val="4"/>
        <w:bidi w:val="0"/>
        <w:rPr>
          <w:rFonts w:hint="eastAsia" w:ascii="宋体" w:hAnsi="宋体" w:eastAsia="宋体" w:cs="宋体"/>
          <w:color w:val="auto"/>
          <w:sz w:val="24"/>
          <w:highlight w:val="none"/>
        </w:rPr>
      </w:pPr>
      <w:bookmarkStart w:id="283" w:name="_Toc23154"/>
      <w:bookmarkStart w:id="284" w:name="_Toc46235130"/>
      <w:bookmarkStart w:id="285" w:name="_Toc68259631"/>
      <w:bookmarkStart w:id="286" w:name="_Toc45562505"/>
      <w:r>
        <w:rPr>
          <w:rFonts w:hint="eastAsia" w:ascii="宋体" w:hAnsi="宋体" w:eastAsia="宋体" w:cs="宋体"/>
          <w:color w:val="auto"/>
          <w:highlight w:val="none"/>
        </w:rPr>
        <w:t>四、资格证明文件</w:t>
      </w:r>
      <w:bookmarkEnd w:id="283"/>
      <w:bookmarkEnd w:id="284"/>
      <w:bookmarkEnd w:id="285"/>
      <w:bookmarkEnd w:id="286"/>
    </w:p>
    <w:p>
      <w:pPr>
        <w:pStyle w:val="5"/>
        <w:spacing w:line="480" w:lineRule="exact"/>
        <w:rPr>
          <w:rFonts w:hint="eastAsia" w:ascii="宋体" w:hAnsi="宋体" w:eastAsia="宋体" w:cs="宋体"/>
          <w:color w:val="auto"/>
          <w:highlight w:val="none"/>
          <w:u w:val="none"/>
        </w:rPr>
      </w:pPr>
      <w:bookmarkStart w:id="287" w:name="_Toc518923109"/>
      <w:bookmarkStart w:id="288" w:name="_Toc46235131"/>
      <w:r>
        <w:rPr>
          <w:rFonts w:hint="eastAsia" w:ascii="宋体" w:hAnsi="宋体" w:eastAsia="宋体" w:cs="宋体"/>
          <w:color w:val="auto"/>
          <w:highlight w:val="none"/>
          <w:u w:val="none"/>
        </w:rPr>
        <w:t>2.法人或者其他组织的营业执照等证明文件或自然人的身份证明</w:t>
      </w:r>
      <w:bookmarkEnd w:id="287"/>
      <w:bookmarkEnd w:id="288"/>
    </w:p>
    <w:p>
      <w:pPr>
        <w:tabs>
          <w:tab w:val="left" w:pos="5580"/>
        </w:tabs>
        <w:spacing w:line="480" w:lineRule="exact"/>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说明：1.提供有效的营业执照等证明文件复印件。</w:t>
      </w:r>
    </w:p>
    <w:p>
      <w:pPr>
        <w:tabs>
          <w:tab w:val="left" w:pos="5580"/>
        </w:tabs>
        <w:spacing w:line="480" w:lineRule="exact"/>
        <w:ind w:firstLine="720" w:firstLineChars="300"/>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2. 供应商为自然人的，应提供身份证明的复印件。</w:t>
      </w:r>
    </w:p>
    <w:p>
      <w:pPr>
        <w:tabs>
          <w:tab w:val="left" w:pos="5580"/>
        </w:tabs>
        <w:spacing w:line="480" w:lineRule="exact"/>
        <w:ind w:firstLine="720" w:firstLineChars="300"/>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3.联合体响应文件应提供联合体各方满足以上要求的证明文件。</w:t>
      </w:r>
    </w:p>
    <w:p>
      <w:pPr>
        <w:pStyle w:val="5"/>
        <w:spacing w:line="480" w:lineRule="exact"/>
        <w:rPr>
          <w:rFonts w:hint="eastAsia" w:ascii="宋体" w:hAnsi="宋体" w:eastAsia="宋体" w:cs="宋体"/>
          <w:color w:val="auto"/>
          <w:highlight w:val="none"/>
          <w:u w:val="none"/>
        </w:rPr>
      </w:pPr>
      <w:bookmarkStart w:id="289" w:name="_Toc2583670"/>
      <w:bookmarkStart w:id="290" w:name="_Toc46235132"/>
      <w:bookmarkStart w:id="291" w:name="_Toc518923110"/>
      <w:r>
        <w:rPr>
          <w:rFonts w:hint="eastAsia" w:ascii="宋体" w:hAnsi="宋体" w:eastAsia="宋体" w:cs="宋体"/>
          <w:color w:val="auto"/>
          <w:highlight w:val="none"/>
          <w:u w:val="none"/>
        </w:rPr>
        <w:t>3.法定代表人或负责人身份证明书</w:t>
      </w:r>
      <w:bookmarkEnd w:id="289"/>
      <w:bookmarkEnd w:id="290"/>
    </w:p>
    <w:p>
      <w:pPr>
        <w:tabs>
          <w:tab w:val="left" w:pos="5580"/>
        </w:tabs>
        <w:spacing w:line="480" w:lineRule="exact"/>
        <w:ind w:left="1100" w:leftChars="-29" w:hanging="1161"/>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u w:val="single"/>
        </w:rPr>
        <w:t>致：临沂市沂蒙国际招标有限公司</w:t>
      </w:r>
      <w:r>
        <w:rPr>
          <w:rFonts w:hint="eastAsia" w:ascii="宋体" w:hAnsi="宋体" w:eastAsia="宋体" w:cs="宋体"/>
          <w:color w:val="auto"/>
          <w:sz w:val="24"/>
          <w:szCs w:val="20"/>
          <w:highlight w:val="none"/>
        </w:rPr>
        <w:t>：</w:t>
      </w:r>
    </w:p>
    <w:p>
      <w:pPr>
        <w:tabs>
          <w:tab w:val="left" w:pos="5580"/>
        </w:tabs>
        <w:spacing w:line="480" w:lineRule="exact"/>
        <w:ind w:left="-113" w:leftChars="-54" w:firstLine="480" w:firstLineChars="200"/>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u w:val="single"/>
        </w:rPr>
        <w:t>（姓名、性别、年龄、身份证号码）</w:t>
      </w:r>
      <w:r>
        <w:rPr>
          <w:rFonts w:hint="eastAsia" w:ascii="宋体" w:hAnsi="宋体" w:eastAsia="宋体" w:cs="宋体"/>
          <w:color w:val="auto"/>
          <w:sz w:val="24"/>
          <w:szCs w:val="20"/>
          <w:highlight w:val="none"/>
        </w:rPr>
        <w:t>在我单位任</w:t>
      </w:r>
      <w:r>
        <w:rPr>
          <w:rFonts w:hint="eastAsia" w:ascii="宋体" w:hAnsi="宋体" w:eastAsia="宋体" w:cs="宋体"/>
          <w:color w:val="auto"/>
          <w:sz w:val="24"/>
          <w:szCs w:val="20"/>
          <w:highlight w:val="none"/>
          <w:u w:val="single"/>
        </w:rPr>
        <w:t>（董事长、总经理等）</w:t>
      </w:r>
      <w:r>
        <w:rPr>
          <w:rFonts w:hint="eastAsia" w:ascii="宋体" w:hAnsi="宋体" w:eastAsia="宋体" w:cs="宋体"/>
          <w:color w:val="auto"/>
          <w:sz w:val="24"/>
          <w:szCs w:val="20"/>
          <w:highlight w:val="none"/>
        </w:rPr>
        <w:t>职务，是我单位的法定代表人/负责人。</w:t>
      </w:r>
    </w:p>
    <w:p>
      <w:pPr>
        <w:tabs>
          <w:tab w:val="left" w:pos="5580"/>
        </w:tabs>
        <w:spacing w:line="480" w:lineRule="exact"/>
        <w:ind w:left="1080" w:leftChars="257" w:hanging="540"/>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特此证明。</w:t>
      </w:r>
    </w:p>
    <w:p>
      <w:pPr>
        <w:spacing w:line="480" w:lineRule="exact"/>
        <w:rPr>
          <w:rFonts w:hint="eastAsia" w:ascii="宋体" w:hAnsi="宋体" w:eastAsia="宋体" w:cs="宋体"/>
          <w:color w:val="auto"/>
          <w:sz w:val="24"/>
          <w:highlight w:val="none"/>
        </w:rPr>
      </w:pPr>
    </w:p>
    <w:p>
      <w:pPr>
        <w:tabs>
          <w:tab w:val="left" w:pos="5580"/>
        </w:tabs>
        <w:spacing w:line="480" w:lineRule="exact"/>
        <w:ind w:left="-540" w:leftChars="-257" w:firstLine="900" w:firstLineChars="375"/>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供应商（盖公章）：</w:t>
      </w:r>
    </w:p>
    <w:p>
      <w:pPr>
        <w:tabs>
          <w:tab w:val="left" w:pos="5580"/>
        </w:tabs>
        <w:spacing w:line="480" w:lineRule="exact"/>
        <w:ind w:firstLine="360" w:firstLineChars="150"/>
        <w:rPr>
          <w:rFonts w:hint="eastAsia" w:ascii="宋体" w:hAnsi="宋体" w:eastAsia="宋体" w:cs="宋体"/>
          <w:color w:val="auto"/>
          <w:sz w:val="24"/>
          <w:szCs w:val="20"/>
          <w:highlight w:val="none"/>
        </w:rPr>
      </w:pPr>
    </w:p>
    <w:p>
      <w:pPr>
        <w:tabs>
          <w:tab w:val="left" w:pos="5580"/>
        </w:tabs>
        <w:spacing w:line="480" w:lineRule="exact"/>
        <w:ind w:left="-540" w:leftChars="-257" w:firstLine="900" w:firstLineChars="375"/>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注：自然人响应文件的无需提供</w:t>
      </w:r>
    </w:p>
    <w:p>
      <w:pPr>
        <w:tabs>
          <w:tab w:val="left" w:pos="5580"/>
        </w:tabs>
        <w:spacing w:line="480" w:lineRule="exact"/>
        <w:ind w:firstLine="360" w:firstLineChars="150"/>
        <w:rPr>
          <w:rFonts w:hint="eastAsia" w:ascii="宋体" w:hAnsi="宋体" w:eastAsia="宋体" w:cs="宋体"/>
          <w:color w:val="auto"/>
          <w:sz w:val="24"/>
          <w:szCs w:val="20"/>
          <w:highlight w:val="none"/>
        </w:rPr>
      </w:pPr>
    </w:p>
    <w:p>
      <w:pPr>
        <w:pStyle w:val="5"/>
        <w:spacing w:line="480" w:lineRule="exact"/>
        <w:rPr>
          <w:rFonts w:hint="eastAsia" w:ascii="宋体" w:hAnsi="宋体" w:eastAsia="宋体" w:cs="宋体"/>
          <w:color w:val="auto"/>
          <w:highlight w:val="none"/>
          <w:u w:val="none"/>
        </w:rPr>
      </w:pPr>
      <w:bookmarkStart w:id="292" w:name="_Toc46235133"/>
      <w:r>
        <w:rPr>
          <w:rFonts w:hint="eastAsia" w:ascii="宋体" w:hAnsi="宋体" w:eastAsia="宋体" w:cs="宋体"/>
          <w:color w:val="auto"/>
          <w:highlight w:val="none"/>
          <w:u w:val="none"/>
        </w:rPr>
        <w:t>4.法定代表人或负责人授权书</w:t>
      </w:r>
      <w:bookmarkEnd w:id="291"/>
      <w:bookmarkEnd w:id="292"/>
    </w:p>
    <w:p>
      <w:pPr>
        <w:tabs>
          <w:tab w:val="left" w:pos="5580"/>
        </w:tabs>
        <w:spacing w:line="480" w:lineRule="exact"/>
        <w:ind w:firstLine="480"/>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本授权书声明：注册于</w:t>
      </w:r>
      <w:r>
        <w:rPr>
          <w:rFonts w:hint="eastAsia" w:ascii="宋体" w:hAnsi="宋体" w:eastAsia="宋体" w:cs="宋体"/>
          <w:color w:val="auto"/>
          <w:sz w:val="24"/>
          <w:szCs w:val="20"/>
          <w:highlight w:val="none"/>
          <w:u w:val="single"/>
        </w:rPr>
        <w:t>（国家或地区的名称）</w:t>
      </w:r>
      <w:r>
        <w:rPr>
          <w:rFonts w:hint="eastAsia" w:ascii="宋体" w:hAnsi="宋体" w:eastAsia="宋体" w:cs="宋体"/>
          <w:color w:val="auto"/>
          <w:sz w:val="24"/>
          <w:szCs w:val="20"/>
          <w:highlight w:val="none"/>
        </w:rPr>
        <w:t>的（</w:t>
      </w:r>
      <w:r>
        <w:rPr>
          <w:rFonts w:hint="eastAsia" w:ascii="宋体" w:hAnsi="宋体" w:eastAsia="宋体" w:cs="宋体"/>
          <w:i/>
          <w:color w:val="auto"/>
          <w:sz w:val="24"/>
          <w:szCs w:val="20"/>
          <w:highlight w:val="none"/>
          <w:u w:val="single"/>
        </w:rPr>
        <w:t>供应商</w:t>
      </w:r>
      <w:r>
        <w:rPr>
          <w:rFonts w:hint="eastAsia" w:ascii="宋体" w:hAnsi="宋体" w:eastAsia="宋体" w:cs="宋体"/>
          <w:color w:val="auto"/>
          <w:sz w:val="24"/>
          <w:szCs w:val="20"/>
          <w:highlight w:val="none"/>
        </w:rPr>
        <w:t>）的在下面签字的（</w:t>
      </w:r>
      <w:r>
        <w:rPr>
          <w:rFonts w:hint="eastAsia" w:ascii="宋体" w:hAnsi="宋体" w:eastAsia="宋体" w:cs="宋体"/>
          <w:i/>
          <w:color w:val="auto"/>
          <w:sz w:val="24"/>
          <w:szCs w:val="20"/>
          <w:highlight w:val="none"/>
          <w:u w:val="single"/>
        </w:rPr>
        <w:t>法定代表人</w:t>
      </w:r>
      <w:r>
        <w:rPr>
          <w:rFonts w:hint="eastAsia" w:ascii="宋体" w:hAnsi="宋体" w:eastAsia="宋体" w:cs="宋体"/>
          <w:color w:val="auto"/>
          <w:sz w:val="24"/>
          <w:szCs w:val="20"/>
          <w:highlight w:val="none"/>
          <w:u w:val="single"/>
        </w:rPr>
        <w:t>/负责人</w:t>
      </w:r>
      <w:r>
        <w:rPr>
          <w:rFonts w:hint="eastAsia" w:ascii="宋体" w:hAnsi="宋体" w:eastAsia="宋体" w:cs="宋体"/>
          <w:i/>
          <w:color w:val="auto"/>
          <w:sz w:val="24"/>
          <w:szCs w:val="20"/>
          <w:highlight w:val="none"/>
          <w:u w:val="single"/>
        </w:rPr>
        <w:t>姓名、职务</w:t>
      </w:r>
      <w:r>
        <w:rPr>
          <w:rFonts w:hint="eastAsia" w:ascii="宋体" w:hAnsi="宋体" w:eastAsia="宋体" w:cs="宋体"/>
          <w:color w:val="auto"/>
          <w:sz w:val="24"/>
          <w:szCs w:val="20"/>
          <w:highlight w:val="none"/>
        </w:rPr>
        <w:t>）代表我单位授权（</w:t>
      </w:r>
      <w:r>
        <w:rPr>
          <w:rFonts w:hint="eastAsia" w:ascii="宋体" w:hAnsi="宋体" w:eastAsia="宋体" w:cs="宋体"/>
          <w:i/>
          <w:color w:val="auto"/>
          <w:sz w:val="24"/>
          <w:szCs w:val="20"/>
          <w:highlight w:val="none"/>
          <w:u w:val="single"/>
        </w:rPr>
        <w:t>单位名称</w:t>
      </w:r>
      <w:r>
        <w:rPr>
          <w:rFonts w:hint="eastAsia" w:ascii="宋体" w:hAnsi="宋体" w:eastAsia="宋体" w:cs="宋体"/>
          <w:color w:val="auto"/>
          <w:sz w:val="24"/>
          <w:szCs w:val="20"/>
          <w:highlight w:val="none"/>
        </w:rPr>
        <w:t>）的在下面签字的（</w:t>
      </w:r>
      <w:r>
        <w:rPr>
          <w:rFonts w:hint="eastAsia" w:ascii="宋体" w:hAnsi="宋体" w:eastAsia="宋体" w:cs="宋体"/>
          <w:i/>
          <w:color w:val="auto"/>
          <w:sz w:val="24"/>
          <w:szCs w:val="20"/>
          <w:highlight w:val="none"/>
          <w:u w:val="single"/>
        </w:rPr>
        <w:t>被授权人的姓名、职务</w:t>
      </w:r>
      <w:r>
        <w:rPr>
          <w:rFonts w:hint="eastAsia" w:ascii="宋体" w:hAnsi="宋体" w:eastAsia="宋体" w:cs="宋体"/>
          <w:color w:val="auto"/>
          <w:sz w:val="24"/>
          <w:szCs w:val="20"/>
          <w:highlight w:val="none"/>
        </w:rPr>
        <w:t>）为我单位的合法代理人，就（</w:t>
      </w:r>
      <w:r>
        <w:rPr>
          <w:rFonts w:hint="eastAsia" w:ascii="宋体" w:hAnsi="宋体" w:eastAsia="宋体" w:cs="宋体"/>
          <w:i/>
          <w:color w:val="auto"/>
          <w:sz w:val="24"/>
          <w:szCs w:val="20"/>
          <w:highlight w:val="none"/>
          <w:u w:val="single"/>
        </w:rPr>
        <w:t>项目名称</w:t>
      </w:r>
      <w:r>
        <w:rPr>
          <w:rFonts w:hint="eastAsia" w:ascii="宋体" w:hAnsi="宋体" w:eastAsia="宋体" w:cs="宋体"/>
          <w:color w:val="auto"/>
          <w:sz w:val="24"/>
          <w:szCs w:val="20"/>
          <w:highlight w:val="none"/>
        </w:rPr>
        <w:t>）的（</w:t>
      </w:r>
      <w:r>
        <w:rPr>
          <w:rFonts w:hint="eastAsia" w:ascii="宋体" w:hAnsi="宋体" w:eastAsia="宋体" w:cs="宋体"/>
          <w:i/>
          <w:color w:val="auto"/>
          <w:sz w:val="24"/>
          <w:szCs w:val="20"/>
          <w:highlight w:val="none"/>
          <w:u w:val="single"/>
        </w:rPr>
        <w:t>包号</w:t>
      </w:r>
      <w:r>
        <w:rPr>
          <w:rFonts w:hint="eastAsia" w:ascii="宋体" w:hAnsi="宋体" w:eastAsia="宋体" w:cs="宋体"/>
          <w:color w:val="auto"/>
          <w:sz w:val="24"/>
          <w:szCs w:val="20"/>
          <w:highlight w:val="none"/>
        </w:rPr>
        <w:t>）响应文件，以我单位名义处理一切与之有关的事务。</w:t>
      </w:r>
      <w:r>
        <w:rPr>
          <w:rFonts w:hint="eastAsia" w:ascii="宋体" w:hAnsi="宋体" w:eastAsia="宋体" w:cs="宋体"/>
          <w:color w:val="auto"/>
          <w:sz w:val="24"/>
          <w:szCs w:val="20"/>
          <w:highlight w:val="none"/>
        </w:rPr>
        <w:cr/>
      </w:r>
      <w:r>
        <w:rPr>
          <w:rFonts w:hint="eastAsia" w:ascii="宋体" w:hAnsi="宋体" w:eastAsia="宋体" w:cs="宋体"/>
          <w:color w:val="auto"/>
          <w:sz w:val="24"/>
          <w:szCs w:val="20"/>
          <w:highlight w:val="none"/>
        </w:rPr>
        <w:t>　　</w:t>
      </w:r>
    </w:p>
    <w:p>
      <w:pPr>
        <w:tabs>
          <w:tab w:val="left" w:pos="5580"/>
        </w:tabs>
        <w:spacing w:line="480" w:lineRule="exact"/>
        <w:ind w:left="-540" w:leftChars="-257" w:firstLine="900" w:firstLineChars="375"/>
        <w:rPr>
          <w:rFonts w:hint="eastAsia" w:ascii="宋体" w:hAnsi="宋体" w:eastAsia="宋体" w:cs="宋体"/>
          <w:color w:val="auto"/>
          <w:sz w:val="24"/>
          <w:szCs w:val="20"/>
          <w:highlight w:val="none"/>
          <w:u w:val="single"/>
        </w:rPr>
      </w:pPr>
      <w:r>
        <w:rPr>
          <w:rFonts w:hint="eastAsia" w:ascii="宋体" w:hAnsi="宋体" w:eastAsia="宋体" w:cs="宋体"/>
          <w:color w:val="auto"/>
          <w:sz w:val="24"/>
          <w:szCs w:val="20"/>
          <w:highlight w:val="none"/>
        </w:rPr>
        <w:t>本授权书于年月日签字生效</w:t>
      </w:r>
      <w:r>
        <w:rPr>
          <w:rFonts w:hint="eastAsia" w:ascii="宋体" w:hAnsi="宋体" w:eastAsia="宋体" w:cs="宋体"/>
          <w:color w:val="auto"/>
          <w:sz w:val="24"/>
          <w:szCs w:val="20"/>
          <w:highlight w:val="none"/>
          <w:lang w:eastAsia="zh-CN"/>
        </w:rPr>
        <w:t>，</w:t>
      </w:r>
      <w:r>
        <w:rPr>
          <w:rFonts w:hint="eastAsia" w:ascii="宋体" w:hAnsi="宋体" w:eastAsia="宋体" w:cs="宋体"/>
          <w:color w:val="auto"/>
          <w:sz w:val="24"/>
          <w:szCs w:val="20"/>
          <w:highlight w:val="none"/>
        </w:rPr>
        <w:t>特此声明。</w:t>
      </w:r>
      <w:r>
        <w:rPr>
          <w:rFonts w:hint="eastAsia" w:ascii="宋体" w:hAnsi="宋体" w:eastAsia="宋体" w:cs="宋体"/>
          <w:color w:val="auto"/>
          <w:sz w:val="24"/>
          <w:szCs w:val="20"/>
          <w:highlight w:val="none"/>
        </w:rPr>
        <w:cr/>
      </w:r>
      <w:r>
        <w:rPr>
          <w:rFonts w:hint="eastAsia" w:ascii="宋体" w:hAnsi="宋体" w:eastAsia="宋体" w:cs="宋体"/>
          <w:color w:val="auto"/>
          <w:sz w:val="24"/>
          <w:szCs w:val="20"/>
          <w:highlight w:val="none"/>
        </w:rPr>
        <w:t xml:space="preserve">       供应商（盖单位公章）：</w:t>
      </w:r>
    </w:p>
    <w:p>
      <w:pPr>
        <w:tabs>
          <w:tab w:val="left" w:pos="5580"/>
        </w:tabs>
        <w:spacing w:line="480" w:lineRule="exact"/>
        <w:ind w:left="-540" w:leftChars="-257" w:firstLine="900" w:firstLineChars="375"/>
        <w:rPr>
          <w:rFonts w:hint="eastAsia" w:ascii="宋体" w:hAnsi="宋体" w:eastAsia="宋体" w:cs="宋体"/>
          <w:color w:val="auto"/>
          <w:sz w:val="24"/>
          <w:szCs w:val="20"/>
          <w:highlight w:val="none"/>
          <w:u w:val="single"/>
        </w:rPr>
      </w:pPr>
      <w:r>
        <w:rPr>
          <w:rFonts w:hint="eastAsia" w:ascii="宋体" w:hAnsi="宋体" w:eastAsia="宋体" w:cs="宋体"/>
          <w:color w:val="auto"/>
          <w:sz w:val="24"/>
          <w:szCs w:val="20"/>
          <w:highlight w:val="none"/>
        </w:rPr>
        <w:t>法定代表人/负责人</w:t>
      </w:r>
      <w:r>
        <w:rPr>
          <w:rFonts w:hint="eastAsia" w:ascii="宋体" w:hAnsi="宋体" w:eastAsia="宋体" w:cs="宋体"/>
          <w:color w:val="auto"/>
          <w:sz w:val="24"/>
          <w:szCs w:val="20"/>
          <w:highlight w:val="none"/>
          <w:lang w:eastAsia="zh-CN"/>
        </w:rPr>
        <w:t>（</w:t>
      </w:r>
      <w:r>
        <w:rPr>
          <w:rFonts w:hint="eastAsia" w:ascii="宋体" w:hAnsi="宋体" w:eastAsia="宋体" w:cs="宋体"/>
          <w:color w:val="auto"/>
          <w:sz w:val="24"/>
          <w:szCs w:val="20"/>
          <w:highlight w:val="none"/>
        </w:rPr>
        <w:t>签章</w:t>
      </w:r>
      <w:r>
        <w:rPr>
          <w:rFonts w:hint="eastAsia" w:ascii="宋体" w:hAnsi="宋体" w:eastAsia="宋体" w:cs="宋体"/>
          <w:color w:val="auto"/>
          <w:sz w:val="24"/>
          <w:szCs w:val="20"/>
          <w:highlight w:val="none"/>
          <w:lang w:eastAsia="zh-CN"/>
        </w:rPr>
        <w:t>）</w:t>
      </w:r>
      <w:r>
        <w:rPr>
          <w:rFonts w:hint="eastAsia" w:ascii="宋体" w:hAnsi="宋体" w:eastAsia="宋体" w:cs="宋体"/>
          <w:color w:val="auto"/>
          <w:sz w:val="24"/>
          <w:szCs w:val="20"/>
          <w:highlight w:val="none"/>
        </w:rPr>
        <w:t>：</w:t>
      </w:r>
    </w:p>
    <w:p>
      <w:pPr>
        <w:tabs>
          <w:tab w:val="left" w:pos="5580"/>
        </w:tabs>
        <w:spacing w:line="480" w:lineRule="exact"/>
        <w:ind w:left="-540" w:leftChars="-257" w:firstLine="900" w:firstLineChars="375"/>
        <w:rPr>
          <w:rFonts w:hint="eastAsia" w:ascii="宋体" w:hAnsi="宋体" w:eastAsia="宋体" w:cs="宋体"/>
          <w:color w:val="auto"/>
          <w:sz w:val="24"/>
          <w:szCs w:val="20"/>
          <w:highlight w:val="none"/>
          <w:u w:val="single"/>
        </w:rPr>
      </w:pPr>
      <w:r>
        <w:rPr>
          <w:rFonts w:hint="eastAsia" w:ascii="宋体" w:hAnsi="宋体" w:eastAsia="宋体" w:cs="宋体"/>
          <w:color w:val="auto"/>
          <w:sz w:val="24"/>
          <w:szCs w:val="20"/>
          <w:highlight w:val="none"/>
        </w:rPr>
        <w:t>法定代表人/负责人身份证号码：</w:t>
      </w:r>
    </w:p>
    <w:p>
      <w:pPr>
        <w:tabs>
          <w:tab w:val="left" w:pos="5580"/>
        </w:tabs>
        <w:spacing w:line="480" w:lineRule="exact"/>
        <w:ind w:firstLine="360" w:firstLineChars="150"/>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委托代理人身份证号码：</w:t>
      </w:r>
    </w:p>
    <w:p>
      <w:pPr>
        <w:spacing w:line="480" w:lineRule="exact"/>
        <w:ind w:left="120" w:leftChars="57" w:right="-20" w:firstLine="240" w:firstLineChars="100"/>
        <w:jc w:val="left"/>
        <w:rPr>
          <w:rFonts w:hint="eastAsia" w:ascii="宋体" w:hAnsi="宋体" w:eastAsia="宋体" w:cs="宋体"/>
          <w:color w:val="auto"/>
          <w:kern w:val="0"/>
          <w:sz w:val="24"/>
          <w:highlight w:val="none"/>
        </w:rPr>
      </w:pPr>
      <w:r>
        <w:rPr>
          <w:rFonts w:hint="eastAsia" w:ascii="宋体" w:hAnsi="宋体" w:eastAsia="宋体" w:cs="宋体"/>
          <w:color w:val="auto"/>
          <w:kern w:val="0"/>
          <w:position w:val="-3"/>
          <w:sz w:val="24"/>
          <w:highlight w:val="none"/>
        </w:rPr>
        <w:t>注：自然人响应文件的无需提供</w:t>
      </w:r>
    </w:p>
    <w:p>
      <w:pPr>
        <w:pStyle w:val="5"/>
        <w:spacing w:line="480" w:lineRule="exact"/>
        <w:rPr>
          <w:rFonts w:hint="eastAsia" w:ascii="宋体" w:hAnsi="宋体" w:eastAsia="宋体" w:cs="宋体"/>
          <w:color w:val="auto"/>
          <w:highlight w:val="none"/>
          <w:u w:val="none"/>
        </w:rPr>
      </w:pPr>
      <w:bookmarkStart w:id="293" w:name="_Toc46235134"/>
      <w:r>
        <w:rPr>
          <w:rFonts w:hint="eastAsia" w:ascii="宋体" w:hAnsi="宋体" w:eastAsia="宋体" w:cs="宋体"/>
          <w:color w:val="auto"/>
          <w:highlight w:val="none"/>
          <w:u w:val="none"/>
        </w:rPr>
        <w:t>5.具有良好的商业信誉和健全的财务会计制度的</w:t>
      </w:r>
      <w:bookmarkEnd w:id="293"/>
      <w:r>
        <w:rPr>
          <w:rFonts w:hint="eastAsia" w:ascii="宋体" w:hAnsi="宋体" w:eastAsia="宋体" w:cs="宋体"/>
          <w:color w:val="auto"/>
          <w:highlight w:val="none"/>
          <w:u w:val="none"/>
        </w:rPr>
        <w:t>证明文件</w:t>
      </w:r>
    </w:p>
    <w:p>
      <w:pPr>
        <w:tabs>
          <w:tab w:val="left" w:pos="5580"/>
        </w:tabs>
        <w:spacing w:line="480" w:lineRule="exact"/>
        <w:ind w:left="1080" w:leftChars="257" w:hanging="540"/>
        <w:rPr>
          <w:rFonts w:hint="eastAsia" w:ascii="宋体" w:hAnsi="宋体" w:eastAsia="宋体" w:cs="宋体"/>
          <w:color w:val="auto"/>
          <w:sz w:val="24"/>
          <w:highlight w:val="none"/>
        </w:rPr>
      </w:pPr>
      <w:r>
        <w:rPr>
          <w:rFonts w:hint="eastAsia" w:ascii="宋体" w:hAnsi="宋体" w:eastAsia="宋体" w:cs="宋体"/>
          <w:color w:val="auto"/>
          <w:sz w:val="24"/>
          <w:highlight w:val="none"/>
        </w:rPr>
        <w:t>说明：</w:t>
      </w:r>
    </w:p>
    <w:p>
      <w:pPr>
        <w:tabs>
          <w:tab w:val="left" w:pos="5580"/>
        </w:tabs>
        <w:spacing w:line="480" w:lineRule="exact"/>
        <w:ind w:firstLine="480" w:firstLineChars="200"/>
        <w:rPr>
          <w:rFonts w:hint="eastAsia" w:ascii="宋体" w:hAnsi="宋体" w:eastAsia="宋体" w:cs="宋体"/>
          <w:bCs/>
          <w:color w:val="auto"/>
          <w:sz w:val="24"/>
          <w:highlight w:val="none"/>
        </w:rPr>
      </w:pPr>
      <w:bookmarkStart w:id="294" w:name="_Toc518923111"/>
      <w:r>
        <w:rPr>
          <w:rFonts w:hint="eastAsia" w:ascii="宋体" w:hAnsi="宋体" w:eastAsia="宋体" w:cs="宋体"/>
          <w:color w:val="auto"/>
          <w:sz w:val="24"/>
          <w:highlight w:val="none"/>
        </w:rPr>
        <w:t>1、如提供本单位上年度经会计师事务所出具的审计报告复印件，须加盖</w:t>
      </w:r>
      <w:r>
        <w:rPr>
          <w:rFonts w:hint="eastAsia" w:ascii="宋体" w:hAnsi="宋体" w:eastAsia="宋体" w:cs="宋体"/>
          <w:bCs/>
          <w:color w:val="auto"/>
          <w:sz w:val="24"/>
          <w:highlight w:val="none"/>
        </w:rPr>
        <w:t>本单位章。</w:t>
      </w:r>
    </w:p>
    <w:p>
      <w:pPr>
        <w:tabs>
          <w:tab w:val="left" w:pos="5580"/>
        </w:tabs>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如提供银行出具的证明文件。银行证明文件可提供原件，也可提供银行在开标日前三个月内开具证明文件的复印件。若提供的是复印件，采购人或采购代理机构保留审核原件的权利。银行出具的证明文件应能说明该供应商与银行之间业务往来正常，企业信誉良好等。</w:t>
      </w:r>
    </w:p>
    <w:p>
      <w:pPr>
        <w:tabs>
          <w:tab w:val="left" w:pos="5580"/>
        </w:tabs>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3、如果是联合体响应文件，联合体各方均需提供上述证明。</w:t>
      </w:r>
    </w:p>
    <w:p>
      <w:pPr>
        <w:tabs>
          <w:tab w:val="left" w:pos="5580"/>
        </w:tabs>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4、如采用合格的磋商担保函的，可提供磋商担保函复印件替代。</w:t>
      </w:r>
    </w:p>
    <w:p>
      <w:pPr>
        <w:tabs>
          <w:tab w:val="left" w:pos="5580"/>
        </w:tabs>
        <w:wordWrap w:val="0"/>
        <w:spacing w:line="520" w:lineRule="exact"/>
        <w:ind w:firstLine="480" w:firstLineChars="200"/>
        <w:rPr>
          <w:rFonts w:hint="eastAsia" w:ascii="宋体" w:hAnsi="宋体" w:eastAsia="宋体" w:cs="宋体"/>
          <w:b/>
          <w:bCs/>
          <w:color w:val="auto"/>
          <w:sz w:val="24"/>
          <w:highlight w:val="none"/>
        </w:rPr>
      </w:pPr>
      <w:r>
        <w:rPr>
          <w:rFonts w:hint="eastAsia" w:ascii="宋体" w:hAnsi="宋体" w:eastAsia="宋体" w:cs="宋体"/>
          <w:color w:val="auto"/>
          <w:sz w:val="24"/>
          <w:highlight w:val="none"/>
        </w:rPr>
        <w:t>5、</w:t>
      </w:r>
      <w:r>
        <w:rPr>
          <w:rFonts w:hint="eastAsia" w:ascii="宋体" w:hAnsi="宋体" w:eastAsia="宋体" w:cs="宋体"/>
          <w:b/>
          <w:bCs/>
          <w:color w:val="auto"/>
          <w:sz w:val="24"/>
          <w:highlight w:val="none"/>
        </w:rPr>
        <w:t>如采用承诺方式的，承诺函格式下载地址：</w:t>
      </w:r>
      <w:r>
        <w:rPr>
          <w:rFonts w:hint="eastAsia" w:ascii="宋体" w:hAnsi="宋体" w:eastAsia="宋体" w:cs="宋体"/>
          <w:b/>
          <w:bCs/>
          <w:color w:val="auto"/>
          <w:sz w:val="24"/>
          <w:highlight w:val="none"/>
        </w:rPr>
        <w:fldChar w:fldCharType="begin"/>
      </w:r>
      <w:r>
        <w:rPr>
          <w:rFonts w:hint="eastAsia" w:ascii="宋体" w:hAnsi="宋体" w:eastAsia="宋体" w:cs="宋体"/>
          <w:b/>
          <w:bCs/>
          <w:color w:val="auto"/>
          <w:sz w:val="24"/>
          <w:highlight w:val="none"/>
        </w:rPr>
        <w:instrText xml:space="preserve"> HYPERLINK "http://www.ymzb.com/news/?1868.html。" </w:instrText>
      </w:r>
      <w:r>
        <w:rPr>
          <w:rFonts w:hint="eastAsia" w:ascii="宋体" w:hAnsi="宋体" w:eastAsia="宋体" w:cs="宋体"/>
          <w:b/>
          <w:bCs/>
          <w:color w:val="auto"/>
          <w:sz w:val="24"/>
          <w:highlight w:val="none"/>
        </w:rPr>
        <w:fldChar w:fldCharType="separate"/>
      </w:r>
      <w:r>
        <w:rPr>
          <w:rStyle w:val="36"/>
          <w:rFonts w:hint="eastAsia" w:ascii="宋体" w:hAnsi="宋体" w:eastAsia="宋体" w:cs="宋体"/>
          <w:b/>
          <w:bCs/>
          <w:color w:val="auto"/>
          <w:sz w:val="24"/>
          <w:highlight w:val="none"/>
        </w:rPr>
        <w:t>http://www.ymzb.com/news/?1868.html。</w:t>
      </w:r>
      <w:r>
        <w:rPr>
          <w:rFonts w:hint="eastAsia" w:ascii="宋体" w:hAnsi="宋体" w:eastAsia="宋体" w:cs="宋体"/>
          <w:b/>
          <w:bCs/>
          <w:color w:val="auto"/>
          <w:sz w:val="24"/>
          <w:highlight w:val="none"/>
        </w:rPr>
        <w:fldChar w:fldCharType="end"/>
      </w:r>
    </w:p>
    <w:p>
      <w:pPr>
        <w:pStyle w:val="6"/>
        <w:rPr>
          <w:rFonts w:hint="eastAsia" w:ascii="宋体" w:hAnsi="宋体" w:eastAsia="宋体" w:cs="宋体"/>
          <w:color w:val="auto"/>
          <w:highlight w:val="none"/>
        </w:rPr>
      </w:pPr>
    </w:p>
    <w:p>
      <w:pPr>
        <w:pStyle w:val="5"/>
        <w:spacing w:line="480" w:lineRule="exact"/>
        <w:rPr>
          <w:rFonts w:hint="eastAsia" w:ascii="宋体" w:hAnsi="宋体" w:eastAsia="宋体" w:cs="宋体"/>
          <w:color w:val="auto"/>
          <w:highlight w:val="none"/>
          <w:u w:val="none"/>
        </w:rPr>
      </w:pPr>
      <w:bookmarkStart w:id="295" w:name="_Toc46235135"/>
      <w:r>
        <w:rPr>
          <w:rFonts w:hint="eastAsia" w:ascii="宋体" w:hAnsi="宋体" w:eastAsia="宋体" w:cs="宋体"/>
          <w:color w:val="auto"/>
          <w:highlight w:val="none"/>
          <w:u w:val="none"/>
        </w:rPr>
        <w:t>6.</w:t>
      </w:r>
      <w:bookmarkEnd w:id="295"/>
      <w:r>
        <w:rPr>
          <w:rFonts w:hint="eastAsia" w:ascii="宋体" w:hAnsi="宋体" w:eastAsia="宋体" w:cs="宋体"/>
          <w:color w:val="auto"/>
          <w:highlight w:val="none"/>
          <w:u w:val="none"/>
        </w:rPr>
        <w:t>依法缴纳税收和社会保障资金承诺函</w:t>
      </w:r>
    </w:p>
    <w:p>
      <w:pPr>
        <w:spacing w:line="271" w:lineRule="auto"/>
        <w:rPr>
          <w:rFonts w:hint="eastAsia" w:ascii="宋体" w:hAnsi="宋体" w:eastAsia="宋体" w:cs="宋体"/>
          <w:color w:val="auto"/>
          <w:sz w:val="21"/>
          <w:highlight w:val="none"/>
        </w:rPr>
      </w:pPr>
    </w:p>
    <w:p>
      <w:pPr>
        <w:spacing w:line="48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val="en-US" w:eastAsia="zh-CN"/>
        </w:rPr>
        <w:t>临沂大学/临沂市沂蒙国际招标有限公司</w:t>
      </w:r>
      <w:r>
        <w:rPr>
          <w:rFonts w:hint="eastAsia" w:ascii="宋体" w:hAnsi="宋体" w:eastAsia="宋体" w:cs="宋体"/>
          <w:color w:val="auto"/>
          <w:sz w:val="24"/>
          <w:highlight w:val="none"/>
        </w:rPr>
        <w:t>:</w:t>
      </w:r>
    </w:p>
    <w:p>
      <w:pPr>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我方在参加</w:t>
      </w:r>
      <w:r>
        <w:rPr>
          <w:rFonts w:hint="eastAsia" w:ascii="宋体" w:hAnsi="宋体" w:eastAsia="宋体" w:cs="宋体"/>
          <w:i/>
          <w:iCs/>
          <w:color w:val="auto"/>
          <w:sz w:val="24"/>
          <w:highlight w:val="none"/>
          <w:u w:val="single"/>
        </w:rPr>
        <w:t>项目名称</w:t>
      </w:r>
      <w:r>
        <w:rPr>
          <w:rFonts w:hint="eastAsia" w:ascii="宋体" w:hAnsi="宋体" w:eastAsia="宋体" w:cs="宋体"/>
          <w:i/>
          <w:iCs/>
          <w:color w:val="auto"/>
          <w:sz w:val="24"/>
          <w:highlight w:val="none"/>
          <w:u w:val="single"/>
          <w:lang w:eastAsia="zh-CN"/>
        </w:rPr>
        <w:t>（</w:t>
      </w:r>
      <w:r>
        <w:rPr>
          <w:rFonts w:hint="eastAsia" w:ascii="宋体" w:hAnsi="宋体" w:eastAsia="宋体" w:cs="宋体"/>
          <w:i/>
          <w:iCs/>
          <w:color w:val="auto"/>
          <w:sz w:val="24"/>
          <w:highlight w:val="none"/>
          <w:u w:val="single"/>
        </w:rPr>
        <w:t>项目编号、包号</w:t>
      </w:r>
      <w:r>
        <w:rPr>
          <w:rFonts w:hint="eastAsia" w:ascii="宋体" w:hAnsi="宋体" w:eastAsia="宋体" w:cs="宋体"/>
          <w:i/>
          <w:iCs/>
          <w:color w:val="auto"/>
          <w:sz w:val="24"/>
          <w:highlight w:val="none"/>
          <w:u w:val="single"/>
          <w:lang w:eastAsia="zh-CN"/>
        </w:rPr>
        <w:t>）</w:t>
      </w:r>
      <w:r>
        <w:rPr>
          <w:rFonts w:hint="eastAsia" w:ascii="宋体" w:hAnsi="宋体" w:eastAsia="宋体" w:cs="宋体"/>
          <w:color w:val="auto"/>
          <w:sz w:val="24"/>
          <w:highlight w:val="none"/>
        </w:rPr>
        <w:t>政府采购活动前，已依法缴纳税收和社会保障资金，符合《中华人民共和国政府采购法实施条例》第十七条第一款第二项规定和</w:t>
      </w:r>
      <w:r>
        <w:rPr>
          <w:rFonts w:hint="eastAsia" w:ascii="宋体" w:hAnsi="宋体" w:eastAsia="宋体" w:cs="宋体"/>
          <w:color w:val="auto"/>
          <w:sz w:val="24"/>
          <w:highlight w:val="none"/>
          <w:lang w:val="en-US" w:eastAsia="zh-CN"/>
        </w:rPr>
        <w:t>磋商文件</w:t>
      </w:r>
      <w:r>
        <w:rPr>
          <w:rFonts w:hint="eastAsia" w:ascii="宋体" w:hAnsi="宋体" w:eastAsia="宋体" w:cs="宋体"/>
          <w:color w:val="auto"/>
          <w:sz w:val="24"/>
          <w:highlight w:val="none"/>
        </w:rPr>
        <w:t>关于缴纳税收和社会保障资金的资格要求。</w:t>
      </w:r>
    </w:p>
    <w:p>
      <w:pPr>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特此承诺。</w:t>
      </w:r>
    </w:p>
    <w:p>
      <w:pPr>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我方对上述承诺真实性、合法性、有效性负责，如有虚假承诺，依法承担相应责任并接受处罚。</w:t>
      </w:r>
    </w:p>
    <w:p>
      <w:pPr>
        <w:spacing w:line="480" w:lineRule="exact"/>
        <w:ind w:left="0" w:leftChars="0" w:firstLine="4620" w:firstLineChars="1925"/>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供应商全称: </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盖公司公章</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 xml:space="preserve"> </w:t>
      </w:r>
    </w:p>
    <w:p>
      <w:pPr>
        <w:spacing w:line="480" w:lineRule="exact"/>
        <w:ind w:left="0" w:leftChars="0" w:firstLine="4620" w:firstLineChars="1925"/>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日</w:t>
      </w:r>
    </w:p>
    <w:p>
      <w:pPr>
        <w:spacing w:line="48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注:</w:t>
      </w:r>
    </w:p>
    <w:p>
      <w:pPr>
        <w:spacing w:line="480" w:lineRule="exact"/>
        <w:ind w:left="0" w:leftChars="0" w:firstLine="420" w:firstLineChars="175"/>
        <w:rPr>
          <w:rFonts w:hint="eastAsia" w:ascii="宋体" w:hAnsi="宋体" w:eastAsia="宋体" w:cs="宋体"/>
          <w:color w:val="auto"/>
          <w:sz w:val="24"/>
          <w:highlight w:val="none"/>
        </w:rPr>
      </w:pPr>
      <w:r>
        <w:rPr>
          <w:rFonts w:hint="eastAsia" w:ascii="宋体" w:hAnsi="宋体" w:eastAsia="宋体" w:cs="宋体"/>
          <w:color w:val="auto"/>
          <w:sz w:val="24"/>
          <w:highlight w:val="none"/>
        </w:rPr>
        <w:t>1.依法免税或不需要缴纳社会保障资金的供应商，应提供相关证明材料。</w:t>
      </w:r>
    </w:p>
    <w:p>
      <w:pPr>
        <w:spacing w:line="480" w:lineRule="exact"/>
        <w:ind w:left="0" w:leftChars="0" w:firstLine="420" w:firstLineChars="175"/>
        <w:rPr>
          <w:rFonts w:hint="eastAsia" w:ascii="宋体" w:hAnsi="宋体" w:eastAsia="宋体" w:cs="宋体"/>
          <w:color w:val="auto"/>
          <w:sz w:val="24"/>
          <w:highlight w:val="none"/>
        </w:rPr>
      </w:pPr>
      <w:r>
        <w:rPr>
          <w:rFonts w:hint="eastAsia" w:ascii="宋体" w:hAnsi="宋体" w:eastAsia="宋体" w:cs="宋体"/>
          <w:color w:val="auto"/>
          <w:sz w:val="24"/>
          <w:highlight w:val="none"/>
        </w:rPr>
        <w:t>2.未在山东省内缴纳税收和社会保障资金的供应商，须按采购文件要求提供缴纳税收和社会保障资金的证明材料。</w:t>
      </w:r>
    </w:p>
    <w:p>
      <w:pPr>
        <w:spacing w:line="480" w:lineRule="exact"/>
        <w:ind w:left="0" w:leftChars="0" w:firstLine="422" w:firstLineChars="175"/>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3.供应商必须在“中国山东政府采购网”（以供应商身份登录，网址http://www.ccgp-shandong.gov.cn/sdgp2017/login.jsp）提前查询本单位缴纳税收和社保保障资金情况，未在“中国山东政府采购网”注册的供应商须先注册并完善相关信息后再查询。</w:t>
      </w:r>
    </w:p>
    <w:p>
      <w:pPr>
        <w:spacing w:line="480" w:lineRule="exact"/>
        <w:ind w:left="0" w:leftChars="0" w:firstLine="422" w:firstLineChars="175"/>
        <w:rPr>
          <w:rFonts w:hint="eastAsia" w:ascii="宋体" w:hAnsi="宋体" w:eastAsia="宋体" w:cs="宋体"/>
          <w:b/>
          <w:bCs/>
          <w:color w:val="auto"/>
          <w:sz w:val="24"/>
          <w:highlight w:val="none"/>
          <w:lang w:eastAsia="zh-CN"/>
        </w:rPr>
      </w:pPr>
      <w:r>
        <w:rPr>
          <w:rFonts w:hint="eastAsia" w:ascii="宋体" w:hAnsi="宋体" w:eastAsia="宋体" w:cs="宋体"/>
          <w:b/>
          <w:bCs/>
          <w:color w:val="auto"/>
          <w:sz w:val="24"/>
          <w:highlight w:val="none"/>
          <w:lang w:val="en-US" w:eastAsia="zh-CN"/>
        </w:rPr>
        <w:t>4.供应商对于“中国山东政府采购网”自查反馈有税收和社保资金缴费信息的，视为“有依法缴纳税收和社会保障资金的良好记录”；对于反馈无相关信息的，必须提供近三个月依法缴纳税收和社会保障</w:t>
      </w:r>
      <w:r>
        <w:rPr>
          <w:rFonts w:hint="eastAsia" w:ascii="宋体" w:hAnsi="宋体" w:eastAsia="宋体" w:cs="宋体"/>
          <w:b/>
          <w:bCs/>
          <w:color w:val="auto"/>
          <w:sz w:val="24"/>
          <w:highlight w:val="none"/>
          <w:lang w:eastAsia="zh-CN"/>
        </w:rPr>
        <w:t>资金的证明材料，否则按未缴纳处理。</w:t>
      </w:r>
    </w:p>
    <w:p>
      <w:pPr>
        <w:pStyle w:val="38"/>
        <w:rPr>
          <w:rFonts w:hint="eastAsia"/>
          <w:color w:val="auto"/>
          <w:highlight w:val="none"/>
          <w:lang w:eastAsia="zh-CN"/>
        </w:rPr>
      </w:pPr>
    </w:p>
    <w:p>
      <w:pPr>
        <w:pStyle w:val="5"/>
        <w:spacing w:line="480" w:lineRule="exact"/>
        <w:rPr>
          <w:rFonts w:hint="eastAsia" w:ascii="宋体" w:hAnsi="宋体" w:eastAsia="宋体" w:cs="宋体"/>
          <w:color w:val="auto"/>
          <w:highlight w:val="none"/>
        </w:rPr>
      </w:pPr>
      <w:bookmarkStart w:id="296" w:name="_Toc518923112"/>
      <w:bookmarkStart w:id="297" w:name="_Toc46235136"/>
      <w:r>
        <w:rPr>
          <w:rFonts w:hint="eastAsia" w:ascii="宋体" w:hAnsi="宋体" w:eastAsia="宋体" w:cs="宋体"/>
          <w:color w:val="auto"/>
          <w:highlight w:val="none"/>
          <w:u w:val="none"/>
        </w:rPr>
        <w:t>7.参加政府采购活动前3年内</w:t>
      </w:r>
      <w:bookmarkEnd w:id="296"/>
      <w:bookmarkStart w:id="298" w:name="_Toc518923113"/>
      <w:r>
        <w:rPr>
          <w:rFonts w:hint="eastAsia" w:ascii="宋体" w:hAnsi="宋体" w:eastAsia="宋体" w:cs="宋体"/>
          <w:color w:val="auto"/>
          <w:highlight w:val="none"/>
          <w:u w:val="none"/>
        </w:rPr>
        <w:t>在经营活动中没有重大违法记录的</w:t>
      </w:r>
      <w:bookmarkEnd w:id="298"/>
      <w:r>
        <w:rPr>
          <w:rFonts w:hint="eastAsia" w:ascii="宋体" w:hAnsi="宋体" w:eastAsia="宋体" w:cs="宋体"/>
          <w:color w:val="auto"/>
          <w:highlight w:val="none"/>
          <w:u w:val="none"/>
        </w:rPr>
        <w:t>书面声明</w:t>
      </w:r>
      <w:bookmarkEnd w:id="297"/>
    </w:p>
    <w:p>
      <w:pPr>
        <w:pStyle w:val="16"/>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本单位郑重声明：</w:t>
      </w:r>
    </w:p>
    <w:p>
      <w:pPr>
        <w:pStyle w:val="16"/>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我单位在参加采购活动前三年内在经营活动中没有《政府采购法》第二十二条第一款第</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五</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项所称重大违法记录，包括：</w:t>
      </w:r>
    </w:p>
    <w:p>
      <w:pPr>
        <w:pStyle w:val="16"/>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我单位或者其法定代表人、董事、监事、高级管理人员未因经营活动中的违法行为受到刑事处罚或者责令停产停业、吊销许可证或者执照、较大数额罚款等行政处罚。</w:t>
      </w:r>
    </w:p>
    <w:p>
      <w:pPr>
        <w:pStyle w:val="16"/>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pPr>
        <w:pStyle w:val="16"/>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公章</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：______________</w:t>
      </w:r>
    </w:p>
    <w:p>
      <w:pPr>
        <w:pStyle w:val="16"/>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法定代表人或负责人或其授权代表</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签字或盖章</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：______________</w:t>
      </w:r>
    </w:p>
    <w:p>
      <w:pPr>
        <w:pStyle w:val="16"/>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日期：______年____月____日</w:t>
      </w:r>
    </w:p>
    <w:p>
      <w:pPr>
        <w:tabs>
          <w:tab w:val="left" w:pos="5580"/>
        </w:tabs>
        <w:spacing w:line="480" w:lineRule="exact"/>
        <w:ind w:left="1080" w:leftChars="257" w:hanging="540"/>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说明：1供应商应按照相关法规规定如实作出说明。</w:t>
      </w:r>
    </w:p>
    <w:p>
      <w:pPr>
        <w:pStyle w:val="16"/>
        <w:tabs>
          <w:tab w:val="left" w:pos="5580"/>
        </w:tabs>
        <w:spacing w:line="480" w:lineRule="exact"/>
        <w:ind w:left="645" w:leftChars="307" w:firstLine="600" w:firstLineChars="250"/>
        <w:rPr>
          <w:rFonts w:hint="eastAsia" w:ascii="宋体" w:hAnsi="宋体" w:eastAsia="宋体" w:cs="宋体"/>
          <w:color w:val="auto"/>
          <w:sz w:val="24"/>
          <w:highlight w:val="none"/>
        </w:rPr>
      </w:pPr>
      <w:r>
        <w:rPr>
          <w:rFonts w:hint="eastAsia" w:ascii="宋体" w:hAnsi="宋体" w:eastAsia="宋体" w:cs="宋体"/>
          <w:color w:val="auto"/>
          <w:sz w:val="24"/>
          <w:highlight w:val="none"/>
        </w:rPr>
        <w:t>2．按照磋商文件的规定加盖本单位章（自然人投标的无需盖章，需要签字）。</w:t>
      </w:r>
    </w:p>
    <w:p>
      <w:pPr>
        <w:tabs>
          <w:tab w:val="left" w:pos="5580"/>
        </w:tabs>
        <w:spacing w:line="480" w:lineRule="exact"/>
        <w:ind w:left="1080" w:leftChars="257" w:hanging="540"/>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 xml:space="preserve">      3.如果是联合体响应文件，联合体各方均需提供上述证明。</w:t>
      </w:r>
    </w:p>
    <w:p>
      <w:pPr>
        <w:rPr>
          <w:rFonts w:hint="eastAsia" w:ascii="宋体" w:hAnsi="宋体" w:eastAsia="宋体" w:cs="宋体"/>
          <w:color w:val="auto"/>
          <w:highlight w:val="none"/>
        </w:rPr>
      </w:pPr>
      <w:bookmarkStart w:id="299" w:name="_Toc518923114"/>
    </w:p>
    <w:p>
      <w:pPr>
        <w:pStyle w:val="5"/>
        <w:spacing w:line="480" w:lineRule="exact"/>
        <w:rPr>
          <w:rFonts w:hint="eastAsia" w:ascii="宋体" w:hAnsi="宋体" w:eastAsia="宋体" w:cs="宋体"/>
          <w:color w:val="auto"/>
          <w:highlight w:val="none"/>
          <w:u w:val="none"/>
        </w:rPr>
      </w:pPr>
      <w:bookmarkStart w:id="300" w:name="_Toc46235137"/>
      <w:r>
        <w:rPr>
          <w:rFonts w:hint="eastAsia" w:ascii="宋体" w:hAnsi="宋体" w:eastAsia="宋体" w:cs="宋体"/>
          <w:color w:val="auto"/>
          <w:highlight w:val="none"/>
          <w:u w:val="none"/>
          <w:lang w:val="en-US" w:eastAsia="zh-CN"/>
        </w:rPr>
        <w:t>8</w:t>
      </w:r>
      <w:r>
        <w:rPr>
          <w:rFonts w:hint="eastAsia" w:ascii="宋体" w:hAnsi="宋体" w:eastAsia="宋体" w:cs="宋体"/>
          <w:color w:val="auto"/>
          <w:highlight w:val="none"/>
          <w:u w:val="none"/>
        </w:rPr>
        <w:t>.</w:t>
      </w:r>
      <w:bookmarkEnd w:id="299"/>
      <w:bookmarkEnd w:id="300"/>
      <w:r>
        <w:rPr>
          <w:rFonts w:hint="eastAsia" w:ascii="宋体" w:hAnsi="宋体" w:eastAsia="宋体" w:cs="宋体"/>
          <w:color w:val="auto"/>
          <w:highlight w:val="none"/>
          <w:u w:val="none"/>
        </w:rPr>
        <w:t>供应商反商业贿赂承诺书</w:t>
      </w:r>
    </w:p>
    <w:bookmarkEnd w:id="294"/>
    <w:p>
      <w:pPr>
        <w:pStyle w:val="10"/>
        <w:keepNext w:val="0"/>
        <w:keepLines w:val="0"/>
        <w:pageBreakBefore w:val="0"/>
        <w:widowControl w:val="0"/>
        <w:kinsoku/>
        <w:wordWrap/>
        <w:overflowPunct/>
        <w:topLinePunct w:val="0"/>
        <w:autoSpaceDE w:val="0"/>
        <w:autoSpaceDN w:val="0"/>
        <w:bidi w:val="0"/>
        <w:adjustRightInd w:val="0"/>
        <w:snapToGrid w:val="0"/>
        <w:spacing w:before="0" w:line="440" w:lineRule="exact"/>
        <w:ind w:left="-420" w:leftChars="-200" w:right="-470" w:rightChars="-224" w:firstLine="439" w:firstLineChars="183"/>
        <w:textAlignment w:val="auto"/>
        <w:rPr>
          <w:rFonts w:hint="eastAsia" w:ascii="宋体" w:hAnsi="宋体" w:eastAsia="宋体" w:cs="宋体"/>
          <w:color w:val="auto"/>
          <w:highlight w:val="none"/>
        </w:rPr>
      </w:pPr>
      <w:bookmarkStart w:id="301" w:name="_Toc518923115"/>
      <w:r>
        <w:rPr>
          <w:rFonts w:hint="eastAsia" w:ascii="宋体" w:hAnsi="宋体" w:eastAsia="宋体" w:cs="宋体"/>
          <w:color w:val="auto"/>
          <w:highlight w:val="none"/>
        </w:rPr>
        <w:t>为贯彻落实中央和省市关于治理商业贿赂的有关精神，进一步净化政府采购市场、规范政府采购行为，共同维护和营造竞争有序的政府采购市场，我们作为参加政府采购的供应商就反商业贿赂向社会郑重承诺：</w:t>
      </w:r>
    </w:p>
    <w:p>
      <w:pPr>
        <w:pStyle w:val="10"/>
        <w:keepNext w:val="0"/>
        <w:keepLines w:val="0"/>
        <w:pageBreakBefore w:val="0"/>
        <w:widowControl w:val="0"/>
        <w:kinsoku/>
        <w:wordWrap/>
        <w:overflowPunct/>
        <w:topLinePunct w:val="0"/>
        <w:autoSpaceDE w:val="0"/>
        <w:autoSpaceDN w:val="0"/>
        <w:bidi w:val="0"/>
        <w:adjustRightInd w:val="0"/>
        <w:snapToGrid w:val="0"/>
        <w:spacing w:before="0" w:line="440" w:lineRule="exact"/>
        <w:ind w:left="-420" w:leftChars="-200" w:right="-470" w:rightChars="-224" w:firstLine="439" w:firstLineChars="183"/>
        <w:textAlignment w:val="auto"/>
        <w:rPr>
          <w:rFonts w:hint="eastAsia" w:ascii="宋体" w:hAnsi="宋体" w:eastAsia="宋体" w:cs="宋体"/>
          <w:color w:val="auto"/>
          <w:highlight w:val="none"/>
        </w:rPr>
      </w:pPr>
      <w:r>
        <w:rPr>
          <w:rFonts w:hint="eastAsia" w:ascii="宋体" w:hAnsi="宋体" w:eastAsia="宋体" w:cs="宋体"/>
          <w:color w:val="auto"/>
          <w:highlight w:val="none"/>
        </w:rPr>
        <w:t>一、认真学习并遵守国家相关的法律、法规及社会公德，树立质量为本的理念，诚实守信，依法参与政府采购活动，坚决杜绝不正当交易行为。</w:t>
      </w:r>
    </w:p>
    <w:p>
      <w:pPr>
        <w:pStyle w:val="10"/>
        <w:keepNext w:val="0"/>
        <w:keepLines w:val="0"/>
        <w:pageBreakBefore w:val="0"/>
        <w:widowControl w:val="0"/>
        <w:kinsoku/>
        <w:wordWrap/>
        <w:overflowPunct/>
        <w:topLinePunct w:val="0"/>
        <w:autoSpaceDE w:val="0"/>
        <w:autoSpaceDN w:val="0"/>
        <w:bidi w:val="0"/>
        <w:adjustRightInd w:val="0"/>
        <w:snapToGrid w:val="0"/>
        <w:spacing w:before="0" w:line="440" w:lineRule="exact"/>
        <w:ind w:left="-420" w:leftChars="-200" w:right="-470" w:rightChars="-224" w:firstLine="439" w:firstLineChars="183"/>
        <w:textAlignment w:val="auto"/>
        <w:rPr>
          <w:rFonts w:hint="eastAsia" w:ascii="宋体" w:hAnsi="宋体" w:eastAsia="宋体" w:cs="宋体"/>
          <w:color w:val="auto"/>
          <w:highlight w:val="none"/>
        </w:rPr>
      </w:pPr>
      <w:r>
        <w:rPr>
          <w:rFonts w:hint="eastAsia" w:ascii="宋体" w:hAnsi="宋体" w:eastAsia="宋体" w:cs="宋体"/>
          <w:color w:val="auto"/>
          <w:highlight w:val="none"/>
        </w:rPr>
        <w:t>二、在政府采购活动中，自觉遵守政府采购的法律法规，依法依规进行政府采购项目的投标及公平交易行为，树立投标诚信、价格诚信、合同诚信、履约诚信、服务诚信等企业诚信体系。</w:t>
      </w:r>
    </w:p>
    <w:p>
      <w:pPr>
        <w:pStyle w:val="10"/>
        <w:keepNext w:val="0"/>
        <w:keepLines w:val="0"/>
        <w:pageBreakBefore w:val="0"/>
        <w:widowControl w:val="0"/>
        <w:kinsoku/>
        <w:wordWrap/>
        <w:overflowPunct/>
        <w:topLinePunct w:val="0"/>
        <w:autoSpaceDE w:val="0"/>
        <w:autoSpaceDN w:val="0"/>
        <w:bidi w:val="0"/>
        <w:adjustRightInd w:val="0"/>
        <w:snapToGrid w:val="0"/>
        <w:spacing w:before="0" w:line="440" w:lineRule="exact"/>
        <w:ind w:left="-420" w:leftChars="-200" w:right="-470" w:rightChars="-224" w:firstLine="439" w:firstLineChars="183"/>
        <w:textAlignment w:val="auto"/>
        <w:rPr>
          <w:rFonts w:hint="eastAsia" w:ascii="宋体" w:hAnsi="宋体" w:eastAsia="宋体" w:cs="宋体"/>
          <w:color w:val="auto"/>
          <w:highlight w:val="none"/>
        </w:rPr>
      </w:pPr>
      <w:r>
        <w:rPr>
          <w:rFonts w:hint="eastAsia" w:ascii="宋体" w:hAnsi="宋体" w:eastAsia="宋体" w:cs="宋体"/>
          <w:color w:val="auto"/>
          <w:highlight w:val="none"/>
        </w:rPr>
        <w:t>三、杜绝弄虚作假，骗取政府采购供应商资格；杜绝提供虚假资质文件谋取中标或成交；杜绝出借、转让、出卖资质（资格）证书；杜绝他人以本企业名义承接或承揽政府采购业务。</w:t>
      </w:r>
    </w:p>
    <w:p>
      <w:pPr>
        <w:pStyle w:val="10"/>
        <w:keepNext w:val="0"/>
        <w:keepLines w:val="0"/>
        <w:pageBreakBefore w:val="0"/>
        <w:widowControl w:val="0"/>
        <w:kinsoku/>
        <w:wordWrap/>
        <w:overflowPunct/>
        <w:topLinePunct w:val="0"/>
        <w:autoSpaceDE w:val="0"/>
        <w:autoSpaceDN w:val="0"/>
        <w:bidi w:val="0"/>
        <w:adjustRightInd w:val="0"/>
        <w:snapToGrid w:val="0"/>
        <w:spacing w:before="0" w:line="440" w:lineRule="exact"/>
        <w:ind w:left="-420" w:leftChars="-200" w:right="-470" w:rightChars="-224" w:firstLine="439" w:firstLineChars="183"/>
        <w:textAlignment w:val="auto"/>
        <w:rPr>
          <w:rFonts w:hint="eastAsia" w:ascii="宋体" w:hAnsi="宋体" w:eastAsia="宋体" w:cs="宋体"/>
          <w:color w:val="auto"/>
          <w:highlight w:val="none"/>
        </w:rPr>
      </w:pPr>
      <w:r>
        <w:rPr>
          <w:rFonts w:hint="eastAsia" w:ascii="宋体" w:hAnsi="宋体" w:eastAsia="宋体" w:cs="宋体"/>
          <w:color w:val="auto"/>
          <w:highlight w:val="none"/>
        </w:rPr>
        <w:t>四、杜绝采取或参与“围标、陪标、串标”等违法行为获得政府采购订单；杜绝采取不正当手段诋毁、排挤其他供应商参与竞争。</w:t>
      </w:r>
    </w:p>
    <w:p>
      <w:pPr>
        <w:pStyle w:val="10"/>
        <w:keepNext w:val="0"/>
        <w:keepLines w:val="0"/>
        <w:pageBreakBefore w:val="0"/>
        <w:widowControl w:val="0"/>
        <w:kinsoku/>
        <w:wordWrap/>
        <w:overflowPunct/>
        <w:topLinePunct w:val="0"/>
        <w:autoSpaceDE w:val="0"/>
        <w:autoSpaceDN w:val="0"/>
        <w:bidi w:val="0"/>
        <w:adjustRightInd w:val="0"/>
        <w:snapToGrid w:val="0"/>
        <w:spacing w:before="0" w:line="440" w:lineRule="exact"/>
        <w:ind w:left="-420" w:leftChars="-200" w:right="-470" w:rightChars="-224" w:firstLine="439" w:firstLineChars="183"/>
        <w:textAlignment w:val="auto"/>
        <w:rPr>
          <w:rFonts w:hint="eastAsia" w:ascii="宋体" w:hAnsi="宋体" w:eastAsia="宋体" w:cs="宋体"/>
          <w:color w:val="auto"/>
          <w:highlight w:val="none"/>
        </w:rPr>
      </w:pPr>
      <w:r>
        <w:rPr>
          <w:rFonts w:hint="eastAsia" w:ascii="宋体" w:hAnsi="宋体" w:eastAsia="宋体" w:cs="宋体"/>
          <w:color w:val="auto"/>
          <w:highlight w:val="none"/>
        </w:rPr>
        <w:t>五、在政府采购活动中，承诺不与采购人、采购代理机构及其工作人员和其他供应商串通，损害国家利益、社会公共利益和其他相关</w:t>
      </w:r>
      <w:r>
        <w:rPr>
          <w:rFonts w:hint="eastAsia" w:ascii="宋体" w:hAnsi="宋体" w:eastAsia="宋体" w:cs="宋体"/>
          <w:color w:val="auto"/>
          <w:highlight w:val="none"/>
          <w:lang w:eastAsia="zh-CN"/>
        </w:rPr>
        <w:t>人员</w:t>
      </w:r>
      <w:r>
        <w:rPr>
          <w:rFonts w:hint="eastAsia" w:ascii="宋体" w:hAnsi="宋体" w:eastAsia="宋体" w:cs="宋体"/>
          <w:color w:val="auto"/>
          <w:highlight w:val="none"/>
        </w:rPr>
        <w:t>的合法权益。</w:t>
      </w:r>
    </w:p>
    <w:p>
      <w:pPr>
        <w:pStyle w:val="10"/>
        <w:keepNext w:val="0"/>
        <w:keepLines w:val="0"/>
        <w:pageBreakBefore w:val="0"/>
        <w:widowControl w:val="0"/>
        <w:kinsoku/>
        <w:wordWrap/>
        <w:overflowPunct/>
        <w:topLinePunct w:val="0"/>
        <w:autoSpaceDE w:val="0"/>
        <w:autoSpaceDN w:val="0"/>
        <w:bidi w:val="0"/>
        <w:adjustRightInd w:val="0"/>
        <w:snapToGrid w:val="0"/>
        <w:spacing w:before="0" w:line="440" w:lineRule="exact"/>
        <w:ind w:left="-420" w:leftChars="-200" w:right="-470" w:rightChars="-224" w:firstLine="439" w:firstLineChars="183"/>
        <w:textAlignment w:val="auto"/>
        <w:rPr>
          <w:rFonts w:hint="eastAsia" w:ascii="宋体" w:hAnsi="宋体" w:eastAsia="宋体" w:cs="宋体"/>
          <w:color w:val="auto"/>
          <w:highlight w:val="none"/>
        </w:rPr>
      </w:pPr>
      <w:r>
        <w:rPr>
          <w:rFonts w:hint="eastAsia" w:ascii="宋体" w:hAnsi="宋体" w:eastAsia="宋体" w:cs="宋体"/>
          <w:color w:val="auto"/>
          <w:highlight w:val="none"/>
        </w:rPr>
        <w:t>六、杜绝向采购人、采购代理机构工作人员、评审委员会成员及其他相关人员行贿或者采取其他不正当手段谋取不合法利益，具体包括：不得赠送礼金、礼品，有价证券、购物券、回扣、佣金、咨询费、劳务费、赞助费、宣传费以及支付旅游费用、报销各种消费凭证等。</w:t>
      </w:r>
    </w:p>
    <w:p>
      <w:pPr>
        <w:pStyle w:val="10"/>
        <w:keepNext w:val="0"/>
        <w:keepLines w:val="0"/>
        <w:pageBreakBefore w:val="0"/>
        <w:widowControl w:val="0"/>
        <w:kinsoku/>
        <w:wordWrap/>
        <w:overflowPunct/>
        <w:topLinePunct w:val="0"/>
        <w:autoSpaceDE w:val="0"/>
        <w:autoSpaceDN w:val="0"/>
        <w:bidi w:val="0"/>
        <w:adjustRightInd w:val="0"/>
        <w:snapToGrid w:val="0"/>
        <w:spacing w:before="0" w:line="440" w:lineRule="exact"/>
        <w:ind w:left="-420" w:leftChars="-200" w:right="-470" w:rightChars="-224" w:firstLine="439" w:firstLineChars="183"/>
        <w:textAlignment w:val="auto"/>
        <w:rPr>
          <w:rFonts w:hint="eastAsia" w:ascii="宋体" w:hAnsi="宋体" w:eastAsia="宋体" w:cs="宋体"/>
          <w:color w:val="auto"/>
          <w:highlight w:val="none"/>
        </w:rPr>
      </w:pPr>
      <w:r>
        <w:rPr>
          <w:rFonts w:hint="eastAsia" w:ascii="宋体" w:hAnsi="宋体" w:eastAsia="宋体" w:cs="宋体"/>
          <w:color w:val="auto"/>
          <w:highlight w:val="none"/>
        </w:rPr>
        <w:t>七、按规定与采购人签订政府采购合同，并严格按合同履约，为采购人提供符合质量标准规定的货物、工程和服务，不销售假冒、走私货物；不擅自变更或终止、转让、转包政府采购合同；主动配合政府采购项目的验收工作。</w:t>
      </w:r>
    </w:p>
    <w:p>
      <w:pPr>
        <w:pStyle w:val="10"/>
        <w:keepNext w:val="0"/>
        <w:keepLines w:val="0"/>
        <w:pageBreakBefore w:val="0"/>
        <w:widowControl w:val="0"/>
        <w:kinsoku/>
        <w:wordWrap/>
        <w:overflowPunct/>
        <w:topLinePunct w:val="0"/>
        <w:autoSpaceDE w:val="0"/>
        <w:autoSpaceDN w:val="0"/>
        <w:bidi w:val="0"/>
        <w:adjustRightInd w:val="0"/>
        <w:snapToGrid w:val="0"/>
        <w:spacing w:before="0" w:line="440" w:lineRule="exact"/>
        <w:ind w:left="-420" w:leftChars="-200" w:right="-470" w:rightChars="-224" w:firstLine="439" w:firstLineChars="183"/>
        <w:textAlignment w:val="auto"/>
        <w:rPr>
          <w:rFonts w:hint="eastAsia" w:ascii="宋体" w:hAnsi="宋体" w:eastAsia="宋体" w:cs="宋体"/>
          <w:color w:val="auto"/>
          <w:highlight w:val="none"/>
        </w:rPr>
      </w:pPr>
      <w:r>
        <w:rPr>
          <w:rFonts w:hint="eastAsia" w:ascii="宋体" w:hAnsi="宋体" w:eastAsia="宋体" w:cs="宋体"/>
          <w:color w:val="auto"/>
          <w:highlight w:val="none"/>
        </w:rPr>
        <w:t>八、自觉接受政府采购监管部门的监督管理，积极配合检查和调查，并如实反映情况和提供材料。</w:t>
      </w:r>
    </w:p>
    <w:p>
      <w:pPr>
        <w:pStyle w:val="10"/>
        <w:keepNext w:val="0"/>
        <w:keepLines w:val="0"/>
        <w:pageBreakBefore w:val="0"/>
        <w:widowControl w:val="0"/>
        <w:kinsoku/>
        <w:wordWrap/>
        <w:overflowPunct/>
        <w:topLinePunct w:val="0"/>
        <w:autoSpaceDE w:val="0"/>
        <w:autoSpaceDN w:val="0"/>
        <w:bidi w:val="0"/>
        <w:adjustRightInd w:val="0"/>
        <w:snapToGrid w:val="0"/>
        <w:spacing w:before="0" w:line="440" w:lineRule="exact"/>
        <w:ind w:left="-420" w:leftChars="-200" w:right="-470" w:rightChars="-224" w:firstLine="439" w:firstLineChars="183"/>
        <w:textAlignment w:val="auto"/>
        <w:rPr>
          <w:rFonts w:hint="eastAsia" w:ascii="宋体" w:hAnsi="宋体" w:eastAsia="宋体" w:cs="宋体"/>
          <w:color w:val="auto"/>
          <w:highlight w:val="none"/>
        </w:rPr>
      </w:pPr>
      <w:r>
        <w:rPr>
          <w:rFonts w:hint="eastAsia" w:ascii="宋体" w:hAnsi="宋体" w:eastAsia="宋体" w:cs="宋体"/>
          <w:color w:val="auto"/>
          <w:highlight w:val="none"/>
        </w:rPr>
        <w:t>我们将严格遵守上述承诺事项，自愿接受主管（监管）部门和社会各方面的监督， 如有违反，自愿接受执法执纪机关和监督管理部门的处理。</w:t>
      </w:r>
    </w:p>
    <w:p>
      <w:pPr>
        <w:pStyle w:val="10"/>
        <w:keepNext w:val="0"/>
        <w:keepLines w:val="0"/>
        <w:pageBreakBefore w:val="0"/>
        <w:widowControl w:val="0"/>
        <w:kinsoku/>
        <w:wordWrap/>
        <w:overflowPunct/>
        <w:topLinePunct w:val="0"/>
        <w:autoSpaceDE w:val="0"/>
        <w:autoSpaceDN w:val="0"/>
        <w:bidi w:val="0"/>
        <w:adjustRightInd w:val="0"/>
        <w:snapToGrid w:val="0"/>
        <w:spacing w:before="0" w:line="440" w:lineRule="exact"/>
        <w:ind w:left="-420" w:leftChars="-200" w:right="-470" w:rightChars="-224" w:firstLine="439" w:firstLineChars="183"/>
        <w:textAlignment w:val="auto"/>
        <w:rPr>
          <w:rFonts w:hint="eastAsia" w:ascii="宋体" w:hAnsi="宋体" w:eastAsia="宋体" w:cs="宋体"/>
          <w:color w:val="auto"/>
          <w:highlight w:val="none"/>
        </w:rPr>
      </w:pPr>
    </w:p>
    <w:p>
      <w:pPr>
        <w:pStyle w:val="10"/>
        <w:keepNext w:val="0"/>
        <w:keepLines w:val="0"/>
        <w:pageBreakBefore w:val="0"/>
        <w:widowControl w:val="0"/>
        <w:kinsoku/>
        <w:wordWrap/>
        <w:overflowPunct/>
        <w:topLinePunct w:val="0"/>
        <w:autoSpaceDE w:val="0"/>
        <w:autoSpaceDN w:val="0"/>
        <w:bidi w:val="0"/>
        <w:adjustRightInd w:val="0"/>
        <w:snapToGrid w:val="0"/>
        <w:spacing w:before="0" w:line="440" w:lineRule="exact"/>
        <w:ind w:right="-470" w:rightChars="-224" w:firstLine="2400" w:firstLineChars="1000"/>
        <w:textAlignment w:val="auto"/>
        <w:rPr>
          <w:rFonts w:hint="eastAsia" w:ascii="宋体" w:hAnsi="宋体" w:eastAsia="宋体" w:cs="宋体"/>
          <w:color w:val="auto"/>
          <w:highlight w:val="none"/>
        </w:rPr>
      </w:pPr>
      <w:r>
        <w:rPr>
          <w:rFonts w:hint="eastAsia" w:ascii="宋体" w:hAnsi="宋体" w:eastAsia="宋体" w:cs="宋体"/>
          <w:color w:val="auto"/>
          <w:highlight w:val="none"/>
        </w:rPr>
        <w:t>承诺单位（公章）：</w:t>
      </w:r>
    </w:p>
    <w:p>
      <w:pPr>
        <w:pStyle w:val="10"/>
        <w:keepNext w:val="0"/>
        <w:keepLines w:val="0"/>
        <w:pageBreakBefore w:val="0"/>
        <w:widowControl w:val="0"/>
        <w:kinsoku/>
        <w:wordWrap/>
        <w:overflowPunct/>
        <w:topLinePunct w:val="0"/>
        <w:autoSpaceDE w:val="0"/>
        <w:autoSpaceDN w:val="0"/>
        <w:bidi w:val="0"/>
        <w:adjustRightInd w:val="0"/>
        <w:snapToGrid w:val="0"/>
        <w:spacing w:before="0" w:line="440" w:lineRule="exact"/>
        <w:ind w:right="-470" w:rightChars="-224" w:firstLine="1680" w:firstLineChars="700"/>
        <w:textAlignment w:val="auto"/>
        <w:rPr>
          <w:rFonts w:hint="eastAsia" w:ascii="宋体" w:hAnsi="宋体" w:eastAsia="宋体" w:cs="宋体"/>
          <w:color w:val="auto"/>
          <w:highlight w:val="none"/>
        </w:rPr>
      </w:pPr>
      <w:r>
        <w:rPr>
          <w:rFonts w:hint="eastAsia" w:ascii="宋体" w:hAnsi="宋体" w:eastAsia="宋体" w:cs="宋体"/>
          <w:color w:val="auto"/>
          <w:highlight w:val="none"/>
        </w:rPr>
        <w:t>法定代表人或委托代理人：</w:t>
      </w:r>
    </w:p>
    <w:p>
      <w:pPr>
        <w:keepNext w:val="0"/>
        <w:keepLines w:val="0"/>
        <w:pageBreakBefore w:val="0"/>
        <w:widowControl w:val="0"/>
        <w:kinsoku/>
        <w:wordWrap/>
        <w:overflowPunct/>
        <w:topLinePunct w:val="0"/>
        <w:autoSpaceDE w:val="0"/>
        <w:autoSpaceDN w:val="0"/>
        <w:bidi w:val="0"/>
        <w:adjustRightInd w:val="0"/>
        <w:snapToGrid w:val="0"/>
        <w:spacing w:line="440" w:lineRule="exact"/>
        <w:ind w:left="-420" w:leftChars="-200" w:right="-470" w:rightChars="-224" w:firstLine="6885" w:firstLineChars="3279"/>
        <w:textAlignment w:val="auto"/>
        <w:rPr>
          <w:rFonts w:hint="eastAsia" w:ascii="宋体" w:hAnsi="宋体" w:eastAsia="宋体" w:cs="宋体"/>
          <w:color w:val="auto"/>
          <w:sz w:val="30"/>
          <w:szCs w:val="30"/>
          <w:highlight w:val="none"/>
        </w:rPr>
      </w:pPr>
      <w:r>
        <w:rPr>
          <w:rFonts w:hint="eastAsia" w:ascii="宋体" w:hAnsi="宋体" w:eastAsia="宋体" w:cs="宋体"/>
          <w:color w:val="auto"/>
          <w:highlight w:val="none"/>
        </w:rPr>
        <w:t>年</w:t>
      </w:r>
      <w:r>
        <w:rPr>
          <w:rFonts w:hint="eastAsia" w:ascii="宋体" w:hAnsi="宋体" w:eastAsia="宋体" w:cs="宋体"/>
          <w:color w:val="auto"/>
          <w:highlight w:val="none"/>
        </w:rPr>
        <w:tab/>
      </w:r>
      <w:r>
        <w:rPr>
          <w:rFonts w:hint="eastAsia" w:ascii="宋体" w:hAnsi="宋体" w:eastAsia="宋体" w:cs="宋体"/>
          <w:color w:val="auto"/>
          <w:highlight w:val="none"/>
        </w:rPr>
        <w:t xml:space="preserve">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 xml:space="preserve"> 月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 xml:space="preserve">  日</w:t>
      </w:r>
    </w:p>
    <w:p>
      <w:pPr>
        <w:rPr>
          <w:rFonts w:hint="eastAsia" w:ascii="宋体" w:hAnsi="宋体" w:eastAsia="宋体" w:cs="宋体"/>
          <w:color w:val="auto"/>
          <w:sz w:val="24"/>
          <w:szCs w:val="20"/>
          <w:highlight w:val="none"/>
        </w:rPr>
      </w:pPr>
    </w:p>
    <w:p>
      <w:pPr>
        <w:pStyle w:val="4"/>
        <w:spacing w:line="480" w:lineRule="exact"/>
        <w:ind w:left="774" w:hanging="722" w:hangingChars="257"/>
        <w:rPr>
          <w:rFonts w:hint="eastAsia" w:ascii="宋体" w:hAnsi="宋体" w:eastAsia="宋体" w:cs="宋体"/>
          <w:color w:val="auto"/>
          <w:highlight w:val="none"/>
        </w:rPr>
      </w:pPr>
      <w:bookmarkStart w:id="302" w:name="_Toc6115"/>
      <w:bookmarkStart w:id="303" w:name="_Toc46235139"/>
      <w:bookmarkStart w:id="304" w:name="_Toc68259632"/>
      <w:r>
        <w:rPr>
          <w:rFonts w:hint="eastAsia" w:ascii="宋体" w:hAnsi="宋体" w:eastAsia="宋体" w:cs="宋体"/>
          <w:color w:val="auto"/>
          <w:highlight w:val="none"/>
        </w:rPr>
        <w:t>五、商务及技术文件</w:t>
      </w:r>
      <w:bookmarkEnd w:id="301"/>
      <w:bookmarkEnd w:id="302"/>
      <w:bookmarkEnd w:id="303"/>
      <w:bookmarkEnd w:id="304"/>
    </w:p>
    <w:p>
      <w:pPr>
        <w:pStyle w:val="5"/>
        <w:spacing w:line="480" w:lineRule="exact"/>
        <w:rPr>
          <w:rFonts w:hint="eastAsia" w:ascii="宋体" w:hAnsi="宋体" w:eastAsia="宋体" w:cs="宋体"/>
          <w:color w:val="auto"/>
          <w:highlight w:val="none"/>
          <w:u w:val="none"/>
        </w:rPr>
      </w:pPr>
      <w:bookmarkStart w:id="305" w:name="_Hlt520355504"/>
      <w:bookmarkEnd w:id="305"/>
      <w:bookmarkStart w:id="306" w:name="_Toc518923116"/>
      <w:bookmarkStart w:id="307" w:name="_Toc46235140"/>
      <w:r>
        <w:rPr>
          <w:rFonts w:hint="eastAsia" w:ascii="宋体" w:hAnsi="宋体" w:eastAsia="宋体" w:cs="宋体"/>
          <w:color w:val="auto"/>
          <w:highlight w:val="none"/>
          <w:u w:val="none"/>
          <w:lang w:val="en-US" w:eastAsia="zh-CN"/>
        </w:rPr>
        <w:t>9</w:t>
      </w:r>
      <w:r>
        <w:rPr>
          <w:rFonts w:hint="eastAsia" w:ascii="宋体" w:hAnsi="宋体" w:eastAsia="宋体" w:cs="宋体"/>
          <w:color w:val="auto"/>
          <w:highlight w:val="none"/>
          <w:u w:val="none"/>
        </w:rPr>
        <w:t>.响应文件</w:t>
      </w:r>
      <w:bookmarkEnd w:id="279"/>
      <w:bookmarkEnd w:id="280"/>
      <w:r>
        <w:rPr>
          <w:rFonts w:hint="eastAsia" w:ascii="宋体" w:hAnsi="宋体" w:eastAsia="宋体" w:cs="宋体"/>
          <w:color w:val="auto"/>
          <w:highlight w:val="none"/>
          <w:u w:val="none"/>
        </w:rPr>
        <w:t>书</w:t>
      </w:r>
      <w:bookmarkEnd w:id="281"/>
      <w:bookmarkEnd w:id="282"/>
      <w:bookmarkEnd w:id="306"/>
      <w:bookmarkEnd w:id="307"/>
    </w:p>
    <w:p>
      <w:pPr>
        <w:keepNext w:val="0"/>
        <w:keepLines w:val="0"/>
        <w:pageBreakBefore w:val="0"/>
        <w:widowControl w:val="0"/>
        <w:tabs>
          <w:tab w:val="left" w:pos="5580"/>
        </w:tabs>
        <w:kinsoku/>
        <w:wordWrap/>
        <w:overflowPunct/>
        <w:topLinePunct w:val="0"/>
        <w:autoSpaceDE/>
        <w:autoSpaceDN/>
        <w:bidi w:val="0"/>
        <w:adjustRightInd/>
        <w:snapToGrid/>
        <w:spacing w:line="480" w:lineRule="exact"/>
        <w:ind w:left="1080" w:hanging="108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致：</w:t>
      </w:r>
      <w:r>
        <w:rPr>
          <w:rFonts w:hint="eastAsia" w:ascii="宋体" w:hAnsi="宋体" w:eastAsia="宋体" w:cs="宋体"/>
          <w:color w:val="auto"/>
          <w:sz w:val="24"/>
          <w:szCs w:val="20"/>
          <w:highlight w:val="none"/>
          <w:u w:val="single"/>
        </w:rPr>
        <w:t>临沂市沂蒙国际招标有限公司</w:t>
      </w:r>
    </w:p>
    <w:p>
      <w:pPr>
        <w:keepNext w:val="0"/>
        <w:keepLines w:val="0"/>
        <w:pageBreakBefore w:val="0"/>
        <w:widowControl w:val="0"/>
        <w:tabs>
          <w:tab w:val="left" w:pos="5580"/>
        </w:tabs>
        <w:kinsoku/>
        <w:wordWrap/>
        <w:overflowPunct/>
        <w:topLinePunct w:val="0"/>
        <w:autoSpaceDE/>
        <w:autoSpaceDN/>
        <w:bidi w:val="0"/>
        <w:adjustRightInd/>
        <w:snapToGrid/>
        <w:spacing w:line="480" w:lineRule="exact"/>
        <w:ind w:left="2" w:leftChars="1" w:firstLine="480" w:firstLineChars="200"/>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根据贵方</w:t>
      </w:r>
      <w:r>
        <w:rPr>
          <w:rFonts w:hint="eastAsia" w:ascii="宋体" w:hAnsi="宋体" w:eastAsia="宋体" w:cs="宋体"/>
          <w:color w:val="auto"/>
          <w:sz w:val="24"/>
          <w:szCs w:val="20"/>
          <w:highlight w:val="none"/>
          <w:lang w:eastAsia="zh-CN"/>
        </w:rPr>
        <w:t>（</w:t>
      </w:r>
      <w:r>
        <w:rPr>
          <w:rFonts w:hint="eastAsia" w:ascii="宋体" w:hAnsi="宋体" w:eastAsia="宋体" w:cs="宋体"/>
          <w:i/>
          <w:color w:val="auto"/>
          <w:sz w:val="24"/>
          <w:szCs w:val="20"/>
          <w:highlight w:val="none"/>
          <w:u w:val="single"/>
        </w:rPr>
        <w:t>项目名称</w:t>
      </w:r>
      <w:r>
        <w:rPr>
          <w:rFonts w:hint="eastAsia" w:ascii="宋体" w:hAnsi="宋体" w:eastAsia="宋体" w:cs="宋体"/>
          <w:i/>
          <w:color w:val="auto"/>
          <w:sz w:val="24"/>
          <w:szCs w:val="20"/>
          <w:highlight w:val="none"/>
          <w:u w:val="single"/>
          <w:lang w:eastAsia="zh-CN"/>
        </w:rPr>
        <w:t>）</w:t>
      </w:r>
      <w:r>
        <w:rPr>
          <w:rFonts w:hint="eastAsia" w:ascii="宋体" w:hAnsi="宋体" w:eastAsia="宋体" w:cs="宋体"/>
          <w:color w:val="auto"/>
          <w:sz w:val="24"/>
          <w:szCs w:val="20"/>
          <w:highlight w:val="none"/>
        </w:rPr>
        <w:t>项目的响应文件邀请</w:t>
      </w:r>
      <w:r>
        <w:rPr>
          <w:rFonts w:hint="eastAsia" w:ascii="宋体" w:hAnsi="宋体" w:eastAsia="宋体" w:cs="宋体"/>
          <w:color w:val="auto"/>
          <w:sz w:val="24"/>
          <w:szCs w:val="20"/>
          <w:highlight w:val="none"/>
          <w:lang w:eastAsia="zh-CN"/>
        </w:rPr>
        <w:t>（</w:t>
      </w:r>
      <w:r>
        <w:rPr>
          <w:rFonts w:hint="eastAsia" w:ascii="宋体" w:hAnsi="宋体" w:eastAsia="宋体" w:cs="宋体"/>
          <w:i/>
          <w:color w:val="auto"/>
          <w:sz w:val="24"/>
          <w:szCs w:val="20"/>
          <w:highlight w:val="none"/>
          <w:u w:val="single"/>
        </w:rPr>
        <w:t>项目编号</w:t>
      </w:r>
      <w:r>
        <w:rPr>
          <w:rFonts w:hint="eastAsia" w:ascii="宋体" w:hAnsi="宋体" w:eastAsia="宋体" w:cs="宋体"/>
          <w:i/>
          <w:color w:val="auto"/>
          <w:sz w:val="24"/>
          <w:szCs w:val="20"/>
          <w:highlight w:val="none"/>
          <w:u w:val="single"/>
          <w:lang w:eastAsia="zh-CN"/>
        </w:rPr>
        <w:t>），</w:t>
      </w:r>
      <w:r>
        <w:rPr>
          <w:rFonts w:hint="eastAsia" w:ascii="宋体" w:hAnsi="宋体" w:eastAsia="宋体" w:cs="宋体"/>
          <w:color w:val="auto"/>
          <w:sz w:val="24"/>
          <w:szCs w:val="20"/>
          <w:highlight w:val="none"/>
        </w:rPr>
        <w:t>签字代表</w:t>
      </w:r>
      <w:r>
        <w:rPr>
          <w:rFonts w:hint="eastAsia" w:ascii="宋体" w:hAnsi="宋体" w:eastAsia="宋体" w:cs="宋体"/>
          <w:color w:val="auto"/>
          <w:sz w:val="24"/>
          <w:szCs w:val="20"/>
          <w:highlight w:val="none"/>
          <w:lang w:eastAsia="zh-CN"/>
        </w:rPr>
        <w:t>（</w:t>
      </w:r>
      <w:r>
        <w:rPr>
          <w:rFonts w:hint="eastAsia" w:ascii="宋体" w:hAnsi="宋体" w:eastAsia="宋体" w:cs="宋体"/>
          <w:i/>
          <w:color w:val="auto"/>
          <w:sz w:val="24"/>
          <w:szCs w:val="20"/>
          <w:highlight w:val="none"/>
          <w:u w:val="single"/>
        </w:rPr>
        <w:t>姓名、职务</w:t>
      </w:r>
      <w:r>
        <w:rPr>
          <w:rFonts w:hint="eastAsia" w:ascii="宋体" w:hAnsi="宋体" w:eastAsia="宋体" w:cs="宋体"/>
          <w:i/>
          <w:color w:val="auto"/>
          <w:sz w:val="24"/>
          <w:szCs w:val="20"/>
          <w:highlight w:val="none"/>
          <w:u w:val="single"/>
          <w:lang w:eastAsia="zh-CN"/>
        </w:rPr>
        <w:t>）</w:t>
      </w:r>
      <w:r>
        <w:rPr>
          <w:rFonts w:hint="eastAsia" w:ascii="宋体" w:hAnsi="宋体" w:eastAsia="宋体" w:cs="宋体"/>
          <w:color w:val="auto"/>
          <w:sz w:val="24"/>
          <w:szCs w:val="20"/>
          <w:highlight w:val="none"/>
        </w:rPr>
        <w:t>经正式授权并代表供应商（</w:t>
      </w:r>
      <w:r>
        <w:rPr>
          <w:rFonts w:hint="eastAsia" w:ascii="宋体" w:hAnsi="宋体" w:eastAsia="宋体" w:cs="宋体"/>
          <w:i/>
          <w:color w:val="auto"/>
          <w:sz w:val="24"/>
          <w:szCs w:val="20"/>
          <w:highlight w:val="none"/>
          <w:u w:val="single"/>
        </w:rPr>
        <w:t>名称、地址</w:t>
      </w:r>
      <w:r>
        <w:rPr>
          <w:rFonts w:hint="eastAsia" w:ascii="宋体" w:hAnsi="宋体" w:eastAsia="宋体" w:cs="宋体"/>
          <w:color w:val="auto"/>
          <w:sz w:val="24"/>
          <w:szCs w:val="20"/>
          <w:highlight w:val="none"/>
        </w:rPr>
        <w:t>）据此，签字代表宣布同意如下：</w:t>
      </w:r>
    </w:p>
    <w:p>
      <w:pPr>
        <w:pStyle w:val="16"/>
        <w:keepNext w:val="0"/>
        <w:keepLines w:val="0"/>
        <w:pageBreakBefore w:val="0"/>
        <w:widowControl w:val="0"/>
        <w:tabs>
          <w:tab w:val="left" w:pos="720"/>
          <w:tab w:val="left" w:pos="900"/>
        </w:tabs>
        <w:kinsoku/>
        <w:wordWrap/>
        <w:overflowPunct/>
        <w:topLinePunct w:val="0"/>
        <w:autoSpaceDE/>
        <w:autoSpaceDN/>
        <w:bidi w:val="0"/>
        <w:adjustRightInd/>
        <w:snapToGrid/>
        <w:spacing w:line="480" w:lineRule="exact"/>
        <w:ind w:firstLine="420" w:firstLineChars="175"/>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（1</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报价价格表中规定</w:t>
      </w:r>
      <w:r>
        <w:rPr>
          <w:rFonts w:hint="eastAsia" w:ascii="宋体" w:hAnsi="宋体" w:eastAsia="宋体" w:cs="宋体"/>
          <w:color w:val="auto"/>
          <w:sz w:val="24"/>
          <w:highlight w:val="none"/>
          <w:u w:val="none"/>
        </w:rPr>
        <w:t>的应提供服务的总价详见报价一览表，</w:t>
      </w:r>
      <w:r>
        <w:rPr>
          <w:rFonts w:hint="eastAsia" w:ascii="宋体" w:hAnsi="宋体" w:eastAsia="宋体" w:cs="宋体"/>
          <w:color w:val="auto"/>
          <w:sz w:val="24"/>
          <w:highlight w:val="none"/>
          <w:u w:val="none"/>
          <w:lang w:val="en-US" w:eastAsia="zh-CN"/>
        </w:rPr>
        <w:t>均由我公司承担</w:t>
      </w:r>
      <w:r>
        <w:rPr>
          <w:rFonts w:hint="eastAsia" w:ascii="宋体" w:hAnsi="宋体" w:eastAsia="宋体" w:cs="宋体"/>
          <w:color w:val="auto"/>
          <w:sz w:val="24"/>
          <w:highlight w:val="none"/>
        </w:rPr>
        <w:t>。</w:t>
      </w:r>
    </w:p>
    <w:p>
      <w:pPr>
        <w:keepNext w:val="0"/>
        <w:keepLines w:val="0"/>
        <w:pageBreakBefore w:val="0"/>
        <w:widowControl w:val="0"/>
        <w:tabs>
          <w:tab w:val="left" w:pos="5580"/>
        </w:tabs>
        <w:kinsoku/>
        <w:wordWrap/>
        <w:overflowPunct/>
        <w:topLinePunct w:val="0"/>
        <w:autoSpaceDE/>
        <w:autoSpaceDN/>
        <w:bidi w:val="0"/>
        <w:adjustRightInd/>
        <w:snapToGrid/>
        <w:spacing w:line="480" w:lineRule="exact"/>
        <w:ind w:firstLine="420" w:firstLineChars="175"/>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（2）本响应文件有效期为自响应文件截止之日起</w:t>
      </w:r>
      <w:r>
        <w:rPr>
          <w:rFonts w:hint="eastAsia" w:ascii="宋体" w:hAnsi="宋体" w:cs="宋体"/>
          <w:color w:val="auto"/>
          <w:sz w:val="24"/>
          <w:szCs w:val="20"/>
          <w:highlight w:val="none"/>
          <w:u w:val="single"/>
          <w:lang w:val="en-US" w:eastAsia="zh-CN"/>
        </w:rPr>
        <w:t xml:space="preserve">     </w:t>
      </w:r>
      <w:r>
        <w:rPr>
          <w:rFonts w:hint="eastAsia" w:ascii="宋体" w:hAnsi="宋体" w:eastAsia="宋体" w:cs="宋体"/>
          <w:color w:val="auto"/>
          <w:sz w:val="24"/>
          <w:szCs w:val="20"/>
          <w:highlight w:val="none"/>
        </w:rPr>
        <w:t>个日历日。</w:t>
      </w:r>
    </w:p>
    <w:p>
      <w:pPr>
        <w:keepNext w:val="0"/>
        <w:keepLines w:val="0"/>
        <w:pageBreakBefore w:val="0"/>
        <w:widowControl w:val="0"/>
        <w:tabs>
          <w:tab w:val="left" w:pos="5580"/>
        </w:tabs>
        <w:kinsoku/>
        <w:wordWrap/>
        <w:overflowPunct/>
        <w:topLinePunct w:val="0"/>
        <w:autoSpaceDE/>
        <w:autoSpaceDN/>
        <w:bidi w:val="0"/>
        <w:adjustRightInd/>
        <w:snapToGrid/>
        <w:spacing w:line="480" w:lineRule="exact"/>
        <w:ind w:firstLine="420" w:firstLineChars="175"/>
        <w:textAlignment w:val="auto"/>
        <w:rPr>
          <w:rFonts w:hint="eastAsia" w:ascii="宋体" w:hAnsi="宋体" w:eastAsia="宋体" w:cs="宋体"/>
          <w:color w:val="auto"/>
          <w:sz w:val="24"/>
          <w:szCs w:val="20"/>
          <w:highlight w:val="none"/>
          <w:u w:val="single"/>
        </w:rPr>
      </w:pPr>
      <w:r>
        <w:rPr>
          <w:rFonts w:hint="eastAsia" w:ascii="宋体" w:hAnsi="宋体" w:eastAsia="宋体" w:cs="宋体"/>
          <w:color w:val="auto"/>
          <w:sz w:val="24"/>
          <w:szCs w:val="20"/>
          <w:highlight w:val="none"/>
        </w:rPr>
        <w:t>（3）联合体中的大中型企业和其他自然人、法人或者其他组织，与联合体中的小型、微型企业之间</w:t>
      </w:r>
      <w:r>
        <w:rPr>
          <w:rFonts w:hint="eastAsia" w:ascii="宋体" w:hAnsi="宋体" w:eastAsia="宋体" w:cs="宋体"/>
          <w:color w:val="auto"/>
          <w:sz w:val="24"/>
          <w:szCs w:val="20"/>
          <w:highlight w:val="none"/>
          <w:u w:val="single"/>
        </w:rPr>
        <w:t xml:space="preserve">  </w:t>
      </w:r>
      <w:r>
        <w:rPr>
          <w:rFonts w:hint="eastAsia" w:ascii="宋体" w:hAnsi="宋体" w:eastAsia="宋体" w:cs="宋体"/>
          <w:color w:val="auto"/>
          <w:sz w:val="24"/>
          <w:szCs w:val="20"/>
          <w:highlight w:val="none"/>
          <w:u w:val="single"/>
          <w:lang w:val="en-US" w:eastAsia="zh-CN"/>
        </w:rPr>
        <w:t>/</w:t>
      </w:r>
      <w:r>
        <w:rPr>
          <w:rFonts w:hint="eastAsia" w:ascii="宋体" w:hAnsi="宋体" w:eastAsia="宋体" w:cs="宋体"/>
          <w:color w:val="auto"/>
          <w:sz w:val="24"/>
          <w:szCs w:val="20"/>
          <w:highlight w:val="none"/>
          <w:u w:val="single"/>
        </w:rPr>
        <w:t xml:space="preserve"> （</w:t>
      </w:r>
      <w:r>
        <w:rPr>
          <w:rFonts w:hint="eastAsia" w:ascii="宋体" w:hAnsi="宋体" w:eastAsia="宋体" w:cs="宋体"/>
          <w:color w:val="auto"/>
          <w:sz w:val="24"/>
          <w:szCs w:val="20"/>
          <w:highlight w:val="none"/>
        </w:rPr>
        <w:t>存在、不存在）投资关系（如果联合体的话）。</w:t>
      </w:r>
    </w:p>
    <w:p>
      <w:pPr>
        <w:keepNext w:val="0"/>
        <w:keepLines w:val="0"/>
        <w:pageBreakBefore w:val="0"/>
        <w:widowControl w:val="0"/>
        <w:tabs>
          <w:tab w:val="left" w:pos="5580"/>
        </w:tabs>
        <w:kinsoku/>
        <w:wordWrap/>
        <w:overflowPunct/>
        <w:topLinePunct w:val="0"/>
        <w:autoSpaceDE/>
        <w:autoSpaceDN/>
        <w:bidi w:val="0"/>
        <w:adjustRightInd/>
        <w:snapToGrid/>
        <w:spacing w:line="480" w:lineRule="exact"/>
        <w:ind w:firstLine="420" w:firstLineChars="175"/>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（4）已详细审查全部竞争性磋商文件，包括所有补充通知（如果有的话），完全理解并同意放弃对这方面有不明、误解和质疑的</w:t>
      </w:r>
      <w:r>
        <w:rPr>
          <w:rFonts w:hint="eastAsia" w:ascii="宋体" w:hAnsi="宋体" w:cs="宋体"/>
          <w:color w:val="auto"/>
          <w:sz w:val="24"/>
          <w:szCs w:val="20"/>
          <w:highlight w:val="none"/>
          <w:lang w:eastAsia="zh-CN"/>
        </w:rPr>
        <w:t>权利</w:t>
      </w:r>
      <w:r>
        <w:rPr>
          <w:rFonts w:hint="eastAsia" w:ascii="宋体" w:hAnsi="宋体" w:eastAsia="宋体" w:cs="宋体"/>
          <w:color w:val="auto"/>
          <w:sz w:val="24"/>
          <w:szCs w:val="20"/>
          <w:highlight w:val="none"/>
        </w:rPr>
        <w:t>。</w:t>
      </w:r>
    </w:p>
    <w:p>
      <w:pPr>
        <w:keepNext w:val="0"/>
        <w:keepLines w:val="0"/>
        <w:pageBreakBefore w:val="0"/>
        <w:widowControl w:val="0"/>
        <w:tabs>
          <w:tab w:val="left" w:pos="5580"/>
        </w:tabs>
        <w:kinsoku/>
        <w:wordWrap/>
        <w:overflowPunct/>
        <w:topLinePunct w:val="0"/>
        <w:autoSpaceDE/>
        <w:autoSpaceDN/>
        <w:bidi w:val="0"/>
        <w:adjustRightInd/>
        <w:snapToGrid/>
        <w:spacing w:line="480" w:lineRule="exact"/>
        <w:ind w:firstLine="420" w:firstLineChars="175"/>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（5）我方不是为本项目提供整体设计、规范编制或者项目管理、监理、检测等服务的供应商，我方不是采购代理机构的附属机构。</w:t>
      </w:r>
    </w:p>
    <w:p>
      <w:pPr>
        <w:keepNext w:val="0"/>
        <w:keepLines w:val="0"/>
        <w:pageBreakBefore w:val="0"/>
        <w:widowControl w:val="0"/>
        <w:tabs>
          <w:tab w:val="left" w:pos="5580"/>
        </w:tabs>
        <w:kinsoku/>
        <w:wordWrap/>
        <w:overflowPunct/>
        <w:topLinePunct w:val="0"/>
        <w:autoSpaceDE/>
        <w:autoSpaceDN/>
        <w:bidi w:val="0"/>
        <w:adjustRightInd/>
        <w:snapToGrid/>
        <w:spacing w:line="480" w:lineRule="exact"/>
        <w:ind w:firstLine="420" w:firstLineChars="175"/>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（6）按照贵方可能要求，提供与其响应文件有关的一切数据或资料，完全理解贵方不一定接受最低价的响应文件或收到的任何响应文件。</w:t>
      </w:r>
    </w:p>
    <w:p>
      <w:pPr>
        <w:keepNext w:val="0"/>
        <w:keepLines w:val="0"/>
        <w:pageBreakBefore w:val="0"/>
        <w:widowControl w:val="0"/>
        <w:tabs>
          <w:tab w:val="left" w:pos="5580"/>
        </w:tabs>
        <w:kinsoku/>
        <w:wordWrap/>
        <w:overflowPunct/>
        <w:topLinePunct w:val="0"/>
        <w:autoSpaceDE/>
        <w:autoSpaceDN/>
        <w:bidi w:val="0"/>
        <w:adjustRightInd/>
        <w:snapToGrid/>
        <w:spacing w:line="480" w:lineRule="exact"/>
        <w:ind w:firstLine="420" w:firstLineChars="175"/>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（7）我方保证所提供宣传内容、方案不侵犯他人知识产权，否则，由此产生的一切法律责任由我方承担。</w:t>
      </w:r>
    </w:p>
    <w:p>
      <w:pPr>
        <w:keepNext w:val="0"/>
        <w:keepLines w:val="0"/>
        <w:pageBreakBefore w:val="0"/>
        <w:widowControl w:val="0"/>
        <w:tabs>
          <w:tab w:val="left" w:pos="5580"/>
        </w:tabs>
        <w:kinsoku/>
        <w:wordWrap/>
        <w:overflowPunct/>
        <w:topLinePunct w:val="0"/>
        <w:autoSpaceDE/>
        <w:autoSpaceDN/>
        <w:bidi w:val="0"/>
        <w:adjustRightInd/>
        <w:snapToGrid/>
        <w:spacing w:line="480" w:lineRule="exact"/>
        <w:ind w:firstLine="420" w:firstLineChars="175"/>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（8）在领取成交通知书的同时按磋商文件规定的形式，向贵方一次性支付成交服务费。</w:t>
      </w:r>
    </w:p>
    <w:p>
      <w:pPr>
        <w:keepNext w:val="0"/>
        <w:keepLines w:val="0"/>
        <w:pageBreakBefore w:val="0"/>
        <w:widowControl w:val="0"/>
        <w:tabs>
          <w:tab w:val="left" w:pos="5580"/>
        </w:tabs>
        <w:kinsoku/>
        <w:wordWrap/>
        <w:overflowPunct/>
        <w:topLinePunct w:val="0"/>
        <w:autoSpaceDE/>
        <w:autoSpaceDN/>
        <w:bidi w:val="0"/>
        <w:adjustRightInd/>
        <w:snapToGrid/>
        <w:spacing w:line="480" w:lineRule="exact"/>
        <w:ind w:firstLine="420" w:firstLineChars="175"/>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（9） 按照竞争性磋商文件的规定履行合同责任和义务。</w:t>
      </w:r>
    </w:p>
    <w:p>
      <w:pPr>
        <w:keepNext w:val="0"/>
        <w:keepLines w:val="0"/>
        <w:pageBreakBefore w:val="0"/>
        <w:widowControl w:val="0"/>
        <w:tabs>
          <w:tab w:val="left" w:pos="5580"/>
        </w:tabs>
        <w:kinsoku/>
        <w:wordWrap/>
        <w:overflowPunct/>
        <w:topLinePunct w:val="0"/>
        <w:autoSpaceDE/>
        <w:autoSpaceDN/>
        <w:bidi w:val="0"/>
        <w:adjustRightInd/>
        <w:snapToGrid/>
        <w:spacing w:line="480" w:lineRule="exact"/>
        <w:ind w:left="359" w:leftChars="68" w:hanging="216" w:hangingChars="90"/>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与本响应文件有关的一切正式往来信函请寄：</w:t>
      </w:r>
    </w:p>
    <w:p>
      <w:pPr>
        <w:keepNext w:val="0"/>
        <w:keepLines w:val="0"/>
        <w:pageBreakBefore w:val="0"/>
        <w:widowControl w:val="0"/>
        <w:tabs>
          <w:tab w:val="left" w:pos="5580"/>
        </w:tabs>
        <w:kinsoku/>
        <w:wordWrap/>
        <w:overflowPunct/>
        <w:topLinePunct w:val="0"/>
        <w:autoSpaceDE/>
        <w:autoSpaceDN/>
        <w:bidi w:val="0"/>
        <w:adjustRightInd/>
        <w:snapToGrid/>
        <w:spacing w:line="480" w:lineRule="exact"/>
        <w:ind w:left="1080" w:leftChars="257" w:hanging="540"/>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地址：     传真：</w:t>
      </w:r>
    </w:p>
    <w:p>
      <w:pPr>
        <w:keepNext w:val="0"/>
        <w:keepLines w:val="0"/>
        <w:pageBreakBefore w:val="0"/>
        <w:widowControl w:val="0"/>
        <w:tabs>
          <w:tab w:val="left" w:pos="5580"/>
        </w:tabs>
        <w:kinsoku/>
        <w:wordWrap/>
        <w:overflowPunct/>
        <w:topLinePunct w:val="0"/>
        <w:autoSpaceDE/>
        <w:autoSpaceDN/>
        <w:bidi w:val="0"/>
        <w:adjustRightInd/>
        <w:snapToGrid/>
        <w:spacing w:line="480" w:lineRule="exact"/>
        <w:ind w:left="1080" w:leftChars="257" w:hanging="540"/>
        <w:textAlignment w:val="auto"/>
        <w:rPr>
          <w:rFonts w:hint="eastAsia" w:ascii="宋体" w:hAnsi="宋体" w:eastAsia="宋体" w:cs="宋体"/>
          <w:b/>
          <w:color w:val="auto"/>
          <w:sz w:val="24"/>
          <w:szCs w:val="20"/>
          <w:highlight w:val="none"/>
        </w:rPr>
      </w:pPr>
      <w:r>
        <w:rPr>
          <w:rFonts w:hint="eastAsia" w:ascii="宋体" w:hAnsi="宋体" w:eastAsia="宋体" w:cs="宋体"/>
          <w:color w:val="auto"/>
          <w:sz w:val="24"/>
          <w:szCs w:val="20"/>
          <w:highlight w:val="none"/>
        </w:rPr>
        <w:t>电话：     电子函件：</w:t>
      </w:r>
    </w:p>
    <w:p>
      <w:pPr>
        <w:pStyle w:val="16"/>
        <w:keepNext w:val="0"/>
        <w:keepLines w:val="0"/>
        <w:pageBreakBefore w:val="0"/>
        <w:widowControl w:val="0"/>
        <w:tabs>
          <w:tab w:val="left" w:pos="5580"/>
        </w:tabs>
        <w:kinsoku/>
        <w:wordWrap/>
        <w:overflowPunct/>
        <w:topLinePunct w:val="0"/>
        <w:autoSpaceDE/>
        <w:autoSpaceDN/>
        <w:bidi w:val="0"/>
        <w:adjustRightInd/>
        <w:snapToGrid/>
        <w:spacing w:line="480" w:lineRule="exact"/>
        <w:ind w:left="1080" w:leftChars="257" w:hanging="54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法定代表人或其委托代理人签字：-----------------</w:t>
      </w:r>
    </w:p>
    <w:p>
      <w:pPr>
        <w:pStyle w:val="16"/>
        <w:keepNext w:val="0"/>
        <w:keepLines w:val="0"/>
        <w:pageBreakBefore w:val="0"/>
        <w:widowControl w:val="0"/>
        <w:tabs>
          <w:tab w:val="left" w:pos="5580"/>
        </w:tabs>
        <w:kinsoku/>
        <w:wordWrap/>
        <w:overflowPunct/>
        <w:topLinePunct w:val="0"/>
        <w:autoSpaceDE/>
        <w:autoSpaceDN/>
        <w:bidi w:val="0"/>
        <w:adjustRightInd/>
        <w:snapToGrid/>
        <w:spacing w:line="480" w:lineRule="exact"/>
        <w:ind w:left="1080" w:leftChars="257" w:hanging="54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供应商名称（全称）：-----------------</w:t>
      </w:r>
    </w:p>
    <w:p>
      <w:pPr>
        <w:pStyle w:val="16"/>
        <w:keepNext w:val="0"/>
        <w:keepLines w:val="0"/>
        <w:pageBreakBefore w:val="0"/>
        <w:widowControl w:val="0"/>
        <w:tabs>
          <w:tab w:val="left" w:pos="5580"/>
        </w:tabs>
        <w:kinsoku/>
        <w:wordWrap/>
        <w:overflowPunct/>
        <w:topLinePunct w:val="0"/>
        <w:autoSpaceDE/>
        <w:autoSpaceDN/>
        <w:bidi w:val="0"/>
        <w:adjustRightInd/>
        <w:snapToGrid/>
        <w:spacing w:line="480" w:lineRule="exact"/>
        <w:ind w:left="1080" w:leftChars="257" w:hanging="54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供应商开户银行（全称）：　　　　　　 </w:t>
      </w:r>
    </w:p>
    <w:p>
      <w:pPr>
        <w:pStyle w:val="16"/>
        <w:keepNext w:val="0"/>
        <w:keepLines w:val="0"/>
        <w:pageBreakBefore w:val="0"/>
        <w:widowControl w:val="0"/>
        <w:tabs>
          <w:tab w:val="left" w:pos="5580"/>
        </w:tabs>
        <w:kinsoku/>
        <w:wordWrap/>
        <w:overflowPunct/>
        <w:topLinePunct w:val="0"/>
        <w:autoSpaceDE/>
        <w:autoSpaceDN/>
        <w:bidi w:val="0"/>
        <w:adjustRightInd/>
        <w:snapToGrid/>
        <w:spacing w:line="480" w:lineRule="exact"/>
        <w:ind w:left="1080" w:leftChars="257" w:hanging="54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供应商银行</w:t>
      </w:r>
      <w:r>
        <w:rPr>
          <w:rFonts w:hint="eastAsia" w:hAnsi="宋体" w:cs="宋体"/>
          <w:color w:val="auto"/>
          <w:sz w:val="24"/>
          <w:highlight w:val="none"/>
          <w:lang w:eastAsia="zh-CN"/>
        </w:rPr>
        <w:t>账</w:t>
      </w:r>
      <w:r>
        <w:rPr>
          <w:rFonts w:hint="eastAsia" w:ascii="宋体" w:hAnsi="宋体" w:eastAsia="宋体" w:cs="宋体"/>
          <w:color w:val="auto"/>
          <w:sz w:val="24"/>
          <w:highlight w:val="none"/>
        </w:rPr>
        <w:t>号：　　　　　　　　 　　</w:t>
      </w:r>
    </w:p>
    <w:p>
      <w:pPr>
        <w:pStyle w:val="16"/>
        <w:keepNext w:val="0"/>
        <w:keepLines w:val="0"/>
        <w:pageBreakBefore w:val="0"/>
        <w:widowControl w:val="0"/>
        <w:tabs>
          <w:tab w:val="left" w:pos="5580"/>
        </w:tabs>
        <w:kinsoku/>
        <w:wordWrap/>
        <w:overflowPunct/>
        <w:topLinePunct w:val="0"/>
        <w:autoSpaceDE/>
        <w:autoSpaceDN/>
        <w:bidi w:val="0"/>
        <w:adjustRightInd/>
        <w:snapToGrid/>
        <w:spacing w:line="480" w:lineRule="exact"/>
        <w:ind w:left="1080" w:leftChars="257" w:hanging="54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供应商单位章：-------------------------</w:t>
      </w:r>
    </w:p>
    <w:p>
      <w:pPr>
        <w:pStyle w:val="16"/>
        <w:keepNext w:val="0"/>
        <w:keepLines w:val="0"/>
        <w:pageBreakBefore w:val="0"/>
        <w:widowControl w:val="0"/>
        <w:tabs>
          <w:tab w:val="left" w:pos="5580"/>
        </w:tabs>
        <w:kinsoku/>
        <w:wordWrap/>
        <w:overflowPunct/>
        <w:topLinePunct w:val="0"/>
        <w:autoSpaceDE/>
        <w:autoSpaceDN/>
        <w:bidi w:val="0"/>
        <w:adjustRightInd/>
        <w:snapToGrid/>
        <w:spacing w:line="480" w:lineRule="exact"/>
        <w:ind w:left="1080" w:leftChars="257" w:hanging="54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日期：</w:t>
      </w:r>
      <w:r>
        <w:rPr>
          <w:rFonts w:hint="eastAsia" w:ascii="宋体" w:hAnsi="宋体" w:eastAsia="宋体" w:cs="宋体"/>
          <w:color w:val="auto"/>
          <w:sz w:val="24"/>
          <w:szCs w:val="24"/>
          <w:highlight w:val="none"/>
        </w:rPr>
        <w:t>______年____月____日</w:t>
      </w:r>
    </w:p>
    <w:p>
      <w:pPr>
        <w:pStyle w:val="5"/>
        <w:spacing w:line="600" w:lineRule="exact"/>
        <w:rPr>
          <w:rFonts w:hint="eastAsia" w:ascii="宋体" w:hAnsi="宋体" w:eastAsia="宋体" w:cs="宋体"/>
          <w:color w:val="auto"/>
          <w:highlight w:val="none"/>
        </w:rPr>
      </w:pPr>
      <w:bookmarkStart w:id="308" w:name="_Hlt520356243"/>
      <w:bookmarkEnd w:id="308"/>
      <w:bookmarkStart w:id="309" w:name="_Hlt520355938"/>
      <w:bookmarkEnd w:id="309"/>
      <w:bookmarkStart w:id="310" w:name="_Toc51257752"/>
      <w:bookmarkStart w:id="311" w:name="_Toc60669160"/>
      <w:bookmarkStart w:id="312" w:name="_Toc4198"/>
      <w:bookmarkStart w:id="313" w:name="_Toc46136865"/>
      <w:bookmarkStart w:id="314" w:name="_Toc46238282"/>
      <w:r>
        <w:rPr>
          <w:rFonts w:hint="eastAsia" w:ascii="宋体" w:hAnsi="宋体" w:eastAsia="宋体" w:cs="宋体"/>
          <w:color w:val="auto"/>
          <w:highlight w:val="none"/>
          <w:lang w:val="en-US" w:eastAsia="zh-CN"/>
        </w:rPr>
        <w:t>10</w:t>
      </w:r>
      <w:r>
        <w:rPr>
          <w:rFonts w:hint="eastAsia" w:ascii="宋体" w:hAnsi="宋体" w:eastAsia="宋体" w:cs="宋体"/>
          <w:color w:val="auto"/>
          <w:highlight w:val="none"/>
        </w:rPr>
        <w:t>.</w:t>
      </w:r>
      <w:bookmarkEnd w:id="310"/>
      <w:bookmarkEnd w:id="311"/>
      <w:r>
        <w:rPr>
          <w:rFonts w:hint="eastAsia" w:ascii="宋体" w:hAnsi="宋体" w:eastAsia="宋体" w:cs="宋体"/>
          <w:color w:val="auto"/>
          <w:highlight w:val="none"/>
        </w:rPr>
        <w:t>落实政府采购政策需满足的资格要求</w:t>
      </w:r>
      <w:bookmarkEnd w:id="312"/>
    </w:p>
    <w:p>
      <w:pPr>
        <w:pStyle w:val="5"/>
        <w:spacing w:before="120" w:line="600" w:lineRule="exact"/>
        <w:rPr>
          <w:rFonts w:hint="eastAsia" w:ascii="宋体" w:hAnsi="宋体" w:eastAsia="宋体" w:cs="宋体"/>
          <w:color w:val="auto"/>
          <w:highlight w:val="none"/>
        </w:rPr>
      </w:pPr>
      <w:bookmarkStart w:id="315" w:name="_Toc60669161"/>
      <w:bookmarkStart w:id="316" w:name="_Toc28869"/>
      <w:r>
        <w:rPr>
          <w:rFonts w:hint="eastAsia" w:ascii="宋体" w:hAnsi="宋体" w:eastAsia="宋体" w:cs="宋体"/>
          <w:color w:val="auto"/>
          <w:highlight w:val="none"/>
          <w:lang w:val="en-US" w:eastAsia="zh-CN"/>
        </w:rPr>
        <w:t>10</w:t>
      </w:r>
      <w:r>
        <w:rPr>
          <w:rFonts w:hint="eastAsia" w:ascii="宋体" w:hAnsi="宋体" w:eastAsia="宋体" w:cs="宋体"/>
          <w:color w:val="auto"/>
          <w:highlight w:val="none"/>
        </w:rPr>
        <w:t>.1、中小企业声明函</w:t>
      </w:r>
      <w:bookmarkEnd w:id="315"/>
      <w:bookmarkEnd w:id="316"/>
    </w:p>
    <w:p>
      <w:pPr>
        <w:tabs>
          <w:tab w:val="left" w:pos="146"/>
        </w:tabs>
        <w:spacing w:before="240" w:line="369" w:lineRule="auto"/>
        <w:ind w:left="11" w:right="260" w:firstLine="490"/>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本公司郑重声明，根据《政府采购促进中小企业发展管理办法》（财库﹝2020﹞46号）的规定，本公司</w:t>
      </w:r>
      <w:r>
        <w:rPr>
          <w:rFonts w:hint="eastAsia" w:ascii="宋体" w:hAnsi="宋体" w:eastAsia="宋体" w:cs="宋体"/>
          <w:color w:val="auto"/>
          <w:spacing w:val="0"/>
          <w:sz w:val="24"/>
          <w:szCs w:val="24"/>
          <w:highlight w:val="none"/>
          <w:u w:val="single"/>
          <w:lang w:val="en-US" w:eastAsia="zh-CN"/>
        </w:rPr>
        <w:t xml:space="preserve">          </w:t>
      </w:r>
      <w:r>
        <w:rPr>
          <w:rFonts w:hint="eastAsia" w:ascii="宋体" w:hAnsi="宋体" w:eastAsia="宋体" w:cs="宋体"/>
          <w:color w:val="auto"/>
          <w:spacing w:val="0"/>
          <w:sz w:val="24"/>
          <w:szCs w:val="24"/>
          <w:highlight w:val="none"/>
        </w:rPr>
        <w:t>参加（单位名称）的</w:t>
      </w:r>
      <w:r>
        <w:rPr>
          <w:rFonts w:hint="eastAsia" w:ascii="宋体" w:hAnsi="宋体" w:eastAsia="宋体" w:cs="宋体"/>
          <w:color w:val="auto"/>
          <w:spacing w:val="0"/>
          <w:sz w:val="24"/>
          <w:szCs w:val="24"/>
          <w:highlight w:val="none"/>
          <w:u w:val="single"/>
        </w:rPr>
        <w:t xml:space="preserve">  </w:t>
      </w:r>
      <w:r>
        <w:rPr>
          <w:rFonts w:hint="eastAsia" w:ascii="宋体" w:hAnsi="宋体" w:cs="宋体"/>
          <w:color w:val="auto"/>
          <w:spacing w:val="0"/>
          <w:sz w:val="24"/>
          <w:szCs w:val="24"/>
          <w:highlight w:val="none"/>
          <w:u w:val="single"/>
          <w:lang w:val="en-US" w:eastAsia="zh-CN"/>
        </w:rPr>
        <w:t xml:space="preserve">     </w:t>
      </w:r>
      <w:r>
        <w:rPr>
          <w:rFonts w:hint="eastAsia" w:ascii="宋体" w:hAnsi="宋体" w:eastAsia="宋体" w:cs="宋体"/>
          <w:color w:val="auto"/>
          <w:spacing w:val="0"/>
          <w:sz w:val="24"/>
          <w:szCs w:val="24"/>
          <w:highlight w:val="none"/>
          <w:u w:val="single"/>
        </w:rPr>
        <w:t xml:space="preserve">（项目名称） </w:t>
      </w:r>
      <w:r>
        <w:rPr>
          <w:rFonts w:hint="eastAsia" w:ascii="宋体" w:hAnsi="宋体" w:eastAsia="宋体" w:cs="宋体"/>
          <w:color w:val="auto"/>
          <w:spacing w:val="0"/>
          <w:sz w:val="24"/>
          <w:szCs w:val="24"/>
          <w:highlight w:val="none"/>
        </w:rPr>
        <w:t>采购活动，服务全部由符合政策要求的中小企业承接 。相关企业的具体情况如下：</w:t>
      </w:r>
    </w:p>
    <w:p>
      <w:pPr>
        <w:spacing w:line="369" w:lineRule="auto"/>
        <w:ind w:left="23" w:right="301" w:firstLine="495"/>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w:t>
      </w:r>
      <w:r>
        <w:rPr>
          <w:rFonts w:hint="eastAsia" w:ascii="宋体" w:hAnsi="宋体" w:eastAsia="宋体" w:cs="宋体"/>
          <w:color w:val="auto"/>
          <w:spacing w:val="0"/>
          <w:sz w:val="24"/>
          <w:szCs w:val="24"/>
          <w:highlight w:val="none"/>
          <w:u w:val="single" w:color="auto"/>
        </w:rPr>
        <w:t xml:space="preserve">（标的名称） </w:t>
      </w:r>
      <w:r>
        <w:rPr>
          <w:rFonts w:hint="eastAsia" w:ascii="宋体" w:hAnsi="宋体" w:eastAsia="宋体" w:cs="宋体"/>
          <w:color w:val="auto"/>
          <w:spacing w:val="0"/>
          <w:sz w:val="24"/>
          <w:szCs w:val="24"/>
          <w:highlight w:val="none"/>
        </w:rPr>
        <w:t>，属于（</w:t>
      </w:r>
      <w:r>
        <w:rPr>
          <w:rFonts w:hint="eastAsia" w:ascii="宋体" w:hAnsi="宋体" w:eastAsia="宋体" w:cs="宋体"/>
          <w:color w:val="auto"/>
          <w:spacing w:val="0"/>
          <w:sz w:val="24"/>
          <w:szCs w:val="24"/>
          <w:highlight w:val="none"/>
          <w:lang w:val="en-US" w:eastAsia="zh-CN"/>
        </w:rPr>
        <w:t>工业</w:t>
      </w:r>
      <w:r>
        <w:rPr>
          <w:rFonts w:hint="eastAsia" w:ascii="宋体" w:hAnsi="宋体" w:eastAsia="宋体" w:cs="宋体"/>
          <w:color w:val="auto"/>
          <w:spacing w:val="0"/>
          <w:sz w:val="24"/>
          <w:szCs w:val="24"/>
          <w:highlight w:val="none"/>
          <w:u w:val="none" w:color="auto"/>
        </w:rPr>
        <w:t xml:space="preserve">） </w:t>
      </w:r>
      <w:r>
        <w:rPr>
          <w:rFonts w:hint="eastAsia" w:ascii="宋体" w:hAnsi="宋体" w:eastAsia="宋体" w:cs="宋体"/>
          <w:color w:val="auto"/>
          <w:spacing w:val="0"/>
          <w:sz w:val="24"/>
          <w:szCs w:val="24"/>
          <w:highlight w:val="none"/>
        </w:rPr>
        <w:t>；承建（承接） 企业为</w:t>
      </w:r>
      <w:r>
        <w:rPr>
          <w:rFonts w:hint="eastAsia" w:ascii="宋体" w:hAnsi="宋体" w:eastAsia="宋体" w:cs="宋体"/>
          <w:color w:val="auto"/>
          <w:spacing w:val="0"/>
          <w:sz w:val="24"/>
          <w:szCs w:val="24"/>
          <w:highlight w:val="none"/>
          <w:u w:val="single" w:color="auto"/>
        </w:rPr>
        <w:t xml:space="preserve">（企业名称） </w:t>
      </w:r>
      <w:r>
        <w:rPr>
          <w:rFonts w:hint="eastAsia" w:ascii="宋体" w:hAnsi="宋体" w:eastAsia="宋体" w:cs="宋体"/>
          <w:color w:val="auto"/>
          <w:spacing w:val="0"/>
          <w:sz w:val="24"/>
          <w:szCs w:val="24"/>
          <w:highlight w:val="none"/>
        </w:rPr>
        <w:t>， 从业人员</w:t>
      </w:r>
      <w:r>
        <w:rPr>
          <w:rFonts w:hint="eastAsia" w:ascii="宋体" w:hAnsi="宋体" w:eastAsia="宋体" w:cs="宋体"/>
          <w:color w:val="auto"/>
          <w:spacing w:val="0"/>
          <w:sz w:val="24"/>
          <w:szCs w:val="24"/>
          <w:highlight w:val="none"/>
          <w:u w:val="single" w:color="auto"/>
        </w:rPr>
        <w:t xml:space="preserve">     </w:t>
      </w:r>
      <w:r>
        <w:rPr>
          <w:rFonts w:hint="eastAsia" w:ascii="宋体" w:hAnsi="宋体" w:eastAsia="宋体" w:cs="宋体"/>
          <w:color w:val="auto"/>
          <w:spacing w:val="0"/>
          <w:sz w:val="24"/>
          <w:szCs w:val="24"/>
          <w:highlight w:val="none"/>
        </w:rPr>
        <w:t>人，营业收入为</w:t>
      </w:r>
      <w:r>
        <w:rPr>
          <w:rFonts w:hint="eastAsia" w:ascii="宋体" w:hAnsi="宋体" w:eastAsia="宋体" w:cs="宋体"/>
          <w:color w:val="auto"/>
          <w:spacing w:val="0"/>
          <w:sz w:val="24"/>
          <w:szCs w:val="24"/>
          <w:highlight w:val="none"/>
          <w:u w:val="single" w:color="auto"/>
        </w:rPr>
        <w:t xml:space="preserve">    </w:t>
      </w:r>
      <w:r>
        <w:rPr>
          <w:rFonts w:hint="eastAsia" w:ascii="宋体" w:hAnsi="宋体" w:eastAsia="宋体" w:cs="宋体"/>
          <w:color w:val="auto"/>
          <w:spacing w:val="0"/>
          <w:sz w:val="24"/>
          <w:szCs w:val="24"/>
          <w:highlight w:val="none"/>
        </w:rPr>
        <w:t>万元，资产总额为</w:t>
      </w:r>
      <w:r>
        <w:rPr>
          <w:rFonts w:hint="eastAsia" w:ascii="宋体" w:hAnsi="宋体" w:eastAsia="宋体" w:cs="宋体"/>
          <w:color w:val="auto"/>
          <w:spacing w:val="0"/>
          <w:sz w:val="24"/>
          <w:szCs w:val="24"/>
          <w:highlight w:val="none"/>
          <w:u w:val="single" w:color="auto"/>
        </w:rPr>
        <w:t xml:space="preserve">     </w:t>
      </w:r>
      <w:r>
        <w:rPr>
          <w:rFonts w:hint="eastAsia" w:ascii="宋体" w:hAnsi="宋体" w:eastAsia="宋体" w:cs="宋体"/>
          <w:color w:val="auto"/>
          <w:spacing w:val="0"/>
          <w:sz w:val="24"/>
          <w:szCs w:val="24"/>
          <w:highlight w:val="none"/>
        </w:rPr>
        <w:t>万元，属于</w:t>
      </w:r>
      <w:r>
        <w:rPr>
          <w:rFonts w:hint="eastAsia" w:ascii="宋体" w:hAnsi="宋体" w:eastAsia="宋体" w:cs="宋体"/>
          <w:color w:val="auto"/>
          <w:spacing w:val="0"/>
          <w:sz w:val="24"/>
          <w:szCs w:val="24"/>
          <w:highlight w:val="none"/>
          <w:u w:val="single" w:color="auto"/>
        </w:rPr>
        <w:t>（中型</w:t>
      </w:r>
      <w:r>
        <w:rPr>
          <w:rFonts w:hint="eastAsia" w:ascii="宋体" w:hAnsi="宋体" w:eastAsia="宋体" w:cs="宋体"/>
          <w:color w:val="auto"/>
          <w:spacing w:val="0"/>
          <w:sz w:val="24"/>
          <w:szCs w:val="24"/>
          <w:highlight w:val="none"/>
        </w:rPr>
        <w:t xml:space="preserve"> </w:t>
      </w:r>
      <w:r>
        <w:rPr>
          <w:rFonts w:hint="eastAsia" w:ascii="宋体" w:hAnsi="宋体" w:eastAsia="宋体" w:cs="宋体"/>
          <w:color w:val="auto"/>
          <w:spacing w:val="0"/>
          <w:sz w:val="24"/>
          <w:szCs w:val="24"/>
          <w:highlight w:val="none"/>
          <w:u w:val="single" w:color="auto"/>
        </w:rPr>
        <w:t xml:space="preserve">企业、小型企业、微型企业） </w:t>
      </w:r>
      <w:r>
        <w:rPr>
          <w:rFonts w:hint="eastAsia" w:ascii="宋体" w:hAnsi="宋体" w:eastAsia="宋体" w:cs="宋体"/>
          <w:color w:val="auto"/>
          <w:spacing w:val="0"/>
          <w:sz w:val="24"/>
          <w:szCs w:val="24"/>
          <w:highlight w:val="none"/>
        </w:rPr>
        <w:t>；</w:t>
      </w:r>
    </w:p>
    <w:p>
      <w:pPr>
        <w:spacing w:before="243" w:line="521" w:lineRule="exact"/>
        <w:ind w:firstLine="528"/>
        <w:rPr>
          <w:rFonts w:hint="eastAsia" w:ascii="宋体" w:hAnsi="宋体" w:eastAsia="宋体" w:cs="宋体"/>
          <w:color w:val="auto"/>
          <w:spacing w:val="0"/>
          <w:sz w:val="24"/>
          <w:szCs w:val="24"/>
          <w:highlight w:val="none"/>
        </w:rPr>
      </w:pPr>
      <w:r>
        <w:rPr>
          <w:rFonts w:hint="eastAsia" w:ascii="宋体" w:hAnsi="宋体" w:eastAsia="宋体" w:cs="宋体"/>
          <w:color w:val="auto"/>
          <w:spacing w:val="0"/>
          <w:position w:val="21"/>
          <w:sz w:val="24"/>
          <w:szCs w:val="24"/>
          <w:highlight w:val="none"/>
        </w:rPr>
        <w:t>以上企业，不属于大企业的分支机构，不存在控股股东为大企业的情形，</w:t>
      </w:r>
    </w:p>
    <w:p>
      <w:pPr>
        <w:spacing w:line="204" w:lineRule="auto"/>
        <w:ind w:firstLine="25"/>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也不存在与大企业的负责人为同一人的情形。</w:t>
      </w:r>
    </w:p>
    <w:p>
      <w:pPr>
        <w:spacing w:before="256" w:line="185" w:lineRule="auto"/>
        <w:ind w:firstLine="502"/>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本企业对上述声明内容的真实性负责。如有虚假，将依法承担相应责任。</w:t>
      </w:r>
    </w:p>
    <w:p>
      <w:pPr>
        <w:spacing w:line="297" w:lineRule="auto"/>
        <w:rPr>
          <w:rFonts w:hint="eastAsia" w:ascii="宋体" w:hAnsi="宋体" w:eastAsia="宋体" w:cs="宋体"/>
          <w:color w:val="auto"/>
          <w:spacing w:val="0"/>
          <w:sz w:val="21"/>
          <w:highlight w:val="none"/>
        </w:rPr>
      </w:pPr>
    </w:p>
    <w:p>
      <w:pPr>
        <w:spacing w:line="298" w:lineRule="auto"/>
        <w:rPr>
          <w:rFonts w:hint="eastAsia" w:ascii="宋体" w:hAnsi="宋体" w:eastAsia="宋体" w:cs="宋体"/>
          <w:color w:val="auto"/>
          <w:sz w:val="21"/>
          <w:highlight w:val="none"/>
        </w:rPr>
      </w:pPr>
    </w:p>
    <w:p>
      <w:pPr>
        <w:spacing w:before="78" w:line="509" w:lineRule="exact"/>
        <w:ind w:firstLine="4083"/>
        <w:rPr>
          <w:rFonts w:hint="eastAsia" w:ascii="宋体" w:hAnsi="宋体" w:eastAsia="宋体" w:cs="宋体"/>
          <w:color w:val="auto"/>
          <w:sz w:val="24"/>
          <w:szCs w:val="24"/>
          <w:highlight w:val="none"/>
        </w:rPr>
      </w:pPr>
      <w:r>
        <w:rPr>
          <w:rFonts w:hint="eastAsia" w:ascii="宋体" w:hAnsi="宋体" w:eastAsia="宋体" w:cs="宋体"/>
          <w:color w:val="auto"/>
          <w:spacing w:val="-1"/>
          <w:position w:val="20"/>
          <w:sz w:val="24"/>
          <w:szCs w:val="24"/>
          <w:highlight w:val="none"/>
        </w:rPr>
        <w:t>企业名称（盖章</w:t>
      </w:r>
      <w:r>
        <w:rPr>
          <w:rFonts w:hint="eastAsia" w:ascii="宋体" w:hAnsi="宋体" w:eastAsia="宋体" w:cs="宋体"/>
          <w:color w:val="auto"/>
          <w:spacing w:val="-67"/>
          <w:position w:val="20"/>
          <w:sz w:val="24"/>
          <w:szCs w:val="24"/>
          <w:highlight w:val="none"/>
        </w:rPr>
        <w:t>）</w:t>
      </w:r>
      <w:r>
        <w:rPr>
          <w:rFonts w:hint="eastAsia" w:ascii="宋体" w:hAnsi="宋体" w:eastAsia="宋体" w:cs="宋体"/>
          <w:color w:val="auto"/>
          <w:spacing w:val="-19"/>
          <w:position w:val="20"/>
          <w:sz w:val="24"/>
          <w:szCs w:val="24"/>
          <w:highlight w:val="none"/>
        </w:rPr>
        <w:t xml:space="preserve"> </w:t>
      </w:r>
      <w:r>
        <w:rPr>
          <w:rFonts w:hint="eastAsia" w:ascii="宋体" w:hAnsi="宋体" w:eastAsia="宋体" w:cs="宋体"/>
          <w:color w:val="auto"/>
          <w:spacing w:val="-67"/>
          <w:position w:val="20"/>
          <w:sz w:val="24"/>
          <w:szCs w:val="24"/>
          <w:highlight w:val="none"/>
        </w:rPr>
        <w:t>：</w:t>
      </w:r>
    </w:p>
    <w:p>
      <w:pPr>
        <w:spacing w:line="204" w:lineRule="auto"/>
        <w:ind w:firstLine="4120"/>
        <w:rPr>
          <w:rFonts w:hint="eastAsia" w:ascii="宋体" w:hAnsi="宋体" w:eastAsia="宋体" w:cs="宋体"/>
          <w:color w:val="auto"/>
          <w:sz w:val="24"/>
          <w:szCs w:val="24"/>
          <w:highlight w:val="none"/>
        </w:rPr>
      </w:pPr>
      <w:r>
        <w:rPr>
          <w:rFonts w:hint="eastAsia" w:ascii="宋体" w:hAnsi="宋体" w:eastAsia="宋体" w:cs="宋体"/>
          <w:color w:val="auto"/>
          <w:spacing w:val="-17"/>
          <w:sz w:val="24"/>
          <w:szCs w:val="24"/>
          <w:highlight w:val="none"/>
        </w:rPr>
        <w:t>日期：</w:t>
      </w:r>
    </w:p>
    <w:p>
      <w:pPr>
        <w:pStyle w:val="38"/>
        <w:spacing w:line="480" w:lineRule="exact"/>
        <w:rPr>
          <w:rFonts w:hint="eastAsia" w:ascii="宋体" w:hAnsi="宋体" w:eastAsia="宋体" w:cs="宋体"/>
          <w:color w:val="auto"/>
          <w:highlight w:val="none"/>
        </w:rPr>
      </w:pPr>
    </w:p>
    <w:p>
      <w:pPr>
        <w:pStyle w:val="38"/>
        <w:spacing w:line="48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填写说明：</w:t>
      </w:r>
    </w:p>
    <w:p>
      <w:pPr>
        <w:pStyle w:val="38"/>
        <w:spacing w:line="480" w:lineRule="exact"/>
        <w:ind w:firstLine="420" w:firstLineChars="20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rPr>
        <w:t>1、从</w:t>
      </w:r>
      <w:r>
        <w:rPr>
          <w:rFonts w:hint="eastAsia" w:ascii="宋体" w:hAnsi="宋体" w:eastAsia="宋体" w:cs="宋体"/>
          <w:color w:val="auto"/>
          <w:sz w:val="21"/>
          <w:szCs w:val="21"/>
          <w:highlight w:val="none"/>
          <w:lang w:val="zh-CN"/>
        </w:rPr>
        <w:t>业人员、营业收入、资产总额填报上一年度数据，无上一年度数据的新成立企业可不填报；</w:t>
      </w:r>
    </w:p>
    <w:p>
      <w:pPr>
        <w:pStyle w:val="38"/>
        <w:spacing w:line="48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企业类型认定标准：本项目以工业为准，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pPr>
        <w:pStyle w:val="38"/>
        <w:wordWrap w:val="0"/>
        <w:spacing w:line="48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3、为保证自行认定企业类型的准确性，供应商可通过国务院客户端小程序自行测试企业类型；登录国务院客户端小程序-企业-涉企查询更多-中小企业规模类型自测。</w:t>
      </w:r>
    </w:p>
    <w:p>
      <w:pPr>
        <w:pStyle w:val="5"/>
        <w:spacing w:line="600" w:lineRule="exact"/>
        <w:rPr>
          <w:rFonts w:hint="eastAsia" w:ascii="宋体" w:hAnsi="宋体" w:eastAsia="宋体" w:cs="宋体"/>
          <w:color w:val="auto"/>
          <w:highlight w:val="none"/>
          <w:u w:val="none"/>
          <w:lang w:eastAsia="zh-CN"/>
        </w:rPr>
      </w:pPr>
      <w:r>
        <w:rPr>
          <w:rFonts w:hint="eastAsia" w:ascii="宋体" w:hAnsi="宋体" w:eastAsia="宋体" w:cs="宋体"/>
          <w:color w:val="auto"/>
          <w:highlight w:val="none"/>
          <w:u w:val="none"/>
          <w:lang w:val="en-US" w:eastAsia="zh-CN"/>
        </w:rPr>
        <w:t>10</w:t>
      </w:r>
      <w:r>
        <w:rPr>
          <w:rFonts w:hint="eastAsia" w:ascii="宋体" w:hAnsi="宋体" w:eastAsia="宋体" w:cs="宋体"/>
          <w:color w:val="auto"/>
          <w:highlight w:val="none"/>
          <w:u w:val="none"/>
        </w:rPr>
        <w:t>、残疾人福利性单位声明函</w:t>
      </w:r>
      <w:r>
        <w:rPr>
          <w:rFonts w:hint="eastAsia" w:ascii="宋体" w:hAnsi="宋体" w:eastAsia="宋体" w:cs="宋体"/>
          <w:color w:val="auto"/>
          <w:highlight w:val="none"/>
          <w:u w:val="none"/>
          <w:lang w:eastAsia="zh-CN"/>
        </w:rPr>
        <w:t>（</w:t>
      </w:r>
      <w:r>
        <w:rPr>
          <w:rFonts w:hint="eastAsia" w:ascii="宋体" w:hAnsi="宋体" w:eastAsia="宋体" w:cs="宋体"/>
          <w:color w:val="auto"/>
          <w:highlight w:val="none"/>
          <w:u w:val="none"/>
          <w:lang w:val="en-US" w:eastAsia="zh-CN"/>
        </w:rPr>
        <w:t>如果是请提供</w:t>
      </w:r>
      <w:r>
        <w:rPr>
          <w:rFonts w:hint="eastAsia" w:ascii="宋体" w:hAnsi="宋体" w:eastAsia="宋体" w:cs="宋体"/>
          <w:color w:val="auto"/>
          <w:highlight w:val="none"/>
          <w:u w:val="none"/>
          <w:lang w:eastAsia="zh-CN"/>
        </w:rPr>
        <w:t>）</w:t>
      </w:r>
    </w:p>
    <w:p>
      <w:pPr>
        <w:spacing w:line="480" w:lineRule="exact"/>
        <w:ind w:firstLine="567"/>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本单位郑重声明，根据《财政部 民政部 中国残疾人联合会关于促进残疾人就业政府采购政策的通知》（财库〔2017〕141号）的规定，本单位为符合条件的残疾人福利性单位，且本单位参加__</w:t>
      </w:r>
      <w:r>
        <w:rPr>
          <w:rFonts w:hint="eastAsia" w:ascii="宋体" w:hAnsi="宋体" w:cs="宋体"/>
          <w:color w:val="auto"/>
          <w:kern w:val="0"/>
          <w:sz w:val="24"/>
          <w:szCs w:val="20"/>
          <w:highlight w:val="none"/>
          <w:u w:val="single"/>
          <w:lang w:val="en-US" w:eastAsia="zh-CN"/>
        </w:rPr>
        <w:t xml:space="preserve">  </w:t>
      </w:r>
      <w:r>
        <w:rPr>
          <w:rFonts w:hint="eastAsia" w:ascii="宋体" w:hAnsi="宋体" w:eastAsia="宋体" w:cs="宋体"/>
          <w:color w:val="auto"/>
          <w:kern w:val="0"/>
          <w:sz w:val="24"/>
          <w:szCs w:val="20"/>
          <w:highlight w:val="none"/>
        </w:rPr>
        <w:t>_</w:t>
      </w:r>
      <w:r>
        <w:rPr>
          <w:rFonts w:hint="eastAsia" w:ascii="宋体" w:hAnsi="宋体" w:cs="宋体"/>
          <w:color w:val="auto"/>
          <w:kern w:val="0"/>
          <w:sz w:val="24"/>
          <w:szCs w:val="20"/>
          <w:highlight w:val="none"/>
          <w:lang w:val="en-US" w:eastAsia="zh-CN"/>
        </w:rPr>
        <w:t xml:space="preserve">  </w:t>
      </w:r>
      <w:r>
        <w:rPr>
          <w:rFonts w:hint="eastAsia" w:ascii="宋体" w:hAnsi="宋体" w:eastAsia="宋体" w:cs="宋体"/>
          <w:color w:val="auto"/>
          <w:kern w:val="0"/>
          <w:sz w:val="24"/>
          <w:szCs w:val="20"/>
          <w:highlight w:val="none"/>
        </w:rPr>
        <w:t>__单位的</w:t>
      </w:r>
      <w:r>
        <w:rPr>
          <w:rFonts w:hint="eastAsia" w:ascii="宋体" w:hAnsi="宋体" w:eastAsia="宋体" w:cs="宋体"/>
          <w:color w:val="auto"/>
          <w:kern w:val="0"/>
          <w:sz w:val="24"/>
          <w:szCs w:val="20"/>
          <w:highlight w:val="none"/>
          <w:u w:val="single"/>
        </w:rPr>
        <w:t>__</w:t>
      </w:r>
      <w:r>
        <w:rPr>
          <w:rFonts w:hint="eastAsia" w:ascii="宋体" w:hAnsi="宋体" w:cs="宋体"/>
          <w:color w:val="auto"/>
          <w:kern w:val="0"/>
          <w:sz w:val="24"/>
          <w:szCs w:val="20"/>
          <w:highlight w:val="none"/>
          <w:u w:val="single"/>
          <w:lang w:val="en-US" w:eastAsia="zh-CN"/>
        </w:rPr>
        <w:t xml:space="preserve">    </w:t>
      </w:r>
      <w:r>
        <w:rPr>
          <w:rFonts w:hint="eastAsia" w:ascii="宋体" w:hAnsi="宋体" w:eastAsia="宋体" w:cs="宋体"/>
          <w:color w:val="auto"/>
          <w:kern w:val="0"/>
          <w:sz w:val="24"/>
          <w:szCs w:val="20"/>
          <w:highlight w:val="none"/>
          <w:u w:val="single"/>
        </w:rPr>
        <w:t>____</w:t>
      </w:r>
      <w:r>
        <w:rPr>
          <w:rFonts w:hint="eastAsia" w:ascii="宋体" w:hAnsi="宋体" w:eastAsia="宋体" w:cs="宋体"/>
          <w:color w:val="auto"/>
          <w:kern w:val="0"/>
          <w:sz w:val="24"/>
          <w:szCs w:val="20"/>
          <w:highlight w:val="none"/>
        </w:rPr>
        <w:t>项目采购活动提供本单位制造的货物，或者提供其他残疾人福利性单位制造的货物（不包括使用非残疾人福利性单位注册商标的货物）。</w:t>
      </w:r>
    </w:p>
    <w:p>
      <w:pPr>
        <w:spacing w:line="480" w:lineRule="exact"/>
        <w:ind w:left="1080" w:leftChars="257" w:hanging="540"/>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本单位对上述声明的真实性负责。如有虚假，将依法承担相应责任。</w:t>
      </w:r>
    </w:p>
    <w:p>
      <w:pPr>
        <w:pStyle w:val="5"/>
        <w:spacing w:line="600" w:lineRule="exact"/>
        <w:rPr>
          <w:rFonts w:hint="eastAsia" w:ascii="宋体" w:hAnsi="宋体" w:eastAsia="宋体" w:cs="宋体"/>
          <w:color w:val="auto"/>
          <w:highlight w:val="none"/>
          <w:u w:val="none"/>
        </w:rPr>
      </w:pPr>
      <w:r>
        <w:rPr>
          <w:rFonts w:hint="eastAsia" w:ascii="宋体" w:hAnsi="宋体" w:eastAsia="宋体" w:cs="宋体"/>
          <w:color w:val="auto"/>
          <w:highlight w:val="none"/>
          <w:u w:val="none"/>
          <w:lang w:val="en-US" w:eastAsia="zh-CN"/>
        </w:rPr>
        <w:t>10</w:t>
      </w:r>
      <w:r>
        <w:rPr>
          <w:rFonts w:hint="eastAsia" w:ascii="宋体" w:hAnsi="宋体" w:eastAsia="宋体" w:cs="宋体"/>
          <w:color w:val="auto"/>
          <w:highlight w:val="none"/>
          <w:u w:val="none"/>
        </w:rPr>
        <w:t>、省级以上监狱管理局、戒毒管理局（含新疆生产建设兵团） 出具的属于监狱企业的证明文件复印件</w:t>
      </w:r>
      <w:r>
        <w:rPr>
          <w:rFonts w:hint="eastAsia" w:ascii="宋体" w:hAnsi="宋体" w:eastAsia="宋体" w:cs="宋体"/>
          <w:color w:val="auto"/>
          <w:highlight w:val="none"/>
          <w:u w:val="none"/>
          <w:lang w:eastAsia="zh-CN"/>
        </w:rPr>
        <w:t>（</w:t>
      </w:r>
      <w:r>
        <w:rPr>
          <w:rFonts w:hint="eastAsia" w:ascii="宋体" w:hAnsi="宋体" w:eastAsia="宋体" w:cs="宋体"/>
          <w:color w:val="auto"/>
          <w:highlight w:val="none"/>
          <w:u w:val="none"/>
          <w:lang w:val="en-US" w:eastAsia="zh-CN"/>
        </w:rPr>
        <w:t>如果是请提供</w:t>
      </w:r>
      <w:r>
        <w:rPr>
          <w:rFonts w:hint="eastAsia" w:ascii="宋体" w:hAnsi="宋体" w:eastAsia="宋体" w:cs="宋体"/>
          <w:color w:val="auto"/>
          <w:highlight w:val="none"/>
          <w:u w:val="none"/>
          <w:lang w:eastAsia="zh-CN"/>
        </w:rPr>
        <w:t>）</w:t>
      </w:r>
    </w:p>
    <w:bookmarkEnd w:id="313"/>
    <w:bookmarkEnd w:id="314"/>
    <w:p>
      <w:pPr>
        <w:pStyle w:val="5"/>
        <w:spacing w:line="480" w:lineRule="exact"/>
        <w:rPr>
          <w:rFonts w:hint="eastAsia" w:ascii="宋体" w:hAnsi="宋体" w:eastAsia="宋体" w:cs="宋体"/>
          <w:color w:val="auto"/>
          <w:highlight w:val="none"/>
          <w:u w:val="none"/>
        </w:rPr>
      </w:pPr>
      <w:bookmarkStart w:id="317" w:name="_Toc46136871"/>
      <w:bookmarkStart w:id="318" w:name="_Toc46238288"/>
      <w:bookmarkStart w:id="319" w:name="_Toc518923122"/>
      <w:r>
        <w:rPr>
          <w:rFonts w:hint="eastAsia" w:ascii="宋体" w:hAnsi="宋体" w:eastAsia="宋体" w:cs="宋体"/>
          <w:color w:val="auto"/>
          <w:highlight w:val="none"/>
          <w:u w:val="none"/>
        </w:rPr>
        <w:t>11.分项报价表</w:t>
      </w:r>
    </w:p>
    <w:p>
      <w:pPr>
        <w:spacing w:line="600" w:lineRule="exact"/>
        <w:jc w:val="left"/>
        <w:rPr>
          <w:rFonts w:hint="eastAsia" w:ascii="宋体" w:hAnsi="宋体" w:eastAsia="宋体" w:cs="宋体"/>
          <w:color w:val="auto"/>
          <w:kern w:val="0"/>
          <w:position w:val="-2"/>
          <w:szCs w:val="21"/>
          <w:highlight w:val="none"/>
        </w:rPr>
      </w:pPr>
      <w:r>
        <w:rPr>
          <w:rFonts w:hint="eastAsia" w:ascii="宋体" w:hAnsi="宋体" w:eastAsia="宋体" w:cs="宋体"/>
          <w:color w:val="auto"/>
          <w:sz w:val="24"/>
          <w:highlight w:val="none"/>
        </w:rPr>
        <w:t>项目编号、包号: 　　报价单位：人民币元</w:t>
      </w:r>
    </w:p>
    <w:tbl>
      <w:tblPr>
        <w:tblStyle w:val="30"/>
        <w:tblW w:w="9357" w:type="dxa"/>
        <w:tblInd w:w="-55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65"/>
        <w:gridCol w:w="880"/>
        <w:gridCol w:w="639"/>
        <w:gridCol w:w="639"/>
        <w:gridCol w:w="728"/>
        <w:gridCol w:w="853"/>
        <w:gridCol w:w="839"/>
        <w:gridCol w:w="839"/>
        <w:gridCol w:w="839"/>
        <w:gridCol w:w="839"/>
        <w:gridCol w:w="149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31" w:hRule="atLeast"/>
        </w:trPr>
        <w:tc>
          <w:tcPr>
            <w:tcW w:w="765"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hint="eastAsia" w:ascii="宋体" w:hAnsi="宋体" w:eastAsia="宋体" w:cs="宋体"/>
                <w:color w:val="auto"/>
                <w:kern w:val="0"/>
                <w:position w:val="-2"/>
                <w:szCs w:val="21"/>
                <w:highlight w:val="none"/>
                <w:lang w:eastAsia="en-US"/>
              </w:rPr>
            </w:pPr>
            <w:r>
              <w:rPr>
                <w:rFonts w:hint="eastAsia" w:ascii="宋体" w:hAnsi="宋体" w:eastAsia="宋体" w:cs="宋体"/>
                <w:color w:val="auto"/>
                <w:kern w:val="0"/>
                <w:position w:val="-2"/>
                <w:szCs w:val="21"/>
                <w:highlight w:val="none"/>
                <w:lang w:eastAsia="en-US"/>
              </w:rPr>
              <w:t>编号</w:t>
            </w:r>
          </w:p>
        </w:tc>
        <w:tc>
          <w:tcPr>
            <w:tcW w:w="880"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hint="eastAsia" w:ascii="宋体" w:hAnsi="宋体" w:eastAsia="宋体" w:cs="宋体"/>
                <w:color w:val="auto"/>
                <w:kern w:val="0"/>
                <w:position w:val="-2"/>
                <w:szCs w:val="21"/>
                <w:highlight w:val="none"/>
                <w:lang w:eastAsia="en-US"/>
              </w:rPr>
            </w:pPr>
            <w:r>
              <w:rPr>
                <w:rFonts w:hint="eastAsia" w:ascii="宋体" w:hAnsi="宋体" w:eastAsia="宋体" w:cs="宋体"/>
                <w:color w:val="auto"/>
                <w:kern w:val="0"/>
                <w:position w:val="-2"/>
                <w:szCs w:val="21"/>
                <w:highlight w:val="none"/>
                <w:lang w:eastAsia="en-US"/>
              </w:rPr>
              <w:t>货物名称</w:t>
            </w:r>
          </w:p>
        </w:tc>
        <w:tc>
          <w:tcPr>
            <w:tcW w:w="639"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hint="eastAsia" w:ascii="宋体" w:hAnsi="宋体" w:eastAsia="宋体" w:cs="宋体"/>
                <w:color w:val="auto"/>
                <w:kern w:val="0"/>
                <w:position w:val="-2"/>
                <w:szCs w:val="21"/>
                <w:highlight w:val="none"/>
                <w:lang w:eastAsia="en-US"/>
              </w:rPr>
            </w:pPr>
            <w:r>
              <w:rPr>
                <w:rFonts w:hint="eastAsia" w:ascii="宋体" w:hAnsi="宋体" w:eastAsia="宋体" w:cs="宋体"/>
                <w:color w:val="auto"/>
                <w:kern w:val="0"/>
                <w:position w:val="-2"/>
                <w:szCs w:val="21"/>
                <w:highlight w:val="none"/>
                <w:lang w:eastAsia="en-US"/>
              </w:rPr>
              <w:t>数量</w:t>
            </w:r>
          </w:p>
        </w:tc>
        <w:tc>
          <w:tcPr>
            <w:tcW w:w="639"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hint="eastAsia" w:ascii="宋体" w:hAnsi="宋体" w:eastAsia="宋体" w:cs="宋体"/>
                <w:color w:val="auto"/>
                <w:kern w:val="0"/>
                <w:position w:val="-2"/>
                <w:szCs w:val="21"/>
                <w:highlight w:val="none"/>
                <w:lang w:eastAsia="en-US"/>
              </w:rPr>
            </w:pPr>
            <w:r>
              <w:rPr>
                <w:rFonts w:hint="eastAsia" w:ascii="宋体" w:hAnsi="宋体" w:eastAsia="宋体" w:cs="宋体"/>
                <w:color w:val="auto"/>
                <w:kern w:val="0"/>
                <w:position w:val="-2"/>
                <w:szCs w:val="21"/>
                <w:highlight w:val="none"/>
                <w:lang w:eastAsia="en-US"/>
              </w:rPr>
              <w:t>单位</w:t>
            </w:r>
          </w:p>
        </w:tc>
        <w:tc>
          <w:tcPr>
            <w:tcW w:w="728"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hint="eastAsia" w:ascii="宋体" w:hAnsi="宋体" w:eastAsia="宋体" w:cs="宋体"/>
                <w:color w:val="auto"/>
                <w:kern w:val="0"/>
                <w:position w:val="-2"/>
                <w:szCs w:val="21"/>
                <w:highlight w:val="none"/>
                <w:lang w:eastAsia="en-US"/>
              </w:rPr>
            </w:pPr>
            <w:r>
              <w:rPr>
                <w:rFonts w:hint="eastAsia" w:ascii="宋体" w:hAnsi="宋体" w:eastAsia="宋体" w:cs="宋体"/>
                <w:color w:val="auto"/>
                <w:kern w:val="0"/>
                <w:position w:val="-2"/>
                <w:szCs w:val="21"/>
                <w:highlight w:val="none"/>
                <w:lang w:eastAsia="en-US"/>
              </w:rPr>
              <w:t>制造商</w:t>
            </w:r>
          </w:p>
        </w:tc>
        <w:tc>
          <w:tcPr>
            <w:tcW w:w="853"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hint="eastAsia" w:ascii="宋体" w:hAnsi="宋体" w:eastAsia="宋体" w:cs="宋体"/>
                <w:color w:val="auto"/>
                <w:kern w:val="0"/>
                <w:position w:val="-2"/>
                <w:szCs w:val="21"/>
                <w:highlight w:val="none"/>
                <w:lang w:eastAsia="en-US"/>
              </w:rPr>
            </w:pPr>
            <w:r>
              <w:rPr>
                <w:rFonts w:hint="eastAsia" w:ascii="宋体" w:hAnsi="宋体" w:eastAsia="宋体" w:cs="宋体"/>
                <w:color w:val="auto"/>
                <w:kern w:val="0"/>
                <w:position w:val="-2"/>
                <w:szCs w:val="21"/>
                <w:highlight w:val="none"/>
                <w:lang w:eastAsia="en-US"/>
              </w:rPr>
              <w:t>产地</w:t>
            </w:r>
          </w:p>
        </w:tc>
        <w:tc>
          <w:tcPr>
            <w:tcW w:w="839"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hint="eastAsia" w:ascii="宋体" w:hAnsi="宋体" w:eastAsia="宋体" w:cs="宋体"/>
                <w:color w:val="auto"/>
                <w:kern w:val="0"/>
                <w:position w:val="-2"/>
                <w:szCs w:val="21"/>
                <w:highlight w:val="none"/>
                <w:lang w:eastAsia="en-US"/>
              </w:rPr>
            </w:pPr>
            <w:r>
              <w:rPr>
                <w:rFonts w:hint="eastAsia" w:ascii="宋体" w:hAnsi="宋体" w:eastAsia="宋体" w:cs="宋体"/>
                <w:color w:val="auto"/>
                <w:kern w:val="0"/>
                <w:position w:val="-2"/>
                <w:szCs w:val="21"/>
                <w:highlight w:val="none"/>
                <w:lang w:eastAsia="en-US"/>
              </w:rPr>
              <w:t>品牌</w:t>
            </w:r>
          </w:p>
        </w:tc>
        <w:tc>
          <w:tcPr>
            <w:tcW w:w="839"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hint="eastAsia" w:ascii="宋体" w:hAnsi="宋体" w:eastAsia="宋体" w:cs="宋体"/>
                <w:color w:val="auto"/>
                <w:kern w:val="0"/>
                <w:position w:val="-2"/>
                <w:szCs w:val="21"/>
                <w:highlight w:val="none"/>
                <w:lang w:eastAsia="en-US"/>
              </w:rPr>
            </w:pPr>
            <w:r>
              <w:rPr>
                <w:rFonts w:hint="eastAsia" w:ascii="宋体" w:hAnsi="宋体" w:eastAsia="宋体" w:cs="宋体"/>
                <w:color w:val="auto"/>
                <w:kern w:val="0"/>
                <w:position w:val="-2"/>
                <w:szCs w:val="21"/>
                <w:highlight w:val="none"/>
                <w:lang w:eastAsia="en-US"/>
              </w:rPr>
              <w:t>型号</w:t>
            </w:r>
          </w:p>
        </w:tc>
        <w:tc>
          <w:tcPr>
            <w:tcW w:w="839"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hint="eastAsia" w:ascii="宋体" w:hAnsi="宋体" w:eastAsia="宋体" w:cs="宋体"/>
                <w:color w:val="auto"/>
                <w:kern w:val="0"/>
                <w:position w:val="-2"/>
                <w:szCs w:val="21"/>
                <w:highlight w:val="none"/>
                <w:lang w:eastAsia="en-US"/>
              </w:rPr>
            </w:pPr>
            <w:r>
              <w:rPr>
                <w:rFonts w:hint="eastAsia" w:ascii="宋体" w:hAnsi="宋体" w:eastAsia="宋体" w:cs="宋体"/>
                <w:color w:val="auto"/>
                <w:kern w:val="0"/>
                <w:position w:val="-2"/>
                <w:szCs w:val="21"/>
                <w:highlight w:val="none"/>
                <w:lang w:eastAsia="en-US"/>
              </w:rPr>
              <w:t>单价</w:t>
            </w:r>
          </w:p>
        </w:tc>
        <w:tc>
          <w:tcPr>
            <w:tcW w:w="839"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hint="eastAsia" w:ascii="宋体" w:hAnsi="宋体" w:eastAsia="宋体" w:cs="宋体"/>
                <w:color w:val="auto"/>
                <w:kern w:val="0"/>
                <w:position w:val="-2"/>
                <w:szCs w:val="21"/>
                <w:highlight w:val="none"/>
                <w:lang w:eastAsia="en-US"/>
              </w:rPr>
            </w:pPr>
            <w:r>
              <w:rPr>
                <w:rFonts w:hint="eastAsia" w:ascii="宋体" w:hAnsi="宋体" w:eastAsia="宋体" w:cs="宋体"/>
                <w:color w:val="auto"/>
                <w:kern w:val="0"/>
                <w:position w:val="-2"/>
                <w:szCs w:val="21"/>
                <w:highlight w:val="none"/>
                <w:lang w:eastAsia="en-US"/>
              </w:rPr>
              <w:t>合价</w:t>
            </w:r>
          </w:p>
        </w:tc>
        <w:tc>
          <w:tcPr>
            <w:tcW w:w="1497"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hint="eastAsia" w:ascii="宋体" w:hAnsi="宋体" w:eastAsia="宋体" w:cs="宋体"/>
                <w:color w:val="auto"/>
                <w:kern w:val="0"/>
                <w:position w:val="-2"/>
                <w:szCs w:val="21"/>
                <w:highlight w:val="none"/>
                <w:lang w:eastAsia="en-US"/>
              </w:rPr>
            </w:pPr>
            <w:r>
              <w:rPr>
                <w:rFonts w:hint="eastAsia" w:ascii="宋体" w:hAnsi="宋体" w:eastAsia="宋体" w:cs="宋体"/>
                <w:color w:val="auto"/>
                <w:kern w:val="0"/>
                <w:position w:val="-2"/>
                <w:szCs w:val="21"/>
                <w:highlight w:val="none"/>
                <w:lang w:eastAsia="en-US"/>
              </w:rPr>
              <w:t>是否为小微企业产品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22" w:hRule="atLeast"/>
        </w:trPr>
        <w:tc>
          <w:tcPr>
            <w:tcW w:w="765"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hint="eastAsia" w:ascii="宋体" w:hAnsi="宋体" w:eastAsia="宋体" w:cs="宋体"/>
                <w:color w:val="auto"/>
                <w:kern w:val="0"/>
                <w:position w:val="-2"/>
                <w:szCs w:val="21"/>
                <w:highlight w:val="none"/>
                <w:lang w:eastAsia="en-US"/>
              </w:rPr>
            </w:pPr>
            <w:r>
              <w:rPr>
                <w:rFonts w:hint="eastAsia" w:ascii="宋体" w:hAnsi="宋体" w:eastAsia="宋体" w:cs="宋体"/>
                <w:color w:val="auto"/>
                <w:kern w:val="0"/>
                <w:position w:val="-2"/>
                <w:szCs w:val="21"/>
                <w:highlight w:val="none"/>
              </w:rPr>
              <w:t>1</w:t>
            </w:r>
            <w:r>
              <w:rPr>
                <w:rFonts w:hint="eastAsia" w:ascii="宋体" w:hAnsi="宋体" w:eastAsia="宋体" w:cs="宋体"/>
                <w:color w:val="auto"/>
                <w:kern w:val="0"/>
                <w:position w:val="-2"/>
                <w:szCs w:val="21"/>
                <w:highlight w:val="none"/>
                <w:lang w:eastAsia="en-US"/>
              </w:rPr>
              <w:t>.1</w:t>
            </w:r>
          </w:p>
        </w:tc>
        <w:tc>
          <w:tcPr>
            <w:tcW w:w="880"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hint="eastAsia" w:ascii="宋体" w:hAnsi="宋体" w:eastAsia="宋体" w:cs="宋体"/>
                <w:color w:val="auto"/>
                <w:kern w:val="0"/>
                <w:position w:val="-2"/>
                <w:szCs w:val="21"/>
                <w:highlight w:val="none"/>
                <w:lang w:eastAsia="en-US"/>
              </w:rPr>
            </w:pPr>
          </w:p>
        </w:tc>
        <w:tc>
          <w:tcPr>
            <w:tcW w:w="639"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hint="eastAsia" w:ascii="宋体" w:hAnsi="宋体" w:eastAsia="宋体" w:cs="宋体"/>
                <w:color w:val="auto"/>
                <w:kern w:val="0"/>
                <w:position w:val="-2"/>
                <w:szCs w:val="21"/>
                <w:highlight w:val="none"/>
                <w:lang w:eastAsia="en-US"/>
              </w:rPr>
            </w:pPr>
          </w:p>
        </w:tc>
        <w:tc>
          <w:tcPr>
            <w:tcW w:w="639"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hint="eastAsia" w:ascii="宋体" w:hAnsi="宋体" w:eastAsia="宋体" w:cs="宋体"/>
                <w:color w:val="auto"/>
                <w:kern w:val="0"/>
                <w:position w:val="-2"/>
                <w:szCs w:val="21"/>
                <w:highlight w:val="none"/>
                <w:lang w:eastAsia="en-US"/>
              </w:rPr>
            </w:pPr>
          </w:p>
        </w:tc>
        <w:tc>
          <w:tcPr>
            <w:tcW w:w="728"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hint="eastAsia" w:ascii="宋体" w:hAnsi="宋体" w:eastAsia="宋体" w:cs="宋体"/>
                <w:color w:val="auto"/>
                <w:kern w:val="0"/>
                <w:position w:val="-2"/>
                <w:szCs w:val="21"/>
                <w:highlight w:val="none"/>
                <w:lang w:eastAsia="en-US"/>
              </w:rPr>
            </w:pPr>
          </w:p>
        </w:tc>
        <w:tc>
          <w:tcPr>
            <w:tcW w:w="853"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hint="eastAsia" w:ascii="宋体" w:hAnsi="宋体" w:eastAsia="宋体" w:cs="宋体"/>
                <w:color w:val="auto"/>
                <w:kern w:val="0"/>
                <w:position w:val="-2"/>
                <w:szCs w:val="21"/>
                <w:highlight w:val="none"/>
                <w:lang w:eastAsia="en-US"/>
              </w:rPr>
            </w:pPr>
          </w:p>
        </w:tc>
        <w:tc>
          <w:tcPr>
            <w:tcW w:w="839"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hint="eastAsia" w:ascii="宋体" w:hAnsi="宋体" w:eastAsia="宋体" w:cs="宋体"/>
                <w:color w:val="auto"/>
                <w:kern w:val="0"/>
                <w:position w:val="-2"/>
                <w:szCs w:val="21"/>
                <w:highlight w:val="none"/>
                <w:lang w:eastAsia="en-US"/>
              </w:rPr>
            </w:pPr>
          </w:p>
        </w:tc>
        <w:tc>
          <w:tcPr>
            <w:tcW w:w="839"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hint="eastAsia" w:ascii="宋体" w:hAnsi="宋体" w:eastAsia="宋体" w:cs="宋体"/>
                <w:color w:val="auto"/>
                <w:kern w:val="0"/>
                <w:position w:val="-2"/>
                <w:szCs w:val="21"/>
                <w:highlight w:val="none"/>
                <w:lang w:eastAsia="en-US"/>
              </w:rPr>
            </w:pPr>
          </w:p>
        </w:tc>
        <w:tc>
          <w:tcPr>
            <w:tcW w:w="839"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hint="eastAsia" w:ascii="宋体" w:hAnsi="宋体" w:eastAsia="宋体" w:cs="宋体"/>
                <w:color w:val="auto"/>
                <w:kern w:val="0"/>
                <w:position w:val="-2"/>
                <w:szCs w:val="21"/>
                <w:highlight w:val="none"/>
                <w:lang w:eastAsia="en-US"/>
              </w:rPr>
            </w:pPr>
          </w:p>
        </w:tc>
        <w:tc>
          <w:tcPr>
            <w:tcW w:w="839"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hint="eastAsia" w:ascii="宋体" w:hAnsi="宋体" w:eastAsia="宋体" w:cs="宋体"/>
                <w:color w:val="auto"/>
                <w:kern w:val="0"/>
                <w:position w:val="-2"/>
                <w:szCs w:val="21"/>
                <w:highlight w:val="none"/>
                <w:lang w:eastAsia="en-US"/>
              </w:rPr>
            </w:pPr>
          </w:p>
        </w:tc>
        <w:tc>
          <w:tcPr>
            <w:tcW w:w="1497"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hint="eastAsia" w:ascii="宋体" w:hAnsi="宋体" w:eastAsia="宋体" w:cs="宋体"/>
                <w:color w:val="auto"/>
                <w:kern w:val="0"/>
                <w:position w:val="-2"/>
                <w:szCs w:val="21"/>
                <w:highlight w:val="none"/>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22" w:hRule="atLeast"/>
        </w:trPr>
        <w:tc>
          <w:tcPr>
            <w:tcW w:w="765"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hint="eastAsia" w:ascii="宋体" w:hAnsi="宋体" w:eastAsia="宋体" w:cs="宋体"/>
                <w:color w:val="auto"/>
                <w:kern w:val="0"/>
                <w:position w:val="-2"/>
                <w:szCs w:val="21"/>
                <w:highlight w:val="none"/>
                <w:lang w:eastAsia="en-US"/>
              </w:rPr>
            </w:pPr>
            <w:r>
              <w:rPr>
                <w:rFonts w:hint="eastAsia" w:ascii="宋体" w:hAnsi="宋体" w:eastAsia="宋体" w:cs="宋体"/>
                <w:color w:val="auto"/>
                <w:kern w:val="0"/>
                <w:position w:val="-2"/>
                <w:szCs w:val="21"/>
                <w:highlight w:val="none"/>
              </w:rPr>
              <w:t>1</w:t>
            </w:r>
            <w:r>
              <w:rPr>
                <w:rFonts w:hint="eastAsia" w:ascii="宋体" w:hAnsi="宋体" w:eastAsia="宋体" w:cs="宋体"/>
                <w:color w:val="auto"/>
                <w:kern w:val="0"/>
                <w:position w:val="-2"/>
                <w:szCs w:val="21"/>
                <w:highlight w:val="none"/>
                <w:lang w:eastAsia="en-US"/>
              </w:rPr>
              <w:t>.2</w:t>
            </w:r>
          </w:p>
        </w:tc>
        <w:tc>
          <w:tcPr>
            <w:tcW w:w="880"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hint="eastAsia" w:ascii="宋体" w:hAnsi="宋体" w:eastAsia="宋体" w:cs="宋体"/>
                <w:color w:val="auto"/>
                <w:kern w:val="0"/>
                <w:position w:val="-2"/>
                <w:szCs w:val="21"/>
                <w:highlight w:val="none"/>
                <w:lang w:eastAsia="en-US"/>
              </w:rPr>
            </w:pPr>
          </w:p>
        </w:tc>
        <w:tc>
          <w:tcPr>
            <w:tcW w:w="639"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hint="eastAsia" w:ascii="宋体" w:hAnsi="宋体" w:eastAsia="宋体" w:cs="宋体"/>
                <w:color w:val="auto"/>
                <w:kern w:val="0"/>
                <w:position w:val="-2"/>
                <w:szCs w:val="21"/>
                <w:highlight w:val="none"/>
                <w:lang w:eastAsia="en-US"/>
              </w:rPr>
            </w:pPr>
          </w:p>
        </w:tc>
        <w:tc>
          <w:tcPr>
            <w:tcW w:w="639"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hint="eastAsia" w:ascii="宋体" w:hAnsi="宋体" w:eastAsia="宋体" w:cs="宋体"/>
                <w:color w:val="auto"/>
                <w:kern w:val="0"/>
                <w:position w:val="-2"/>
                <w:szCs w:val="21"/>
                <w:highlight w:val="none"/>
                <w:lang w:eastAsia="en-US"/>
              </w:rPr>
            </w:pPr>
          </w:p>
        </w:tc>
        <w:tc>
          <w:tcPr>
            <w:tcW w:w="728"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hint="eastAsia" w:ascii="宋体" w:hAnsi="宋体" w:eastAsia="宋体" w:cs="宋体"/>
                <w:color w:val="auto"/>
                <w:kern w:val="0"/>
                <w:position w:val="-2"/>
                <w:szCs w:val="21"/>
                <w:highlight w:val="none"/>
                <w:lang w:eastAsia="en-US"/>
              </w:rPr>
            </w:pPr>
          </w:p>
        </w:tc>
        <w:tc>
          <w:tcPr>
            <w:tcW w:w="853"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hint="eastAsia" w:ascii="宋体" w:hAnsi="宋体" w:eastAsia="宋体" w:cs="宋体"/>
                <w:color w:val="auto"/>
                <w:kern w:val="0"/>
                <w:position w:val="-2"/>
                <w:szCs w:val="21"/>
                <w:highlight w:val="none"/>
                <w:lang w:eastAsia="en-US"/>
              </w:rPr>
            </w:pPr>
          </w:p>
        </w:tc>
        <w:tc>
          <w:tcPr>
            <w:tcW w:w="839"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hint="eastAsia" w:ascii="宋体" w:hAnsi="宋体" w:eastAsia="宋体" w:cs="宋体"/>
                <w:color w:val="auto"/>
                <w:kern w:val="0"/>
                <w:position w:val="-2"/>
                <w:szCs w:val="21"/>
                <w:highlight w:val="none"/>
                <w:lang w:eastAsia="en-US"/>
              </w:rPr>
            </w:pPr>
          </w:p>
        </w:tc>
        <w:tc>
          <w:tcPr>
            <w:tcW w:w="839"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hint="eastAsia" w:ascii="宋体" w:hAnsi="宋体" w:eastAsia="宋体" w:cs="宋体"/>
                <w:color w:val="auto"/>
                <w:kern w:val="0"/>
                <w:position w:val="-2"/>
                <w:szCs w:val="21"/>
                <w:highlight w:val="none"/>
                <w:lang w:eastAsia="en-US"/>
              </w:rPr>
            </w:pPr>
          </w:p>
        </w:tc>
        <w:tc>
          <w:tcPr>
            <w:tcW w:w="839"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hint="eastAsia" w:ascii="宋体" w:hAnsi="宋体" w:eastAsia="宋体" w:cs="宋体"/>
                <w:color w:val="auto"/>
                <w:kern w:val="0"/>
                <w:position w:val="-2"/>
                <w:szCs w:val="21"/>
                <w:highlight w:val="none"/>
                <w:lang w:eastAsia="en-US"/>
              </w:rPr>
            </w:pPr>
          </w:p>
        </w:tc>
        <w:tc>
          <w:tcPr>
            <w:tcW w:w="839"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hint="eastAsia" w:ascii="宋体" w:hAnsi="宋体" w:eastAsia="宋体" w:cs="宋体"/>
                <w:color w:val="auto"/>
                <w:kern w:val="0"/>
                <w:position w:val="-2"/>
                <w:szCs w:val="21"/>
                <w:highlight w:val="none"/>
                <w:lang w:eastAsia="en-US"/>
              </w:rPr>
            </w:pPr>
          </w:p>
        </w:tc>
        <w:tc>
          <w:tcPr>
            <w:tcW w:w="1497"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hint="eastAsia" w:ascii="宋体" w:hAnsi="宋体" w:eastAsia="宋体" w:cs="宋体"/>
                <w:color w:val="auto"/>
                <w:kern w:val="0"/>
                <w:position w:val="-2"/>
                <w:szCs w:val="21"/>
                <w:highlight w:val="none"/>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2" w:hRule="atLeast"/>
        </w:trPr>
        <w:tc>
          <w:tcPr>
            <w:tcW w:w="765"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hint="eastAsia" w:ascii="宋体" w:hAnsi="宋体" w:eastAsia="宋体" w:cs="宋体"/>
                <w:color w:val="auto"/>
                <w:kern w:val="0"/>
                <w:position w:val="-2"/>
                <w:szCs w:val="21"/>
                <w:highlight w:val="none"/>
                <w:lang w:eastAsia="en-US"/>
              </w:rPr>
            </w:pPr>
            <w:r>
              <w:rPr>
                <w:rFonts w:hint="eastAsia" w:ascii="宋体" w:hAnsi="宋体" w:eastAsia="宋体" w:cs="宋体"/>
                <w:color w:val="auto"/>
                <w:kern w:val="0"/>
                <w:position w:val="-2"/>
                <w:szCs w:val="21"/>
                <w:highlight w:val="none"/>
              </w:rPr>
              <w:t>1</w:t>
            </w:r>
            <w:r>
              <w:rPr>
                <w:rFonts w:hint="eastAsia" w:ascii="宋体" w:hAnsi="宋体" w:eastAsia="宋体" w:cs="宋体"/>
                <w:color w:val="auto"/>
                <w:kern w:val="0"/>
                <w:position w:val="-2"/>
                <w:szCs w:val="21"/>
                <w:highlight w:val="none"/>
                <w:lang w:eastAsia="en-US"/>
              </w:rPr>
              <w:t>.3</w:t>
            </w:r>
          </w:p>
        </w:tc>
        <w:tc>
          <w:tcPr>
            <w:tcW w:w="880"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hint="eastAsia" w:ascii="宋体" w:hAnsi="宋体" w:eastAsia="宋体" w:cs="宋体"/>
                <w:color w:val="auto"/>
                <w:kern w:val="0"/>
                <w:position w:val="-2"/>
                <w:szCs w:val="21"/>
                <w:highlight w:val="none"/>
              </w:rPr>
            </w:pPr>
            <w:r>
              <w:rPr>
                <w:rFonts w:hint="eastAsia" w:ascii="宋体" w:hAnsi="宋体" w:eastAsia="宋体" w:cs="宋体"/>
                <w:color w:val="auto"/>
                <w:kern w:val="0"/>
                <w:position w:val="-2"/>
                <w:szCs w:val="21"/>
                <w:highlight w:val="none"/>
              </w:rPr>
              <w:t>…</w:t>
            </w:r>
          </w:p>
        </w:tc>
        <w:tc>
          <w:tcPr>
            <w:tcW w:w="639"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hint="eastAsia" w:ascii="宋体" w:hAnsi="宋体" w:eastAsia="宋体" w:cs="宋体"/>
                <w:color w:val="auto"/>
                <w:kern w:val="0"/>
                <w:position w:val="-2"/>
                <w:szCs w:val="21"/>
                <w:highlight w:val="none"/>
                <w:lang w:eastAsia="en-US"/>
              </w:rPr>
            </w:pPr>
          </w:p>
        </w:tc>
        <w:tc>
          <w:tcPr>
            <w:tcW w:w="639"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hint="eastAsia" w:ascii="宋体" w:hAnsi="宋体" w:eastAsia="宋体" w:cs="宋体"/>
                <w:color w:val="auto"/>
                <w:kern w:val="0"/>
                <w:position w:val="-2"/>
                <w:szCs w:val="21"/>
                <w:highlight w:val="none"/>
                <w:lang w:eastAsia="en-US"/>
              </w:rPr>
            </w:pPr>
          </w:p>
        </w:tc>
        <w:tc>
          <w:tcPr>
            <w:tcW w:w="728"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hint="eastAsia" w:ascii="宋体" w:hAnsi="宋体" w:eastAsia="宋体" w:cs="宋体"/>
                <w:color w:val="auto"/>
                <w:kern w:val="0"/>
                <w:position w:val="-2"/>
                <w:szCs w:val="21"/>
                <w:highlight w:val="none"/>
              </w:rPr>
            </w:pPr>
            <w:r>
              <w:rPr>
                <w:rFonts w:hint="eastAsia" w:ascii="宋体" w:hAnsi="宋体" w:eastAsia="宋体" w:cs="宋体"/>
                <w:color w:val="auto"/>
                <w:kern w:val="0"/>
                <w:position w:val="-2"/>
                <w:szCs w:val="21"/>
                <w:highlight w:val="none"/>
                <w:lang w:eastAsia="en-US"/>
              </w:rPr>
              <w:t>　</w:t>
            </w:r>
          </w:p>
        </w:tc>
        <w:tc>
          <w:tcPr>
            <w:tcW w:w="853"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right="-20"/>
              <w:jc w:val="left"/>
              <w:rPr>
                <w:rFonts w:hint="eastAsia" w:ascii="宋体" w:hAnsi="宋体" w:eastAsia="宋体" w:cs="宋体"/>
                <w:color w:val="auto"/>
                <w:kern w:val="0"/>
                <w:position w:val="-2"/>
                <w:szCs w:val="21"/>
                <w:highlight w:val="none"/>
              </w:rPr>
            </w:pPr>
          </w:p>
        </w:tc>
        <w:tc>
          <w:tcPr>
            <w:tcW w:w="839"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hint="eastAsia" w:ascii="宋体" w:hAnsi="宋体" w:eastAsia="宋体" w:cs="宋体"/>
                <w:color w:val="auto"/>
                <w:kern w:val="0"/>
                <w:position w:val="-2"/>
                <w:szCs w:val="21"/>
                <w:highlight w:val="none"/>
                <w:lang w:eastAsia="en-US"/>
              </w:rPr>
            </w:pPr>
          </w:p>
        </w:tc>
        <w:tc>
          <w:tcPr>
            <w:tcW w:w="839"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hint="eastAsia" w:ascii="宋体" w:hAnsi="宋体" w:eastAsia="宋体" w:cs="宋体"/>
                <w:color w:val="auto"/>
                <w:kern w:val="0"/>
                <w:position w:val="-2"/>
                <w:szCs w:val="21"/>
                <w:highlight w:val="none"/>
                <w:lang w:eastAsia="en-US"/>
              </w:rPr>
            </w:pPr>
          </w:p>
        </w:tc>
        <w:tc>
          <w:tcPr>
            <w:tcW w:w="839"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hint="eastAsia" w:ascii="宋体" w:hAnsi="宋体" w:eastAsia="宋体" w:cs="宋体"/>
                <w:color w:val="auto"/>
                <w:kern w:val="0"/>
                <w:position w:val="-2"/>
                <w:szCs w:val="21"/>
                <w:highlight w:val="none"/>
                <w:lang w:eastAsia="en-US"/>
              </w:rPr>
            </w:pPr>
          </w:p>
        </w:tc>
        <w:tc>
          <w:tcPr>
            <w:tcW w:w="839"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hint="eastAsia" w:ascii="宋体" w:hAnsi="宋体" w:eastAsia="宋体" w:cs="宋体"/>
                <w:color w:val="auto"/>
                <w:kern w:val="0"/>
                <w:position w:val="-2"/>
                <w:szCs w:val="21"/>
                <w:highlight w:val="none"/>
                <w:lang w:eastAsia="en-US"/>
              </w:rPr>
            </w:pPr>
          </w:p>
        </w:tc>
        <w:tc>
          <w:tcPr>
            <w:tcW w:w="1497"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hint="eastAsia" w:ascii="宋体" w:hAnsi="宋体" w:eastAsia="宋体" w:cs="宋体"/>
                <w:color w:val="auto"/>
                <w:kern w:val="0"/>
                <w:position w:val="-2"/>
                <w:szCs w:val="21"/>
                <w:highlight w:val="none"/>
                <w:lang w:eastAsia="en-US"/>
              </w:rPr>
            </w:pPr>
          </w:p>
        </w:tc>
      </w:tr>
    </w:tbl>
    <w:p>
      <w:pPr>
        <w:spacing w:line="600" w:lineRule="exact"/>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说明： 1、供应商必须填写主要产品的品牌、型号。</w:t>
      </w:r>
    </w:p>
    <w:p>
      <w:pPr>
        <w:spacing w:line="600" w:lineRule="exact"/>
        <w:ind w:firstLine="849" w:firstLineChars="354"/>
        <w:jc w:val="left"/>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2、供应商须填写相关内容</w:t>
      </w:r>
      <w:r>
        <w:rPr>
          <w:rFonts w:hint="eastAsia" w:ascii="宋体" w:hAnsi="宋体" w:eastAsia="宋体" w:cs="宋体"/>
          <w:color w:val="auto"/>
          <w:sz w:val="24"/>
          <w:highlight w:val="none"/>
        </w:rPr>
        <w:t>。</w:t>
      </w:r>
    </w:p>
    <w:p>
      <w:pPr>
        <w:spacing w:line="600" w:lineRule="exact"/>
        <w:ind w:firstLine="849" w:firstLineChars="354"/>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3、如所投产品为强制性认证产品，应如实、准确填报。</w:t>
      </w:r>
    </w:p>
    <w:p>
      <w:pPr>
        <w:pStyle w:val="16"/>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公章</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：______________</w:t>
      </w:r>
    </w:p>
    <w:p>
      <w:pPr>
        <w:pStyle w:val="16"/>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法定代表人或负责人或其授权代表</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签字或盖章</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：______________</w:t>
      </w:r>
    </w:p>
    <w:p>
      <w:pPr>
        <w:pStyle w:val="16"/>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日期：______年____月____日</w:t>
      </w:r>
    </w:p>
    <w:p>
      <w:pPr>
        <w:pStyle w:val="5"/>
        <w:spacing w:line="480" w:lineRule="exact"/>
        <w:rPr>
          <w:rFonts w:hint="eastAsia" w:ascii="宋体" w:hAnsi="宋体" w:eastAsia="宋体" w:cs="宋体"/>
          <w:color w:val="auto"/>
          <w:sz w:val="30"/>
          <w:highlight w:val="none"/>
          <w:u w:val="none"/>
        </w:rPr>
      </w:pPr>
      <w:bookmarkStart w:id="320" w:name="_Toc18299"/>
      <w:bookmarkStart w:id="321" w:name="_Toc46238285"/>
      <w:bookmarkStart w:id="322" w:name="_Toc46136868"/>
      <w:r>
        <w:rPr>
          <w:rFonts w:hint="eastAsia" w:ascii="宋体" w:hAnsi="宋体" w:eastAsia="宋体" w:cs="宋体"/>
          <w:color w:val="auto"/>
          <w:highlight w:val="none"/>
          <w:u w:val="none"/>
        </w:rPr>
        <w:t>12</w:t>
      </w:r>
      <w:r>
        <w:rPr>
          <w:rFonts w:hint="eastAsia" w:ascii="宋体" w:hAnsi="宋体" w:eastAsia="宋体" w:cs="宋体"/>
          <w:color w:val="auto"/>
          <w:sz w:val="30"/>
          <w:highlight w:val="none"/>
          <w:u w:val="none"/>
        </w:rPr>
        <w:t>.</w:t>
      </w:r>
      <w:r>
        <w:rPr>
          <w:rFonts w:hint="eastAsia" w:ascii="宋体" w:hAnsi="宋体" w:eastAsia="宋体" w:cs="宋体"/>
          <w:color w:val="auto"/>
          <w:highlight w:val="none"/>
          <w:u w:val="none"/>
        </w:rPr>
        <w:t>环境标志产品明细表</w:t>
      </w:r>
      <w:bookmarkEnd w:id="320"/>
      <w:bookmarkEnd w:id="321"/>
      <w:bookmarkEnd w:id="322"/>
    </w:p>
    <w:p>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项目编号、包号：                              报价单位：人民币元</w:t>
      </w:r>
    </w:p>
    <w:tbl>
      <w:tblPr>
        <w:tblStyle w:val="30"/>
        <w:tblpPr w:leftFromText="180" w:rightFromText="180" w:vertAnchor="text" w:horzAnchor="margin" w:tblpXSpec="center" w:tblpY="6"/>
        <w:tblW w:w="97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488"/>
        <w:gridCol w:w="1489"/>
        <w:gridCol w:w="3232"/>
        <w:gridCol w:w="900"/>
        <w:gridCol w:w="900"/>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817" w:type="dxa"/>
            <w:vMerge w:val="restart"/>
            <w:tcBorders>
              <w:top w:val="single" w:color="auto" w:sz="12" w:space="0"/>
              <w:left w:val="single" w:color="auto" w:sz="12" w:space="0"/>
              <w:bottom w:val="single" w:color="auto" w:sz="4" w:space="0"/>
              <w:right w:val="single" w:color="auto" w:sz="4" w:space="0"/>
            </w:tcBorders>
            <w:noWrap w:val="0"/>
            <w:vAlign w:val="center"/>
          </w:tcPr>
          <w:p>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编号</w:t>
            </w:r>
          </w:p>
        </w:tc>
        <w:tc>
          <w:tcPr>
            <w:tcW w:w="1488" w:type="dxa"/>
            <w:vMerge w:val="restart"/>
            <w:tcBorders>
              <w:top w:val="single" w:color="auto" w:sz="12"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货物名称</w:t>
            </w:r>
          </w:p>
        </w:tc>
        <w:tc>
          <w:tcPr>
            <w:tcW w:w="1489" w:type="dxa"/>
            <w:vMerge w:val="restart"/>
            <w:tcBorders>
              <w:top w:val="single" w:color="auto" w:sz="12"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规格型号</w:t>
            </w:r>
          </w:p>
        </w:tc>
        <w:tc>
          <w:tcPr>
            <w:tcW w:w="3232" w:type="dxa"/>
            <w:vMerge w:val="restart"/>
            <w:tcBorders>
              <w:top w:val="single" w:color="auto" w:sz="12"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中国环境标志认证证书编号</w:t>
            </w:r>
          </w:p>
        </w:tc>
        <w:tc>
          <w:tcPr>
            <w:tcW w:w="2700" w:type="dxa"/>
            <w:gridSpan w:val="3"/>
            <w:tcBorders>
              <w:top w:val="single" w:color="auto" w:sz="12" w:space="0"/>
              <w:left w:val="single" w:color="auto" w:sz="4" w:space="0"/>
              <w:bottom w:val="single" w:color="auto" w:sz="4" w:space="0"/>
              <w:right w:val="single" w:color="auto" w:sz="12" w:space="0"/>
            </w:tcBorders>
            <w:noWrap w:val="0"/>
            <w:vAlign w:val="center"/>
          </w:tcPr>
          <w:p>
            <w:pPr>
              <w:autoSpaceDE w:val="0"/>
              <w:autoSpaceDN w:val="0"/>
              <w:adjustRightInd w:val="0"/>
              <w:spacing w:line="480" w:lineRule="exact"/>
              <w:ind w:firstLine="840" w:firstLineChars="350"/>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价格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817" w:type="dxa"/>
            <w:vMerge w:val="continue"/>
            <w:tcBorders>
              <w:top w:val="single" w:color="auto" w:sz="12" w:space="0"/>
              <w:left w:val="single" w:color="auto" w:sz="12" w:space="0"/>
              <w:bottom w:val="single" w:color="auto" w:sz="4" w:space="0"/>
              <w:right w:val="single" w:color="auto" w:sz="4" w:space="0"/>
            </w:tcBorders>
            <w:noWrap w:val="0"/>
            <w:vAlign w:val="center"/>
          </w:tcPr>
          <w:p>
            <w:pPr>
              <w:widowControl/>
              <w:spacing w:line="480" w:lineRule="exact"/>
              <w:jc w:val="left"/>
              <w:rPr>
                <w:rFonts w:hint="eastAsia" w:ascii="宋体" w:hAnsi="宋体" w:eastAsia="宋体" w:cs="宋体"/>
                <w:color w:val="auto"/>
                <w:kern w:val="0"/>
                <w:sz w:val="24"/>
                <w:szCs w:val="20"/>
                <w:highlight w:val="none"/>
              </w:rPr>
            </w:pPr>
          </w:p>
        </w:tc>
        <w:tc>
          <w:tcPr>
            <w:tcW w:w="1488" w:type="dxa"/>
            <w:vMerge w:val="continue"/>
            <w:tcBorders>
              <w:top w:val="single" w:color="auto" w:sz="12" w:space="0"/>
              <w:left w:val="single" w:color="auto" w:sz="4" w:space="0"/>
              <w:bottom w:val="single" w:color="auto" w:sz="4" w:space="0"/>
              <w:right w:val="single" w:color="auto" w:sz="4" w:space="0"/>
            </w:tcBorders>
            <w:noWrap w:val="0"/>
            <w:vAlign w:val="center"/>
          </w:tcPr>
          <w:p>
            <w:pPr>
              <w:widowControl/>
              <w:spacing w:line="480" w:lineRule="exact"/>
              <w:jc w:val="left"/>
              <w:rPr>
                <w:rFonts w:hint="eastAsia" w:ascii="宋体" w:hAnsi="宋体" w:eastAsia="宋体" w:cs="宋体"/>
                <w:color w:val="auto"/>
                <w:kern w:val="0"/>
                <w:sz w:val="24"/>
                <w:szCs w:val="20"/>
                <w:highlight w:val="none"/>
              </w:rPr>
            </w:pPr>
          </w:p>
        </w:tc>
        <w:tc>
          <w:tcPr>
            <w:tcW w:w="1489" w:type="dxa"/>
            <w:vMerge w:val="continue"/>
            <w:tcBorders>
              <w:top w:val="single" w:color="auto" w:sz="12" w:space="0"/>
              <w:left w:val="single" w:color="auto" w:sz="4" w:space="0"/>
              <w:bottom w:val="single" w:color="auto" w:sz="4" w:space="0"/>
              <w:right w:val="single" w:color="auto" w:sz="4" w:space="0"/>
            </w:tcBorders>
            <w:noWrap w:val="0"/>
            <w:vAlign w:val="center"/>
          </w:tcPr>
          <w:p>
            <w:pPr>
              <w:widowControl/>
              <w:spacing w:line="480" w:lineRule="exact"/>
              <w:jc w:val="left"/>
              <w:rPr>
                <w:rFonts w:hint="eastAsia" w:ascii="宋体" w:hAnsi="宋体" w:eastAsia="宋体" w:cs="宋体"/>
                <w:color w:val="auto"/>
                <w:kern w:val="0"/>
                <w:sz w:val="24"/>
                <w:szCs w:val="20"/>
                <w:highlight w:val="none"/>
              </w:rPr>
            </w:pPr>
          </w:p>
        </w:tc>
        <w:tc>
          <w:tcPr>
            <w:tcW w:w="3232" w:type="dxa"/>
            <w:vMerge w:val="continue"/>
            <w:tcBorders>
              <w:top w:val="single" w:color="auto" w:sz="12" w:space="0"/>
              <w:left w:val="single" w:color="auto" w:sz="4" w:space="0"/>
              <w:bottom w:val="single" w:color="auto" w:sz="4" w:space="0"/>
              <w:right w:val="single" w:color="auto" w:sz="4" w:space="0"/>
            </w:tcBorders>
            <w:noWrap w:val="0"/>
            <w:vAlign w:val="center"/>
          </w:tcPr>
          <w:p>
            <w:pPr>
              <w:widowControl/>
              <w:spacing w:line="480" w:lineRule="exact"/>
              <w:jc w:val="left"/>
              <w:rPr>
                <w:rFonts w:hint="eastAsia" w:ascii="宋体" w:hAnsi="宋体" w:eastAsia="宋体" w:cs="宋体"/>
                <w:color w:val="auto"/>
                <w:kern w:val="0"/>
                <w:sz w:val="24"/>
                <w:szCs w:val="20"/>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单价</w:t>
            </w:r>
          </w:p>
        </w:tc>
        <w:tc>
          <w:tcPr>
            <w:tcW w:w="900"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数量</w:t>
            </w:r>
          </w:p>
        </w:tc>
        <w:tc>
          <w:tcPr>
            <w:tcW w:w="900" w:type="dxa"/>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小计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817" w:type="dxa"/>
            <w:tcBorders>
              <w:top w:val="single" w:color="auto" w:sz="4" w:space="0"/>
              <w:left w:val="single" w:color="auto" w:sz="12" w:space="0"/>
              <w:bottom w:val="single" w:color="auto" w:sz="4" w:space="0"/>
              <w:right w:val="single" w:color="auto" w:sz="4" w:space="0"/>
            </w:tcBorders>
            <w:noWrap w:val="0"/>
            <w:vAlign w:val="center"/>
          </w:tcPr>
          <w:p>
            <w:pPr>
              <w:autoSpaceDE w:val="0"/>
              <w:autoSpaceDN w:val="0"/>
              <w:adjustRightInd w:val="0"/>
              <w:spacing w:line="480" w:lineRule="exac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1</w:t>
            </w:r>
          </w:p>
        </w:tc>
        <w:tc>
          <w:tcPr>
            <w:tcW w:w="1488"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1489"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3232"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00" w:type="dxa"/>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817" w:type="dxa"/>
            <w:tcBorders>
              <w:top w:val="single" w:color="auto" w:sz="4" w:space="0"/>
              <w:left w:val="single" w:color="auto" w:sz="12" w:space="0"/>
              <w:bottom w:val="single" w:color="auto" w:sz="4" w:space="0"/>
              <w:right w:val="single" w:color="auto" w:sz="4" w:space="0"/>
            </w:tcBorders>
            <w:noWrap w:val="0"/>
            <w:vAlign w:val="center"/>
          </w:tcPr>
          <w:p>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2</w:t>
            </w:r>
          </w:p>
        </w:tc>
        <w:tc>
          <w:tcPr>
            <w:tcW w:w="1488"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1489"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3232"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00" w:type="dxa"/>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817" w:type="dxa"/>
            <w:tcBorders>
              <w:top w:val="single" w:color="auto" w:sz="4" w:space="0"/>
              <w:left w:val="single" w:color="auto" w:sz="12" w:space="0"/>
              <w:bottom w:val="single" w:color="auto" w:sz="4" w:space="0"/>
              <w:right w:val="single" w:color="auto" w:sz="4" w:space="0"/>
            </w:tcBorders>
            <w:noWrap w:val="0"/>
            <w:vAlign w:val="center"/>
          </w:tcPr>
          <w:p>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3</w:t>
            </w:r>
          </w:p>
        </w:tc>
        <w:tc>
          <w:tcPr>
            <w:tcW w:w="1488"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w:t>
            </w:r>
          </w:p>
        </w:tc>
        <w:tc>
          <w:tcPr>
            <w:tcW w:w="1489"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3232"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00" w:type="dxa"/>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r>
    </w:tbl>
    <w:p>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 xml:space="preserve">说明：1、如所报产品为环保产品，请按要求逐项填写； </w:t>
      </w:r>
    </w:p>
    <w:p>
      <w:pPr>
        <w:numPr>
          <w:ilvl w:val="0"/>
          <w:numId w:val="6"/>
        </w:numPr>
        <w:autoSpaceDE w:val="0"/>
        <w:autoSpaceDN w:val="0"/>
        <w:adjustRightInd w:val="0"/>
        <w:spacing w:line="480" w:lineRule="exact"/>
        <w:ind w:firstLine="720" w:firstLineChars="300"/>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需附环境标志产品认证证书，且证书内产品型号与所报产品型号完全一致，否则评审时不予加分。</w:t>
      </w:r>
    </w:p>
    <w:p>
      <w:pPr>
        <w:pStyle w:val="16"/>
        <w:spacing w:line="480" w:lineRule="exact"/>
        <w:ind w:firstLine="480" w:firstLineChars="200"/>
        <w:rPr>
          <w:rFonts w:hint="eastAsia" w:ascii="宋体" w:hAnsi="宋体" w:eastAsia="宋体" w:cs="宋体"/>
          <w:color w:val="auto"/>
          <w:sz w:val="24"/>
          <w:szCs w:val="24"/>
          <w:highlight w:val="none"/>
        </w:rPr>
      </w:pPr>
    </w:p>
    <w:p>
      <w:pPr>
        <w:pStyle w:val="16"/>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公章</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：______________</w:t>
      </w:r>
    </w:p>
    <w:p>
      <w:pPr>
        <w:pStyle w:val="16"/>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法定代表人或负责人或其授权代表</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签字或盖章</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：______________</w:t>
      </w:r>
    </w:p>
    <w:p>
      <w:pPr>
        <w:pStyle w:val="16"/>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日期：______年____月____日</w:t>
      </w:r>
    </w:p>
    <w:p>
      <w:pPr>
        <w:pStyle w:val="2"/>
        <w:ind w:left="1440" w:firstLine="0"/>
        <w:rPr>
          <w:rFonts w:hint="eastAsia" w:ascii="宋体" w:hAnsi="宋体" w:eastAsia="宋体" w:cs="宋体"/>
          <w:color w:val="auto"/>
          <w:highlight w:val="none"/>
        </w:rPr>
      </w:pPr>
    </w:p>
    <w:p>
      <w:pPr>
        <w:pStyle w:val="5"/>
        <w:spacing w:line="480" w:lineRule="exact"/>
        <w:rPr>
          <w:rFonts w:hint="eastAsia" w:ascii="宋体" w:hAnsi="宋体" w:eastAsia="宋体" w:cs="宋体"/>
          <w:color w:val="auto"/>
          <w:sz w:val="30"/>
          <w:highlight w:val="none"/>
          <w:u w:val="none"/>
        </w:rPr>
      </w:pPr>
      <w:bookmarkStart w:id="323" w:name="_Toc6560"/>
      <w:bookmarkStart w:id="324" w:name="_Toc46136869"/>
      <w:bookmarkStart w:id="325" w:name="_Toc46238286"/>
      <w:r>
        <w:rPr>
          <w:rFonts w:hint="eastAsia" w:ascii="宋体" w:hAnsi="宋体" w:eastAsia="宋体" w:cs="宋体"/>
          <w:color w:val="auto"/>
          <w:highlight w:val="none"/>
          <w:u w:val="none"/>
        </w:rPr>
        <w:t>13.节能产品明细表</w:t>
      </w:r>
      <w:bookmarkEnd w:id="323"/>
      <w:bookmarkEnd w:id="324"/>
      <w:bookmarkEnd w:id="325"/>
    </w:p>
    <w:p>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项目编号、包号：                                    报价单位：人民币元</w:t>
      </w:r>
    </w:p>
    <w:tbl>
      <w:tblPr>
        <w:tblStyle w:val="30"/>
        <w:tblpPr w:leftFromText="180" w:rightFromText="180" w:vertAnchor="text" w:horzAnchor="margin" w:tblpXSpec="center" w:tblpY="6"/>
        <w:tblW w:w="97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843"/>
        <w:gridCol w:w="1529"/>
        <w:gridCol w:w="2765"/>
        <w:gridCol w:w="855"/>
        <w:gridCol w:w="955"/>
        <w:gridCol w:w="9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817" w:type="dxa"/>
            <w:vMerge w:val="restart"/>
            <w:tcBorders>
              <w:top w:val="single" w:color="auto" w:sz="12" w:space="0"/>
              <w:left w:val="single" w:color="auto" w:sz="12" w:space="0"/>
              <w:bottom w:val="single" w:color="auto" w:sz="4" w:space="0"/>
              <w:right w:val="single" w:color="auto" w:sz="4" w:space="0"/>
            </w:tcBorders>
            <w:noWrap w:val="0"/>
            <w:vAlign w:val="center"/>
          </w:tcPr>
          <w:p>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编号</w:t>
            </w:r>
          </w:p>
        </w:tc>
        <w:tc>
          <w:tcPr>
            <w:tcW w:w="1843" w:type="dxa"/>
            <w:vMerge w:val="restart"/>
            <w:tcBorders>
              <w:top w:val="single" w:color="auto" w:sz="12"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货物名称</w:t>
            </w:r>
          </w:p>
        </w:tc>
        <w:tc>
          <w:tcPr>
            <w:tcW w:w="1529" w:type="dxa"/>
            <w:vMerge w:val="restart"/>
            <w:tcBorders>
              <w:top w:val="single" w:color="auto" w:sz="12"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规格型号</w:t>
            </w:r>
          </w:p>
        </w:tc>
        <w:tc>
          <w:tcPr>
            <w:tcW w:w="2765" w:type="dxa"/>
            <w:vMerge w:val="restart"/>
            <w:tcBorders>
              <w:top w:val="single" w:color="auto" w:sz="12"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节字标志认证证书编号</w:t>
            </w:r>
          </w:p>
        </w:tc>
        <w:tc>
          <w:tcPr>
            <w:tcW w:w="2765" w:type="dxa"/>
            <w:gridSpan w:val="3"/>
            <w:tcBorders>
              <w:top w:val="single" w:color="auto" w:sz="12" w:space="0"/>
              <w:left w:val="single" w:color="auto" w:sz="4" w:space="0"/>
              <w:bottom w:val="single" w:color="auto" w:sz="4" w:space="0"/>
              <w:right w:val="single" w:color="auto" w:sz="12" w:space="0"/>
            </w:tcBorders>
            <w:noWrap w:val="0"/>
            <w:vAlign w:val="center"/>
          </w:tcPr>
          <w:p>
            <w:pPr>
              <w:autoSpaceDE w:val="0"/>
              <w:autoSpaceDN w:val="0"/>
              <w:adjustRightInd w:val="0"/>
              <w:spacing w:line="480" w:lineRule="exact"/>
              <w:ind w:firstLine="960" w:firstLineChars="400"/>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价格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817" w:type="dxa"/>
            <w:vMerge w:val="continue"/>
            <w:tcBorders>
              <w:top w:val="single" w:color="auto" w:sz="12" w:space="0"/>
              <w:left w:val="single" w:color="auto" w:sz="12" w:space="0"/>
              <w:bottom w:val="single" w:color="auto" w:sz="4" w:space="0"/>
              <w:right w:val="single" w:color="auto" w:sz="4" w:space="0"/>
            </w:tcBorders>
            <w:noWrap w:val="0"/>
            <w:vAlign w:val="center"/>
          </w:tcPr>
          <w:p>
            <w:pPr>
              <w:widowControl/>
              <w:spacing w:line="480" w:lineRule="exact"/>
              <w:jc w:val="left"/>
              <w:rPr>
                <w:rFonts w:hint="eastAsia" w:ascii="宋体" w:hAnsi="宋体" w:eastAsia="宋体" w:cs="宋体"/>
                <w:color w:val="auto"/>
                <w:kern w:val="0"/>
                <w:sz w:val="24"/>
                <w:szCs w:val="20"/>
                <w:highlight w:val="none"/>
              </w:rPr>
            </w:pPr>
          </w:p>
        </w:tc>
        <w:tc>
          <w:tcPr>
            <w:tcW w:w="1843" w:type="dxa"/>
            <w:vMerge w:val="continue"/>
            <w:tcBorders>
              <w:top w:val="single" w:color="auto" w:sz="12" w:space="0"/>
              <w:left w:val="single" w:color="auto" w:sz="4" w:space="0"/>
              <w:bottom w:val="single" w:color="auto" w:sz="4" w:space="0"/>
              <w:right w:val="single" w:color="auto" w:sz="4" w:space="0"/>
            </w:tcBorders>
            <w:noWrap w:val="0"/>
            <w:vAlign w:val="center"/>
          </w:tcPr>
          <w:p>
            <w:pPr>
              <w:widowControl/>
              <w:spacing w:line="480" w:lineRule="exact"/>
              <w:jc w:val="left"/>
              <w:rPr>
                <w:rFonts w:hint="eastAsia" w:ascii="宋体" w:hAnsi="宋体" w:eastAsia="宋体" w:cs="宋体"/>
                <w:color w:val="auto"/>
                <w:kern w:val="0"/>
                <w:sz w:val="24"/>
                <w:szCs w:val="20"/>
                <w:highlight w:val="none"/>
              </w:rPr>
            </w:pPr>
          </w:p>
        </w:tc>
        <w:tc>
          <w:tcPr>
            <w:tcW w:w="1529" w:type="dxa"/>
            <w:vMerge w:val="continue"/>
            <w:tcBorders>
              <w:top w:val="single" w:color="auto" w:sz="12" w:space="0"/>
              <w:left w:val="single" w:color="auto" w:sz="4" w:space="0"/>
              <w:bottom w:val="single" w:color="auto" w:sz="4" w:space="0"/>
              <w:right w:val="single" w:color="auto" w:sz="4" w:space="0"/>
            </w:tcBorders>
            <w:noWrap w:val="0"/>
            <w:vAlign w:val="center"/>
          </w:tcPr>
          <w:p>
            <w:pPr>
              <w:widowControl/>
              <w:spacing w:line="480" w:lineRule="exact"/>
              <w:jc w:val="left"/>
              <w:rPr>
                <w:rFonts w:hint="eastAsia" w:ascii="宋体" w:hAnsi="宋体" w:eastAsia="宋体" w:cs="宋体"/>
                <w:color w:val="auto"/>
                <w:kern w:val="0"/>
                <w:sz w:val="24"/>
                <w:szCs w:val="20"/>
                <w:highlight w:val="none"/>
              </w:rPr>
            </w:pPr>
          </w:p>
        </w:tc>
        <w:tc>
          <w:tcPr>
            <w:tcW w:w="2765" w:type="dxa"/>
            <w:vMerge w:val="continue"/>
            <w:tcBorders>
              <w:top w:val="single" w:color="auto" w:sz="12" w:space="0"/>
              <w:left w:val="single" w:color="auto" w:sz="4" w:space="0"/>
              <w:bottom w:val="single" w:color="auto" w:sz="4" w:space="0"/>
              <w:right w:val="single" w:color="auto" w:sz="4" w:space="0"/>
            </w:tcBorders>
            <w:noWrap w:val="0"/>
            <w:vAlign w:val="center"/>
          </w:tcPr>
          <w:p>
            <w:pPr>
              <w:widowControl/>
              <w:spacing w:line="480" w:lineRule="exact"/>
              <w:jc w:val="left"/>
              <w:rPr>
                <w:rFonts w:hint="eastAsia" w:ascii="宋体" w:hAnsi="宋体" w:eastAsia="宋体" w:cs="宋体"/>
                <w:color w:val="auto"/>
                <w:kern w:val="0"/>
                <w:sz w:val="24"/>
                <w:szCs w:val="20"/>
                <w:highlight w:val="none"/>
              </w:rPr>
            </w:pPr>
          </w:p>
        </w:tc>
        <w:tc>
          <w:tcPr>
            <w:tcW w:w="85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单价</w:t>
            </w:r>
          </w:p>
        </w:tc>
        <w:tc>
          <w:tcPr>
            <w:tcW w:w="95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数量</w:t>
            </w:r>
          </w:p>
        </w:tc>
        <w:tc>
          <w:tcPr>
            <w:tcW w:w="955" w:type="dxa"/>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小计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817" w:type="dxa"/>
            <w:tcBorders>
              <w:top w:val="single" w:color="auto" w:sz="4" w:space="0"/>
              <w:left w:val="single" w:color="auto" w:sz="12" w:space="0"/>
              <w:bottom w:val="single" w:color="auto" w:sz="4" w:space="0"/>
              <w:right w:val="single" w:color="auto" w:sz="4" w:space="0"/>
            </w:tcBorders>
            <w:noWrap w:val="0"/>
            <w:vAlign w:val="center"/>
          </w:tcPr>
          <w:p>
            <w:pPr>
              <w:autoSpaceDE w:val="0"/>
              <w:autoSpaceDN w:val="0"/>
              <w:adjustRightInd w:val="0"/>
              <w:spacing w:line="480" w:lineRule="exac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1</w:t>
            </w:r>
          </w:p>
        </w:tc>
        <w:tc>
          <w:tcPr>
            <w:tcW w:w="1843"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1529"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276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85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5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55" w:type="dxa"/>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817" w:type="dxa"/>
            <w:tcBorders>
              <w:top w:val="single" w:color="auto" w:sz="4" w:space="0"/>
              <w:left w:val="single" w:color="auto" w:sz="12" w:space="0"/>
              <w:bottom w:val="single" w:color="auto" w:sz="4" w:space="0"/>
              <w:right w:val="single" w:color="auto" w:sz="4" w:space="0"/>
            </w:tcBorders>
            <w:noWrap w:val="0"/>
            <w:vAlign w:val="center"/>
          </w:tcPr>
          <w:p>
            <w:pPr>
              <w:autoSpaceDE w:val="0"/>
              <w:autoSpaceDN w:val="0"/>
              <w:adjustRightInd w:val="0"/>
              <w:spacing w:line="480" w:lineRule="exac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2</w:t>
            </w:r>
          </w:p>
        </w:tc>
        <w:tc>
          <w:tcPr>
            <w:tcW w:w="1843"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1529"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276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85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5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55" w:type="dxa"/>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817" w:type="dxa"/>
            <w:tcBorders>
              <w:top w:val="single" w:color="auto" w:sz="4" w:space="0"/>
              <w:left w:val="single" w:color="auto" w:sz="12" w:space="0"/>
              <w:bottom w:val="single" w:color="auto" w:sz="4" w:space="0"/>
              <w:right w:val="single" w:color="auto" w:sz="4" w:space="0"/>
            </w:tcBorders>
            <w:noWrap w:val="0"/>
            <w:vAlign w:val="center"/>
          </w:tcPr>
          <w:p>
            <w:pPr>
              <w:autoSpaceDE w:val="0"/>
              <w:autoSpaceDN w:val="0"/>
              <w:adjustRightInd w:val="0"/>
              <w:spacing w:line="480" w:lineRule="exac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3</w:t>
            </w:r>
          </w:p>
        </w:tc>
        <w:tc>
          <w:tcPr>
            <w:tcW w:w="1843"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w:t>
            </w:r>
          </w:p>
        </w:tc>
        <w:tc>
          <w:tcPr>
            <w:tcW w:w="1529"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276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85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5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55" w:type="dxa"/>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r>
    </w:tbl>
    <w:p>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 xml:space="preserve">说明：1、如所报产品为节能产品，请按要求逐项填写； </w:t>
      </w:r>
    </w:p>
    <w:p>
      <w:pPr>
        <w:autoSpaceDE w:val="0"/>
        <w:autoSpaceDN w:val="0"/>
        <w:adjustRightInd w:val="0"/>
        <w:spacing w:line="480" w:lineRule="exact"/>
        <w:ind w:left="118" w:leftChars="56" w:firstLine="600" w:firstLineChars="250"/>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2、需附节能产品认证证书，且证书内产品型号与所报产品型号完全一致，否则评审时不予加分（非强制节能产品）。</w:t>
      </w:r>
    </w:p>
    <w:p>
      <w:pPr>
        <w:pStyle w:val="16"/>
        <w:spacing w:line="480" w:lineRule="exact"/>
        <w:ind w:firstLine="480" w:firstLineChars="200"/>
        <w:rPr>
          <w:rFonts w:hint="eastAsia" w:ascii="宋体" w:hAnsi="宋体" w:eastAsia="宋体" w:cs="宋体"/>
          <w:color w:val="auto"/>
          <w:sz w:val="24"/>
          <w:szCs w:val="24"/>
          <w:highlight w:val="none"/>
        </w:rPr>
      </w:pPr>
    </w:p>
    <w:p>
      <w:pPr>
        <w:pStyle w:val="16"/>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公章</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：______________</w:t>
      </w:r>
    </w:p>
    <w:p>
      <w:pPr>
        <w:pStyle w:val="16"/>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法定代表人或负责人或其授权代表</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签字或盖章</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：______________</w:t>
      </w:r>
    </w:p>
    <w:p>
      <w:pPr>
        <w:pStyle w:val="16"/>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日期：______年____月____日</w:t>
      </w:r>
    </w:p>
    <w:p>
      <w:pPr>
        <w:pStyle w:val="5"/>
        <w:spacing w:line="480" w:lineRule="exact"/>
        <w:rPr>
          <w:rFonts w:hint="eastAsia" w:ascii="宋体" w:hAnsi="宋体" w:eastAsia="宋体" w:cs="宋体"/>
          <w:color w:val="auto"/>
          <w:sz w:val="30"/>
          <w:highlight w:val="none"/>
          <w:u w:val="none"/>
        </w:rPr>
      </w:pPr>
      <w:r>
        <w:rPr>
          <w:rFonts w:hint="eastAsia" w:ascii="宋体" w:hAnsi="宋体" w:eastAsia="宋体" w:cs="宋体"/>
          <w:color w:val="auto"/>
          <w:highlight w:val="none"/>
          <w:u w:val="none"/>
        </w:rPr>
        <w:t>1</w:t>
      </w:r>
      <w:r>
        <w:rPr>
          <w:rFonts w:hint="eastAsia" w:cs="宋体"/>
          <w:color w:val="auto"/>
          <w:highlight w:val="none"/>
          <w:u w:val="none"/>
          <w:lang w:val="en-US" w:eastAsia="zh-CN"/>
        </w:rPr>
        <w:t>4</w:t>
      </w:r>
      <w:r>
        <w:rPr>
          <w:rFonts w:hint="eastAsia" w:ascii="宋体" w:hAnsi="宋体" w:eastAsia="宋体" w:cs="宋体"/>
          <w:color w:val="auto"/>
          <w:highlight w:val="none"/>
          <w:u w:val="none"/>
        </w:rPr>
        <w:t>.</w:t>
      </w:r>
      <w:r>
        <w:rPr>
          <w:rFonts w:hint="eastAsia" w:cs="宋体"/>
          <w:color w:val="auto"/>
          <w:highlight w:val="none"/>
          <w:u w:val="none"/>
          <w:lang w:val="en-US" w:eastAsia="zh-CN"/>
        </w:rPr>
        <w:t>强制</w:t>
      </w:r>
      <w:r>
        <w:rPr>
          <w:rFonts w:hint="eastAsia" w:ascii="宋体" w:hAnsi="宋体" w:eastAsia="宋体" w:cs="宋体"/>
          <w:color w:val="auto"/>
          <w:highlight w:val="none"/>
          <w:u w:val="none"/>
        </w:rPr>
        <w:t>节能产品明细表</w:t>
      </w:r>
    </w:p>
    <w:p>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项目编号、包号：                                    报价单位：人民币元</w:t>
      </w:r>
    </w:p>
    <w:tbl>
      <w:tblPr>
        <w:tblStyle w:val="30"/>
        <w:tblpPr w:leftFromText="180" w:rightFromText="180" w:vertAnchor="text" w:horzAnchor="margin" w:tblpXSpec="center" w:tblpY="6"/>
        <w:tblW w:w="97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843"/>
        <w:gridCol w:w="1529"/>
        <w:gridCol w:w="2765"/>
        <w:gridCol w:w="855"/>
        <w:gridCol w:w="955"/>
        <w:gridCol w:w="9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817" w:type="dxa"/>
            <w:vMerge w:val="restart"/>
            <w:tcBorders>
              <w:top w:val="single" w:color="auto" w:sz="12" w:space="0"/>
              <w:left w:val="single" w:color="auto" w:sz="12" w:space="0"/>
              <w:bottom w:val="single" w:color="auto" w:sz="4" w:space="0"/>
              <w:right w:val="single" w:color="auto" w:sz="4" w:space="0"/>
            </w:tcBorders>
            <w:noWrap w:val="0"/>
            <w:vAlign w:val="center"/>
          </w:tcPr>
          <w:p>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编号</w:t>
            </w:r>
          </w:p>
        </w:tc>
        <w:tc>
          <w:tcPr>
            <w:tcW w:w="1843" w:type="dxa"/>
            <w:vMerge w:val="restart"/>
            <w:tcBorders>
              <w:top w:val="single" w:color="auto" w:sz="12"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货物名称</w:t>
            </w:r>
          </w:p>
        </w:tc>
        <w:tc>
          <w:tcPr>
            <w:tcW w:w="1529" w:type="dxa"/>
            <w:vMerge w:val="restart"/>
            <w:tcBorders>
              <w:top w:val="single" w:color="auto" w:sz="12"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规格型号</w:t>
            </w:r>
          </w:p>
        </w:tc>
        <w:tc>
          <w:tcPr>
            <w:tcW w:w="2765" w:type="dxa"/>
            <w:vMerge w:val="restart"/>
            <w:tcBorders>
              <w:top w:val="single" w:color="auto" w:sz="12"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节字标志认证证书编号</w:t>
            </w:r>
          </w:p>
        </w:tc>
        <w:tc>
          <w:tcPr>
            <w:tcW w:w="2765" w:type="dxa"/>
            <w:gridSpan w:val="3"/>
            <w:tcBorders>
              <w:top w:val="single" w:color="auto" w:sz="12" w:space="0"/>
              <w:left w:val="single" w:color="auto" w:sz="4" w:space="0"/>
              <w:bottom w:val="single" w:color="auto" w:sz="4" w:space="0"/>
              <w:right w:val="single" w:color="auto" w:sz="12" w:space="0"/>
            </w:tcBorders>
            <w:noWrap w:val="0"/>
            <w:vAlign w:val="center"/>
          </w:tcPr>
          <w:p>
            <w:pPr>
              <w:autoSpaceDE w:val="0"/>
              <w:autoSpaceDN w:val="0"/>
              <w:adjustRightInd w:val="0"/>
              <w:spacing w:line="480" w:lineRule="exact"/>
              <w:ind w:firstLine="960" w:firstLineChars="400"/>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价格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817" w:type="dxa"/>
            <w:vMerge w:val="continue"/>
            <w:tcBorders>
              <w:top w:val="single" w:color="auto" w:sz="12" w:space="0"/>
              <w:left w:val="single" w:color="auto" w:sz="12" w:space="0"/>
              <w:bottom w:val="single" w:color="auto" w:sz="4" w:space="0"/>
              <w:right w:val="single" w:color="auto" w:sz="4" w:space="0"/>
            </w:tcBorders>
            <w:noWrap w:val="0"/>
            <w:vAlign w:val="center"/>
          </w:tcPr>
          <w:p>
            <w:pPr>
              <w:widowControl/>
              <w:spacing w:line="480" w:lineRule="exact"/>
              <w:jc w:val="left"/>
              <w:rPr>
                <w:rFonts w:hint="eastAsia" w:ascii="宋体" w:hAnsi="宋体" w:eastAsia="宋体" w:cs="宋体"/>
                <w:color w:val="auto"/>
                <w:kern w:val="0"/>
                <w:sz w:val="24"/>
                <w:szCs w:val="20"/>
                <w:highlight w:val="none"/>
              </w:rPr>
            </w:pPr>
          </w:p>
        </w:tc>
        <w:tc>
          <w:tcPr>
            <w:tcW w:w="1843" w:type="dxa"/>
            <w:vMerge w:val="continue"/>
            <w:tcBorders>
              <w:top w:val="single" w:color="auto" w:sz="12" w:space="0"/>
              <w:left w:val="single" w:color="auto" w:sz="4" w:space="0"/>
              <w:bottom w:val="single" w:color="auto" w:sz="4" w:space="0"/>
              <w:right w:val="single" w:color="auto" w:sz="4" w:space="0"/>
            </w:tcBorders>
            <w:noWrap w:val="0"/>
            <w:vAlign w:val="center"/>
          </w:tcPr>
          <w:p>
            <w:pPr>
              <w:widowControl/>
              <w:spacing w:line="480" w:lineRule="exact"/>
              <w:jc w:val="left"/>
              <w:rPr>
                <w:rFonts w:hint="eastAsia" w:ascii="宋体" w:hAnsi="宋体" w:eastAsia="宋体" w:cs="宋体"/>
                <w:color w:val="auto"/>
                <w:kern w:val="0"/>
                <w:sz w:val="24"/>
                <w:szCs w:val="20"/>
                <w:highlight w:val="none"/>
              </w:rPr>
            </w:pPr>
          </w:p>
        </w:tc>
        <w:tc>
          <w:tcPr>
            <w:tcW w:w="1529" w:type="dxa"/>
            <w:vMerge w:val="continue"/>
            <w:tcBorders>
              <w:top w:val="single" w:color="auto" w:sz="12" w:space="0"/>
              <w:left w:val="single" w:color="auto" w:sz="4" w:space="0"/>
              <w:bottom w:val="single" w:color="auto" w:sz="4" w:space="0"/>
              <w:right w:val="single" w:color="auto" w:sz="4" w:space="0"/>
            </w:tcBorders>
            <w:noWrap w:val="0"/>
            <w:vAlign w:val="center"/>
          </w:tcPr>
          <w:p>
            <w:pPr>
              <w:widowControl/>
              <w:spacing w:line="480" w:lineRule="exact"/>
              <w:jc w:val="left"/>
              <w:rPr>
                <w:rFonts w:hint="eastAsia" w:ascii="宋体" w:hAnsi="宋体" w:eastAsia="宋体" w:cs="宋体"/>
                <w:color w:val="auto"/>
                <w:kern w:val="0"/>
                <w:sz w:val="24"/>
                <w:szCs w:val="20"/>
                <w:highlight w:val="none"/>
              </w:rPr>
            </w:pPr>
          </w:p>
        </w:tc>
        <w:tc>
          <w:tcPr>
            <w:tcW w:w="2765" w:type="dxa"/>
            <w:vMerge w:val="continue"/>
            <w:tcBorders>
              <w:top w:val="single" w:color="auto" w:sz="12" w:space="0"/>
              <w:left w:val="single" w:color="auto" w:sz="4" w:space="0"/>
              <w:bottom w:val="single" w:color="auto" w:sz="4" w:space="0"/>
              <w:right w:val="single" w:color="auto" w:sz="4" w:space="0"/>
            </w:tcBorders>
            <w:noWrap w:val="0"/>
            <w:vAlign w:val="center"/>
          </w:tcPr>
          <w:p>
            <w:pPr>
              <w:widowControl/>
              <w:spacing w:line="480" w:lineRule="exact"/>
              <w:jc w:val="left"/>
              <w:rPr>
                <w:rFonts w:hint="eastAsia" w:ascii="宋体" w:hAnsi="宋体" w:eastAsia="宋体" w:cs="宋体"/>
                <w:color w:val="auto"/>
                <w:kern w:val="0"/>
                <w:sz w:val="24"/>
                <w:szCs w:val="20"/>
                <w:highlight w:val="none"/>
              </w:rPr>
            </w:pPr>
          </w:p>
        </w:tc>
        <w:tc>
          <w:tcPr>
            <w:tcW w:w="85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单价</w:t>
            </w:r>
          </w:p>
        </w:tc>
        <w:tc>
          <w:tcPr>
            <w:tcW w:w="95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数量</w:t>
            </w:r>
          </w:p>
        </w:tc>
        <w:tc>
          <w:tcPr>
            <w:tcW w:w="955" w:type="dxa"/>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小计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817" w:type="dxa"/>
            <w:tcBorders>
              <w:top w:val="single" w:color="auto" w:sz="4" w:space="0"/>
              <w:left w:val="single" w:color="auto" w:sz="12" w:space="0"/>
              <w:bottom w:val="single" w:color="auto" w:sz="4" w:space="0"/>
              <w:right w:val="single" w:color="auto" w:sz="4" w:space="0"/>
            </w:tcBorders>
            <w:noWrap w:val="0"/>
            <w:vAlign w:val="center"/>
          </w:tcPr>
          <w:p>
            <w:pPr>
              <w:autoSpaceDE w:val="0"/>
              <w:autoSpaceDN w:val="0"/>
              <w:adjustRightInd w:val="0"/>
              <w:spacing w:line="480" w:lineRule="exac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1</w:t>
            </w:r>
          </w:p>
        </w:tc>
        <w:tc>
          <w:tcPr>
            <w:tcW w:w="1843"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1529"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276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85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5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55" w:type="dxa"/>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817" w:type="dxa"/>
            <w:tcBorders>
              <w:top w:val="single" w:color="auto" w:sz="4" w:space="0"/>
              <w:left w:val="single" w:color="auto" w:sz="12" w:space="0"/>
              <w:bottom w:val="single" w:color="auto" w:sz="4" w:space="0"/>
              <w:right w:val="single" w:color="auto" w:sz="4" w:space="0"/>
            </w:tcBorders>
            <w:noWrap w:val="0"/>
            <w:vAlign w:val="center"/>
          </w:tcPr>
          <w:p>
            <w:pPr>
              <w:autoSpaceDE w:val="0"/>
              <w:autoSpaceDN w:val="0"/>
              <w:adjustRightInd w:val="0"/>
              <w:spacing w:line="480" w:lineRule="exac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2</w:t>
            </w:r>
          </w:p>
        </w:tc>
        <w:tc>
          <w:tcPr>
            <w:tcW w:w="1843"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1529"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276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85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5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55" w:type="dxa"/>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817" w:type="dxa"/>
            <w:tcBorders>
              <w:top w:val="single" w:color="auto" w:sz="4" w:space="0"/>
              <w:left w:val="single" w:color="auto" w:sz="12" w:space="0"/>
              <w:bottom w:val="single" w:color="auto" w:sz="4" w:space="0"/>
              <w:right w:val="single" w:color="auto" w:sz="4" w:space="0"/>
            </w:tcBorders>
            <w:noWrap w:val="0"/>
            <w:vAlign w:val="center"/>
          </w:tcPr>
          <w:p>
            <w:pPr>
              <w:autoSpaceDE w:val="0"/>
              <w:autoSpaceDN w:val="0"/>
              <w:adjustRightInd w:val="0"/>
              <w:spacing w:line="480" w:lineRule="exac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3</w:t>
            </w:r>
          </w:p>
        </w:tc>
        <w:tc>
          <w:tcPr>
            <w:tcW w:w="1843"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w:t>
            </w:r>
          </w:p>
        </w:tc>
        <w:tc>
          <w:tcPr>
            <w:tcW w:w="1529"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276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85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5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55" w:type="dxa"/>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r>
    </w:tbl>
    <w:p>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 xml:space="preserve">说明：1、如所报产品为节能产品，请按要求逐项填写； </w:t>
      </w:r>
    </w:p>
    <w:p>
      <w:pPr>
        <w:autoSpaceDE w:val="0"/>
        <w:autoSpaceDN w:val="0"/>
        <w:adjustRightInd w:val="0"/>
        <w:spacing w:line="480" w:lineRule="exact"/>
        <w:ind w:left="118" w:leftChars="56" w:firstLine="600" w:firstLineChars="250"/>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2、需附节能产品认证证书，且证书内产品型号与所报产品型号完全一致，未提供产品认证证书或证书内产品型号与所报产品型号不完全一致的，将被认定为无效响应。</w:t>
      </w:r>
    </w:p>
    <w:p>
      <w:pPr>
        <w:pStyle w:val="16"/>
        <w:spacing w:line="480" w:lineRule="exact"/>
        <w:ind w:firstLine="480" w:firstLineChars="200"/>
        <w:rPr>
          <w:rFonts w:hint="eastAsia" w:ascii="宋体" w:hAnsi="宋体" w:eastAsia="宋体" w:cs="宋体"/>
          <w:color w:val="auto"/>
          <w:sz w:val="24"/>
          <w:szCs w:val="24"/>
          <w:highlight w:val="none"/>
        </w:rPr>
      </w:pPr>
    </w:p>
    <w:p>
      <w:pPr>
        <w:pStyle w:val="16"/>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公章</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：______________</w:t>
      </w:r>
    </w:p>
    <w:p>
      <w:pPr>
        <w:pStyle w:val="16"/>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法定代表人或负责人或其授权代表</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签字或盖章</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：______________</w:t>
      </w:r>
    </w:p>
    <w:p>
      <w:pPr>
        <w:pStyle w:val="16"/>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日期：______年____月____日</w:t>
      </w:r>
    </w:p>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p>
      <w:pPr>
        <w:pStyle w:val="5"/>
        <w:rPr>
          <w:rFonts w:hint="eastAsia" w:ascii="宋体" w:hAnsi="宋体" w:eastAsia="宋体" w:cs="宋体"/>
          <w:color w:val="auto"/>
          <w:highlight w:val="none"/>
          <w:u w:val="none"/>
        </w:rPr>
      </w:pPr>
      <w:bookmarkStart w:id="326" w:name="_Toc16133"/>
      <w:r>
        <w:rPr>
          <w:rFonts w:hint="eastAsia" w:ascii="宋体" w:hAnsi="宋体" w:eastAsia="宋体" w:cs="宋体"/>
          <w:color w:val="auto"/>
          <w:highlight w:val="none"/>
          <w:u w:val="none"/>
        </w:rPr>
        <w:t>1</w:t>
      </w:r>
      <w:r>
        <w:rPr>
          <w:rFonts w:hint="eastAsia" w:cs="宋体"/>
          <w:color w:val="auto"/>
          <w:highlight w:val="none"/>
          <w:u w:val="none"/>
          <w:lang w:val="en-US" w:eastAsia="zh-CN"/>
        </w:rPr>
        <w:t>5</w:t>
      </w:r>
      <w:r>
        <w:rPr>
          <w:rFonts w:hint="eastAsia" w:ascii="宋体" w:hAnsi="宋体" w:eastAsia="宋体" w:cs="宋体"/>
          <w:color w:val="auto"/>
          <w:highlight w:val="none"/>
          <w:u w:val="none"/>
        </w:rPr>
        <w:t>. 案例一览表</w:t>
      </w:r>
      <w:bookmarkEnd w:id="326"/>
    </w:p>
    <w:p>
      <w:pPr>
        <w:spacing w:line="360" w:lineRule="auto"/>
        <w:ind w:right="187"/>
        <w:jc w:val="center"/>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案例一览表及合同复印件</w:t>
      </w:r>
    </w:p>
    <w:tbl>
      <w:tblPr>
        <w:tblStyle w:val="30"/>
        <w:tblW w:w="95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4"/>
        <w:gridCol w:w="1416"/>
        <w:gridCol w:w="1010"/>
        <w:gridCol w:w="1208"/>
        <w:gridCol w:w="1249"/>
        <w:gridCol w:w="1221"/>
        <w:gridCol w:w="1409"/>
        <w:gridCol w:w="14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jc w:val="center"/>
        </w:trPr>
        <w:tc>
          <w:tcPr>
            <w:tcW w:w="634" w:type="dxa"/>
            <w:tcBorders>
              <w:top w:val="single" w:color="auto" w:sz="12" w:space="0"/>
              <w:left w:val="single" w:color="auto" w:sz="12" w:space="0"/>
              <w:bottom w:val="single" w:color="auto" w:sz="4" w:space="0"/>
              <w:right w:val="single" w:color="auto" w:sz="4" w:space="0"/>
            </w:tcBorders>
            <w:noWrap w:val="0"/>
            <w:vAlign w:val="center"/>
          </w:tcPr>
          <w:p>
            <w:pPr>
              <w:spacing w:line="36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序号</w:t>
            </w:r>
          </w:p>
        </w:tc>
        <w:tc>
          <w:tcPr>
            <w:tcW w:w="1416" w:type="dxa"/>
            <w:tcBorders>
              <w:top w:val="single" w:color="auto" w:sz="12"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项目内容</w:t>
            </w:r>
          </w:p>
        </w:tc>
        <w:tc>
          <w:tcPr>
            <w:tcW w:w="1010" w:type="dxa"/>
            <w:tcBorders>
              <w:top w:val="single" w:color="auto" w:sz="12"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合同金额</w:t>
            </w:r>
          </w:p>
        </w:tc>
        <w:tc>
          <w:tcPr>
            <w:tcW w:w="1208" w:type="dxa"/>
            <w:tcBorders>
              <w:top w:val="single" w:color="auto" w:sz="12"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项目单位名称</w:t>
            </w:r>
          </w:p>
        </w:tc>
        <w:tc>
          <w:tcPr>
            <w:tcW w:w="1249" w:type="dxa"/>
            <w:tcBorders>
              <w:top w:val="single" w:color="auto" w:sz="12"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项目负责人姓名</w:t>
            </w:r>
          </w:p>
        </w:tc>
        <w:tc>
          <w:tcPr>
            <w:tcW w:w="1221" w:type="dxa"/>
            <w:tcBorders>
              <w:top w:val="single" w:color="auto" w:sz="12"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合同签订日期</w:t>
            </w:r>
          </w:p>
        </w:tc>
        <w:tc>
          <w:tcPr>
            <w:tcW w:w="1409" w:type="dxa"/>
            <w:tcBorders>
              <w:top w:val="single" w:color="auto" w:sz="12" w:space="0"/>
              <w:left w:val="single" w:color="auto" w:sz="4" w:space="0"/>
              <w:bottom w:val="single" w:color="auto" w:sz="4" w:space="0"/>
              <w:right w:val="single" w:color="auto" w:sz="12" w:space="0"/>
            </w:tcBorders>
            <w:noWrap w:val="0"/>
            <w:vAlign w:val="center"/>
          </w:tcPr>
          <w:p>
            <w:pPr>
              <w:spacing w:line="36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项目单位的有效联系方式</w:t>
            </w:r>
          </w:p>
        </w:tc>
        <w:tc>
          <w:tcPr>
            <w:tcW w:w="1409" w:type="dxa"/>
            <w:tcBorders>
              <w:top w:val="single" w:color="auto" w:sz="12" w:space="0"/>
              <w:left w:val="single" w:color="auto" w:sz="4" w:space="0"/>
              <w:bottom w:val="single" w:color="auto" w:sz="4" w:space="0"/>
              <w:right w:val="single" w:color="auto" w:sz="12" w:space="0"/>
            </w:tcBorders>
            <w:noWrap w:val="0"/>
            <w:vAlign w:val="center"/>
          </w:tcPr>
          <w:p>
            <w:pPr>
              <w:spacing w:line="36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合同复印件等证明材料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634" w:type="dxa"/>
            <w:tcBorders>
              <w:top w:val="single" w:color="auto" w:sz="4" w:space="0"/>
              <w:left w:val="single" w:color="auto" w:sz="12" w:space="0"/>
              <w:bottom w:val="single" w:color="auto" w:sz="4" w:space="0"/>
              <w:right w:val="single" w:color="auto" w:sz="4" w:space="0"/>
            </w:tcBorders>
            <w:noWrap w:val="0"/>
            <w:vAlign w:val="center"/>
          </w:tcPr>
          <w:p>
            <w:pPr>
              <w:spacing w:line="360" w:lineRule="exact"/>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1</w:t>
            </w:r>
          </w:p>
        </w:tc>
        <w:tc>
          <w:tcPr>
            <w:tcW w:w="1416"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eastAsia="宋体" w:cs="宋体"/>
                <w:b/>
                <w:color w:val="auto"/>
                <w:kern w:val="0"/>
                <w:szCs w:val="21"/>
                <w:highlight w:val="none"/>
              </w:rPr>
            </w:pPr>
          </w:p>
        </w:tc>
        <w:tc>
          <w:tcPr>
            <w:tcW w:w="1010"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eastAsia="宋体" w:cs="宋体"/>
                <w:b/>
                <w:color w:val="auto"/>
                <w:kern w:val="0"/>
                <w:szCs w:val="21"/>
                <w:highlight w:val="none"/>
              </w:rPr>
            </w:pPr>
          </w:p>
        </w:tc>
        <w:tc>
          <w:tcPr>
            <w:tcW w:w="1208"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eastAsia="宋体" w:cs="宋体"/>
                <w:b/>
                <w:color w:val="auto"/>
                <w:kern w:val="0"/>
                <w:szCs w:val="21"/>
                <w:highlight w:val="none"/>
              </w:rPr>
            </w:pPr>
          </w:p>
        </w:tc>
        <w:tc>
          <w:tcPr>
            <w:tcW w:w="1249"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eastAsia="宋体" w:cs="宋体"/>
                <w:b/>
                <w:color w:val="auto"/>
                <w:kern w:val="0"/>
                <w:szCs w:val="21"/>
                <w:highlight w:val="none"/>
              </w:rPr>
            </w:pPr>
          </w:p>
        </w:tc>
        <w:tc>
          <w:tcPr>
            <w:tcW w:w="1221" w:type="dxa"/>
            <w:tcBorders>
              <w:top w:val="single" w:color="auto" w:sz="4" w:space="0"/>
              <w:left w:val="single" w:color="auto" w:sz="4" w:space="0"/>
              <w:bottom w:val="single" w:color="auto" w:sz="4" w:space="0"/>
              <w:right w:val="single" w:color="auto" w:sz="4" w:space="0"/>
            </w:tcBorders>
            <w:noWrap w:val="0"/>
            <w:vAlign w:val="top"/>
          </w:tcPr>
          <w:p>
            <w:pPr>
              <w:spacing w:line="360" w:lineRule="exact"/>
              <w:jc w:val="center"/>
              <w:rPr>
                <w:rFonts w:hint="eastAsia" w:ascii="宋体" w:hAnsi="宋体" w:eastAsia="宋体" w:cs="宋体"/>
                <w:b/>
                <w:color w:val="auto"/>
                <w:kern w:val="0"/>
                <w:szCs w:val="21"/>
                <w:highlight w:val="none"/>
              </w:rPr>
            </w:pPr>
          </w:p>
        </w:tc>
        <w:tc>
          <w:tcPr>
            <w:tcW w:w="1409" w:type="dxa"/>
            <w:tcBorders>
              <w:top w:val="single" w:color="auto" w:sz="4" w:space="0"/>
              <w:left w:val="single" w:color="auto" w:sz="4" w:space="0"/>
              <w:bottom w:val="single" w:color="auto" w:sz="4" w:space="0"/>
              <w:right w:val="single" w:color="auto" w:sz="12" w:space="0"/>
            </w:tcBorders>
            <w:noWrap w:val="0"/>
            <w:vAlign w:val="center"/>
          </w:tcPr>
          <w:p>
            <w:pPr>
              <w:spacing w:line="360" w:lineRule="exact"/>
              <w:jc w:val="center"/>
              <w:rPr>
                <w:rFonts w:hint="eastAsia" w:ascii="宋体" w:hAnsi="宋体" w:eastAsia="宋体" w:cs="宋体"/>
                <w:b/>
                <w:color w:val="auto"/>
                <w:kern w:val="0"/>
                <w:szCs w:val="21"/>
                <w:highlight w:val="none"/>
              </w:rPr>
            </w:pPr>
          </w:p>
        </w:tc>
        <w:tc>
          <w:tcPr>
            <w:tcW w:w="1409" w:type="dxa"/>
            <w:tcBorders>
              <w:top w:val="single" w:color="auto" w:sz="4" w:space="0"/>
              <w:left w:val="single" w:color="auto" w:sz="4" w:space="0"/>
              <w:bottom w:val="single" w:color="auto" w:sz="4" w:space="0"/>
              <w:right w:val="single" w:color="auto" w:sz="12" w:space="0"/>
            </w:tcBorders>
            <w:noWrap w:val="0"/>
            <w:vAlign w:val="top"/>
          </w:tcPr>
          <w:p>
            <w:pPr>
              <w:spacing w:line="360" w:lineRule="exact"/>
              <w:jc w:val="center"/>
              <w:rPr>
                <w:rFonts w:hint="eastAsia" w:ascii="宋体" w:hAnsi="宋体" w:eastAsia="宋体" w:cs="宋体"/>
                <w:b/>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634" w:type="dxa"/>
            <w:tcBorders>
              <w:top w:val="single" w:color="auto" w:sz="4" w:space="0"/>
              <w:left w:val="single" w:color="auto" w:sz="12" w:space="0"/>
              <w:bottom w:val="single" w:color="auto" w:sz="4" w:space="0"/>
              <w:right w:val="single" w:color="auto" w:sz="4" w:space="0"/>
            </w:tcBorders>
            <w:noWrap w:val="0"/>
            <w:vAlign w:val="center"/>
          </w:tcPr>
          <w:p>
            <w:pPr>
              <w:spacing w:line="360" w:lineRule="exact"/>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2</w:t>
            </w:r>
          </w:p>
        </w:tc>
        <w:tc>
          <w:tcPr>
            <w:tcW w:w="1416"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eastAsia="宋体" w:cs="宋体"/>
                <w:b/>
                <w:color w:val="auto"/>
                <w:kern w:val="0"/>
                <w:szCs w:val="21"/>
                <w:highlight w:val="none"/>
              </w:rPr>
            </w:pPr>
          </w:p>
        </w:tc>
        <w:tc>
          <w:tcPr>
            <w:tcW w:w="1010"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eastAsia="宋体" w:cs="宋体"/>
                <w:b/>
                <w:color w:val="auto"/>
                <w:kern w:val="0"/>
                <w:szCs w:val="21"/>
                <w:highlight w:val="none"/>
              </w:rPr>
            </w:pPr>
          </w:p>
        </w:tc>
        <w:tc>
          <w:tcPr>
            <w:tcW w:w="1208"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eastAsia="宋体" w:cs="宋体"/>
                <w:b/>
                <w:color w:val="auto"/>
                <w:kern w:val="0"/>
                <w:szCs w:val="21"/>
                <w:highlight w:val="none"/>
              </w:rPr>
            </w:pPr>
          </w:p>
        </w:tc>
        <w:tc>
          <w:tcPr>
            <w:tcW w:w="1249"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eastAsia="宋体" w:cs="宋体"/>
                <w:b/>
                <w:color w:val="auto"/>
                <w:kern w:val="0"/>
                <w:szCs w:val="21"/>
                <w:highlight w:val="none"/>
              </w:rPr>
            </w:pPr>
          </w:p>
        </w:tc>
        <w:tc>
          <w:tcPr>
            <w:tcW w:w="1221" w:type="dxa"/>
            <w:tcBorders>
              <w:top w:val="single" w:color="auto" w:sz="4" w:space="0"/>
              <w:left w:val="single" w:color="auto" w:sz="4" w:space="0"/>
              <w:bottom w:val="single" w:color="auto" w:sz="4" w:space="0"/>
              <w:right w:val="single" w:color="auto" w:sz="4" w:space="0"/>
            </w:tcBorders>
            <w:noWrap w:val="0"/>
            <w:vAlign w:val="top"/>
          </w:tcPr>
          <w:p>
            <w:pPr>
              <w:spacing w:line="360" w:lineRule="exact"/>
              <w:jc w:val="center"/>
              <w:rPr>
                <w:rFonts w:hint="eastAsia" w:ascii="宋体" w:hAnsi="宋体" w:eastAsia="宋体" w:cs="宋体"/>
                <w:b/>
                <w:color w:val="auto"/>
                <w:kern w:val="0"/>
                <w:szCs w:val="21"/>
                <w:highlight w:val="none"/>
              </w:rPr>
            </w:pPr>
          </w:p>
        </w:tc>
        <w:tc>
          <w:tcPr>
            <w:tcW w:w="1409" w:type="dxa"/>
            <w:tcBorders>
              <w:top w:val="single" w:color="auto" w:sz="4" w:space="0"/>
              <w:left w:val="single" w:color="auto" w:sz="4" w:space="0"/>
              <w:bottom w:val="single" w:color="auto" w:sz="4" w:space="0"/>
              <w:right w:val="single" w:color="auto" w:sz="12" w:space="0"/>
            </w:tcBorders>
            <w:noWrap w:val="0"/>
            <w:vAlign w:val="center"/>
          </w:tcPr>
          <w:p>
            <w:pPr>
              <w:spacing w:line="360" w:lineRule="exact"/>
              <w:jc w:val="center"/>
              <w:rPr>
                <w:rFonts w:hint="eastAsia" w:ascii="宋体" w:hAnsi="宋体" w:eastAsia="宋体" w:cs="宋体"/>
                <w:b/>
                <w:color w:val="auto"/>
                <w:kern w:val="0"/>
                <w:szCs w:val="21"/>
                <w:highlight w:val="none"/>
              </w:rPr>
            </w:pPr>
          </w:p>
        </w:tc>
        <w:tc>
          <w:tcPr>
            <w:tcW w:w="1409" w:type="dxa"/>
            <w:tcBorders>
              <w:top w:val="single" w:color="auto" w:sz="4" w:space="0"/>
              <w:left w:val="single" w:color="auto" w:sz="4" w:space="0"/>
              <w:bottom w:val="single" w:color="auto" w:sz="4" w:space="0"/>
              <w:right w:val="single" w:color="auto" w:sz="12" w:space="0"/>
            </w:tcBorders>
            <w:noWrap w:val="0"/>
            <w:vAlign w:val="top"/>
          </w:tcPr>
          <w:p>
            <w:pPr>
              <w:spacing w:line="360" w:lineRule="exact"/>
              <w:jc w:val="center"/>
              <w:rPr>
                <w:rFonts w:hint="eastAsia" w:ascii="宋体" w:hAnsi="宋体" w:eastAsia="宋体" w:cs="宋体"/>
                <w:b/>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634" w:type="dxa"/>
            <w:tcBorders>
              <w:top w:val="single" w:color="auto" w:sz="4" w:space="0"/>
              <w:left w:val="single" w:color="auto" w:sz="12" w:space="0"/>
              <w:bottom w:val="single" w:color="auto" w:sz="4" w:space="0"/>
              <w:right w:val="single" w:color="auto" w:sz="4" w:space="0"/>
            </w:tcBorders>
            <w:noWrap w:val="0"/>
            <w:vAlign w:val="center"/>
          </w:tcPr>
          <w:p>
            <w:pPr>
              <w:spacing w:line="360" w:lineRule="exact"/>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3</w:t>
            </w:r>
          </w:p>
        </w:tc>
        <w:tc>
          <w:tcPr>
            <w:tcW w:w="1416"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eastAsia="宋体" w:cs="宋体"/>
                <w:b/>
                <w:color w:val="auto"/>
                <w:kern w:val="0"/>
                <w:szCs w:val="21"/>
                <w:highlight w:val="none"/>
              </w:rPr>
            </w:pPr>
          </w:p>
        </w:tc>
        <w:tc>
          <w:tcPr>
            <w:tcW w:w="1010"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eastAsia="宋体" w:cs="宋体"/>
                <w:b/>
                <w:color w:val="auto"/>
                <w:kern w:val="0"/>
                <w:szCs w:val="21"/>
                <w:highlight w:val="none"/>
              </w:rPr>
            </w:pPr>
          </w:p>
        </w:tc>
        <w:tc>
          <w:tcPr>
            <w:tcW w:w="1208"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eastAsia="宋体" w:cs="宋体"/>
                <w:b/>
                <w:color w:val="auto"/>
                <w:kern w:val="0"/>
                <w:szCs w:val="21"/>
                <w:highlight w:val="none"/>
              </w:rPr>
            </w:pPr>
          </w:p>
        </w:tc>
        <w:tc>
          <w:tcPr>
            <w:tcW w:w="1249"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eastAsia="宋体" w:cs="宋体"/>
                <w:b/>
                <w:color w:val="auto"/>
                <w:kern w:val="0"/>
                <w:szCs w:val="21"/>
                <w:highlight w:val="none"/>
              </w:rPr>
            </w:pPr>
          </w:p>
        </w:tc>
        <w:tc>
          <w:tcPr>
            <w:tcW w:w="1221" w:type="dxa"/>
            <w:tcBorders>
              <w:top w:val="single" w:color="auto" w:sz="4" w:space="0"/>
              <w:left w:val="single" w:color="auto" w:sz="4" w:space="0"/>
              <w:bottom w:val="single" w:color="auto" w:sz="4" w:space="0"/>
              <w:right w:val="single" w:color="auto" w:sz="4" w:space="0"/>
            </w:tcBorders>
            <w:noWrap w:val="0"/>
            <w:vAlign w:val="top"/>
          </w:tcPr>
          <w:p>
            <w:pPr>
              <w:spacing w:line="360" w:lineRule="exact"/>
              <w:jc w:val="center"/>
              <w:rPr>
                <w:rFonts w:hint="eastAsia" w:ascii="宋体" w:hAnsi="宋体" w:eastAsia="宋体" w:cs="宋体"/>
                <w:b/>
                <w:color w:val="auto"/>
                <w:kern w:val="0"/>
                <w:szCs w:val="21"/>
                <w:highlight w:val="none"/>
              </w:rPr>
            </w:pPr>
          </w:p>
        </w:tc>
        <w:tc>
          <w:tcPr>
            <w:tcW w:w="1409" w:type="dxa"/>
            <w:tcBorders>
              <w:top w:val="single" w:color="auto" w:sz="4" w:space="0"/>
              <w:left w:val="single" w:color="auto" w:sz="4" w:space="0"/>
              <w:bottom w:val="single" w:color="auto" w:sz="4" w:space="0"/>
              <w:right w:val="single" w:color="auto" w:sz="12" w:space="0"/>
            </w:tcBorders>
            <w:noWrap w:val="0"/>
            <w:vAlign w:val="center"/>
          </w:tcPr>
          <w:p>
            <w:pPr>
              <w:spacing w:line="360" w:lineRule="exact"/>
              <w:jc w:val="center"/>
              <w:rPr>
                <w:rFonts w:hint="eastAsia" w:ascii="宋体" w:hAnsi="宋体" w:eastAsia="宋体" w:cs="宋体"/>
                <w:b/>
                <w:color w:val="auto"/>
                <w:kern w:val="0"/>
                <w:szCs w:val="21"/>
                <w:highlight w:val="none"/>
              </w:rPr>
            </w:pPr>
          </w:p>
        </w:tc>
        <w:tc>
          <w:tcPr>
            <w:tcW w:w="1409" w:type="dxa"/>
            <w:tcBorders>
              <w:top w:val="single" w:color="auto" w:sz="4" w:space="0"/>
              <w:left w:val="single" w:color="auto" w:sz="4" w:space="0"/>
              <w:bottom w:val="single" w:color="auto" w:sz="4" w:space="0"/>
              <w:right w:val="single" w:color="auto" w:sz="12" w:space="0"/>
            </w:tcBorders>
            <w:noWrap w:val="0"/>
            <w:vAlign w:val="top"/>
          </w:tcPr>
          <w:p>
            <w:pPr>
              <w:spacing w:line="360" w:lineRule="exact"/>
              <w:jc w:val="center"/>
              <w:rPr>
                <w:rFonts w:hint="eastAsia" w:ascii="宋体" w:hAnsi="宋体" w:eastAsia="宋体" w:cs="宋体"/>
                <w:b/>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7" w:hRule="atLeast"/>
          <w:jc w:val="center"/>
        </w:trPr>
        <w:tc>
          <w:tcPr>
            <w:tcW w:w="634" w:type="dxa"/>
            <w:tcBorders>
              <w:top w:val="single" w:color="auto" w:sz="4" w:space="0"/>
              <w:left w:val="single" w:color="auto" w:sz="12" w:space="0"/>
              <w:bottom w:val="single" w:color="auto" w:sz="12" w:space="0"/>
              <w:right w:val="single" w:color="auto" w:sz="4" w:space="0"/>
            </w:tcBorders>
            <w:noWrap w:val="0"/>
            <w:vAlign w:val="center"/>
          </w:tcPr>
          <w:p>
            <w:pPr>
              <w:spacing w:line="360" w:lineRule="exact"/>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4</w:t>
            </w:r>
          </w:p>
        </w:tc>
        <w:tc>
          <w:tcPr>
            <w:tcW w:w="1416" w:type="dxa"/>
            <w:tcBorders>
              <w:top w:val="single" w:color="auto" w:sz="4" w:space="0"/>
              <w:left w:val="single" w:color="auto" w:sz="4" w:space="0"/>
              <w:bottom w:val="single" w:color="auto" w:sz="12" w:space="0"/>
              <w:right w:val="single" w:color="auto" w:sz="4" w:space="0"/>
            </w:tcBorders>
            <w:noWrap w:val="0"/>
            <w:vAlign w:val="center"/>
          </w:tcPr>
          <w:p>
            <w:pPr>
              <w:spacing w:line="360" w:lineRule="exact"/>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w:t>
            </w:r>
          </w:p>
        </w:tc>
        <w:tc>
          <w:tcPr>
            <w:tcW w:w="1010" w:type="dxa"/>
            <w:tcBorders>
              <w:top w:val="single" w:color="auto" w:sz="4" w:space="0"/>
              <w:left w:val="single" w:color="auto" w:sz="4" w:space="0"/>
              <w:bottom w:val="single" w:color="auto" w:sz="12" w:space="0"/>
              <w:right w:val="single" w:color="auto" w:sz="4" w:space="0"/>
            </w:tcBorders>
            <w:noWrap w:val="0"/>
            <w:vAlign w:val="center"/>
          </w:tcPr>
          <w:p>
            <w:pPr>
              <w:spacing w:line="360" w:lineRule="exact"/>
              <w:jc w:val="center"/>
              <w:rPr>
                <w:rFonts w:hint="eastAsia" w:ascii="宋体" w:hAnsi="宋体" w:eastAsia="宋体" w:cs="宋体"/>
                <w:b/>
                <w:color w:val="auto"/>
                <w:kern w:val="0"/>
                <w:szCs w:val="21"/>
                <w:highlight w:val="none"/>
              </w:rPr>
            </w:pPr>
          </w:p>
        </w:tc>
        <w:tc>
          <w:tcPr>
            <w:tcW w:w="1208" w:type="dxa"/>
            <w:tcBorders>
              <w:top w:val="single" w:color="auto" w:sz="4" w:space="0"/>
              <w:left w:val="single" w:color="auto" w:sz="4" w:space="0"/>
              <w:bottom w:val="single" w:color="auto" w:sz="12" w:space="0"/>
              <w:right w:val="single" w:color="auto" w:sz="4" w:space="0"/>
            </w:tcBorders>
            <w:noWrap w:val="0"/>
            <w:vAlign w:val="center"/>
          </w:tcPr>
          <w:p>
            <w:pPr>
              <w:spacing w:line="360" w:lineRule="exact"/>
              <w:jc w:val="center"/>
              <w:rPr>
                <w:rFonts w:hint="eastAsia" w:ascii="宋体" w:hAnsi="宋体" w:eastAsia="宋体" w:cs="宋体"/>
                <w:b/>
                <w:color w:val="auto"/>
                <w:kern w:val="0"/>
                <w:szCs w:val="21"/>
                <w:highlight w:val="none"/>
              </w:rPr>
            </w:pPr>
          </w:p>
        </w:tc>
        <w:tc>
          <w:tcPr>
            <w:tcW w:w="1249" w:type="dxa"/>
            <w:tcBorders>
              <w:top w:val="single" w:color="auto" w:sz="4" w:space="0"/>
              <w:left w:val="single" w:color="auto" w:sz="4" w:space="0"/>
              <w:bottom w:val="single" w:color="auto" w:sz="12" w:space="0"/>
              <w:right w:val="single" w:color="auto" w:sz="4" w:space="0"/>
            </w:tcBorders>
            <w:noWrap w:val="0"/>
            <w:vAlign w:val="center"/>
          </w:tcPr>
          <w:p>
            <w:pPr>
              <w:spacing w:line="360" w:lineRule="exact"/>
              <w:jc w:val="center"/>
              <w:rPr>
                <w:rFonts w:hint="eastAsia" w:ascii="宋体" w:hAnsi="宋体" w:eastAsia="宋体" w:cs="宋体"/>
                <w:b/>
                <w:color w:val="auto"/>
                <w:kern w:val="0"/>
                <w:szCs w:val="21"/>
                <w:highlight w:val="none"/>
              </w:rPr>
            </w:pPr>
          </w:p>
        </w:tc>
        <w:tc>
          <w:tcPr>
            <w:tcW w:w="1221" w:type="dxa"/>
            <w:tcBorders>
              <w:top w:val="single" w:color="auto" w:sz="4" w:space="0"/>
              <w:left w:val="single" w:color="auto" w:sz="4" w:space="0"/>
              <w:bottom w:val="single" w:color="auto" w:sz="12" w:space="0"/>
              <w:right w:val="single" w:color="auto" w:sz="4" w:space="0"/>
            </w:tcBorders>
            <w:noWrap w:val="0"/>
            <w:vAlign w:val="top"/>
          </w:tcPr>
          <w:p>
            <w:pPr>
              <w:spacing w:line="360" w:lineRule="exact"/>
              <w:jc w:val="center"/>
              <w:rPr>
                <w:rFonts w:hint="eastAsia" w:ascii="宋体" w:hAnsi="宋体" w:eastAsia="宋体" w:cs="宋体"/>
                <w:b/>
                <w:color w:val="auto"/>
                <w:kern w:val="0"/>
                <w:szCs w:val="21"/>
                <w:highlight w:val="none"/>
              </w:rPr>
            </w:pPr>
          </w:p>
        </w:tc>
        <w:tc>
          <w:tcPr>
            <w:tcW w:w="1409" w:type="dxa"/>
            <w:tcBorders>
              <w:top w:val="single" w:color="auto" w:sz="4" w:space="0"/>
              <w:left w:val="single" w:color="auto" w:sz="4" w:space="0"/>
              <w:bottom w:val="single" w:color="auto" w:sz="12" w:space="0"/>
              <w:right w:val="single" w:color="auto" w:sz="12" w:space="0"/>
            </w:tcBorders>
            <w:noWrap w:val="0"/>
            <w:vAlign w:val="center"/>
          </w:tcPr>
          <w:p>
            <w:pPr>
              <w:spacing w:line="360" w:lineRule="exact"/>
              <w:jc w:val="center"/>
              <w:rPr>
                <w:rFonts w:hint="eastAsia" w:ascii="宋体" w:hAnsi="宋体" w:eastAsia="宋体" w:cs="宋体"/>
                <w:b/>
                <w:color w:val="auto"/>
                <w:kern w:val="0"/>
                <w:szCs w:val="21"/>
                <w:highlight w:val="none"/>
              </w:rPr>
            </w:pPr>
          </w:p>
        </w:tc>
        <w:tc>
          <w:tcPr>
            <w:tcW w:w="1409" w:type="dxa"/>
            <w:tcBorders>
              <w:top w:val="single" w:color="auto" w:sz="4" w:space="0"/>
              <w:left w:val="single" w:color="auto" w:sz="4" w:space="0"/>
              <w:bottom w:val="single" w:color="auto" w:sz="12" w:space="0"/>
              <w:right w:val="single" w:color="auto" w:sz="12" w:space="0"/>
            </w:tcBorders>
            <w:noWrap w:val="0"/>
            <w:vAlign w:val="top"/>
          </w:tcPr>
          <w:p>
            <w:pPr>
              <w:spacing w:line="360" w:lineRule="exact"/>
              <w:jc w:val="center"/>
              <w:rPr>
                <w:rFonts w:hint="eastAsia" w:ascii="宋体" w:hAnsi="宋体" w:eastAsia="宋体" w:cs="宋体"/>
                <w:b/>
                <w:color w:val="auto"/>
                <w:kern w:val="0"/>
                <w:szCs w:val="21"/>
                <w:highlight w:val="none"/>
              </w:rPr>
            </w:pPr>
          </w:p>
        </w:tc>
      </w:tr>
    </w:tbl>
    <w:p>
      <w:pPr>
        <w:spacing w:line="360" w:lineRule="auto"/>
        <w:ind w:right="187"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说明：（1）以上合同案例须真实有效，相关内容在中标</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成交</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公告中予以公示。</w:t>
      </w:r>
    </w:p>
    <w:p>
      <w:pPr>
        <w:spacing w:line="360" w:lineRule="auto"/>
        <w:ind w:right="187" w:firstLine="840" w:firstLineChars="350"/>
        <w:jc w:val="left"/>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 xml:space="preserve">(2) </w:t>
      </w:r>
      <w:r>
        <w:rPr>
          <w:rFonts w:hint="eastAsia" w:ascii="宋体" w:hAnsi="宋体" w:eastAsia="宋体" w:cs="宋体"/>
          <w:color w:val="auto"/>
          <w:kern w:val="0"/>
          <w:sz w:val="24"/>
          <w:highlight w:val="none"/>
        </w:rPr>
        <w:t>提供</w:t>
      </w:r>
      <w:r>
        <w:rPr>
          <w:rFonts w:hint="eastAsia" w:ascii="宋体" w:hAnsi="宋体" w:eastAsia="宋体" w:cs="宋体"/>
          <w:color w:val="auto"/>
          <w:sz w:val="24"/>
          <w:highlight w:val="none"/>
        </w:rPr>
        <w:t>提交</w:t>
      </w:r>
      <w:r>
        <w:rPr>
          <w:rFonts w:hint="eastAsia" w:ascii="宋体" w:hAnsi="宋体" w:eastAsia="宋体" w:cs="宋体"/>
          <w:color w:val="auto"/>
          <w:sz w:val="24"/>
          <w:highlight w:val="none"/>
          <w:lang w:val="en-US" w:eastAsia="zh-CN"/>
        </w:rPr>
        <w:t>2021</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lang w:val="en-US" w:eastAsia="zh-CN"/>
        </w:rPr>
        <w:t>1</w:t>
      </w:r>
      <w:r>
        <w:rPr>
          <w:rFonts w:hint="eastAsia" w:ascii="宋体" w:hAnsi="宋体" w:eastAsia="宋体" w:cs="宋体"/>
          <w:color w:val="auto"/>
          <w:sz w:val="24"/>
          <w:highlight w:val="none"/>
        </w:rPr>
        <w:t>月1日以来</w:t>
      </w:r>
      <w:r>
        <w:rPr>
          <w:rFonts w:hint="eastAsia" w:ascii="宋体" w:hAnsi="宋体" w:eastAsia="宋体" w:cs="宋体"/>
          <w:color w:val="auto"/>
          <w:kern w:val="0"/>
          <w:sz w:val="24"/>
          <w:highlight w:val="none"/>
        </w:rPr>
        <w:t>的</w:t>
      </w:r>
      <w:r>
        <w:rPr>
          <w:rFonts w:hint="eastAsia" w:ascii="宋体" w:hAnsi="宋体" w:eastAsia="宋体" w:cs="宋体"/>
          <w:color w:val="auto"/>
          <w:kern w:val="0"/>
          <w:sz w:val="24"/>
          <w:highlight w:val="none"/>
          <w:lang w:val="en-US" w:eastAsia="zh-CN"/>
        </w:rPr>
        <w:t>同类项目业绩</w:t>
      </w:r>
      <w:r>
        <w:rPr>
          <w:rFonts w:hint="eastAsia" w:ascii="宋体" w:hAnsi="宋体" w:eastAsia="宋体" w:cs="宋体"/>
          <w:color w:val="auto"/>
          <w:kern w:val="0"/>
          <w:sz w:val="24"/>
          <w:highlight w:val="none"/>
        </w:rPr>
        <w:t>证明材料</w:t>
      </w:r>
      <w:r>
        <w:rPr>
          <w:rFonts w:hint="eastAsia" w:ascii="宋体" w:hAnsi="宋体" w:eastAsia="宋体" w:cs="宋体"/>
          <w:color w:val="auto"/>
          <w:kern w:val="0"/>
          <w:sz w:val="24"/>
          <w:highlight w:val="none"/>
          <w:lang w:eastAsia="zh-CN"/>
        </w:rPr>
        <w:t>。</w:t>
      </w:r>
    </w:p>
    <w:p>
      <w:pPr>
        <w:spacing w:line="440" w:lineRule="exact"/>
        <w:rPr>
          <w:rFonts w:hint="eastAsia" w:ascii="宋体" w:hAnsi="宋体" w:eastAsia="宋体" w:cs="宋体"/>
          <w:color w:val="auto"/>
          <w:sz w:val="24"/>
          <w:highlight w:val="none"/>
        </w:rPr>
      </w:pPr>
    </w:p>
    <w:p>
      <w:pPr>
        <w:spacing w:line="44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供应商名称：（公章）</w:t>
      </w:r>
    </w:p>
    <w:p>
      <w:pPr>
        <w:spacing w:line="44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w:t>
      </w:r>
      <w:r>
        <w:rPr>
          <w:rFonts w:hint="eastAsia" w:ascii="宋体" w:hAnsi="宋体" w:eastAsia="宋体" w:cs="宋体"/>
          <w:color w:val="auto"/>
          <w:sz w:val="24"/>
          <w:highlight w:val="none"/>
          <w:lang w:eastAsia="zh-CN"/>
        </w:rPr>
        <w:t>供应商</w:t>
      </w:r>
      <w:r>
        <w:rPr>
          <w:rFonts w:hint="eastAsia" w:ascii="宋体" w:hAnsi="宋体" w:eastAsia="宋体" w:cs="宋体"/>
          <w:color w:val="auto"/>
          <w:sz w:val="24"/>
          <w:highlight w:val="none"/>
        </w:rPr>
        <w:t>全权代表：（签字或印章）</w:t>
      </w:r>
    </w:p>
    <w:p>
      <w:pPr>
        <w:spacing w:line="44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日  期：    年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 xml:space="preserve">月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 xml:space="preserve"> 日</w:t>
      </w:r>
    </w:p>
    <w:p>
      <w:pPr>
        <w:pStyle w:val="5"/>
        <w:spacing w:line="480" w:lineRule="exact"/>
        <w:rPr>
          <w:rFonts w:hint="eastAsia" w:ascii="宋体" w:hAnsi="宋体" w:eastAsia="宋体" w:cs="宋体"/>
          <w:color w:val="auto"/>
          <w:highlight w:val="none"/>
          <w:u w:val="none"/>
        </w:rPr>
      </w:pPr>
      <w:r>
        <w:rPr>
          <w:rFonts w:hint="eastAsia" w:ascii="宋体" w:hAnsi="宋体" w:eastAsia="宋体" w:cs="宋体"/>
          <w:color w:val="auto"/>
          <w:highlight w:val="none"/>
          <w:u w:val="none"/>
        </w:rPr>
        <w:t>1</w:t>
      </w:r>
      <w:r>
        <w:rPr>
          <w:rFonts w:hint="eastAsia" w:cs="宋体"/>
          <w:color w:val="auto"/>
          <w:highlight w:val="none"/>
          <w:u w:val="none"/>
          <w:lang w:val="en-US" w:eastAsia="zh-CN"/>
        </w:rPr>
        <w:t>6</w:t>
      </w:r>
      <w:r>
        <w:rPr>
          <w:rFonts w:hint="eastAsia" w:ascii="宋体" w:hAnsi="宋体" w:eastAsia="宋体" w:cs="宋体"/>
          <w:color w:val="auto"/>
          <w:highlight w:val="none"/>
          <w:u w:val="none"/>
        </w:rPr>
        <w:t>.技术评审文件</w:t>
      </w:r>
      <w:bookmarkEnd w:id="317"/>
      <w:bookmarkEnd w:id="318"/>
    </w:p>
    <w:p>
      <w:pPr>
        <w:spacing w:line="480" w:lineRule="exact"/>
        <w:jc w:val="left"/>
        <w:rPr>
          <w:rFonts w:hint="eastAsia" w:ascii="宋体" w:hAnsi="宋体" w:eastAsia="宋体" w:cs="宋体"/>
          <w:color w:val="auto"/>
          <w:kern w:val="0"/>
          <w:sz w:val="24"/>
          <w:szCs w:val="22"/>
          <w:highlight w:val="none"/>
        </w:rPr>
      </w:pPr>
      <w:r>
        <w:rPr>
          <w:rFonts w:hint="eastAsia" w:ascii="宋体" w:hAnsi="宋体" w:eastAsia="宋体" w:cs="宋体"/>
          <w:color w:val="auto"/>
          <w:kern w:val="0"/>
          <w:sz w:val="24"/>
          <w:szCs w:val="22"/>
          <w:highlight w:val="none"/>
        </w:rPr>
        <w:t>技术部分评分中要求的相关技术文件。</w:t>
      </w:r>
    </w:p>
    <w:p>
      <w:pPr>
        <w:pStyle w:val="5"/>
        <w:spacing w:line="480" w:lineRule="exact"/>
        <w:rPr>
          <w:rFonts w:hint="eastAsia" w:ascii="宋体" w:hAnsi="宋体" w:eastAsia="宋体" w:cs="宋体"/>
          <w:color w:val="auto"/>
          <w:highlight w:val="none"/>
          <w:u w:val="none"/>
        </w:rPr>
      </w:pPr>
      <w:bookmarkStart w:id="327" w:name="_Toc46238290"/>
      <w:bookmarkStart w:id="328" w:name="_Toc46136873"/>
      <w:r>
        <w:rPr>
          <w:rFonts w:hint="eastAsia" w:ascii="宋体" w:hAnsi="宋体" w:eastAsia="宋体" w:cs="宋体"/>
          <w:color w:val="auto"/>
          <w:highlight w:val="none"/>
          <w:u w:val="none"/>
        </w:rPr>
        <w:t>1</w:t>
      </w:r>
      <w:r>
        <w:rPr>
          <w:rFonts w:hint="eastAsia" w:cs="宋体"/>
          <w:color w:val="auto"/>
          <w:highlight w:val="none"/>
          <w:u w:val="none"/>
          <w:lang w:val="en-US" w:eastAsia="zh-CN"/>
        </w:rPr>
        <w:t>7</w:t>
      </w:r>
      <w:r>
        <w:rPr>
          <w:rFonts w:hint="eastAsia" w:ascii="宋体" w:hAnsi="宋体" w:eastAsia="宋体" w:cs="宋体"/>
          <w:color w:val="auto"/>
          <w:highlight w:val="none"/>
          <w:u w:val="none"/>
        </w:rPr>
        <w:t>.其他用于评分的证明材料</w:t>
      </w:r>
      <w:bookmarkEnd w:id="327"/>
      <w:bookmarkEnd w:id="328"/>
    </w:p>
    <w:p>
      <w:pPr>
        <w:spacing w:line="480" w:lineRule="exact"/>
        <w:jc w:val="left"/>
        <w:rPr>
          <w:rFonts w:hint="eastAsia" w:ascii="宋体" w:hAnsi="宋体" w:eastAsia="宋体" w:cs="宋体"/>
          <w:color w:val="auto"/>
          <w:kern w:val="0"/>
          <w:sz w:val="24"/>
          <w:szCs w:val="22"/>
          <w:highlight w:val="none"/>
        </w:rPr>
      </w:pPr>
      <w:r>
        <w:rPr>
          <w:rFonts w:hint="eastAsia" w:ascii="宋体" w:hAnsi="宋体" w:eastAsia="宋体" w:cs="宋体"/>
          <w:color w:val="auto"/>
          <w:kern w:val="0"/>
          <w:sz w:val="24"/>
          <w:szCs w:val="22"/>
          <w:highlight w:val="none"/>
        </w:rPr>
        <w:t>评分中要求的相关文件。</w:t>
      </w:r>
    </w:p>
    <w:p>
      <w:pPr>
        <w:pStyle w:val="5"/>
        <w:spacing w:line="480" w:lineRule="exact"/>
        <w:rPr>
          <w:rFonts w:hint="eastAsia" w:ascii="宋体" w:hAnsi="宋体" w:eastAsia="宋体" w:cs="宋体"/>
          <w:color w:val="auto"/>
          <w:highlight w:val="none"/>
          <w:u w:val="none"/>
        </w:rPr>
      </w:pPr>
      <w:bookmarkStart w:id="329" w:name="_Toc46238291"/>
      <w:bookmarkStart w:id="330" w:name="_Toc46136874"/>
      <w:r>
        <w:rPr>
          <w:rFonts w:hint="eastAsia" w:ascii="宋体" w:hAnsi="宋体" w:eastAsia="宋体" w:cs="宋体"/>
          <w:color w:val="auto"/>
          <w:highlight w:val="none"/>
          <w:u w:val="none"/>
        </w:rPr>
        <w:t>1</w:t>
      </w:r>
      <w:r>
        <w:rPr>
          <w:rFonts w:hint="eastAsia" w:cs="宋体"/>
          <w:color w:val="auto"/>
          <w:highlight w:val="none"/>
          <w:u w:val="none"/>
          <w:lang w:val="en-US" w:eastAsia="zh-CN"/>
        </w:rPr>
        <w:t>8</w:t>
      </w:r>
      <w:r>
        <w:rPr>
          <w:rFonts w:hint="eastAsia" w:ascii="宋体" w:hAnsi="宋体" w:eastAsia="宋体" w:cs="宋体"/>
          <w:color w:val="auto"/>
          <w:highlight w:val="none"/>
          <w:u w:val="none"/>
        </w:rPr>
        <w:t>.</w:t>
      </w:r>
      <w:bookmarkEnd w:id="329"/>
      <w:bookmarkEnd w:id="330"/>
      <w:bookmarkStart w:id="331" w:name="_Toc46238292"/>
      <w:bookmarkStart w:id="332" w:name="_Toc46136875"/>
      <w:r>
        <w:rPr>
          <w:rFonts w:hint="eastAsia" w:ascii="宋体" w:hAnsi="宋体" w:eastAsia="宋体" w:cs="宋体"/>
          <w:color w:val="auto"/>
          <w:highlight w:val="none"/>
          <w:u w:val="none"/>
        </w:rPr>
        <w:t>供应商关联单位的说明</w:t>
      </w:r>
      <w:bookmarkEnd w:id="319"/>
      <w:bookmarkEnd w:id="331"/>
      <w:bookmarkEnd w:id="332"/>
    </w:p>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说明：供应商应当如实披露与本单位存在下列关联关系的单位名称：</w:t>
      </w:r>
    </w:p>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（1）与供应商单位负责人为同一人的其他单位；</w:t>
      </w:r>
    </w:p>
    <w:p>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 xml:space="preserve"> （2）与供应商存在直接控股、管理关系的其他单位。</w:t>
      </w:r>
    </w:p>
    <w:p>
      <w:pPr>
        <w:pStyle w:val="5"/>
        <w:spacing w:line="480" w:lineRule="exact"/>
        <w:rPr>
          <w:rFonts w:hint="eastAsia" w:ascii="宋体" w:hAnsi="宋体" w:eastAsia="宋体" w:cs="宋体"/>
          <w:color w:val="auto"/>
          <w:highlight w:val="none"/>
          <w:u w:val="none"/>
        </w:rPr>
      </w:pPr>
      <w:r>
        <w:rPr>
          <w:rFonts w:hint="eastAsia" w:ascii="宋体" w:hAnsi="宋体" w:eastAsia="宋体" w:cs="宋体"/>
          <w:color w:val="auto"/>
          <w:highlight w:val="none"/>
          <w:u w:val="none"/>
        </w:rPr>
        <w:t>1</w:t>
      </w:r>
      <w:r>
        <w:rPr>
          <w:rFonts w:hint="eastAsia" w:cs="宋体"/>
          <w:color w:val="auto"/>
          <w:highlight w:val="none"/>
          <w:u w:val="none"/>
          <w:lang w:val="en-US" w:eastAsia="zh-CN"/>
        </w:rPr>
        <w:t>9</w:t>
      </w:r>
      <w:r>
        <w:rPr>
          <w:rFonts w:hint="eastAsia" w:ascii="宋体" w:hAnsi="宋体" w:eastAsia="宋体" w:cs="宋体"/>
          <w:color w:val="auto"/>
          <w:highlight w:val="none"/>
          <w:u w:val="none"/>
        </w:rPr>
        <w:t>.</w:t>
      </w:r>
      <w:r>
        <w:rPr>
          <w:rFonts w:hint="eastAsia" w:ascii="宋体" w:hAnsi="宋体" w:eastAsia="宋体" w:cs="宋体"/>
          <w:color w:val="auto"/>
          <w:highlight w:val="none"/>
          <w:u w:val="none"/>
          <w:lang w:eastAsia="zh-CN"/>
        </w:rPr>
        <w:t>其他材料</w:t>
      </w:r>
    </w:p>
    <w:p>
      <w:pPr>
        <w:pStyle w:val="3"/>
        <w:rPr>
          <w:rFonts w:hint="eastAsia" w:ascii="宋体" w:hAnsi="宋体" w:eastAsia="宋体" w:cs="宋体"/>
          <w:color w:val="auto"/>
          <w:highlight w:val="none"/>
        </w:rPr>
      </w:pPr>
      <w:r>
        <w:rPr>
          <w:rFonts w:hint="eastAsia" w:ascii="宋体" w:hAnsi="宋体" w:eastAsia="宋体" w:cs="宋体"/>
          <w:i/>
          <w:color w:val="auto"/>
          <w:highlight w:val="none"/>
        </w:rPr>
        <w:br w:type="page"/>
      </w:r>
      <w:bookmarkStart w:id="333" w:name="_Toc68259633"/>
      <w:bookmarkStart w:id="334" w:name="_Toc3391"/>
      <w:r>
        <w:rPr>
          <w:rFonts w:hint="eastAsia" w:ascii="宋体" w:hAnsi="宋体" w:eastAsia="宋体" w:cs="宋体"/>
          <w:color w:val="auto"/>
          <w:highlight w:val="none"/>
        </w:rPr>
        <w:t>第7章  政府采购合同格式</w:t>
      </w:r>
      <w:bookmarkEnd w:id="333"/>
      <w:bookmarkEnd w:id="334"/>
    </w:p>
    <w:tbl>
      <w:tblPr>
        <w:tblStyle w:val="31"/>
        <w:tblpPr w:leftFromText="180" w:rightFromText="180" w:vertAnchor="page" w:horzAnchor="page" w:tblpX="7252" w:tblpY="1749"/>
        <w:tblOverlap w:val="never"/>
        <w:tblW w:w="0" w:type="auto"/>
        <w:jc w:val="righ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7"/>
        <w:gridCol w:w="27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right"/>
        </w:trPr>
        <w:tc>
          <w:tcPr>
            <w:tcW w:w="1697" w:type="dxa"/>
            <w:vAlign w:val="center"/>
          </w:tcPr>
          <w:p>
            <w:pPr>
              <w:jc w:val="center"/>
              <w:rPr>
                <w:rFonts w:hint="eastAsia" w:ascii="宋体" w:hAnsi="宋体" w:eastAsia="宋体" w:cs="宋体"/>
                <w:color w:val="auto"/>
                <w:sz w:val="28"/>
                <w:szCs w:val="28"/>
                <w:highlight w:val="none"/>
              </w:rPr>
            </w:pPr>
            <w:r>
              <w:rPr>
                <w:rFonts w:hint="eastAsia" w:ascii="宋体" w:hAnsi="宋体" w:eastAsia="宋体" w:cs="宋体"/>
                <w:b/>
                <w:bCs/>
                <w:color w:val="auto"/>
                <w:sz w:val="28"/>
                <w:szCs w:val="28"/>
                <w:highlight w:val="none"/>
              </w:rPr>
              <w:t>备案编号</w:t>
            </w:r>
          </w:p>
        </w:tc>
        <w:tc>
          <w:tcPr>
            <w:tcW w:w="2784" w:type="dxa"/>
            <w:vAlign w:val="center"/>
          </w:tcPr>
          <w:p>
            <w:pPr>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LD-202</w:t>
            </w:r>
            <w:r>
              <w:rPr>
                <w:rFonts w:hint="eastAsia" w:ascii="宋体" w:hAnsi="宋体" w:cs="宋体"/>
                <w:b/>
                <w:color w:val="auto"/>
                <w:sz w:val="32"/>
                <w:szCs w:val="32"/>
                <w:highlight w:val="none"/>
                <w:lang w:val="en-US" w:eastAsia="zh-CN"/>
              </w:rPr>
              <w:t>4</w:t>
            </w:r>
            <w:r>
              <w:rPr>
                <w:rFonts w:hint="eastAsia" w:ascii="宋体" w:hAnsi="宋体" w:eastAsia="宋体" w:cs="宋体"/>
                <w:b/>
                <w:color w:val="auto"/>
                <w:sz w:val="32"/>
                <w:szCs w:val="32"/>
                <w:highlight w:val="none"/>
              </w:rPr>
              <w:t>-ZB</w:t>
            </w:r>
            <w:r>
              <w:rPr>
                <w:rFonts w:hint="eastAsia" w:ascii="宋体" w:hAnsi="宋体" w:eastAsia="宋体" w:cs="宋体"/>
                <w:b/>
                <w:color w:val="auto"/>
                <w:sz w:val="32"/>
                <w:szCs w:val="32"/>
                <w:highlight w:val="none"/>
                <w:lang w:val="en-US" w:eastAsia="zh-CN"/>
              </w:rPr>
              <w:t>2</w:t>
            </w:r>
            <w:r>
              <w:rPr>
                <w:rFonts w:hint="eastAsia" w:ascii="宋体" w:hAnsi="宋体" w:eastAsia="宋体" w:cs="宋体"/>
                <w:b/>
                <w:color w:val="auto"/>
                <w:sz w:val="32"/>
                <w:szCs w:val="32"/>
                <w:highlight w:val="none"/>
              </w:rPr>
              <w:t>-</w:t>
            </w:r>
          </w:p>
        </w:tc>
      </w:tr>
    </w:tbl>
    <w:p>
      <w:pPr>
        <w:spacing w:line="320" w:lineRule="atLeast"/>
        <w:ind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drawing>
          <wp:inline distT="0" distB="0" distL="114300" distR="114300">
            <wp:extent cx="934720" cy="927735"/>
            <wp:effectExtent l="0" t="0" r="17780" b="5715"/>
            <wp:docPr id="20" name="图片 2" descr="u=3151740014,3740664874&amp;fm=15&amp;g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 descr="u=3151740014,3740664874&amp;fm=15&amp;gp=0"/>
                    <pic:cNvPicPr>
                      <a:picLocks noChangeAspect="1"/>
                    </pic:cNvPicPr>
                  </pic:nvPicPr>
                  <pic:blipFill>
                    <a:blip r:embed="rId15"/>
                    <a:stretch>
                      <a:fillRect/>
                    </a:stretch>
                  </pic:blipFill>
                  <pic:spPr>
                    <a:xfrm>
                      <a:off x="0" y="0"/>
                      <a:ext cx="934720" cy="927735"/>
                    </a:xfrm>
                    <a:prstGeom prst="rect">
                      <a:avLst/>
                    </a:prstGeom>
                    <a:noFill/>
                    <a:ln>
                      <a:noFill/>
                    </a:ln>
                  </pic:spPr>
                </pic:pic>
              </a:graphicData>
            </a:graphic>
          </wp:inline>
        </w:drawing>
      </w:r>
      <w:r>
        <w:rPr>
          <w:rFonts w:hint="eastAsia" w:ascii="宋体" w:hAnsi="宋体" w:eastAsia="宋体" w:cs="宋体"/>
          <w:color w:val="auto"/>
          <w:highlight w:val="none"/>
        </w:rPr>
        <w:t xml:space="preserve">          </w:t>
      </w:r>
    </w:p>
    <w:p>
      <w:pPr>
        <w:spacing w:line="320" w:lineRule="atLeast"/>
        <w:jc w:val="left"/>
        <w:rPr>
          <w:rFonts w:hint="eastAsia" w:ascii="宋体" w:hAnsi="宋体" w:eastAsia="宋体" w:cs="宋体"/>
          <w:b/>
          <w:bCs/>
          <w:color w:val="auto"/>
          <w:sz w:val="32"/>
          <w:szCs w:val="32"/>
          <w:highlight w:val="none"/>
        </w:rPr>
      </w:pPr>
      <w:r>
        <w:rPr>
          <w:rFonts w:hint="eastAsia" w:ascii="宋体" w:hAnsi="宋体" w:eastAsia="宋体" w:cs="宋体"/>
          <w:color w:val="auto"/>
          <w:highlight w:val="none"/>
        </w:rPr>
        <w:t xml:space="preserve"> </w:t>
      </w:r>
      <w:r>
        <w:rPr>
          <w:rFonts w:hint="eastAsia" w:ascii="宋体" w:hAnsi="宋体" w:eastAsia="宋体" w:cs="宋体"/>
          <w:b/>
          <w:bCs/>
          <w:color w:val="auto"/>
          <w:sz w:val="32"/>
          <w:szCs w:val="32"/>
          <w:highlight w:val="none"/>
        </w:rPr>
        <w:t>临沂大学合同</w:t>
      </w:r>
    </w:p>
    <w:p>
      <w:pPr>
        <w:spacing w:line="360" w:lineRule="auto"/>
        <w:jc w:val="both"/>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 xml:space="preserve">                    </w:t>
      </w:r>
    </w:p>
    <w:p>
      <w:pPr>
        <w:spacing w:line="360" w:lineRule="auto"/>
        <w:jc w:val="center"/>
        <w:rPr>
          <w:rFonts w:hint="eastAsia" w:ascii="宋体" w:hAnsi="宋体" w:eastAsia="宋体" w:cs="宋体"/>
          <w:color w:val="auto"/>
          <w:sz w:val="44"/>
          <w:szCs w:val="44"/>
          <w:highlight w:val="none"/>
        </w:rPr>
      </w:pPr>
      <w:r>
        <w:rPr>
          <w:rFonts w:hint="eastAsia" w:ascii="宋体" w:hAnsi="宋体" w:eastAsia="宋体" w:cs="宋体"/>
          <w:color w:val="auto"/>
          <w:sz w:val="44"/>
          <w:szCs w:val="44"/>
          <w:highlight w:val="none"/>
        </w:rPr>
        <w:t>山东省政府采购合同</w:t>
      </w:r>
    </w:p>
    <w:p>
      <w:pPr>
        <w:snapToGrid w:val="0"/>
        <w:spacing w:line="360" w:lineRule="auto"/>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（设备类）</w:t>
      </w:r>
    </w:p>
    <w:p>
      <w:pPr>
        <w:snapToGrid w:val="0"/>
        <w:spacing w:line="360" w:lineRule="auto"/>
        <w:jc w:val="center"/>
        <w:rPr>
          <w:rFonts w:hint="eastAsia" w:ascii="宋体" w:hAnsi="宋体" w:eastAsia="宋体" w:cs="宋体"/>
          <w:color w:val="auto"/>
          <w:sz w:val="28"/>
          <w:szCs w:val="28"/>
          <w:highlight w:val="none"/>
        </w:rPr>
      </w:pPr>
    </w:p>
    <w:p>
      <w:pPr>
        <w:snapToGrid w:val="0"/>
        <w:spacing w:line="360" w:lineRule="auto"/>
        <w:jc w:val="center"/>
        <w:rPr>
          <w:rFonts w:hint="eastAsia" w:ascii="宋体" w:hAnsi="宋体" w:eastAsia="宋体" w:cs="宋体"/>
          <w:color w:val="auto"/>
          <w:sz w:val="28"/>
          <w:szCs w:val="28"/>
          <w:highlight w:val="none"/>
        </w:rPr>
      </w:pPr>
    </w:p>
    <w:p>
      <w:pPr>
        <w:spacing w:line="360" w:lineRule="auto"/>
        <w:ind w:firstLine="640" w:firstLineChars="200"/>
        <w:rPr>
          <w:rFonts w:hint="eastAsia" w:ascii="宋体" w:hAnsi="宋体" w:eastAsia="宋体" w:cs="宋体"/>
          <w:color w:val="auto"/>
          <w:sz w:val="32"/>
          <w:highlight w:val="none"/>
        </w:rPr>
      </w:pPr>
      <w:r>
        <w:rPr>
          <w:rFonts w:hint="eastAsia" w:ascii="宋体" w:hAnsi="宋体" w:eastAsia="宋体" w:cs="宋体"/>
          <w:color w:val="auto"/>
          <w:sz w:val="32"/>
          <w:highlight w:val="none"/>
        </w:rPr>
        <w:t>项目名称</w:t>
      </w:r>
      <w:r>
        <w:rPr>
          <w:rFonts w:hint="eastAsia" w:ascii="宋体" w:hAnsi="宋体" w:eastAsia="宋体" w:cs="宋体"/>
          <w:b/>
          <w:bCs/>
          <w:color w:val="auto"/>
          <w:sz w:val="32"/>
          <w:highlight w:val="none"/>
        </w:rPr>
        <w:t>:</w:t>
      </w:r>
      <w:r>
        <w:rPr>
          <w:rFonts w:hint="eastAsia" w:ascii="宋体" w:hAnsi="宋体" w:eastAsia="宋体" w:cs="宋体"/>
          <w:color w:val="auto"/>
          <w:sz w:val="32"/>
          <w:highlight w:val="none"/>
          <w:u w:val="single"/>
        </w:rPr>
        <w:t xml:space="preserve">  </w:t>
      </w:r>
      <w:r>
        <w:rPr>
          <w:rFonts w:hint="eastAsia" w:ascii="宋体" w:hAnsi="宋体" w:cs="宋体"/>
          <w:color w:val="auto"/>
          <w:sz w:val="32"/>
          <w:highlight w:val="none"/>
          <w:u w:val="single"/>
          <w:lang w:eastAsia="zh-CN"/>
        </w:rPr>
        <w:t>临沂大学2024年国际交流中心维修改造家电购置预采购项目</w:t>
      </w:r>
      <w:r>
        <w:rPr>
          <w:rFonts w:hint="eastAsia" w:ascii="宋体" w:hAnsi="宋体" w:eastAsia="宋体" w:cs="宋体"/>
          <w:color w:val="auto"/>
          <w:sz w:val="32"/>
          <w:highlight w:val="none"/>
          <w:u w:val="single"/>
        </w:rPr>
        <w:t xml:space="preserve">   </w:t>
      </w:r>
      <w:r>
        <w:rPr>
          <w:rFonts w:hint="eastAsia" w:ascii="宋体" w:hAnsi="宋体" w:eastAsia="宋体" w:cs="宋体"/>
          <w:color w:val="auto"/>
          <w:sz w:val="32"/>
          <w:highlight w:val="none"/>
        </w:rPr>
        <w:t xml:space="preserve">                 </w:t>
      </w:r>
    </w:p>
    <w:p>
      <w:pPr>
        <w:spacing w:line="360" w:lineRule="auto"/>
        <w:ind w:firstLine="640" w:firstLineChars="200"/>
        <w:rPr>
          <w:rFonts w:hint="eastAsia" w:ascii="宋体" w:hAnsi="宋体" w:eastAsia="宋体" w:cs="宋体"/>
          <w:color w:val="auto"/>
          <w:sz w:val="32"/>
          <w:highlight w:val="none"/>
          <w:u w:val="single"/>
        </w:rPr>
      </w:pPr>
      <w:r>
        <w:rPr>
          <w:rFonts w:hint="eastAsia" w:ascii="宋体" w:hAnsi="宋体" w:eastAsia="宋体" w:cs="宋体"/>
          <w:color w:val="auto"/>
          <w:sz w:val="32"/>
          <w:highlight w:val="none"/>
        </w:rPr>
        <w:t>合同编号：</w:t>
      </w:r>
      <w:r>
        <w:rPr>
          <w:rFonts w:hint="eastAsia" w:ascii="宋体" w:hAnsi="宋体" w:eastAsia="宋体" w:cs="宋体"/>
          <w:color w:val="auto"/>
          <w:sz w:val="32"/>
          <w:highlight w:val="none"/>
          <w:u w:val="single"/>
        </w:rPr>
        <w:t xml:space="preserve">  </w:t>
      </w:r>
      <w:r>
        <w:rPr>
          <w:rFonts w:hint="eastAsia" w:ascii="宋体" w:hAnsi="宋体" w:cs="宋体"/>
          <w:color w:val="auto"/>
          <w:sz w:val="32"/>
          <w:highlight w:val="none"/>
          <w:u w:val="single"/>
          <w:lang w:eastAsia="zh-CN"/>
        </w:rPr>
        <w:t>SDGP370000000202402003706</w:t>
      </w:r>
      <w:r>
        <w:rPr>
          <w:rFonts w:hint="eastAsia" w:ascii="宋体" w:hAnsi="宋体" w:eastAsia="宋体" w:cs="宋体"/>
          <w:color w:val="auto"/>
          <w:sz w:val="32"/>
          <w:highlight w:val="none"/>
          <w:u w:val="single"/>
        </w:rPr>
        <w:t xml:space="preserve">  </w:t>
      </w:r>
    </w:p>
    <w:p>
      <w:pPr>
        <w:spacing w:line="360" w:lineRule="auto"/>
        <w:ind w:firstLine="640" w:firstLineChars="200"/>
        <w:rPr>
          <w:rFonts w:hint="eastAsia" w:ascii="宋体" w:hAnsi="宋体" w:eastAsia="宋体" w:cs="宋体"/>
          <w:b/>
          <w:color w:val="auto"/>
          <w:sz w:val="32"/>
          <w:highlight w:val="none"/>
          <w:u w:val="single"/>
        </w:rPr>
      </w:pPr>
      <w:r>
        <w:rPr>
          <w:rFonts w:hint="eastAsia" w:ascii="宋体" w:hAnsi="宋体" w:eastAsia="宋体" w:cs="宋体"/>
          <w:color w:val="auto"/>
          <w:sz w:val="32"/>
          <w:highlight w:val="none"/>
        </w:rPr>
        <w:t>计划编号：</w:t>
      </w:r>
      <w:r>
        <w:rPr>
          <w:rFonts w:hint="eastAsia" w:ascii="宋体" w:hAnsi="宋体" w:eastAsia="宋体" w:cs="宋体"/>
          <w:bCs/>
          <w:color w:val="auto"/>
          <w:sz w:val="32"/>
          <w:highlight w:val="none"/>
          <w:u w:val="single"/>
        </w:rPr>
        <w:t xml:space="preserve">  </w:t>
      </w:r>
      <w:r>
        <w:rPr>
          <w:rFonts w:hint="eastAsia" w:ascii="宋体" w:hAnsi="宋体" w:eastAsia="宋体" w:cs="宋体"/>
          <w:bCs/>
          <w:color w:val="auto"/>
          <w:sz w:val="32"/>
          <w:highlight w:val="none"/>
          <w:u w:val="single"/>
          <w:lang w:val="en-US" w:eastAsia="zh-CN"/>
        </w:rPr>
        <w:t xml:space="preserve">             </w:t>
      </w:r>
      <w:r>
        <w:rPr>
          <w:rFonts w:hint="eastAsia" w:ascii="宋体" w:hAnsi="宋体" w:eastAsia="宋体" w:cs="宋体"/>
          <w:bCs/>
          <w:color w:val="auto"/>
          <w:sz w:val="32"/>
          <w:highlight w:val="none"/>
          <w:u w:val="single"/>
        </w:rPr>
        <w:t xml:space="preserve">  </w:t>
      </w:r>
    </w:p>
    <w:p>
      <w:pPr>
        <w:spacing w:line="360" w:lineRule="auto"/>
        <w:jc w:val="center"/>
        <w:rPr>
          <w:rFonts w:hint="eastAsia" w:ascii="宋体" w:hAnsi="宋体" w:eastAsia="宋体" w:cs="宋体"/>
          <w:b/>
          <w:color w:val="auto"/>
          <w:sz w:val="24"/>
          <w:highlight w:val="none"/>
        </w:rPr>
      </w:pPr>
    </w:p>
    <w:p>
      <w:pPr>
        <w:spacing w:line="360" w:lineRule="auto"/>
        <w:jc w:val="center"/>
        <w:rPr>
          <w:rFonts w:hint="eastAsia" w:ascii="宋体" w:hAnsi="宋体" w:eastAsia="宋体" w:cs="宋体"/>
          <w:b/>
          <w:color w:val="auto"/>
          <w:sz w:val="24"/>
          <w:highlight w:val="none"/>
        </w:rPr>
      </w:pPr>
    </w:p>
    <w:p>
      <w:pPr>
        <w:spacing w:line="360" w:lineRule="auto"/>
        <w:jc w:val="center"/>
        <w:rPr>
          <w:rFonts w:hint="eastAsia" w:ascii="宋体" w:hAnsi="宋体" w:eastAsia="宋体" w:cs="宋体"/>
          <w:b/>
          <w:color w:val="auto"/>
          <w:sz w:val="24"/>
          <w:highlight w:val="none"/>
        </w:rPr>
      </w:pPr>
    </w:p>
    <w:p>
      <w:pPr>
        <w:spacing w:line="360" w:lineRule="auto"/>
        <w:ind w:firstLine="1968" w:firstLineChars="700"/>
        <w:rPr>
          <w:rFonts w:hint="eastAsia" w:ascii="宋体" w:hAnsi="宋体" w:eastAsia="宋体" w:cs="宋体"/>
          <w:b/>
          <w:color w:val="auto"/>
          <w:sz w:val="28"/>
          <w:highlight w:val="none"/>
        </w:rPr>
      </w:pPr>
      <w:r>
        <w:rPr>
          <w:rFonts w:hint="eastAsia" w:ascii="宋体" w:hAnsi="宋体" w:eastAsia="宋体" w:cs="宋体"/>
          <w:b/>
          <w:color w:val="auto"/>
          <w:sz w:val="28"/>
          <w:highlight w:val="none"/>
        </w:rPr>
        <w:t>采 购 人:</w:t>
      </w:r>
      <w:r>
        <w:rPr>
          <w:rFonts w:hint="eastAsia" w:ascii="宋体" w:hAnsi="宋体" w:eastAsia="宋体" w:cs="宋体"/>
          <w:b/>
          <w:color w:val="auto"/>
          <w:sz w:val="28"/>
          <w:highlight w:val="none"/>
          <w:u w:val="single"/>
        </w:rPr>
        <w:t xml:space="preserve">  </w:t>
      </w:r>
      <w:bookmarkStart w:id="335" w:name="unitName"/>
      <w:r>
        <w:rPr>
          <w:rFonts w:hint="eastAsia" w:ascii="宋体" w:hAnsi="宋体" w:eastAsia="宋体" w:cs="宋体"/>
          <w:b/>
          <w:color w:val="auto"/>
          <w:sz w:val="28"/>
          <w:highlight w:val="none"/>
          <w:u w:val="single"/>
        </w:rPr>
        <w:t>临沂大学</w:t>
      </w:r>
      <w:bookmarkEnd w:id="335"/>
      <w:r>
        <w:rPr>
          <w:rFonts w:hint="eastAsia" w:ascii="宋体" w:hAnsi="宋体" w:eastAsia="宋体" w:cs="宋体"/>
          <w:b/>
          <w:color w:val="auto"/>
          <w:sz w:val="28"/>
          <w:highlight w:val="none"/>
          <w:u w:val="single"/>
        </w:rPr>
        <w:t xml:space="preserve">   </w:t>
      </w:r>
    </w:p>
    <w:p>
      <w:pPr>
        <w:spacing w:line="360" w:lineRule="auto"/>
        <w:ind w:firstLine="1968" w:firstLineChars="700"/>
        <w:rPr>
          <w:rFonts w:hint="eastAsia" w:ascii="宋体" w:hAnsi="宋体" w:eastAsia="宋体" w:cs="宋体"/>
          <w:b/>
          <w:color w:val="auto"/>
          <w:sz w:val="28"/>
          <w:highlight w:val="none"/>
          <w:u w:val="single"/>
        </w:rPr>
      </w:pPr>
      <w:r>
        <w:rPr>
          <w:rFonts w:hint="eastAsia" w:ascii="宋体" w:hAnsi="宋体" w:eastAsia="宋体" w:cs="宋体"/>
          <w:b/>
          <w:color w:val="auto"/>
          <w:sz w:val="28"/>
          <w:highlight w:val="none"/>
        </w:rPr>
        <w:t>供 应 商：</w:t>
      </w:r>
      <w:r>
        <w:rPr>
          <w:rFonts w:hint="eastAsia" w:ascii="宋体" w:hAnsi="宋体" w:eastAsia="宋体" w:cs="宋体"/>
          <w:b/>
          <w:color w:val="auto"/>
          <w:sz w:val="28"/>
          <w:highlight w:val="none"/>
          <w:u w:val="single"/>
        </w:rPr>
        <w:t xml:space="preserve">  </w:t>
      </w:r>
      <w:r>
        <w:rPr>
          <w:rFonts w:hint="eastAsia" w:ascii="宋体" w:hAnsi="宋体" w:eastAsia="宋体" w:cs="宋体"/>
          <w:b/>
          <w:color w:val="auto"/>
          <w:sz w:val="28"/>
          <w:highlight w:val="none"/>
          <w:u w:val="single"/>
          <w:lang w:val="en-US" w:eastAsia="zh-CN"/>
        </w:rPr>
        <w:t xml:space="preserve">             </w:t>
      </w:r>
      <w:r>
        <w:rPr>
          <w:rFonts w:hint="eastAsia" w:ascii="宋体" w:hAnsi="宋体" w:eastAsia="宋体" w:cs="宋体"/>
          <w:b/>
          <w:color w:val="auto"/>
          <w:sz w:val="28"/>
          <w:highlight w:val="none"/>
          <w:u w:val="single"/>
        </w:rPr>
        <w:t xml:space="preserve">  </w:t>
      </w:r>
    </w:p>
    <w:p>
      <w:pPr>
        <w:spacing w:line="360" w:lineRule="auto"/>
        <w:ind w:firstLine="1968" w:firstLineChars="700"/>
        <w:rPr>
          <w:rFonts w:hint="eastAsia" w:ascii="宋体" w:hAnsi="宋体" w:eastAsia="宋体" w:cs="宋体"/>
          <w:b/>
          <w:color w:val="auto"/>
          <w:sz w:val="28"/>
          <w:highlight w:val="none"/>
          <w:u w:val="single"/>
        </w:rPr>
      </w:pPr>
      <w:r>
        <w:rPr>
          <w:rFonts w:hint="eastAsia" w:ascii="宋体" w:hAnsi="宋体" w:eastAsia="宋体" w:cs="宋体"/>
          <w:b/>
          <w:color w:val="auto"/>
          <w:sz w:val="28"/>
          <w:highlight w:val="none"/>
        </w:rPr>
        <w:t>采购代理机构:</w:t>
      </w:r>
      <w:r>
        <w:rPr>
          <w:rFonts w:hint="eastAsia" w:ascii="宋体" w:hAnsi="宋体" w:eastAsia="宋体" w:cs="宋体"/>
          <w:b/>
          <w:color w:val="auto"/>
          <w:sz w:val="28"/>
          <w:highlight w:val="none"/>
          <w:u w:val="single"/>
        </w:rPr>
        <w:t xml:space="preserve">  </w:t>
      </w:r>
      <w:r>
        <w:rPr>
          <w:rFonts w:hint="eastAsia" w:ascii="宋体" w:hAnsi="宋体" w:eastAsia="宋体" w:cs="宋体"/>
          <w:b/>
          <w:color w:val="auto"/>
          <w:sz w:val="28"/>
          <w:highlight w:val="none"/>
          <w:u w:val="single"/>
          <w:lang w:val="en-US" w:eastAsia="zh-CN"/>
        </w:rPr>
        <w:t xml:space="preserve">                </w:t>
      </w:r>
      <w:r>
        <w:rPr>
          <w:rFonts w:hint="eastAsia" w:ascii="宋体" w:hAnsi="宋体" w:eastAsia="宋体" w:cs="宋体"/>
          <w:b/>
          <w:color w:val="auto"/>
          <w:sz w:val="28"/>
          <w:highlight w:val="none"/>
          <w:u w:val="single"/>
        </w:rPr>
        <w:t xml:space="preserve">  </w:t>
      </w:r>
    </w:p>
    <w:p>
      <w:pPr>
        <w:snapToGrid w:val="0"/>
        <w:spacing w:line="360" w:lineRule="auto"/>
        <w:jc w:val="center"/>
        <w:rPr>
          <w:rFonts w:hint="eastAsia" w:ascii="宋体" w:hAnsi="宋体" w:eastAsia="宋体" w:cs="宋体"/>
          <w:color w:val="auto"/>
          <w:sz w:val="30"/>
          <w:szCs w:val="30"/>
          <w:highlight w:val="none"/>
        </w:rPr>
      </w:pPr>
    </w:p>
    <w:p>
      <w:pPr>
        <w:pStyle w:val="10"/>
        <w:rPr>
          <w:rFonts w:hint="eastAsia" w:ascii="宋体" w:hAnsi="宋体" w:eastAsia="宋体" w:cs="宋体"/>
          <w:color w:val="auto"/>
          <w:highlight w:val="none"/>
        </w:rPr>
      </w:pPr>
    </w:p>
    <w:p>
      <w:pPr>
        <w:snapToGrid w:val="0"/>
        <w:spacing w:line="360" w:lineRule="auto"/>
        <w:jc w:val="center"/>
        <w:rPr>
          <w:rFonts w:hint="eastAsia" w:ascii="宋体" w:hAnsi="宋体" w:eastAsia="宋体" w:cs="宋体"/>
          <w:color w:val="auto"/>
          <w:sz w:val="30"/>
          <w:szCs w:val="30"/>
          <w:highlight w:val="none"/>
          <w:lang w:eastAsia="zh-CN"/>
        </w:rPr>
      </w:pPr>
      <w:r>
        <w:rPr>
          <w:rFonts w:hint="eastAsia" w:ascii="宋体" w:hAnsi="宋体" w:eastAsia="宋体" w:cs="宋体"/>
          <w:color w:val="auto"/>
          <w:sz w:val="30"/>
          <w:szCs w:val="30"/>
          <w:highlight w:val="none"/>
        </w:rPr>
        <w:t>签订时间：</w:t>
      </w:r>
      <w:bookmarkStart w:id="336" w:name="chineseContractDate"/>
      <w:r>
        <w:rPr>
          <w:rFonts w:hint="eastAsia" w:ascii="宋体" w:hAnsi="宋体" w:eastAsia="宋体" w:cs="宋体"/>
          <w:color w:val="auto"/>
          <w:sz w:val="30"/>
          <w:szCs w:val="30"/>
          <w:highlight w:val="none"/>
        </w:rPr>
        <w:t>二〇二</w:t>
      </w:r>
      <w:r>
        <w:rPr>
          <w:rFonts w:hint="eastAsia" w:ascii="宋体" w:hAnsi="宋体" w:eastAsia="宋体" w:cs="宋体"/>
          <w:color w:val="auto"/>
          <w:sz w:val="30"/>
          <w:szCs w:val="30"/>
          <w:highlight w:val="none"/>
          <w:lang w:val="en-US" w:eastAsia="zh-CN"/>
        </w:rPr>
        <w:t>四</w:t>
      </w:r>
      <w:r>
        <w:rPr>
          <w:rFonts w:hint="eastAsia" w:ascii="宋体" w:hAnsi="宋体" w:eastAsia="宋体" w:cs="宋体"/>
          <w:color w:val="auto"/>
          <w:sz w:val="30"/>
          <w:szCs w:val="30"/>
          <w:highlight w:val="none"/>
        </w:rPr>
        <w:t>年</w:t>
      </w:r>
      <w:r>
        <w:rPr>
          <w:rFonts w:hint="eastAsia" w:ascii="宋体" w:hAnsi="宋体" w:cs="宋体"/>
          <w:color w:val="auto"/>
          <w:sz w:val="30"/>
          <w:szCs w:val="30"/>
          <w:highlight w:val="none"/>
          <w:lang w:val="en-US" w:eastAsia="zh-CN"/>
        </w:rPr>
        <w:t>六</w:t>
      </w:r>
      <w:r>
        <w:rPr>
          <w:rFonts w:hint="eastAsia" w:ascii="宋体" w:hAnsi="宋体" w:eastAsia="宋体" w:cs="宋体"/>
          <w:color w:val="auto"/>
          <w:sz w:val="30"/>
          <w:szCs w:val="30"/>
          <w:highlight w:val="none"/>
        </w:rPr>
        <w:t>月</w:t>
      </w:r>
      <w:r>
        <w:rPr>
          <w:rFonts w:hint="eastAsia" w:ascii="宋体" w:hAnsi="宋体" w:eastAsia="宋体" w:cs="宋体"/>
          <w:color w:val="auto"/>
          <w:sz w:val="30"/>
          <w:szCs w:val="30"/>
          <w:highlight w:val="none"/>
          <w:lang w:val="en-US" w:eastAsia="zh-CN"/>
        </w:rPr>
        <w:t xml:space="preserve"> </w:t>
      </w:r>
      <w:r>
        <w:rPr>
          <w:rFonts w:hint="eastAsia" w:ascii="宋体" w:hAnsi="宋体" w:eastAsia="宋体" w:cs="宋体"/>
          <w:color w:val="auto"/>
          <w:sz w:val="30"/>
          <w:szCs w:val="30"/>
          <w:highlight w:val="none"/>
        </w:rPr>
        <w:t>日</w:t>
      </w:r>
      <w:bookmarkEnd w:id="336"/>
    </w:p>
    <w:p>
      <w:pPr>
        <w:pStyle w:val="12"/>
        <w:spacing w:line="360" w:lineRule="auto"/>
        <w:ind w:left="0" w:leftChars="0" w:firstLine="0" w:firstLineChars="0"/>
        <w:rPr>
          <w:rFonts w:hint="eastAsia" w:ascii="宋体" w:hAnsi="宋体" w:eastAsia="宋体" w:cs="宋体"/>
          <w:b/>
          <w:bCs/>
          <w:color w:val="auto"/>
          <w:sz w:val="32"/>
          <w:szCs w:val="32"/>
          <w:highlight w:val="none"/>
        </w:rPr>
      </w:pPr>
    </w:p>
    <w:p>
      <w:pPr>
        <w:rPr>
          <w:rFonts w:hint="eastAsia" w:ascii="宋体" w:hAnsi="宋体" w:eastAsia="宋体" w:cs="宋体"/>
          <w:color w:val="auto"/>
          <w:highlight w:val="none"/>
        </w:rPr>
      </w:pPr>
    </w:p>
    <w:p>
      <w:pPr>
        <w:spacing w:line="360" w:lineRule="auto"/>
        <w:ind w:firstLine="480" w:firstLineChars="200"/>
        <w:rPr>
          <w:rFonts w:hint="default" w:ascii="宋体" w:hAnsi="宋体" w:eastAsia="宋体" w:cs="宋体"/>
          <w:color w:val="auto"/>
          <w:sz w:val="24"/>
          <w:highlight w:val="none"/>
          <w:u w:val="single"/>
          <w:lang w:val="en-US" w:eastAsia="zh-CN"/>
        </w:rPr>
      </w:pPr>
      <w:r>
        <w:rPr>
          <w:rFonts w:hint="eastAsia" w:ascii="宋体" w:hAnsi="宋体" w:eastAsia="宋体" w:cs="宋体"/>
          <w:color w:val="auto"/>
          <w:sz w:val="24"/>
          <w:highlight w:val="none"/>
        </w:rPr>
        <w:t>采购人全称（</w:t>
      </w:r>
      <w:r>
        <w:rPr>
          <w:rFonts w:hint="eastAsia" w:ascii="宋体" w:hAnsi="宋体" w:eastAsia="宋体" w:cs="宋体"/>
          <w:color w:val="auto"/>
          <w:sz w:val="24"/>
          <w:highlight w:val="none"/>
          <w:lang w:val="en-US" w:eastAsia="zh-CN"/>
        </w:rPr>
        <w:t>甲方</w:t>
      </w:r>
      <w:r>
        <w:rPr>
          <w:rFonts w:hint="eastAsia" w:ascii="宋体" w:hAnsi="宋体" w:eastAsia="宋体" w:cs="宋体"/>
          <w:color w:val="auto"/>
          <w:sz w:val="24"/>
          <w:highlight w:val="none"/>
        </w:rPr>
        <w:t>）：</w:t>
      </w:r>
      <w:r>
        <w:rPr>
          <w:rFonts w:hint="eastAsia" w:ascii="宋体" w:hAnsi="宋体" w:eastAsia="宋体" w:cs="宋体"/>
          <w:color w:val="auto"/>
          <w:sz w:val="24"/>
          <w:highlight w:val="none"/>
          <w:u w:val="single"/>
        </w:rPr>
        <w:t xml:space="preserve"> </w:t>
      </w:r>
      <w:bookmarkStart w:id="337" w:name="unitName_1"/>
      <w:r>
        <w:rPr>
          <w:rFonts w:hint="eastAsia" w:ascii="宋体" w:hAnsi="宋体" w:eastAsia="宋体" w:cs="宋体"/>
          <w:color w:val="auto"/>
          <w:sz w:val="24"/>
          <w:highlight w:val="none"/>
          <w:u w:val="single"/>
        </w:rPr>
        <w:t>临沂大学</w:t>
      </w:r>
      <w:bookmarkEnd w:id="337"/>
      <w:r>
        <w:rPr>
          <w:rFonts w:hint="eastAsia" w:ascii="宋体" w:hAnsi="宋体" w:eastAsia="宋体" w:cs="宋体"/>
          <w:color w:val="auto"/>
          <w:sz w:val="24"/>
          <w:highlight w:val="none"/>
          <w:u w:val="single"/>
        </w:rPr>
        <w:t xml:space="preserve"> </w:t>
      </w:r>
      <w:r>
        <w:rPr>
          <w:rFonts w:hint="eastAsia" w:ascii="宋体" w:hAnsi="宋体" w:cs="宋体"/>
          <w:color w:val="auto"/>
          <w:sz w:val="24"/>
          <w:highlight w:val="none"/>
          <w:u w:val="single"/>
          <w:lang w:val="en-US" w:eastAsia="zh-CN"/>
        </w:rPr>
        <w:t xml:space="preserve">    </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供应商全称（</w:t>
      </w:r>
      <w:r>
        <w:rPr>
          <w:rFonts w:hint="eastAsia" w:ascii="宋体" w:hAnsi="宋体" w:eastAsia="宋体" w:cs="宋体"/>
          <w:color w:val="auto"/>
          <w:sz w:val="24"/>
          <w:highlight w:val="none"/>
          <w:lang w:val="en-US" w:eastAsia="zh-CN"/>
        </w:rPr>
        <w:t>乙方</w:t>
      </w:r>
      <w:r>
        <w:rPr>
          <w:rFonts w:hint="eastAsia" w:ascii="宋体" w:hAnsi="宋体" w:eastAsia="宋体" w:cs="宋体"/>
          <w:color w:val="auto"/>
          <w:sz w:val="24"/>
          <w:highlight w:val="none"/>
        </w:rPr>
        <w:t>）：</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rPr>
        <w:t xml:space="preserve">  </w:t>
      </w:r>
    </w:p>
    <w:p>
      <w:pPr>
        <w:widowControl/>
        <w:spacing w:line="360" w:lineRule="auto"/>
        <w:jc w:val="left"/>
        <w:rPr>
          <w:rFonts w:hint="eastAsia" w:ascii="宋体" w:hAnsi="宋体" w:eastAsia="宋体" w:cs="宋体"/>
          <w:color w:val="auto"/>
          <w:kern w:val="0"/>
          <w:sz w:val="24"/>
          <w:highlight w:val="none"/>
        </w:rPr>
      </w:pPr>
      <w:r>
        <w:rPr>
          <w:rFonts w:hint="eastAsia" w:ascii="宋体" w:hAnsi="宋体" w:eastAsia="宋体" w:cs="宋体"/>
          <w:color w:val="auto"/>
          <w:sz w:val="24"/>
          <w:highlight w:val="none"/>
        </w:rPr>
        <w:t>根据《</w:t>
      </w:r>
      <w:r>
        <w:rPr>
          <w:rFonts w:hint="eastAsia" w:ascii="宋体" w:hAnsi="宋体" w:eastAsia="宋体" w:cs="宋体"/>
          <w:color w:val="auto"/>
          <w:sz w:val="24"/>
          <w:highlight w:val="none"/>
          <w:lang w:eastAsia="zh-CN"/>
        </w:rPr>
        <w:t>中华人民共和国民法典</w:t>
      </w:r>
      <w:r>
        <w:rPr>
          <w:rFonts w:hint="eastAsia" w:ascii="宋体" w:hAnsi="宋体" w:eastAsia="宋体" w:cs="宋体"/>
          <w:color w:val="auto"/>
          <w:sz w:val="24"/>
          <w:highlight w:val="none"/>
        </w:rPr>
        <w:t>》、《中华人民共和国产品质量法》及其他有关法律法规，双方经过友好协商，本着诚实守信、互惠互利的原则，就</w:t>
      </w:r>
      <w:r>
        <w:rPr>
          <w:rFonts w:hint="eastAsia" w:ascii="宋体" w:hAnsi="宋体" w:cs="宋体"/>
          <w:color w:val="auto"/>
          <w:sz w:val="24"/>
          <w:highlight w:val="none"/>
          <w:u w:val="single"/>
          <w:lang w:eastAsia="zh-CN"/>
        </w:rPr>
        <w:t>临沂大学2024年国际交流中心维修改造家电购置预采购项目</w:t>
      </w:r>
      <w:r>
        <w:rPr>
          <w:rFonts w:hint="eastAsia" w:ascii="宋体" w:hAnsi="宋体" w:eastAsia="宋体" w:cs="宋体"/>
          <w:color w:val="auto"/>
          <w:sz w:val="24"/>
          <w:highlight w:val="none"/>
          <w:u w:val="single"/>
        </w:rPr>
        <w:t xml:space="preserve"> (</w:t>
      </w:r>
      <w:r>
        <w:rPr>
          <w:rFonts w:hint="eastAsia" w:ascii="宋体" w:hAnsi="宋体" w:cs="宋体"/>
          <w:color w:val="auto"/>
          <w:sz w:val="24"/>
          <w:highlight w:val="none"/>
          <w:u w:val="single"/>
          <w:lang w:eastAsia="zh-CN"/>
        </w:rPr>
        <w:t>SDGP370000000202402003706</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采购与供应事宜签订本合同条款，</w:t>
      </w:r>
      <w:r>
        <w:rPr>
          <w:rFonts w:hint="eastAsia" w:ascii="宋体" w:hAnsi="宋体" w:eastAsia="宋体" w:cs="宋体"/>
          <w:color w:val="auto"/>
          <w:kern w:val="0"/>
          <w:sz w:val="24"/>
          <w:highlight w:val="none"/>
        </w:rPr>
        <w:t>共同达成如下协议：</w:t>
      </w:r>
    </w:p>
    <w:p>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一、项目概况</w:t>
      </w:r>
    </w:p>
    <w:p>
      <w:pPr>
        <w:widowControl/>
        <w:spacing w:line="360" w:lineRule="auto"/>
        <w:ind w:firstLine="480" w:firstLineChars="200"/>
        <w:jc w:val="left"/>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rPr>
        <w:t>1.项目名称：</w:t>
      </w:r>
      <w:r>
        <w:rPr>
          <w:rFonts w:hint="eastAsia" w:ascii="宋体" w:hAnsi="宋体" w:eastAsia="宋体" w:cs="宋体"/>
          <w:color w:val="auto"/>
          <w:kern w:val="0"/>
          <w:sz w:val="24"/>
          <w:highlight w:val="none"/>
          <w:u w:val="single"/>
        </w:rPr>
        <w:t></w:t>
      </w:r>
      <w:bookmarkStart w:id="338" w:name="projectName_2"/>
      <w:r>
        <w:rPr>
          <w:rFonts w:hint="eastAsia" w:ascii="宋体" w:hAnsi="宋体" w:eastAsia="宋体" w:cs="宋体"/>
          <w:color w:val="auto"/>
          <w:kern w:val="0"/>
          <w:sz w:val="24"/>
          <w:highlight w:val="none"/>
          <w:u w:val="single"/>
          <w:lang w:val="en-US" w:eastAsia="zh-CN"/>
        </w:rPr>
        <w:t xml:space="preserve">                       </w:t>
      </w:r>
      <w:bookmarkEnd w:id="338"/>
      <w:r>
        <w:rPr>
          <w:rFonts w:hint="eastAsia" w:ascii="宋体" w:hAnsi="宋体" w:eastAsia="宋体" w:cs="宋体"/>
          <w:color w:val="auto"/>
          <w:kern w:val="0"/>
          <w:sz w:val="24"/>
          <w:highlight w:val="none"/>
          <w:u w:val="single"/>
        </w:rPr>
        <w:t>。</w:t>
      </w:r>
    </w:p>
    <w:p>
      <w:pPr>
        <w:widowControl/>
        <w:spacing w:line="360" w:lineRule="auto"/>
        <w:ind w:firstLine="480" w:firstLineChars="200"/>
        <w:jc w:val="left"/>
        <w:rPr>
          <w:rFonts w:hint="default" w:ascii="宋体" w:hAnsi="宋体" w:eastAsia="宋体" w:cs="宋体"/>
          <w:color w:val="auto"/>
          <w:kern w:val="0"/>
          <w:sz w:val="24"/>
          <w:highlight w:val="none"/>
          <w:lang w:val="en-US" w:eastAsia="zh-CN"/>
        </w:rPr>
      </w:pPr>
      <w:r>
        <w:rPr>
          <w:rFonts w:hint="eastAsia" w:ascii="宋体" w:hAnsi="宋体" w:cs="宋体"/>
          <w:color w:val="auto"/>
          <w:kern w:val="0"/>
          <w:sz w:val="24"/>
          <w:highlight w:val="none"/>
          <w:lang w:val="en-US" w:eastAsia="zh-CN"/>
        </w:rPr>
        <w:t>2.</w:t>
      </w:r>
      <w:r>
        <w:rPr>
          <w:rFonts w:hint="eastAsia" w:ascii="宋体" w:hAnsi="宋体" w:eastAsia="宋体" w:cs="宋体"/>
          <w:color w:val="auto"/>
          <w:kern w:val="0"/>
          <w:sz w:val="24"/>
          <w:highlight w:val="none"/>
          <w:lang w:val="en-US" w:eastAsia="zh-CN"/>
        </w:rPr>
        <w:t>项目包号</w:t>
      </w:r>
      <w:r>
        <w:rPr>
          <w:rFonts w:hint="eastAsia" w:ascii="宋体" w:hAnsi="宋体" w:cs="宋体"/>
          <w:color w:val="auto"/>
          <w:kern w:val="0"/>
          <w:sz w:val="24"/>
          <w:highlight w:val="none"/>
          <w:lang w:val="en-US" w:eastAsia="zh-CN"/>
        </w:rPr>
        <w:t>：</w:t>
      </w:r>
      <w:r>
        <w:rPr>
          <w:rFonts w:hint="eastAsia" w:ascii="宋体" w:hAnsi="宋体" w:eastAsia="宋体" w:cs="宋体"/>
          <w:color w:val="auto"/>
          <w:kern w:val="0"/>
          <w:sz w:val="24"/>
          <w:highlight w:val="none"/>
          <w:u w:val="single"/>
        </w:rPr>
        <w:t></w:t>
      </w:r>
      <w:r>
        <w:rPr>
          <w:rFonts w:hint="eastAsia" w:ascii="宋体" w:hAnsi="宋体" w:eastAsia="宋体" w:cs="宋体"/>
          <w:color w:val="auto"/>
          <w:kern w:val="0"/>
          <w:sz w:val="24"/>
          <w:highlight w:val="none"/>
          <w:u w:val="single"/>
          <w:lang w:val="en-US" w:eastAsia="zh-CN"/>
        </w:rPr>
        <w:t xml:space="preserve">                       </w:t>
      </w:r>
      <w:r>
        <w:rPr>
          <w:rFonts w:hint="eastAsia" w:ascii="宋体" w:hAnsi="宋体" w:eastAsia="宋体" w:cs="宋体"/>
          <w:color w:val="auto"/>
          <w:kern w:val="0"/>
          <w:sz w:val="24"/>
          <w:highlight w:val="none"/>
          <w:u w:val="single"/>
        </w:rPr>
        <w:t>。</w:t>
      </w:r>
    </w:p>
    <w:p>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cs="宋体"/>
          <w:color w:val="auto"/>
          <w:kern w:val="0"/>
          <w:sz w:val="24"/>
          <w:highlight w:val="none"/>
          <w:lang w:val="en-US" w:eastAsia="zh-CN"/>
        </w:rPr>
        <w:t>3</w:t>
      </w:r>
      <w:r>
        <w:rPr>
          <w:rFonts w:hint="eastAsia" w:ascii="宋体" w:hAnsi="宋体" w:eastAsia="宋体" w:cs="宋体"/>
          <w:color w:val="auto"/>
          <w:kern w:val="0"/>
          <w:sz w:val="24"/>
          <w:highlight w:val="none"/>
        </w:rPr>
        <w:t>.供货地点：</w:t>
      </w:r>
      <w:r>
        <w:rPr>
          <w:rFonts w:hint="eastAsia" w:ascii="宋体" w:hAnsi="宋体" w:eastAsia="宋体" w:cs="宋体"/>
          <w:color w:val="auto"/>
          <w:kern w:val="0"/>
          <w:sz w:val="24"/>
          <w:highlight w:val="none"/>
          <w:u w:val="single"/>
        </w:rPr>
        <w:t></w:t>
      </w:r>
      <w:bookmarkStart w:id="339" w:name="deliveryPlace"/>
      <w:r>
        <w:rPr>
          <w:rFonts w:hint="eastAsia" w:ascii="宋体" w:hAnsi="宋体" w:eastAsia="宋体" w:cs="宋体"/>
          <w:color w:val="auto"/>
          <w:kern w:val="0"/>
          <w:sz w:val="24"/>
          <w:highlight w:val="none"/>
          <w:u w:val="single"/>
        </w:rPr>
        <w:t>临沂大学指定地点</w:t>
      </w:r>
      <w:bookmarkEnd w:id="339"/>
      <w:r>
        <w:rPr>
          <w:rFonts w:hint="eastAsia" w:ascii="宋体" w:hAnsi="宋体" w:eastAsia="宋体" w:cs="宋体"/>
          <w:color w:val="auto"/>
          <w:kern w:val="0"/>
          <w:sz w:val="24"/>
          <w:highlight w:val="none"/>
          <w:u w:val="single"/>
        </w:rPr>
        <w:t xml:space="preserve"> 。</w:t>
      </w:r>
    </w:p>
    <w:p>
      <w:pPr>
        <w:widowControl/>
        <w:spacing w:line="360" w:lineRule="auto"/>
        <w:ind w:firstLine="480" w:firstLineChars="200"/>
        <w:jc w:val="left"/>
        <w:rPr>
          <w:rFonts w:hint="eastAsia" w:ascii="宋体" w:hAnsi="宋体" w:eastAsia="宋体" w:cs="宋体"/>
          <w:color w:val="auto"/>
          <w:kern w:val="0"/>
          <w:sz w:val="24"/>
          <w:highlight w:val="none"/>
          <w:u w:val="single"/>
        </w:rPr>
      </w:pPr>
      <w:r>
        <w:rPr>
          <w:rFonts w:hint="eastAsia" w:ascii="宋体" w:hAnsi="宋体" w:cs="宋体"/>
          <w:color w:val="auto"/>
          <w:kern w:val="0"/>
          <w:sz w:val="24"/>
          <w:highlight w:val="none"/>
          <w:lang w:val="en-US" w:eastAsia="zh-CN"/>
        </w:rPr>
        <w:t>4</w:t>
      </w:r>
      <w:r>
        <w:rPr>
          <w:rFonts w:hint="eastAsia" w:ascii="宋体" w:hAnsi="宋体" w:eastAsia="宋体" w:cs="宋体"/>
          <w:color w:val="auto"/>
          <w:kern w:val="0"/>
          <w:sz w:val="24"/>
          <w:highlight w:val="none"/>
        </w:rPr>
        <w:t>.供货内容和范围：</w:t>
      </w:r>
      <w:r>
        <w:rPr>
          <w:rFonts w:hint="eastAsia" w:ascii="宋体" w:hAnsi="宋体" w:eastAsia="宋体" w:cs="宋体"/>
          <w:color w:val="auto"/>
          <w:kern w:val="0"/>
          <w:sz w:val="24"/>
          <w:highlight w:val="none"/>
          <w:u w:val="single"/>
          <w:lang w:val="en-US" w:eastAsia="zh-CN"/>
        </w:rPr>
        <w:t xml:space="preserve">                       </w:t>
      </w:r>
      <w:r>
        <w:rPr>
          <w:rFonts w:hint="eastAsia" w:ascii="宋体" w:hAnsi="宋体" w:eastAsia="宋体" w:cs="宋体"/>
          <w:color w:val="auto"/>
          <w:kern w:val="0"/>
          <w:sz w:val="24"/>
          <w:highlight w:val="none"/>
          <w:u w:val="single"/>
        </w:rPr>
        <w:t xml:space="preserve"> 。</w:t>
      </w:r>
    </w:p>
    <w:p>
      <w:pPr>
        <w:widowControl/>
        <w:spacing w:line="360" w:lineRule="auto"/>
        <w:ind w:firstLine="480" w:firstLineChars="200"/>
        <w:jc w:val="left"/>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rPr>
        <w:t>二、供货期</w:t>
      </w:r>
      <w:r>
        <w:rPr>
          <w:rFonts w:hint="eastAsia" w:ascii="宋体" w:hAnsi="宋体" w:eastAsia="宋体" w:cs="宋体"/>
          <w:color w:val="auto"/>
          <w:kern w:val="0"/>
          <w:sz w:val="24"/>
          <w:highlight w:val="none"/>
          <w:lang w:val="en-US" w:eastAsia="zh-CN"/>
        </w:rPr>
        <w:t>及质保期</w:t>
      </w:r>
    </w:p>
    <w:p>
      <w:pPr>
        <w:widowControl/>
        <w:spacing w:line="360" w:lineRule="auto"/>
        <w:ind w:firstLine="720" w:firstLineChars="300"/>
        <w:jc w:val="left"/>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u w:val="single"/>
          <w:lang w:val="en-US" w:eastAsia="zh-CN"/>
        </w:rPr>
        <w:t xml:space="preserve">                                                       </w:t>
      </w:r>
      <w:r>
        <w:rPr>
          <w:rFonts w:hint="eastAsia" w:ascii="宋体" w:hAnsi="宋体" w:eastAsia="宋体" w:cs="宋体"/>
          <w:color w:val="auto"/>
          <w:kern w:val="0"/>
          <w:sz w:val="24"/>
          <w:highlight w:val="none"/>
          <w:lang w:val="en-US" w:eastAsia="zh-CN"/>
        </w:rPr>
        <w:t xml:space="preserve"> 。</w:t>
      </w:r>
    </w:p>
    <w:p>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三、质量标准</w:t>
      </w:r>
    </w:p>
    <w:p>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符合《中华人民共和国产品质量法》标准，符合</w:t>
      </w:r>
      <w:r>
        <w:rPr>
          <w:rFonts w:hint="eastAsia" w:ascii="宋体" w:hAnsi="宋体" w:cs="宋体"/>
          <w:color w:val="auto"/>
          <w:kern w:val="0"/>
          <w:sz w:val="24"/>
          <w:highlight w:val="none"/>
          <w:lang w:eastAsia="zh-CN"/>
        </w:rPr>
        <w:t>竞争性磋商文件</w:t>
      </w:r>
      <w:r>
        <w:rPr>
          <w:rFonts w:hint="eastAsia" w:ascii="宋体" w:hAnsi="宋体" w:eastAsia="宋体" w:cs="宋体"/>
          <w:color w:val="auto"/>
          <w:kern w:val="0"/>
          <w:sz w:val="24"/>
          <w:highlight w:val="none"/>
        </w:rPr>
        <w:t>要求，</w:t>
      </w:r>
      <w:r>
        <w:rPr>
          <w:rFonts w:hint="eastAsia" w:ascii="宋体" w:hAnsi="宋体" w:cs="宋体"/>
          <w:color w:val="auto"/>
          <w:kern w:val="0"/>
          <w:sz w:val="24"/>
          <w:highlight w:val="none"/>
          <w:lang w:eastAsia="zh-CN"/>
        </w:rPr>
        <w:t>响应文件</w:t>
      </w:r>
      <w:r>
        <w:rPr>
          <w:rFonts w:hint="eastAsia" w:ascii="宋体" w:hAnsi="宋体" w:eastAsia="宋体" w:cs="宋体"/>
          <w:color w:val="auto"/>
          <w:kern w:val="0"/>
          <w:sz w:val="24"/>
          <w:highlight w:val="none"/>
        </w:rPr>
        <w:t>及供应商在评审过程中做出的书面澄清及承诺。</w:t>
      </w:r>
    </w:p>
    <w:p>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四、签约合同价与合同价格形式</w:t>
      </w:r>
      <w:r>
        <w:rPr>
          <w:rFonts w:hint="eastAsia" w:ascii="宋体" w:hAnsi="宋体" w:eastAsia="宋体" w:cs="宋体"/>
          <w:color w:val="auto"/>
          <w:kern w:val="0"/>
          <w:sz w:val="24"/>
          <w:highlight w:val="none"/>
        </w:rPr>
        <w:tab/>
      </w:r>
    </w:p>
    <w:p>
      <w:pPr>
        <w:widowControl/>
        <w:spacing w:line="360" w:lineRule="auto"/>
        <w:ind w:firstLine="480" w:firstLineChars="200"/>
        <w:jc w:val="left"/>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u w:val="single"/>
        </w:rPr>
        <w:t>1.签约合同价为：</w:t>
      </w:r>
    </w:p>
    <w:p>
      <w:pPr>
        <w:widowControl/>
        <w:spacing w:line="360" w:lineRule="auto"/>
        <w:ind w:firstLine="480" w:firstLineChars="200"/>
        <w:jc w:val="left"/>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u w:val="single"/>
        </w:rPr>
        <w:t xml:space="preserve">人民币（大写） </w:t>
      </w:r>
      <w:r>
        <w:rPr>
          <w:rFonts w:hint="eastAsia" w:ascii="宋体" w:hAnsi="宋体" w:eastAsia="宋体" w:cs="宋体"/>
          <w:color w:val="auto"/>
          <w:kern w:val="0"/>
          <w:sz w:val="24"/>
          <w:highlight w:val="none"/>
          <w:u w:val="single"/>
          <w:lang w:val="en-US" w:eastAsia="zh-CN"/>
        </w:rPr>
        <w:t xml:space="preserve">                                                  </w:t>
      </w:r>
      <w:r>
        <w:rPr>
          <w:rFonts w:hint="eastAsia" w:ascii="宋体" w:hAnsi="宋体" w:eastAsia="宋体" w:cs="宋体"/>
          <w:color w:val="auto"/>
          <w:kern w:val="0"/>
          <w:sz w:val="24"/>
          <w:highlight w:val="none"/>
          <w:u w:val="single"/>
        </w:rPr>
        <w:t>；</w:t>
      </w:r>
    </w:p>
    <w:p>
      <w:pPr>
        <w:widowControl/>
        <w:spacing w:line="360" w:lineRule="auto"/>
        <w:ind w:firstLine="480" w:firstLineChars="200"/>
        <w:jc w:val="left"/>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u w:val="single"/>
        </w:rPr>
        <w:t>2.合同价格形式：</w:t>
      </w:r>
      <w:r>
        <w:rPr>
          <w:rFonts w:hint="eastAsia" w:ascii="宋体" w:hAnsi="宋体" w:eastAsia="宋体" w:cs="宋体"/>
          <w:color w:val="auto"/>
          <w:kern w:val="0"/>
          <w:sz w:val="24"/>
          <w:highlight w:val="none"/>
          <w:u w:val="single"/>
          <w:lang w:val="en-US" w:eastAsia="zh-CN"/>
        </w:rPr>
        <w:t xml:space="preserve">                                   </w:t>
      </w:r>
      <w:r>
        <w:rPr>
          <w:rFonts w:hint="eastAsia" w:ascii="宋体" w:hAnsi="宋体" w:eastAsia="宋体" w:cs="宋体"/>
          <w:color w:val="auto"/>
          <w:kern w:val="0"/>
          <w:sz w:val="24"/>
          <w:highlight w:val="none"/>
          <w:u w:val="single"/>
        </w:rPr>
        <w:t xml:space="preserve"> 。</w:t>
      </w:r>
    </w:p>
    <w:p>
      <w:pPr>
        <w:widowControl/>
        <w:spacing w:line="360" w:lineRule="auto"/>
        <w:ind w:firstLine="480" w:firstLineChars="200"/>
        <w:jc w:val="left"/>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u w:val="single"/>
        </w:rPr>
        <w:t>五、项目经理</w:t>
      </w:r>
    </w:p>
    <w:p>
      <w:pPr>
        <w:widowControl/>
        <w:spacing w:line="360" w:lineRule="auto"/>
        <w:ind w:firstLine="480" w:firstLineChars="200"/>
        <w:jc w:val="left"/>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u w:val="single"/>
        </w:rPr>
        <w:t xml:space="preserve">供应商项目经理： </w:t>
      </w:r>
      <w:r>
        <w:rPr>
          <w:rFonts w:hint="eastAsia" w:ascii="宋体" w:hAnsi="宋体" w:eastAsia="宋体" w:cs="宋体"/>
          <w:color w:val="auto"/>
          <w:kern w:val="0"/>
          <w:sz w:val="24"/>
          <w:highlight w:val="none"/>
          <w:u w:val="single"/>
          <w:lang w:val="en-US" w:eastAsia="zh-CN"/>
        </w:rPr>
        <w:t>联系人及电话</w:t>
      </w:r>
      <w:r>
        <w:rPr>
          <w:rFonts w:hint="eastAsia" w:ascii="宋体" w:hAnsi="宋体" w:eastAsia="宋体" w:cs="宋体"/>
          <w:color w:val="auto"/>
          <w:kern w:val="0"/>
          <w:sz w:val="24"/>
          <w:highlight w:val="none"/>
          <w:u w:val="single"/>
        </w:rPr>
        <w:t xml:space="preserve">                  。</w:t>
      </w:r>
    </w:p>
    <w:p>
      <w:pPr>
        <w:spacing w:line="360" w:lineRule="auto"/>
        <w:ind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u w:val="single"/>
        </w:rPr>
        <w:t>六、资金来源</w:t>
      </w:r>
    </w:p>
    <w:p>
      <w:pPr>
        <w:spacing w:line="360" w:lineRule="auto"/>
        <w:ind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u w:val="single"/>
        </w:rPr>
        <w:t xml:space="preserve">预算内资金 </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rPr>
        <w:t xml:space="preserve"> 元；财政专户资金： </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rPr>
        <w:t xml:space="preserve"> 元；自筹资金： </w:t>
      </w:r>
      <w:bookmarkStart w:id="340" w:name="contractSum03"/>
      <w:r>
        <w:rPr>
          <w:rFonts w:hint="eastAsia" w:ascii="宋体" w:hAnsi="宋体" w:eastAsia="宋体" w:cs="宋体"/>
          <w:color w:val="auto"/>
          <w:sz w:val="24"/>
          <w:highlight w:val="none"/>
          <w:u w:val="single"/>
        </w:rPr>
        <w:t>0</w:t>
      </w:r>
      <w:bookmarkEnd w:id="340"/>
      <w:r>
        <w:rPr>
          <w:rFonts w:hint="eastAsia" w:ascii="宋体" w:hAnsi="宋体" w:eastAsia="宋体" w:cs="宋体"/>
          <w:color w:val="auto"/>
          <w:sz w:val="24"/>
          <w:highlight w:val="none"/>
          <w:u w:val="single"/>
        </w:rPr>
        <w:t xml:space="preserve">  元。   </w:t>
      </w:r>
    </w:p>
    <w:p>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七、付款方式</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1.合同签订前，成交供应商须向采购人指定的账户交纳合同金额的</w:t>
      </w:r>
      <w:r>
        <w:rPr>
          <w:rFonts w:hint="eastAsia" w:ascii="宋体" w:hAnsi="宋体" w:eastAsia="宋体" w:cs="宋体"/>
          <w:color w:val="auto"/>
          <w:sz w:val="24"/>
          <w:highlight w:val="none"/>
          <w:u w:val="single"/>
          <w:lang w:val="en-US" w:eastAsia="zh-CN"/>
        </w:rPr>
        <w:t xml:space="preserve"> </w:t>
      </w:r>
      <w:r>
        <w:rPr>
          <w:rFonts w:hint="eastAsia" w:ascii="宋体" w:hAnsi="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%作为履约保证金。</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2.采购人于合同签订生效且具备实施条件后5个工作日内支付预付款，货物类项目预付款比例为合同金额的</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项目供货安装完毕且经验收合格后，无质量问题，支付至合同金额100%货款（扣除</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%预付款）。项目验收合格</w:t>
      </w:r>
      <w:r>
        <w:rPr>
          <w:rFonts w:hint="eastAsia" w:ascii="宋体" w:hAnsi="宋体" w:eastAsia="宋体" w:cs="宋体"/>
          <w:color w:val="auto"/>
          <w:sz w:val="24"/>
          <w:highlight w:val="none"/>
          <w:lang w:val="en-US" w:eastAsia="zh-CN"/>
        </w:rPr>
        <w:t>后</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履约保证金一次性无息退还。</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3.成交供应商未按要求缴纳履约保证金的，视为放弃成交。</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4.合同履行期间，除甲方原因或不可抗力因素外，乙方因无正当理由不履行与甲方订立的合同的，履约保证金不予退还，给甲方造成的损失超过履约保证金数额的，还应当对超过部分予以赔偿。</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5.履约保证金缴纳账号</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户名：临沂大学</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账号：218243959980</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银行：中国银行临沂兰山支行</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行号（银行联行号）：104473000078</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社会信用代码（税号）：12370000495184322F</w:t>
      </w:r>
    </w:p>
    <w:p>
      <w:pPr>
        <w:spacing w:line="360" w:lineRule="auto"/>
        <w:ind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保证金缴纳后，请联系0539-</w:t>
      </w:r>
      <w:r>
        <w:rPr>
          <w:rFonts w:hint="eastAsia" w:ascii="宋体" w:hAnsi="宋体" w:eastAsia="宋体" w:cs="宋体"/>
          <w:color w:val="auto"/>
          <w:sz w:val="24"/>
          <w:highlight w:val="none"/>
          <w:lang w:val="en-US" w:eastAsia="zh-CN"/>
        </w:rPr>
        <w:t>7258283</w:t>
      </w:r>
      <w:r>
        <w:rPr>
          <w:rFonts w:hint="eastAsia" w:ascii="宋体" w:hAnsi="宋体" w:eastAsia="宋体" w:cs="宋体"/>
          <w:color w:val="auto"/>
          <w:sz w:val="24"/>
          <w:highlight w:val="none"/>
        </w:rPr>
        <w:t>确认。</w:t>
      </w:r>
    </w:p>
    <w:p>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八</w:t>
      </w:r>
      <w:r>
        <w:rPr>
          <w:rFonts w:hint="eastAsia" w:ascii="宋体" w:hAnsi="宋体" w:eastAsia="宋体" w:cs="宋体"/>
          <w:color w:val="auto"/>
          <w:kern w:val="0"/>
          <w:sz w:val="24"/>
          <w:highlight w:val="none"/>
        </w:rPr>
        <w:t>、合同文件构成</w:t>
      </w:r>
    </w:p>
    <w:p>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本</w:t>
      </w:r>
      <w:r>
        <w:rPr>
          <w:rFonts w:hint="eastAsia" w:ascii="宋体" w:hAnsi="宋体" w:eastAsia="宋体" w:cs="宋体"/>
          <w:color w:val="auto"/>
          <w:kern w:val="0"/>
          <w:sz w:val="24"/>
          <w:highlight w:val="none"/>
          <w:lang w:val="en-US" w:eastAsia="zh-CN"/>
        </w:rPr>
        <w:t>合同</w:t>
      </w:r>
      <w:r>
        <w:rPr>
          <w:rFonts w:hint="eastAsia" w:ascii="宋体" w:hAnsi="宋体" w:eastAsia="宋体" w:cs="宋体"/>
          <w:color w:val="auto"/>
          <w:kern w:val="0"/>
          <w:sz w:val="24"/>
          <w:highlight w:val="none"/>
        </w:rPr>
        <w:t>与下列文件一起构成合同文件：</w:t>
      </w:r>
    </w:p>
    <w:p>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（1）中标或成交通知书；</w:t>
      </w:r>
    </w:p>
    <w:p>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（2）投标函及其附录； </w:t>
      </w:r>
    </w:p>
    <w:p>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w:t>
      </w:r>
      <w:r>
        <w:rPr>
          <w:rFonts w:hint="eastAsia" w:ascii="宋体" w:hAnsi="宋体" w:eastAsia="宋体" w:cs="宋体"/>
          <w:color w:val="auto"/>
          <w:kern w:val="0"/>
          <w:sz w:val="24"/>
          <w:highlight w:val="none"/>
          <w:lang w:val="en-US" w:eastAsia="zh-CN"/>
        </w:rPr>
        <w:t>本</w:t>
      </w:r>
      <w:r>
        <w:rPr>
          <w:rFonts w:hint="eastAsia" w:ascii="宋体" w:hAnsi="宋体" w:eastAsia="宋体" w:cs="宋体"/>
          <w:color w:val="auto"/>
          <w:kern w:val="0"/>
          <w:sz w:val="24"/>
          <w:highlight w:val="none"/>
        </w:rPr>
        <w:t>合同条款</w:t>
      </w:r>
      <w:r>
        <w:rPr>
          <w:rFonts w:hint="eastAsia" w:ascii="宋体" w:hAnsi="宋体" w:eastAsia="宋体" w:cs="宋体"/>
          <w:color w:val="auto"/>
          <w:kern w:val="0"/>
          <w:sz w:val="24"/>
          <w:highlight w:val="none"/>
          <w:lang w:val="en-US" w:eastAsia="zh-CN"/>
        </w:rPr>
        <w:t>及附表、附件</w:t>
      </w:r>
      <w:r>
        <w:rPr>
          <w:rFonts w:hint="eastAsia" w:ascii="宋体" w:hAnsi="宋体" w:eastAsia="宋体" w:cs="宋体"/>
          <w:color w:val="auto"/>
          <w:kern w:val="0"/>
          <w:sz w:val="24"/>
          <w:highlight w:val="none"/>
        </w:rPr>
        <w:t>；</w:t>
      </w:r>
    </w:p>
    <w:p>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w:t>
      </w:r>
      <w:r>
        <w:rPr>
          <w:rFonts w:hint="eastAsia" w:ascii="宋体" w:hAnsi="宋体" w:eastAsia="宋体" w:cs="宋体"/>
          <w:color w:val="auto"/>
          <w:kern w:val="0"/>
          <w:sz w:val="24"/>
          <w:highlight w:val="none"/>
          <w:lang w:val="en-US" w:eastAsia="zh-CN"/>
        </w:rPr>
        <w:t>采购文件（</w:t>
      </w:r>
      <w:r>
        <w:rPr>
          <w:rFonts w:hint="eastAsia" w:ascii="宋体" w:hAnsi="宋体" w:eastAsia="宋体" w:cs="宋体"/>
          <w:color w:val="auto"/>
          <w:kern w:val="0"/>
          <w:sz w:val="24"/>
          <w:highlight w:val="none"/>
        </w:rPr>
        <w:t>技术标准和要求</w:t>
      </w:r>
      <w:r>
        <w:rPr>
          <w:rFonts w:hint="eastAsia" w:ascii="宋体" w:hAnsi="宋体" w:eastAsia="宋体" w:cs="宋体"/>
          <w:color w:val="auto"/>
          <w:kern w:val="0"/>
          <w:sz w:val="24"/>
          <w:highlight w:val="none"/>
          <w:lang w:val="en-US" w:eastAsia="zh-CN"/>
        </w:rPr>
        <w:t>）</w:t>
      </w:r>
      <w:r>
        <w:rPr>
          <w:rFonts w:hint="eastAsia" w:ascii="宋体" w:hAnsi="宋体" w:eastAsia="宋体" w:cs="宋体"/>
          <w:color w:val="auto"/>
          <w:kern w:val="0"/>
          <w:sz w:val="24"/>
          <w:highlight w:val="none"/>
        </w:rPr>
        <w:t>；</w:t>
      </w:r>
    </w:p>
    <w:p>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（5）图纸（如果有）；</w:t>
      </w:r>
    </w:p>
    <w:p>
      <w:pPr>
        <w:widowControl/>
        <w:spacing w:line="360" w:lineRule="auto"/>
        <w:ind w:firstLine="480" w:firstLineChars="200"/>
        <w:jc w:val="left"/>
        <w:rPr>
          <w:rFonts w:hint="eastAsia" w:ascii="宋体" w:hAnsi="宋体" w:eastAsia="宋体" w:cs="宋体"/>
          <w:color w:val="auto"/>
          <w:kern w:val="0"/>
          <w:sz w:val="24"/>
          <w:highlight w:val="none"/>
          <w:lang w:eastAsia="zh-CN"/>
        </w:rPr>
      </w:pPr>
      <w:r>
        <w:rPr>
          <w:rFonts w:hint="eastAsia" w:ascii="宋体" w:hAnsi="宋体" w:eastAsia="宋体" w:cs="宋体"/>
          <w:color w:val="auto"/>
          <w:kern w:val="0"/>
          <w:sz w:val="24"/>
          <w:highlight w:val="none"/>
        </w:rPr>
        <w:t>（6）供货清单及</w:t>
      </w:r>
      <w:r>
        <w:rPr>
          <w:rFonts w:hint="eastAsia" w:ascii="宋体" w:hAnsi="宋体" w:eastAsia="宋体" w:cs="宋体"/>
          <w:color w:val="auto"/>
          <w:kern w:val="0"/>
          <w:sz w:val="24"/>
          <w:highlight w:val="none"/>
          <w:lang w:val="en-US" w:eastAsia="zh-CN"/>
        </w:rPr>
        <w:t>最终</w:t>
      </w:r>
      <w:r>
        <w:rPr>
          <w:rFonts w:hint="eastAsia" w:ascii="宋体" w:hAnsi="宋体" w:eastAsia="宋体" w:cs="宋体"/>
          <w:color w:val="auto"/>
          <w:kern w:val="0"/>
          <w:sz w:val="24"/>
          <w:highlight w:val="none"/>
        </w:rPr>
        <w:t>报价表</w:t>
      </w:r>
      <w:r>
        <w:rPr>
          <w:rFonts w:hint="eastAsia" w:ascii="宋体" w:hAnsi="宋体" w:eastAsia="宋体" w:cs="宋体"/>
          <w:color w:val="auto"/>
          <w:kern w:val="0"/>
          <w:sz w:val="24"/>
          <w:highlight w:val="none"/>
          <w:lang w:eastAsia="zh-CN"/>
        </w:rPr>
        <w:t>；</w:t>
      </w:r>
    </w:p>
    <w:p>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（7）其他合同文件</w:t>
      </w:r>
      <w:r>
        <w:rPr>
          <w:rFonts w:hint="eastAsia" w:ascii="宋体" w:hAnsi="宋体" w:eastAsia="宋体" w:cs="宋体"/>
          <w:color w:val="auto"/>
          <w:kern w:val="0"/>
          <w:sz w:val="24"/>
          <w:highlight w:val="none"/>
          <w:lang w:eastAsia="zh-CN"/>
        </w:rPr>
        <w:t>（</w:t>
      </w:r>
      <w:r>
        <w:rPr>
          <w:rFonts w:hint="eastAsia" w:ascii="宋体" w:hAnsi="宋体" w:eastAsia="宋体" w:cs="宋体"/>
          <w:color w:val="auto"/>
          <w:kern w:val="0"/>
          <w:sz w:val="24"/>
          <w:highlight w:val="none"/>
          <w:lang w:val="en-US" w:eastAsia="zh-CN"/>
        </w:rPr>
        <w:t>含中标方在评审过程中有关澄清、说明、补正及承诺文件</w:t>
      </w:r>
      <w:r>
        <w:rPr>
          <w:rFonts w:hint="eastAsia" w:ascii="宋体" w:hAnsi="宋体" w:eastAsia="宋体" w:cs="宋体"/>
          <w:color w:val="auto"/>
          <w:kern w:val="0"/>
          <w:sz w:val="24"/>
          <w:highlight w:val="none"/>
          <w:lang w:eastAsia="zh-CN"/>
        </w:rPr>
        <w:t>）</w:t>
      </w:r>
      <w:r>
        <w:rPr>
          <w:rFonts w:hint="eastAsia" w:ascii="宋体" w:hAnsi="宋体" w:eastAsia="宋体" w:cs="宋体"/>
          <w:color w:val="auto"/>
          <w:kern w:val="0"/>
          <w:sz w:val="24"/>
          <w:highlight w:val="none"/>
        </w:rPr>
        <w:t>。</w:t>
      </w:r>
    </w:p>
    <w:p>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在合同订立及履行过程中形成的与合同有关的文件均构成合同文件组成部分。</w:t>
      </w:r>
    </w:p>
    <w:p>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上述各项合同文件包括合同当事人就该项合同文件所作出的补充和修改，属于同一类内容的文件，应以最新签署的为准。专用合同条款及其附件须经合同当事人签字或盖章。</w:t>
      </w:r>
    </w:p>
    <w:p>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九</w:t>
      </w:r>
      <w:r>
        <w:rPr>
          <w:rFonts w:hint="eastAsia" w:ascii="宋体" w:hAnsi="宋体" w:eastAsia="宋体" w:cs="宋体"/>
          <w:color w:val="auto"/>
          <w:kern w:val="0"/>
          <w:sz w:val="24"/>
          <w:highlight w:val="none"/>
        </w:rPr>
        <w:t>、承诺</w:t>
      </w:r>
    </w:p>
    <w:p>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1.采购人承诺按照法律规定履行项目审批手续、筹集项目资金并按照合同约定的期限和方式支付合同价款。</w:t>
      </w:r>
    </w:p>
    <w:p>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2.供应商承诺按照法律规定及合同约定供货，确保质量和安全，不进行转包及违法分包，并在缺陷责任期及保修期内承担相应的责任。</w:t>
      </w:r>
    </w:p>
    <w:p>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3.采购人和供应商通过招投标形式签订合同的，双方理解并承诺不再就同一项目另行签订与合同实质性内容相背离的协议。</w:t>
      </w:r>
    </w:p>
    <w:p>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十、签订时间</w:t>
      </w:r>
    </w:p>
    <w:p>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本合同于</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u w:val="single"/>
          <w:lang w:val="en-US" w:eastAsia="zh-CN"/>
        </w:rPr>
        <w:t xml:space="preserve">              </w:t>
      </w:r>
      <w:r>
        <w:rPr>
          <w:rFonts w:hint="eastAsia" w:ascii="宋体" w:hAnsi="宋体" w:eastAsia="宋体" w:cs="宋体"/>
          <w:color w:val="auto"/>
          <w:kern w:val="0"/>
          <w:sz w:val="24"/>
          <w:highlight w:val="none"/>
        </w:rPr>
        <w:t>签订。</w:t>
      </w:r>
    </w:p>
    <w:p>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十一、签订地点</w:t>
      </w:r>
    </w:p>
    <w:p>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本合同在</w:t>
      </w:r>
      <w:r>
        <w:rPr>
          <w:rFonts w:hint="eastAsia" w:ascii="宋体" w:hAnsi="宋体" w:eastAsia="宋体" w:cs="宋体"/>
          <w:color w:val="auto"/>
          <w:kern w:val="0"/>
          <w:sz w:val="24"/>
          <w:highlight w:val="none"/>
          <w:u w:val="single"/>
        </w:rPr>
        <w:t xml:space="preserve"> </w:t>
      </w:r>
      <w:bookmarkStart w:id="341" w:name="makeContractAddr"/>
      <w:r>
        <w:rPr>
          <w:rFonts w:hint="eastAsia" w:ascii="宋体" w:hAnsi="宋体" w:eastAsia="宋体" w:cs="宋体"/>
          <w:color w:val="auto"/>
          <w:kern w:val="0"/>
          <w:sz w:val="24"/>
          <w:highlight w:val="none"/>
          <w:u w:val="single"/>
        </w:rPr>
        <w:t>临沂大学</w:t>
      </w:r>
      <w:bookmarkEnd w:id="341"/>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签订。</w:t>
      </w:r>
    </w:p>
    <w:p>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十</w:t>
      </w:r>
      <w:r>
        <w:rPr>
          <w:rFonts w:hint="eastAsia" w:ascii="宋体" w:hAnsi="宋体" w:eastAsia="宋体" w:cs="宋体"/>
          <w:color w:val="auto"/>
          <w:kern w:val="0"/>
          <w:sz w:val="24"/>
          <w:highlight w:val="none"/>
          <w:lang w:val="en-US" w:eastAsia="zh-CN"/>
        </w:rPr>
        <w:t>二</w:t>
      </w:r>
      <w:r>
        <w:rPr>
          <w:rFonts w:hint="eastAsia" w:ascii="宋体" w:hAnsi="宋体" w:eastAsia="宋体" w:cs="宋体"/>
          <w:color w:val="auto"/>
          <w:kern w:val="0"/>
          <w:sz w:val="24"/>
          <w:highlight w:val="none"/>
        </w:rPr>
        <w:t>、补充协议</w:t>
      </w:r>
    </w:p>
    <w:p>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合同未尽事宜，合同当事人另行签订补充协议，补充协议是合同的组成部分。</w:t>
      </w:r>
    </w:p>
    <w:p>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十</w:t>
      </w:r>
      <w:r>
        <w:rPr>
          <w:rFonts w:hint="eastAsia" w:ascii="宋体" w:hAnsi="宋体" w:eastAsia="宋体" w:cs="宋体"/>
          <w:color w:val="auto"/>
          <w:kern w:val="0"/>
          <w:sz w:val="24"/>
          <w:highlight w:val="none"/>
          <w:lang w:val="en-US" w:eastAsia="zh-CN"/>
        </w:rPr>
        <w:t>三</w:t>
      </w:r>
      <w:r>
        <w:rPr>
          <w:rFonts w:hint="eastAsia" w:ascii="宋体" w:hAnsi="宋体" w:eastAsia="宋体" w:cs="宋体"/>
          <w:color w:val="auto"/>
          <w:kern w:val="0"/>
          <w:sz w:val="24"/>
          <w:highlight w:val="none"/>
        </w:rPr>
        <w:t>、合同生效</w:t>
      </w:r>
    </w:p>
    <w:p>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本合同自</w:t>
      </w:r>
      <w:r>
        <w:rPr>
          <w:rFonts w:hint="eastAsia" w:ascii="宋体" w:hAnsi="宋体" w:eastAsia="宋体" w:cs="宋体"/>
          <w:color w:val="auto"/>
          <w:kern w:val="0"/>
          <w:sz w:val="24"/>
          <w:highlight w:val="none"/>
          <w:u w:val="single"/>
        </w:rPr>
        <w:t>甲乙双方签</w:t>
      </w:r>
      <w:r>
        <w:rPr>
          <w:rFonts w:hint="eastAsia" w:ascii="宋体" w:hAnsi="宋体" w:eastAsia="宋体" w:cs="宋体"/>
          <w:strike w:val="0"/>
          <w:dstrike w:val="0"/>
          <w:color w:val="auto"/>
          <w:kern w:val="0"/>
          <w:sz w:val="24"/>
          <w:highlight w:val="none"/>
          <w:u w:val="single"/>
        </w:rPr>
        <w:t>字盖章</w:t>
      </w:r>
      <w:r>
        <w:rPr>
          <w:rFonts w:hint="eastAsia" w:ascii="宋体" w:hAnsi="宋体" w:eastAsia="宋体" w:cs="宋体"/>
          <w:strike w:val="0"/>
          <w:dstrike w:val="0"/>
          <w:color w:val="auto"/>
          <w:kern w:val="0"/>
          <w:sz w:val="24"/>
          <w:highlight w:val="none"/>
          <w:u w:val="single"/>
          <w:lang w:val="en-US" w:eastAsia="zh-CN"/>
        </w:rPr>
        <w:t>且</w:t>
      </w:r>
      <w:r>
        <w:rPr>
          <w:rFonts w:hint="eastAsia" w:ascii="宋体" w:hAnsi="宋体" w:eastAsia="宋体" w:cs="宋体"/>
          <w:strike w:val="0"/>
          <w:dstrike w:val="0"/>
          <w:color w:val="auto"/>
          <w:kern w:val="0"/>
          <w:sz w:val="24"/>
          <w:highlight w:val="none"/>
          <w:u w:val="single"/>
        </w:rPr>
        <w:t>供应商提交履约保证金后</w:t>
      </w:r>
      <w:r>
        <w:rPr>
          <w:rFonts w:hint="eastAsia" w:ascii="宋体" w:hAnsi="宋体" w:eastAsia="宋体" w:cs="宋体"/>
          <w:color w:val="auto"/>
          <w:kern w:val="0"/>
          <w:sz w:val="24"/>
          <w:highlight w:val="none"/>
        </w:rPr>
        <w:t>生效。</w:t>
      </w:r>
    </w:p>
    <w:p>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十</w:t>
      </w:r>
      <w:r>
        <w:rPr>
          <w:rFonts w:hint="eastAsia" w:ascii="宋体" w:hAnsi="宋体" w:eastAsia="宋体" w:cs="宋体"/>
          <w:color w:val="auto"/>
          <w:kern w:val="0"/>
          <w:sz w:val="24"/>
          <w:highlight w:val="none"/>
          <w:lang w:val="en-US" w:eastAsia="zh-CN"/>
        </w:rPr>
        <w:t>四</w:t>
      </w:r>
      <w:r>
        <w:rPr>
          <w:rFonts w:hint="eastAsia" w:ascii="宋体" w:hAnsi="宋体" w:eastAsia="宋体" w:cs="宋体"/>
          <w:color w:val="auto"/>
          <w:kern w:val="0"/>
          <w:sz w:val="24"/>
          <w:highlight w:val="none"/>
        </w:rPr>
        <w:t>、合同份数</w:t>
      </w:r>
    </w:p>
    <w:p>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本合同一式五份，均具有同等法律效力，采购人执</w:t>
      </w:r>
      <w:r>
        <w:rPr>
          <w:rFonts w:hint="eastAsia" w:ascii="宋体" w:hAnsi="宋体" w:eastAsia="宋体" w:cs="宋体"/>
          <w:color w:val="auto"/>
          <w:kern w:val="0"/>
          <w:sz w:val="24"/>
          <w:highlight w:val="none"/>
          <w:lang w:val="en-US" w:eastAsia="zh-CN"/>
        </w:rPr>
        <w:t>三</w:t>
      </w:r>
      <w:r>
        <w:rPr>
          <w:rFonts w:hint="eastAsia" w:ascii="宋体" w:hAnsi="宋体" w:eastAsia="宋体" w:cs="宋体"/>
          <w:color w:val="auto"/>
          <w:kern w:val="0"/>
          <w:sz w:val="24"/>
          <w:highlight w:val="none"/>
        </w:rPr>
        <w:t>份，供应商执</w:t>
      </w:r>
      <w:r>
        <w:rPr>
          <w:rFonts w:hint="eastAsia" w:ascii="宋体" w:hAnsi="宋体" w:eastAsia="宋体" w:cs="宋体"/>
          <w:color w:val="auto"/>
          <w:kern w:val="0"/>
          <w:sz w:val="24"/>
          <w:highlight w:val="none"/>
          <w:lang w:val="en-US" w:eastAsia="zh-CN"/>
        </w:rPr>
        <w:t>一</w:t>
      </w:r>
      <w:r>
        <w:rPr>
          <w:rFonts w:hint="eastAsia" w:ascii="宋体" w:hAnsi="宋体" w:eastAsia="宋体" w:cs="宋体"/>
          <w:color w:val="auto"/>
          <w:kern w:val="0"/>
          <w:sz w:val="24"/>
          <w:highlight w:val="none"/>
        </w:rPr>
        <w:t>份，代理机构一份。</w:t>
      </w:r>
    </w:p>
    <w:tbl>
      <w:tblPr>
        <w:tblStyle w:val="31"/>
        <w:tblW w:w="10018" w:type="dxa"/>
        <w:tblInd w:w="-14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575"/>
        <w:gridCol w:w="240"/>
        <w:gridCol w:w="520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75" w:type="dxa"/>
            <w:vAlign w:val="center"/>
          </w:tcPr>
          <w:p>
            <w:pPr>
              <w:pStyle w:val="1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采购人：</w:t>
            </w:r>
            <w:r>
              <w:rPr>
                <w:rFonts w:hint="eastAsia" w:cs="宋体"/>
                <w:color w:val="auto"/>
                <w:sz w:val="24"/>
                <w:szCs w:val="24"/>
                <w:highlight w:val="none"/>
                <w:lang w:eastAsia="zh-CN"/>
              </w:rPr>
              <w:t>（</w:t>
            </w:r>
            <w:r>
              <w:rPr>
                <w:rFonts w:hint="eastAsia" w:ascii="宋体" w:hAnsi="宋体" w:eastAsia="宋体" w:cs="宋体"/>
                <w:color w:val="auto"/>
                <w:sz w:val="24"/>
                <w:szCs w:val="24"/>
                <w:highlight w:val="none"/>
              </w:rPr>
              <w:t>公章</w:t>
            </w:r>
            <w:r>
              <w:rPr>
                <w:rFonts w:hint="eastAsia" w:cs="宋体"/>
                <w:color w:val="auto"/>
                <w:sz w:val="24"/>
                <w:szCs w:val="24"/>
                <w:highlight w:val="none"/>
                <w:lang w:eastAsia="zh-CN"/>
              </w:rPr>
              <w:t>）</w:t>
            </w:r>
            <w:r>
              <w:rPr>
                <w:rFonts w:hint="eastAsia" w:ascii="宋体" w:hAnsi="宋体" w:eastAsia="宋体" w:cs="宋体"/>
                <w:color w:val="auto"/>
                <w:sz w:val="24"/>
                <w:highlight w:val="none"/>
              </w:rPr>
              <w:t>临沂大学</w:t>
            </w:r>
          </w:p>
        </w:tc>
        <w:tc>
          <w:tcPr>
            <w:tcW w:w="240" w:type="dxa"/>
            <w:vAlign w:val="center"/>
          </w:tcPr>
          <w:p>
            <w:pPr>
              <w:spacing w:line="360" w:lineRule="auto"/>
              <w:ind w:left="-2" w:leftChars="-1"/>
              <w:rPr>
                <w:rFonts w:hint="eastAsia" w:ascii="宋体" w:hAnsi="宋体" w:eastAsia="宋体" w:cs="宋体"/>
                <w:color w:val="auto"/>
                <w:sz w:val="24"/>
                <w:highlight w:val="none"/>
              </w:rPr>
            </w:pPr>
          </w:p>
        </w:tc>
        <w:tc>
          <w:tcPr>
            <w:tcW w:w="5203" w:type="dxa"/>
            <w:vAlign w:val="center"/>
          </w:tcPr>
          <w:p>
            <w:pPr>
              <w:spacing w:line="360" w:lineRule="auto"/>
              <w:ind w:left="-2" w:leftChars="-1"/>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供应商：</w:t>
            </w:r>
            <w:r>
              <w:rPr>
                <w:rFonts w:hint="eastAsia" w:ascii="宋体" w:hAnsi="宋体" w:cs="宋体"/>
                <w:color w:val="auto"/>
                <w:sz w:val="24"/>
                <w:highlight w:val="none"/>
                <w:lang w:eastAsia="zh-CN"/>
              </w:rPr>
              <w:t>（</w:t>
            </w:r>
            <w:r>
              <w:rPr>
                <w:rFonts w:hint="eastAsia" w:ascii="宋体" w:hAnsi="宋体" w:eastAsia="宋体" w:cs="宋体"/>
                <w:color w:val="auto"/>
                <w:sz w:val="24"/>
                <w:highlight w:val="none"/>
              </w:rPr>
              <w:t>公章</w:t>
            </w:r>
            <w:r>
              <w:rPr>
                <w:rFonts w:hint="eastAsia" w:ascii="宋体" w:hAnsi="宋体" w:cs="宋体"/>
                <w:color w:val="auto"/>
                <w:sz w:val="24"/>
                <w:highlight w:val="none"/>
                <w:lang w:eastAsia="zh-CN"/>
              </w:rPr>
              <w:t>）</w:t>
            </w:r>
            <w:r>
              <w:rPr>
                <w:rFonts w:hint="eastAsia" w:ascii="宋体" w:hAnsi="宋体" w:eastAsia="宋体" w:cs="宋体"/>
                <w:color w:val="auto"/>
                <w:sz w:val="24"/>
                <w:highlight w:val="none"/>
                <w:lang w:val="en-US"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75" w:type="dxa"/>
            <w:vAlign w:val="center"/>
          </w:tcPr>
          <w:p>
            <w:pPr>
              <w:pStyle w:val="1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法定代表人或其委托代理人：</w:t>
            </w:r>
          </w:p>
          <w:p>
            <w:pPr>
              <w:pStyle w:val="1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（签字或签章）</w:t>
            </w:r>
          </w:p>
        </w:tc>
        <w:tc>
          <w:tcPr>
            <w:tcW w:w="240" w:type="dxa"/>
            <w:vAlign w:val="center"/>
          </w:tcPr>
          <w:p>
            <w:pPr>
              <w:spacing w:line="360" w:lineRule="auto"/>
              <w:ind w:left="-2" w:leftChars="-1"/>
              <w:rPr>
                <w:rFonts w:hint="eastAsia" w:ascii="宋体" w:hAnsi="宋体" w:eastAsia="宋体" w:cs="宋体"/>
                <w:color w:val="auto"/>
                <w:sz w:val="24"/>
                <w:highlight w:val="none"/>
              </w:rPr>
            </w:pPr>
          </w:p>
        </w:tc>
        <w:tc>
          <w:tcPr>
            <w:tcW w:w="5203" w:type="dxa"/>
            <w:vAlign w:val="center"/>
          </w:tcPr>
          <w:p>
            <w:pPr>
              <w:pStyle w:val="1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法定代表人或其委托代理人：</w:t>
            </w:r>
          </w:p>
          <w:p>
            <w:pPr>
              <w:rPr>
                <w:rFonts w:hint="eastAsia" w:ascii="宋体" w:hAnsi="宋体" w:eastAsia="宋体" w:cs="宋体"/>
                <w:color w:val="auto"/>
                <w:sz w:val="24"/>
                <w:highlight w:val="none"/>
              </w:rPr>
            </w:pPr>
            <w:r>
              <w:rPr>
                <w:rFonts w:hint="eastAsia" w:ascii="宋体" w:hAnsi="宋体" w:eastAsia="宋体" w:cs="宋体"/>
                <w:color w:val="auto"/>
                <w:sz w:val="24"/>
                <w:szCs w:val="24"/>
                <w:highlight w:val="none"/>
              </w:rPr>
              <w:t>（签字或签章）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75" w:type="dxa"/>
            <w:vAlign w:val="center"/>
          </w:tcPr>
          <w:p>
            <w:pPr>
              <w:pStyle w:val="1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地址</w:t>
            </w:r>
            <w:r>
              <w:rPr>
                <w:rFonts w:hint="eastAsia" w:ascii="宋体" w:hAnsi="宋体" w:eastAsia="宋体" w:cs="宋体"/>
                <w:color w:val="auto"/>
                <w:sz w:val="24"/>
                <w:szCs w:val="24"/>
                <w:highlight w:val="none"/>
              </w:rPr>
              <w:t xml:space="preserve">： </w:t>
            </w:r>
            <w:bookmarkStart w:id="342" w:name="unitAddress"/>
            <w:r>
              <w:rPr>
                <w:rFonts w:hint="eastAsia" w:ascii="宋体" w:hAnsi="宋体" w:eastAsia="宋体" w:cs="宋体"/>
                <w:color w:val="auto"/>
                <w:sz w:val="24"/>
                <w:szCs w:val="24"/>
                <w:highlight w:val="none"/>
              </w:rPr>
              <w:t>山东省临沂市双岭路中段</w:t>
            </w:r>
            <w:bookmarkEnd w:id="342"/>
          </w:p>
        </w:tc>
        <w:tc>
          <w:tcPr>
            <w:tcW w:w="240" w:type="dxa"/>
            <w:vAlign w:val="center"/>
          </w:tcPr>
          <w:p>
            <w:pPr>
              <w:pStyle w:val="10"/>
              <w:rPr>
                <w:rFonts w:hint="eastAsia" w:ascii="宋体" w:hAnsi="宋体" w:eastAsia="宋体" w:cs="宋体"/>
                <w:color w:val="auto"/>
                <w:sz w:val="24"/>
                <w:szCs w:val="24"/>
                <w:highlight w:val="none"/>
              </w:rPr>
            </w:pPr>
          </w:p>
        </w:tc>
        <w:tc>
          <w:tcPr>
            <w:tcW w:w="5203" w:type="dxa"/>
            <w:vAlign w:val="center"/>
          </w:tcPr>
          <w:p>
            <w:pPr>
              <w:pStyle w:val="1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地址</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7" w:hRule="atLeast"/>
        </w:trPr>
        <w:tc>
          <w:tcPr>
            <w:tcW w:w="4575" w:type="dxa"/>
            <w:vAlign w:val="center"/>
          </w:tcPr>
          <w:p>
            <w:pPr>
              <w:pStyle w:val="1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电 话：</w:t>
            </w:r>
            <w:r>
              <w:rPr>
                <w:rFonts w:hint="eastAsia" w:ascii="宋体" w:hAnsi="宋体" w:eastAsia="宋体" w:cs="宋体"/>
                <w:color w:val="auto"/>
                <w:sz w:val="24"/>
                <w:highlight w:val="none"/>
                <w:lang w:val="en-US" w:eastAsia="zh-CN"/>
              </w:rPr>
              <w:t>0539-7258756</w:t>
            </w:r>
          </w:p>
        </w:tc>
        <w:tc>
          <w:tcPr>
            <w:tcW w:w="240" w:type="dxa"/>
            <w:vAlign w:val="center"/>
          </w:tcPr>
          <w:p>
            <w:pPr>
              <w:pStyle w:val="10"/>
              <w:rPr>
                <w:rFonts w:hint="eastAsia" w:ascii="宋体" w:hAnsi="宋体" w:eastAsia="宋体" w:cs="宋体"/>
                <w:color w:val="auto"/>
                <w:sz w:val="24"/>
                <w:szCs w:val="24"/>
                <w:highlight w:val="none"/>
              </w:rPr>
            </w:pPr>
          </w:p>
        </w:tc>
        <w:tc>
          <w:tcPr>
            <w:tcW w:w="5203" w:type="dxa"/>
            <w:vAlign w:val="center"/>
          </w:tcPr>
          <w:p>
            <w:pPr>
              <w:pStyle w:val="1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lang w:val="en-US"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2" w:hRule="atLeast"/>
        </w:trPr>
        <w:tc>
          <w:tcPr>
            <w:tcW w:w="4575" w:type="dxa"/>
            <w:vAlign w:val="center"/>
          </w:tcPr>
          <w:p>
            <w:pPr>
              <w:pStyle w:val="1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r>
              <w:rPr>
                <w:rFonts w:hint="eastAsia" w:ascii="宋体" w:hAnsi="宋体" w:eastAsia="宋体" w:cs="宋体"/>
                <w:color w:val="auto"/>
                <w:sz w:val="24"/>
                <w:highlight w:val="none"/>
              </w:rPr>
              <w:t>中国银行临沂兰山支行</w:t>
            </w:r>
          </w:p>
        </w:tc>
        <w:tc>
          <w:tcPr>
            <w:tcW w:w="240" w:type="dxa"/>
            <w:vAlign w:val="center"/>
          </w:tcPr>
          <w:p>
            <w:pPr>
              <w:pStyle w:val="10"/>
              <w:rPr>
                <w:rFonts w:hint="eastAsia" w:ascii="宋体" w:hAnsi="宋体" w:eastAsia="宋体" w:cs="宋体"/>
                <w:color w:val="auto"/>
                <w:sz w:val="24"/>
                <w:szCs w:val="24"/>
                <w:highlight w:val="none"/>
              </w:rPr>
            </w:pPr>
          </w:p>
        </w:tc>
        <w:tc>
          <w:tcPr>
            <w:tcW w:w="5203" w:type="dxa"/>
            <w:vAlign w:val="center"/>
          </w:tcPr>
          <w:p>
            <w:pPr>
              <w:pStyle w:val="1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lang w:val="en-US"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75" w:type="dxa"/>
            <w:vAlign w:val="center"/>
          </w:tcPr>
          <w:p>
            <w:pPr>
              <w:pStyle w:val="1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账号：</w:t>
            </w:r>
            <w:r>
              <w:rPr>
                <w:rFonts w:hint="eastAsia" w:ascii="宋体" w:hAnsi="宋体" w:eastAsia="宋体" w:cs="宋体"/>
                <w:color w:val="auto"/>
                <w:sz w:val="24"/>
                <w:highlight w:val="none"/>
              </w:rPr>
              <w:t>218243959980</w:t>
            </w:r>
          </w:p>
        </w:tc>
        <w:tc>
          <w:tcPr>
            <w:tcW w:w="240" w:type="dxa"/>
            <w:vAlign w:val="center"/>
          </w:tcPr>
          <w:p>
            <w:pPr>
              <w:pStyle w:val="10"/>
              <w:rPr>
                <w:rFonts w:hint="eastAsia" w:ascii="宋体" w:hAnsi="宋体" w:eastAsia="宋体" w:cs="宋体"/>
                <w:color w:val="auto"/>
                <w:sz w:val="24"/>
                <w:szCs w:val="24"/>
                <w:highlight w:val="none"/>
              </w:rPr>
            </w:pPr>
          </w:p>
        </w:tc>
        <w:tc>
          <w:tcPr>
            <w:tcW w:w="5203" w:type="dxa"/>
            <w:vAlign w:val="center"/>
          </w:tcPr>
          <w:p>
            <w:pPr>
              <w:pStyle w:val="1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账号：</w:t>
            </w:r>
            <w:r>
              <w:rPr>
                <w:rFonts w:hint="eastAsia" w:ascii="宋体" w:hAnsi="宋体" w:eastAsia="宋体" w:cs="宋体"/>
                <w:color w:val="auto"/>
                <w:sz w:val="24"/>
                <w:szCs w:val="24"/>
                <w:highlight w:val="none"/>
                <w:lang w:val="en-US"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75" w:type="dxa"/>
            <w:vAlign w:val="center"/>
          </w:tcPr>
          <w:p>
            <w:pPr>
              <w:pStyle w:val="1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邮政编码：</w:t>
            </w:r>
          </w:p>
        </w:tc>
        <w:tc>
          <w:tcPr>
            <w:tcW w:w="240" w:type="dxa"/>
            <w:vAlign w:val="center"/>
          </w:tcPr>
          <w:p>
            <w:pPr>
              <w:pStyle w:val="10"/>
              <w:rPr>
                <w:rFonts w:hint="eastAsia" w:ascii="宋体" w:hAnsi="宋体" w:eastAsia="宋体" w:cs="宋体"/>
                <w:color w:val="auto"/>
                <w:sz w:val="24"/>
                <w:szCs w:val="24"/>
                <w:highlight w:val="none"/>
              </w:rPr>
            </w:pPr>
          </w:p>
        </w:tc>
        <w:tc>
          <w:tcPr>
            <w:tcW w:w="5203" w:type="dxa"/>
            <w:vAlign w:val="center"/>
          </w:tcPr>
          <w:p>
            <w:pPr>
              <w:pStyle w:val="1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邮政编码：</w:t>
            </w:r>
          </w:p>
        </w:tc>
      </w:tr>
    </w:tbl>
    <w:p>
      <w:pPr>
        <w:spacing w:line="360" w:lineRule="auto"/>
        <w:jc w:val="center"/>
        <w:rPr>
          <w:rFonts w:hint="eastAsia" w:ascii="宋体" w:hAnsi="宋体" w:eastAsia="宋体" w:cs="宋体"/>
          <w:color w:val="auto"/>
          <w:sz w:val="24"/>
          <w:highlight w:val="none"/>
        </w:rPr>
      </w:pPr>
    </w:p>
    <w:p>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合同条款</w:t>
      </w:r>
    </w:p>
    <w:p>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1．采购与供应</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1.1 本合同价款最终双方以实际验收的数量结算。</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1.2 本合同所采购与供应设备的数量为暂定量，供应商按附件1《计划采购与供应设备清单》所列品种和规格供货，最终以经采购人验收合格实际数量为准。</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1.3 本合同所采购与供应设备的计价、结算和支付货币均为人民币。</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1.4 本合同所采购与供应设备的计量单位，为中华人民共和国法定公制计量单位（除技术规范标准另有规定外）。</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1.5 本合同所采购与供应设备的单价，指运抵本项目现场指定地点交货综合价，包括设备费、加工费、包装费、检测费、装卸费、运输费、税金、供应商合理的利润、管理费、市场价格波动带来的风险、向有关部门缴纳的各项费用以及政策性文件所规定的各项应有费用等供应商履行本合同规定义务的全部价款与</w:t>
      </w:r>
      <w:r>
        <w:rPr>
          <w:rFonts w:hint="eastAsia" w:ascii="宋体" w:hAnsi="宋体" w:cs="宋体"/>
          <w:color w:val="auto"/>
          <w:sz w:val="24"/>
          <w:highlight w:val="none"/>
          <w:lang w:eastAsia="zh-CN"/>
        </w:rPr>
        <w:t>税费</w:t>
      </w:r>
      <w:r>
        <w:rPr>
          <w:rFonts w:hint="eastAsia" w:ascii="宋体" w:hAnsi="宋体" w:eastAsia="宋体" w:cs="宋体"/>
          <w:color w:val="auto"/>
          <w:sz w:val="24"/>
          <w:highlight w:val="none"/>
        </w:rPr>
        <w:t>，除本合同第1.6条规定的因素外，不得因政府政策变动、市场环境改变、税率调整等而调整。</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1.6本合同综合单价按下列第（1）种办法进行调整。</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（1）综合单价包干，价格不可调整。</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（2）具体调价办法： ___</w:t>
      </w:r>
      <w:r>
        <w:rPr>
          <w:rFonts w:hint="eastAsia" w:ascii="宋体" w:hAnsi="宋体" w:eastAsia="宋体" w:cs="宋体"/>
          <w:color w:val="auto"/>
          <w:sz w:val="24"/>
          <w:highlight w:val="none"/>
          <w:u w:val="single"/>
          <w:lang w:val="en-US" w:eastAsia="zh-CN"/>
        </w:rPr>
        <w:t>无</w:t>
      </w:r>
      <w:r>
        <w:rPr>
          <w:rFonts w:hint="eastAsia" w:ascii="宋体" w:hAnsi="宋体" w:eastAsia="宋体" w:cs="宋体"/>
          <w:color w:val="auto"/>
          <w:sz w:val="24"/>
          <w:highlight w:val="none"/>
        </w:rPr>
        <w:t xml:space="preserve">____。  </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2．质量要求</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2.1 供应商应在交货同时向采购人提供本合同所采购与供应设备制造商出具的书面质量保证书。</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2.2 本合同所采购与供应的设备，应符合现行中华人民共和国国家标准及行业标准，各项技术性能指标经本项目所在地具有相应检测资质的专业机构或单位检测中心检验必须符合国标要求。合同执行过程中，若出现新的国家标准，则以更新后的标准为准。</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2.3 供应商的设备供应与管理应符合国家有关环保法律、法规和ISO9000质量体系标准。</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2.4 本合同所采购与供应设备的质量保证期自验收合格之日起</w:t>
      </w:r>
      <w:r>
        <w:rPr>
          <w:rFonts w:hint="eastAsia" w:ascii="宋体" w:hAnsi="宋体" w:cs="宋体"/>
          <w:color w:val="auto"/>
          <w:sz w:val="24"/>
          <w:highlight w:val="none"/>
          <w:lang w:val="en-US" w:eastAsia="zh-CN"/>
        </w:rPr>
        <w:t xml:space="preserve"> </w:t>
      </w:r>
      <w:r>
        <w:rPr>
          <w:rFonts w:hint="eastAsia" w:ascii="宋体" w:hAnsi="宋体" w:cs="宋体"/>
          <w:color w:val="auto"/>
          <w:sz w:val="24"/>
          <w:highlight w:val="none"/>
          <w:u w:val="single"/>
          <w:lang w:val="en-US" w:eastAsia="zh-CN"/>
        </w:rPr>
        <w:t xml:space="preserve">      </w:t>
      </w:r>
      <w:r>
        <w:rPr>
          <w:rFonts w:hint="eastAsia" w:ascii="宋体" w:hAnsi="宋体" w:eastAsia="宋体" w:cs="宋体"/>
          <w:color w:val="auto"/>
          <w:sz w:val="24"/>
          <w:highlight w:val="none"/>
        </w:rPr>
        <w:t>年。</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2.5质量保证期内，供应商无条件的向采购人提供缺陷产品的免费维修、更换等服务。针对采购人提出的书面要求，供应商必须在3日内给予书面答复。</w:t>
      </w:r>
      <w:r>
        <w:rPr>
          <w:rFonts w:hint="eastAsia" w:ascii="宋体" w:hAnsi="宋体" w:eastAsia="宋体" w:cs="宋体"/>
          <w:b/>
          <w:bCs/>
          <w:color w:val="auto"/>
          <w:sz w:val="24"/>
          <w:highlight w:val="none"/>
          <w:lang w:val="en-US" w:eastAsia="zh-CN"/>
        </w:rPr>
        <w:t>如有</w:t>
      </w:r>
      <w:r>
        <w:rPr>
          <w:rFonts w:hint="eastAsia" w:ascii="宋体" w:hAnsi="宋体" w:eastAsia="宋体" w:cs="宋体"/>
          <w:b/>
          <w:bCs/>
          <w:color w:val="auto"/>
          <w:sz w:val="24"/>
          <w:highlight w:val="none"/>
        </w:rPr>
        <w:t>必要，</w:t>
      </w:r>
      <w:r>
        <w:rPr>
          <w:rFonts w:hint="eastAsia" w:ascii="宋体" w:hAnsi="宋体" w:eastAsia="宋体" w:cs="宋体"/>
          <w:color w:val="auto"/>
          <w:sz w:val="24"/>
          <w:highlight w:val="none"/>
        </w:rPr>
        <w:t>供应商在3日内指派专人到现场解决，因此产生的所有费用均由供应商承担。</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2.6 </w:t>
      </w:r>
      <w:r>
        <w:rPr>
          <w:rFonts w:hint="eastAsia" w:ascii="宋体" w:hAnsi="宋体" w:eastAsia="宋体" w:cs="宋体"/>
          <w:b/>
          <w:bCs/>
          <w:color w:val="auto"/>
          <w:sz w:val="24"/>
          <w:highlight w:val="none"/>
        </w:rPr>
        <w:t>质量保证期内，</w:t>
      </w:r>
      <w:r>
        <w:rPr>
          <w:rFonts w:hint="eastAsia" w:ascii="宋体" w:hAnsi="宋体" w:eastAsia="宋体" w:cs="宋体"/>
          <w:color w:val="auto"/>
          <w:sz w:val="24"/>
          <w:highlight w:val="none"/>
        </w:rPr>
        <w:t>不论任何原因，供应商借故推脱或拒绝采购人提出的维修、更换等服务请求，采购人有权自行解决，实际发生的维修或更换等费用，</w:t>
      </w:r>
      <w:r>
        <w:rPr>
          <w:rFonts w:hint="eastAsia" w:ascii="宋体" w:hAnsi="宋体" w:eastAsia="宋体" w:cs="宋体"/>
          <w:b/>
          <w:bCs/>
          <w:color w:val="auto"/>
          <w:sz w:val="24"/>
          <w:highlight w:val="none"/>
          <w:lang w:val="en-US" w:eastAsia="zh-CN"/>
        </w:rPr>
        <w:t>由供应商全部承担</w:t>
      </w:r>
      <w:r>
        <w:rPr>
          <w:rFonts w:hint="eastAsia" w:ascii="宋体" w:hAnsi="宋体" w:eastAsia="宋体" w:cs="宋体"/>
          <w:b/>
          <w:bCs/>
          <w:color w:val="auto"/>
          <w:sz w:val="24"/>
          <w:highlight w:val="none"/>
        </w:rPr>
        <w:t>，</w:t>
      </w:r>
      <w:r>
        <w:rPr>
          <w:rFonts w:hint="eastAsia" w:ascii="宋体" w:hAnsi="宋体" w:eastAsia="宋体" w:cs="宋体"/>
          <w:color w:val="auto"/>
          <w:sz w:val="24"/>
          <w:highlight w:val="none"/>
        </w:rPr>
        <w:t>并保留进一步索赔的权利。维修或更换设备的质量保证期相应延长6个月</w:t>
      </w:r>
      <w:r>
        <w:rPr>
          <w:rFonts w:hint="eastAsia" w:ascii="宋体" w:hAnsi="宋体" w:eastAsia="宋体" w:cs="宋体"/>
          <w:b/>
          <w:bCs/>
          <w:color w:val="auto"/>
          <w:sz w:val="24"/>
          <w:highlight w:val="none"/>
          <w:lang w:eastAsia="zh-CN"/>
        </w:rPr>
        <w:t>（</w:t>
      </w:r>
      <w:r>
        <w:rPr>
          <w:rFonts w:hint="eastAsia" w:ascii="宋体" w:hAnsi="宋体" w:eastAsia="宋体" w:cs="宋体"/>
          <w:b/>
          <w:bCs/>
          <w:color w:val="auto"/>
          <w:sz w:val="24"/>
          <w:highlight w:val="none"/>
          <w:lang w:val="en-US" w:eastAsia="zh-CN"/>
        </w:rPr>
        <w:t>由乙方负责</w:t>
      </w:r>
      <w:r>
        <w:rPr>
          <w:rFonts w:hint="eastAsia" w:ascii="宋体" w:hAnsi="宋体" w:eastAsia="宋体" w:cs="宋体"/>
          <w:b/>
          <w:bCs/>
          <w:color w:val="auto"/>
          <w:sz w:val="24"/>
          <w:highlight w:val="none"/>
          <w:lang w:eastAsia="zh-CN"/>
        </w:rPr>
        <w:t>）</w:t>
      </w:r>
      <w:r>
        <w:rPr>
          <w:rFonts w:hint="eastAsia" w:ascii="宋体" w:hAnsi="宋体" w:eastAsia="宋体" w:cs="宋体"/>
          <w:color w:val="auto"/>
          <w:sz w:val="24"/>
          <w:highlight w:val="none"/>
        </w:rPr>
        <w:t>。</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2.7质量保证期内，如因供应商产品质量导致出现项目质量问题，由此造成的一切损失由供应商承担。</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2.8其他质量要求：</w:t>
      </w:r>
      <w:r>
        <w:rPr>
          <w:rFonts w:hint="eastAsia" w:ascii="宋体" w:hAnsi="宋体" w:eastAsia="宋体" w:cs="宋体"/>
          <w:color w:val="auto"/>
          <w:sz w:val="24"/>
          <w:highlight w:val="none"/>
          <w:u w:val="single"/>
        </w:rPr>
        <w:t xml:space="preserve">                     。</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3．供货时间及地点</w:t>
      </w:r>
    </w:p>
    <w:p>
      <w:pPr>
        <w:spacing w:line="360" w:lineRule="auto"/>
        <w:ind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3.1供货及通知方式：</w:t>
      </w:r>
      <w:r>
        <w:rPr>
          <w:rFonts w:hint="eastAsia" w:ascii="宋体" w:hAnsi="宋体" w:eastAsia="宋体" w:cs="宋体"/>
          <w:color w:val="auto"/>
          <w:sz w:val="24"/>
          <w:highlight w:val="none"/>
          <w:u w:val="single"/>
        </w:rPr>
        <w:t>按批次供货，时间及数量以采购人书面通知为准。在运输、装卸过程中发生的安全事故责任，供应商自行承担。</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3.2供货地点：供应商负责送货至项目现场卸至采购人指定的卸货地点，并承担费用。</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4．验收标准、方法、地点及期限</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4.1数量验收：甲乙双方在交货现场以过磅、点数、检尺等约定方式进行数量验收，采购人应保证设备随到随验。供应商应对在采购人现场的计量数据进行确认。</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4.2质量验收：</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（1）进行数量验收的同时，采购人按要求进行尺寸和外观质量验收，尺寸和外观质量符合要求方可卸车，否则不得卸车。</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外观质量符合要求的，采购人及时按规定取样送本项目所在地具有相应检测资质的专业机构或单位进行检测。检测合格视为最终合格。如采购人、本项目建设单位或监督单位提出异议，参照有关标准规范，结合现场情况解决，供应商必须满足上述三方的有关质量的意见。</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（3）经双方验收合格后，由采购人开具签收单作为最终结算依据。</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（4）抽检未发现不合格产品不代表供应商供应产品全部合格，如因供应商产品问题造成采购人供货期、质量、劳务等损失，全部责任均由供应商承担。</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（5）外观及检验不合格的设备，供应商应在</w:t>
      </w:r>
      <w:r>
        <w:rPr>
          <w:rFonts w:hint="eastAsia" w:ascii="宋体" w:hAnsi="宋体" w:cs="宋体"/>
          <w:color w:val="auto"/>
          <w:sz w:val="24"/>
          <w:highlight w:val="none"/>
          <w:lang w:eastAsia="zh-CN"/>
        </w:rPr>
        <w:t>接到</w:t>
      </w:r>
      <w:r>
        <w:rPr>
          <w:rFonts w:hint="eastAsia" w:ascii="宋体" w:hAnsi="宋体" w:eastAsia="宋体" w:cs="宋体"/>
          <w:color w:val="auto"/>
          <w:sz w:val="24"/>
          <w:highlight w:val="none"/>
        </w:rPr>
        <w:t>采购人通知后24小时内清理出项目现场，并承担本次的检测费用，造成的一切损失由供应商承担。</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（6）其他：现场现货检验，采购人如有异议3日内提出，供应商24小时内负责处理。</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4.3标的物所有权自卸货完毕时起转移，但经验收确认为不合格的，供应商必须根据采购人要求无条件退换。</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5．安全文明施工与环境保护</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5.1安全文明施工</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5.1.1 项目安全生产的达标目标及相应事项的约定：____</w:t>
      </w:r>
      <w:r>
        <w:rPr>
          <w:rFonts w:hint="eastAsia" w:ascii="宋体" w:hAnsi="宋体" w:eastAsia="宋体" w:cs="宋体"/>
          <w:color w:val="auto"/>
          <w:sz w:val="24"/>
          <w:highlight w:val="none"/>
          <w:u w:val="single"/>
        </w:rPr>
        <w:t>无</w:t>
      </w:r>
      <w:r>
        <w:rPr>
          <w:rFonts w:hint="eastAsia" w:ascii="宋体" w:hAnsi="宋体" w:eastAsia="宋体" w:cs="宋体"/>
          <w:color w:val="auto"/>
          <w:sz w:val="24"/>
          <w:highlight w:val="none"/>
        </w:rPr>
        <w:t>____。</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5.1.2 文明施工</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合同当事人对文明施工的要求：____</w:t>
      </w:r>
      <w:r>
        <w:rPr>
          <w:rFonts w:hint="eastAsia" w:ascii="宋体" w:hAnsi="宋体" w:eastAsia="宋体" w:cs="宋体"/>
          <w:color w:val="auto"/>
          <w:sz w:val="24"/>
          <w:highlight w:val="none"/>
          <w:u w:val="single"/>
        </w:rPr>
        <w:t>无</w:t>
      </w:r>
      <w:r>
        <w:rPr>
          <w:rFonts w:hint="eastAsia" w:ascii="宋体" w:hAnsi="宋体" w:eastAsia="宋体" w:cs="宋体"/>
          <w:color w:val="auto"/>
          <w:sz w:val="24"/>
          <w:highlight w:val="none"/>
        </w:rPr>
        <w:t xml:space="preserve">____。  </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5.1.3 供应商负责在设备供货、指导安装、调试、售后服务整个过程中现场全部人员、设备的安全。供货服务期间发生的一切安全事故，由供应商承担全部责任，并承担由此发生的一切费用。</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采购人不承担供应商和其单位雇佣的工人或其他人员的伤亡赔偿或补偿责任，承包方必须为现场服务人员办理危险作业意外伤害保险，费用自行承担。本项目需特殊防护的内容:针对施工现场情况及迎检等需要，应采取不同的防护措施，费用自行承担。</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6．预付款</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6.1 预付款的支付时间和金额（或占合同价款的比例）：</w:t>
      </w:r>
      <w:r>
        <w:rPr>
          <w:rFonts w:hint="eastAsia" w:ascii="宋体" w:hAnsi="宋体" w:eastAsia="宋体" w:cs="宋体"/>
          <w:color w:val="auto"/>
          <w:sz w:val="24"/>
          <w:highlight w:val="none"/>
          <w:u w:val="single"/>
        </w:rPr>
        <w:t xml:space="preserve"> 见本合同第七条 </w:t>
      </w:r>
      <w:r>
        <w:rPr>
          <w:rFonts w:hint="eastAsia" w:ascii="宋体" w:hAnsi="宋体" w:eastAsia="宋体" w:cs="宋体"/>
          <w:color w:val="auto"/>
          <w:sz w:val="24"/>
          <w:highlight w:val="none"/>
        </w:rPr>
        <w:t>。</w:t>
      </w:r>
    </w:p>
    <w:p>
      <w:pPr>
        <w:spacing w:line="360" w:lineRule="auto"/>
        <w:ind w:firstLine="480" w:firstLineChars="200"/>
        <w:rPr>
          <w:rFonts w:hint="eastAsia" w:ascii="宋体" w:hAnsi="宋体" w:eastAsia="宋体" w:cs="宋体"/>
          <w:b/>
          <w:color w:val="auto"/>
          <w:sz w:val="24"/>
          <w:highlight w:val="none"/>
          <w:u w:val="single"/>
        </w:rPr>
      </w:pPr>
      <w:r>
        <w:rPr>
          <w:rFonts w:hint="eastAsia" w:ascii="宋体" w:hAnsi="宋体" w:eastAsia="宋体" w:cs="宋体"/>
          <w:color w:val="auto"/>
          <w:sz w:val="24"/>
          <w:highlight w:val="none"/>
        </w:rPr>
        <w:t>7．货款支付：</w:t>
      </w:r>
      <w:r>
        <w:rPr>
          <w:rFonts w:hint="eastAsia" w:ascii="宋体" w:hAnsi="宋体" w:eastAsia="宋体" w:cs="宋体"/>
          <w:color w:val="auto"/>
          <w:sz w:val="24"/>
          <w:highlight w:val="none"/>
          <w:u w:val="single"/>
        </w:rPr>
        <w:t xml:space="preserve"> 见本合同第七条 </w:t>
      </w:r>
      <w:r>
        <w:rPr>
          <w:rFonts w:hint="eastAsia" w:ascii="宋体" w:hAnsi="宋体" w:eastAsia="宋体" w:cs="宋体"/>
          <w:b/>
          <w:color w:val="auto"/>
          <w:sz w:val="24"/>
          <w:highlight w:val="none"/>
          <w:u w:val="single"/>
        </w:rPr>
        <w:t>。</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7.2供应商按照采购人要求的时间，依据甲乙双方共同确认的结算金额和结算明细向采购人开具结算100%的增值税</w:t>
      </w:r>
      <w:r>
        <w:rPr>
          <w:rFonts w:hint="eastAsia" w:ascii="宋体" w:hAnsi="宋体" w:eastAsia="宋体" w:cs="宋体"/>
          <w:color w:val="auto"/>
          <w:sz w:val="24"/>
          <w:highlight w:val="none"/>
          <w:lang w:val="en-US" w:eastAsia="zh-CN"/>
        </w:rPr>
        <w:t>专用</w:t>
      </w:r>
      <w:r>
        <w:rPr>
          <w:rFonts w:hint="eastAsia" w:ascii="宋体" w:hAnsi="宋体" w:eastAsia="宋体" w:cs="宋体"/>
          <w:color w:val="auto"/>
          <w:sz w:val="24"/>
          <w:highlight w:val="none"/>
        </w:rPr>
        <w:t>发票，否则采购人有权拒绝支付货款且不构成违约。</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7.3 货款支付方式可选择银行转账支票、网银转账、银行承兑汇票等常规支付方式的付款方式，具体付款方式以双方每次付款前协商确定为准。</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7.4其他</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由于不可抗力等原因导致资金不到位的，致使采购人不能按合同付款，采购人不承担延期付款利息及违约金。</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若供应商不按要求开立银行账户，导致货款或项目款延期支付，采购人不承担延期付款利息及违约金，供应商不得因此</w:t>
      </w:r>
      <w:r>
        <w:rPr>
          <w:rFonts w:hint="eastAsia" w:ascii="宋体" w:hAnsi="宋体" w:cs="宋体"/>
          <w:color w:val="auto"/>
          <w:sz w:val="24"/>
          <w:highlight w:val="none"/>
          <w:lang w:eastAsia="zh-CN"/>
        </w:rPr>
        <w:t>终止合同</w:t>
      </w:r>
      <w:r>
        <w:rPr>
          <w:rFonts w:hint="eastAsia" w:ascii="宋体" w:hAnsi="宋体" w:eastAsia="宋体" w:cs="宋体"/>
          <w:color w:val="auto"/>
          <w:sz w:val="24"/>
          <w:highlight w:val="none"/>
        </w:rPr>
        <w:t>的履行。</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8．合同变更</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8.1 由于项目变更，采购人向供应商提出书面合同变更，供应商应予以接受。甲乙双方共同修订的合同条款，构成本合同的有效组成部分，与本合同具有同等效力。</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8.2 根据项目需要，采购人对所采购设备的数量和送货时间如有变更，及时书面通知供应商，供应商按变更后的数量和送货时间供货，新增或减少的设备价格不变。</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9．双方责任</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9.1 双方指定现场收货及交货代表。</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采购人收货代表：          ，联系电话:             。</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供应商交货代表：          ，联系电话:             。</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双方更换各自代表时，应及时通知对方，以确保设备顺利交接。</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9.2 供应商应将设备按合同约定时间运至采购人指定地点，并经采购人指定收货代表和采购人项目所属其他2人及以上签字验收确认后有效。</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9.3 本合同履行过程中，如果供应商不能按时交货，应在24小时内以书面形式通报采购人，采购人视情况确定是否同意变更供货时间。如采购人不同意变更供货时间，可自行采购部分或全部设备。采购人在自行采购和接收该违约部分设备时实际发生的所有额外费用和因此给采购人造成的损失，从应支付给供应商的货款中扣除，采购人同时保留进一步索赔的权利。</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9.4 除另有规定和协议要求外，供应商提供的全部设备须采用国家、企业、行业标准要求包装，并同时满足方便所供设备长途及短途运输的要求，并有良好的防潮、防震、防锈、防爆等措施。</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9.5 装箱单应注明设备的名称、规格、型号、数量、质量、生产商、发货地、供应商、收货人、交货地、承运人等，并在显著位置标明装卸警示标志。</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9.6 供应商应对项目现场情况和当地政府运输时限和通道限制的正常及临时规定有充分了解和理解，不应因此提出索赔、要求延长或变更供货期限等。</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9.7 供应商应提供本合同所采购与供应设备制造商的名称、法定地址、联系方法等，如果供应商是本合同所采购与供应设备生产厂商的指定代理销售单位，供应商还应向采购人提供生产厂商的销售代理委托书或其他证明文件。</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9.8 供应商运抵采购人指定现场的设备，交货单据上应详细列明当次供应设备的名称、品牌、产地、生产厂家、规格型号、计量单位、单价、数量、合计金额。</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9.9 本合同所采购与供应设备在使用过程中，采购人打开包装进行质量、性能等的检验时，发现质量问题告知供应商，供应商应在三日内予以维修、更换或退货。</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9.10 供应商应向采购人提交本合同所采购与供应设备的技术文件，包括材质报告（设备质量检验报告）和生产合格检验报告，以及按照项目竣工验收规定及采购人要求，提供所有相关符合要求的资料。</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9.11 采购人、设计、相关内部监督单位审核供应商提交的资料仅是一般性的监督，并不减少供应商与此有关的合同责任。</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9.12 未经采购人同意，供应商不得将本合同项下的任何权利义务（包含债权、债务）转让给第三人。供应商即使向采购人发送了权利义务（包含债权、债务）转让通知书，供应商承诺该转让通知书对采购人不发生任何效力，供应商承担因其转让行为给采购人造成的一切经济损失。</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9.13当一方纳税人信息等关键企业信息发生变化时，必须书面通知对方，否则应承担因此给对方造成的损失。</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9.14采购人依据本合同（供应商纳税人相关信息）约定收款单位（供应商公司名称）、开户银行、账号向供应商支付货款。</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10．违约与赔偿</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10.1 除本合同中规定的不可抗力外，其他不论任何原因，本合同所采购与供应设备，供应商若不能按规定期限送至采购人指定现场存货地点，采购人向供应商收取逾期运达设备总额（含增值税）每日0.5％的违约金，并有权因供应商违约终止合同。</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10.2 对本合同所采购与供应的设备，采购人有权邀请当地有关质量监督管理部门进行检验，并出具检验证书，发现供应商所供设备不符合要求，采购人向供应商提出索赔，供应商应予以接受。</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10.3 本合同所采购与供应的设备，在规定质量保证期限内采购人向供应商提出索赔，供应商应按下列条款向采购人赔偿：</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（1）同意采购人拒收设备，并把被拒收设备的预付货款返还采购人。</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（2）承担退货过程中发生的一切损失和费用，包括利息、银行费用、运输和保险费、检验费、仓储和装卸费以及为保管和保护退货设备所需的其它费用。</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（3）根据设备的质量缺陷和受损程度以及采购人遭受损失，经双方协商同意降低设备价格。</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（4）更换或修理有缺陷的设备，以达到合同约定的质量和性能，供应商承担一切费用和风险，并承担采购人因此而造成的损失。同时相应延长被更换或修理设备的质量保证期。</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10.4 采购人提出索赔通知后，供应商应在28日内答复，如果在28日内未答复，视为供应商已接受该索赔，同时采购人保留进一步要求赔偿的权利。</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10.5 供应商应按采购人要求及时提供符合本合同约定的增值税发票，供应商必须确保发票票面信息全部真实，相关设备品类、价款等内容与本合同相一致。</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因供应商开具的发票不规范、不合法等导致发票不能抵扣税款或涉嫌虚开发票引起税务问题的，供应商应向采购人重新开具发票，并向采购人承担赔偿责任，包括但不限于税款、滞纳金、罚款及相关损失等。</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因供应商开具发票不及时给采购人造成无法及时认证、抵扣发票等情形的，供应商应向采购人承担赔偿责任，包括但不限于税款、滞纳金、罚款及相关损失等。</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供应商不得擅自作废或冲红已向采购人提供的发票，否则供应商须按发票金额（含增值税）的20%向采购人支付违约金，并向采购人承担赔偿责任，包括但不限于税款、滞纳金、罚款及相关损失等。</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10.6 如供应商未按采购人要求的时间内足额足量供应设备，对采购人造成影响达3天及以上，则采购人有权单方面终止合同，另选择供应商，由此造成的一切损失由供应商承担，同时采购人保留向供应商进一步索赔的权利。</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10.7 未经采购人同意，如供应商单方面终止供货，除承担给采购人造成的经济损失外，还应向采购人支付未供货货款总额（含增值税）20%的违约金。</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11．不可抗力</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11.1 不可抗力系指签约双方在缔结合同时所不能预见，并且对其发生及后果无法避免和克服的事件。任何一方由于受到诸如战争、严重火灾、洪水、台风、地震等不可抗力的影响而不能执行合同时，履行合同的期限应予以延长，延长期限相当于不可抗力所影响的时间。</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11.2 受阻方应在不可抗力事件发生后尽快用电报、传真或电传等书面形式通知对方，并于事件发生后14日内将有关当局出具的证明文件用特快专递或挂号信寄给对方审阅确认，同时，受阻方应尽可能继续履行合同义务，积极采取合理的方案履行不受不可抗力影响的其他事项。</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11.3 不可抗力事件影响持续60日以上，双方通过友好协商，在合理时间内达成进一步履行或解除合同的协议。</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11.4 本条款所定义的不可抗力是指不能预见、不能避免并不能克服的客观情况，对于经营状况严重恶化、安排不周及税收政策的调整等情形，无论严重程度如何，均不理解为不可抗力。</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12．知识产权和专利权</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12.1 涉及到知识产权（或专利权）标记的产品，供应商应提供知识产权（或专利权）及其权属的有效证明材料。供应商承诺其提供的设备不侵犯他人的知识产权（或专利权），若供应商提供设备侵犯他人知识产权（或专利权）导致他人向采购人索赔的，以及供应商违反本合同其他约定的，供应商承担由此给采购人造成的一切损失，包括但不限于采购人处理此纠纷发生的律师费、诉讼费、仲裁费、差旅费等一切损失。采购人针对上述一切损失有权从供应商结算货款中扣除或依法追索。</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13．争议解决</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13.1 遇争议问题双方协商解决，协商不能达成一致意见时，提交下列第</w:t>
      </w:r>
      <w:r>
        <w:rPr>
          <w:rFonts w:hint="eastAsia" w:ascii="宋体" w:hAnsi="宋体" w:eastAsia="宋体" w:cs="宋体"/>
          <w:color w:val="auto"/>
          <w:sz w:val="24"/>
          <w:highlight w:val="none"/>
          <w:lang w:val="en-US" w:eastAsia="zh-CN"/>
        </w:rPr>
        <w:t>1</w:t>
      </w:r>
      <w:r>
        <w:rPr>
          <w:rFonts w:hint="eastAsia" w:ascii="宋体" w:hAnsi="宋体" w:eastAsia="宋体" w:cs="宋体"/>
          <w:color w:val="auto"/>
          <w:sz w:val="24"/>
          <w:highlight w:val="none"/>
        </w:rPr>
        <w:t>程序解决：</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（1）向</w:t>
      </w:r>
      <w:r>
        <w:rPr>
          <w:rFonts w:hint="eastAsia" w:ascii="宋体" w:hAnsi="宋体" w:eastAsia="宋体" w:cs="宋体"/>
          <w:color w:val="auto"/>
          <w:sz w:val="24"/>
          <w:highlight w:val="none"/>
          <w:lang w:val="en-US" w:eastAsia="zh-CN"/>
        </w:rPr>
        <w:t>临沂</w:t>
      </w:r>
      <w:r>
        <w:rPr>
          <w:rFonts w:hint="eastAsia" w:ascii="宋体" w:hAnsi="宋体" w:eastAsia="宋体" w:cs="宋体"/>
          <w:color w:val="auto"/>
          <w:sz w:val="24"/>
          <w:highlight w:val="none"/>
        </w:rPr>
        <w:t>仲裁委员会申请仲裁。</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（2）向采购人所在地人民法院起诉。</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14．其他</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14.1 本合同是双方合作的法律文件，对双方具有法律约束力。本合同解除的条件：按《</w:t>
      </w:r>
      <w:r>
        <w:rPr>
          <w:rFonts w:hint="eastAsia" w:ascii="宋体" w:hAnsi="宋体" w:eastAsia="宋体" w:cs="宋体"/>
          <w:color w:val="auto"/>
          <w:sz w:val="24"/>
          <w:highlight w:val="none"/>
          <w:lang w:eastAsia="zh-CN"/>
        </w:rPr>
        <w:t>民法典</w:t>
      </w:r>
      <w:r>
        <w:rPr>
          <w:rFonts w:hint="eastAsia" w:ascii="宋体" w:hAnsi="宋体" w:eastAsia="宋体" w:cs="宋体"/>
          <w:color w:val="auto"/>
          <w:sz w:val="24"/>
          <w:highlight w:val="none"/>
        </w:rPr>
        <w:t>》有关条款执行。</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14.2 本合同包括合同履行过程中有关确定和变更合同实质性条件的会议纪要、往来信函、资料等。</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14.3.本合同中供应商注明的电子邮箱需是有效（须保证能够正常使用），若使用电子邮件等数据电文形式的，此数据电文进入供应商提供的电子邮箱运营商服务器即视为收到。</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供应商电子邮箱（必填）：                    。</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14.4未尽事宜经采购人上级部门同意后，可签订补充协议，与本合同具有同等法律效力。</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本合同经双方签字盖章后即行生效，至双方履行完全部合同规定条款后失效。</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14.5补充条款：_______</w:t>
      </w:r>
      <w:r>
        <w:rPr>
          <w:rFonts w:hint="eastAsia" w:ascii="宋体" w:hAnsi="宋体" w:eastAsia="宋体" w:cs="宋体"/>
          <w:color w:val="auto"/>
          <w:sz w:val="24"/>
          <w:highlight w:val="none"/>
          <w:u w:val="single"/>
        </w:rPr>
        <w:t>无</w:t>
      </w:r>
      <w:r>
        <w:rPr>
          <w:rFonts w:hint="eastAsia" w:ascii="宋体" w:hAnsi="宋体" w:eastAsia="宋体" w:cs="宋体"/>
          <w:color w:val="auto"/>
          <w:sz w:val="24"/>
          <w:highlight w:val="none"/>
        </w:rPr>
        <w:t xml:space="preserve">_______。                                                               </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合同附件：</w:t>
      </w:r>
    </w:p>
    <w:p>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附件1：货物分项报价表</w:t>
      </w:r>
    </w:p>
    <w:p>
      <w:pPr>
        <w:pStyle w:val="78"/>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附件</w:t>
      </w:r>
      <w:r>
        <w:rPr>
          <w:rFonts w:hint="eastAsia" w:ascii="宋体" w:hAnsi="宋体" w:eastAsia="宋体" w:cs="宋体"/>
          <w:b/>
          <w:bCs/>
          <w:color w:val="auto"/>
          <w:sz w:val="24"/>
          <w:highlight w:val="none"/>
          <w:lang w:val="en-US" w:eastAsia="zh-CN"/>
        </w:rPr>
        <w:t>2</w:t>
      </w:r>
      <w:r>
        <w:rPr>
          <w:rFonts w:hint="eastAsia" w:ascii="宋体" w:hAnsi="宋体" w:eastAsia="宋体" w:cs="宋体"/>
          <w:b/>
          <w:bCs/>
          <w:color w:val="auto"/>
          <w:sz w:val="24"/>
          <w:highlight w:val="none"/>
        </w:rPr>
        <w:t>：售后服务承诺</w:t>
      </w:r>
    </w:p>
    <w:p>
      <w:pPr>
        <w:pStyle w:val="78"/>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rPr>
        <w:t>附件</w:t>
      </w:r>
      <w:r>
        <w:rPr>
          <w:rFonts w:hint="eastAsia" w:ascii="宋体" w:hAnsi="宋体" w:eastAsia="宋体" w:cs="宋体"/>
          <w:b/>
          <w:bCs/>
          <w:color w:val="auto"/>
          <w:sz w:val="24"/>
          <w:highlight w:val="none"/>
          <w:lang w:val="en-US" w:eastAsia="zh-CN"/>
        </w:rPr>
        <w:t>3</w:t>
      </w:r>
      <w:r>
        <w:rPr>
          <w:rFonts w:hint="eastAsia" w:ascii="宋体" w:hAnsi="宋体" w:eastAsia="宋体" w:cs="宋体"/>
          <w:b/>
          <w:bCs/>
          <w:color w:val="auto"/>
          <w:sz w:val="24"/>
          <w:highlight w:val="none"/>
        </w:rPr>
        <w:t>：</w:t>
      </w:r>
      <w:r>
        <w:rPr>
          <w:rFonts w:hint="eastAsia" w:ascii="宋体" w:hAnsi="宋体" w:eastAsia="宋体" w:cs="宋体"/>
          <w:b/>
          <w:bCs/>
          <w:color w:val="auto"/>
          <w:sz w:val="24"/>
          <w:highlight w:val="none"/>
          <w:lang w:val="en-US" w:eastAsia="zh-CN"/>
        </w:rPr>
        <w:t>优惠条款</w:t>
      </w:r>
    </w:p>
    <w:p>
      <w:pPr>
        <w:pStyle w:val="78"/>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rPr>
        <w:t>附件</w:t>
      </w:r>
      <w:r>
        <w:rPr>
          <w:rFonts w:hint="eastAsia" w:ascii="宋体" w:hAnsi="宋体" w:eastAsia="宋体" w:cs="宋体"/>
          <w:b/>
          <w:bCs/>
          <w:color w:val="auto"/>
          <w:sz w:val="24"/>
          <w:highlight w:val="none"/>
          <w:lang w:val="en-US" w:eastAsia="zh-CN"/>
        </w:rPr>
        <w:t>4</w:t>
      </w:r>
      <w:r>
        <w:rPr>
          <w:rFonts w:hint="eastAsia" w:ascii="宋体" w:hAnsi="宋体" w:eastAsia="宋体" w:cs="宋体"/>
          <w:b/>
          <w:bCs/>
          <w:color w:val="auto"/>
          <w:sz w:val="24"/>
          <w:highlight w:val="none"/>
        </w:rPr>
        <w:t>：</w:t>
      </w:r>
      <w:r>
        <w:rPr>
          <w:rFonts w:hint="eastAsia" w:ascii="宋体" w:hAnsi="宋体" w:eastAsia="宋体" w:cs="宋体"/>
          <w:b/>
          <w:bCs/>
          <w:color w:val="auto"/>
          <w:sz w:val="24"/>
          <w:highlight w:val="none"/>
          <w:lang w:val="en-US" w:eastAsia="zh-CN"/>
        </w:rPr>
        <w:t>最终报价表（扫描件）</w:t>
      </w:r>
    </w:p>
    <w:p>
      <w:pPr>
        <w:rPr>
          <w:rFonts w:hint="eastAsia" w:ascii="宋体" w:hAnsi="宋体" w:eastAsia="宋体" w:cs="宋体"/>
          <w:i/>
          <w:iCs/>
          <w:color w:val="auto"/>
          <w:highlight w:val="none"/>
        </w:rPr>
      </w:pPr>
    </w:p>
    <w:sectPr>
      <w:pgSz w:w="11906" w:h="16838"/>
      <w:pgMar w:top="1440" w:right="1797" w:bottom="1440" w:left="1797" w:header="851" w:footer="992" w:gutter="0"/>
      <w:pgBorders>
        <w:top w:val="none" w:sz="0" w:space="0"/>
        <w:left w:val="none" w:sz="0" w:space="0"/>
        <w:bottom w:val="none" w:sz="0" w:space="0"/>
        <w:right w:val="none" w:sz="0" w:space="0"/>
      </w:pgBorders>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DFKai-SB">
    <w:panose1 w:val="03000509000000000000"/>
    <w:charset w:val="88"/>
    <w:family w:val="script"/>
    <w:pitch w:val="default"/>
    <w:sig w:usb0="00000003" w:usb1="082E0000" w:usb2="00000016" w:usb3="00000000" w:csb0="00100001" w:csb1="00000000"/>
  </w:font>
  <w:font w:name="Wingdings 2">
    <w:panose1 w:val="05020102010507070707"/>
    <w:charset w:val="02"/>
    <w:family w:val="roman"/>
    <w:pitch w:val="default"/>
    <w:sig w:usb0="00000000" w:usb1="00000000" w:usb2="00000000" w:usb3="00000000" w:csb0="8000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57785" cy="147955"/>
              <wp:effectExtent l="0" t="0" r="0" b="0"/>
              <wp:wrapNone/>
              <wp:docPr id="2" name="文本框 2"/>
              <wp:cNvGraphicFramePr/>
              <a:graphic xmlns:a="http://schemas.openxmlformats.org/drawingml/2006/main">
                <a:graphicData uri="http://schemas.microsoft.com/office/word/2010/wordprocessingShape">
                  <wps:wsp>
                    <wps:cNvSpPr txBox="1"/>
                    <wps:spPr>
                      <a:xfrm>
                        <a:off x="0" y="0"/>
                        <a:ext cx="57785" cy="147955"/>
                      </a:xfrm>
                      <a:prstGeom prst="rect">
                        <a:avLst/>
                      </a:prstGeom>
                      <a:noFill/>
                      <a:ln w="9525">
                        <a:noFill/>
                      </a:ln>
                      <a:effectLst/>
                    </wps:spPr>
                    <wps:txbx>
                      <w:txbxContent>
                        <w:p>
                          <w:pPr>
                            <w:pStyle w:val="19"/>
                            <w:rPr>
                              <w:rStyle w:val="34"/>
                            </w:rPr>
                          </w:pPr>
                          <w:r>
                            <w:fldChar w:fldCharType="begin"/>
                          </w:r>
                          <w:r>
                            <w:rPr>
                              <w:rStyle w:val="34"/>
                            </w:rPr>
                            <w:instrText xml:space="preserve">PAGE  </w:instrText>
                          </w:r>
                          <w:r>
                            <w:fldChar w:fldCharType="separate"/>
                          </w:r>
                          <w:r>
                            <w:rPr>
                              <w:rStyle w:val="34"/>
                            </w:rPr>
                            <w:t>32</w:t>
                          </w:r>
                          <w: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1.65pt;width:4.55pt;mso-position-horizontal:center;mso-position-horizontal-relative:margin;mso-wrap-style:none;z-index:251660288;mso-width-relative:page;mso-height-relative:page;" filled="f" stroked="f" coordsize="21600,21600" o:gfxdata="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nyxwC0QAAAAIB&#10;AAAPAAAAAAAAAAEAIAAAACIAAABkcnMvZG93bnJldi54bWxQSwECFAAUAAAACACHTuJA2pE9T+kB&#10;AADGAwAADgAAAAAAAAABACAAAAAgAQAAZHJzL2Uyb0RvYy54bWxQSwUGAAAAAAYABgBZAQAAewUA&#10;AAAA&#10;">
              <v:fill on="f" focussize="0,0"/>
              <v:stroke on="f"/>
              <v:imagedata o:title=""/>
              <o:lock v:ext="edit" aspectratio="f"/>
              <v:textbox inset="0mm,0mm,0mm,0mm" style="mso-fit-shape-to-text:t;">
                <w:txbxContent>
                  <w:p>
                    <w:pPr>
                      <w:pStyle w:val="19"/>
                      <w:rPr>
                        <w:rStyle w:val="34"/>
                      </w:rPr>
                    </w:pPr>
                    <w:r>
                      <w:fldChar w:fldCharType="begin"/>
                    </w:r>
                    <w:r>
                      <w:rPr>
                        <w:rStyle w:val="34"/>
                      </w:rPr>
                      <w:instrText xml:space="preserve">PAGE  </w:instrText>
                    </w:r>
                    <w:r>
                      <w:fldChar w:fldCharType="separate"/>
                    </w:r>
                    <w:r>
                      <w:rPr>
                        <w:rStyle w:val="34"/>
                      </w:rPr>
                      <w:t>32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framePr w:wrap="around" w:vAnchor="text" w:hAnchor="margin" w:xAlign="center" w:y="1"/>
      <w:rPr>
        <w:rStyle w:val="34"/>
      </w:rPr>
    </w:pPr>
    <w:r>
      <w:fldChar w:fldCharType="begin"/>
    </w:r>
    <w:r>
      <w:rPr>
        <w:rStyle w:val="34"/>
      </w:rPr>
      <w:instrText xml:space="preserve">PAGE  </w:instrText>
    </w:r>
    <w:r>
      <w:fldChar w:fldCharType="end"/>
    </w:r>
  </w:p>
  <w:p>
    <w:pPr>
      <w:pStyle w:val="1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57785" cy="147955"/>
              <wp:effectExtent l="0" t="0" r="0" b="0"/>
              <wp:wrapNone/>
              <wp:docPr id="17" name="文本框 3"/>
              <wp:cNvGraphicFramePr/>
              <a:graphic xmlns:a="http://schemas.openxmlformats.org/drawingml/2006/main">
                <a:graphicData uri="http://schemas.microsoft.com/office/word/2010/wordprocessingShape">
                  <wps:wsp>
                    <wps:cNvSpPr txBox="1"/>
                    <wps:spPr>
                      <a:xfrm>
                        <a:off x="0" y="0"/>
                        <a:ext cx="57785" cy="147955"/>
                      </a:xfrm>
                      <a:prstGeom prst="rect">
                        <a:avLst/>
                      </a:prstGeom>
                      <a:noFill/>
                      <a:ln w="9525">
                        <a:noFill/>
                      </a:ln>
                      <a:effectLst/>
                    </wps:spPr>
                    <wps:txbx>
                      <w:txbxContent>
                        <w:p>
                          <w:pPr>
                            <w:pStyle w:val="19"/>
                            <w:rPr>
                              <w:rStyle w:val="34"/>
                            </w:rPr>
                          </w:pPr>
                          <w:r>
                            <w:fldChar w:fldCharType="begin"/>
                          </w:r>
                          <w:r>
                            <w:rPr>
                              <w:rStyle w:val="34"/>
                            </w:rPr>
                            <w:instrText xml:space="preserve">PAGE  </w:instrText>
                          </w:r>
                          <w:r>
                            <w:fldChar w:fldCharType="separate"/>
                          </w:r>
                          <w:r>
                            <w:rPr>
                              <w:rStyle w:val="34"/>
                            </w:rPr>
                            <w:t>26</w:t>
                          </w:r>
                          <w:r>
                            <w:fldChar w:fldCharType="end"/>
                          </w:r>
                        </w:p>
                      </w:txbxContent>
                    </wps:txbx>
                    <wps:bodyPr vert="horz" wrap="none" lIns="0" tIns="0" rIns="0" bIns="0" anchor="t" anchorCtr="0">
                      <a:spAutoFit/>
                    </wps:bodyPr>
                  </wps:wsp>
                </a:graphicData>
              </a:graphic>
            </wp:anchor>
          </w:drawing>
        </mc:Choice>
        <mc:Fallback>
          <w:pict>
            <v:shape id="文本框 3" o:spid="_x0000_s1026" o:spt="202" type="#_x0000_t202" style="position:absolute;left:0pt;margin-top:0pt;height:11.65pt;width:4.55pt;mso-position-horizontal:center;mso-position-horizontal-relative:margin;mso-wrap-style:none;z-index:251661312;mso-width-relative:page;mso-height-relative:page;" filled="f" stroked="f" coordsize="21600,21600" o:gfxdata="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58scAtEAAAAC&#10;AQAADwAAAAAAAAABACAAAAAiAAAAZHJzL2Rvd25yZXYueG1sUEsBAhQAFAAAAAgAh07iQMNTHYvq&#10;AQAAxwMAAA4AAAAAAAAAAQAgAAAAIAEAAGRycy9lMm9Eb2MueG1sUEsFBgAAAAAGAAYAWQEAAHwF&#10;AAAAAA==&#10;">
              <v:fill on="f" focussize="0,0"/>
              <v:stroke on="f"/>
              <v:imagedata o:title=""/>
              <o:lock v:ext="edit" aspectratio="f"/>
              <v:textbox inset="0mm,0mm,0mm,0mm" style="mso-fit-shape-to-text:t;">
                <w:txbxContent>
                  <w:p>
                    <w:pPr>
                      <w:pStyle w:val="19"/>
                      <w:rPr>
                        <w:rStyle w:val="34"/>
                      </w:rPr>
                    </w:pPr>
                    <w:r>
                      <w:fldChar w:fldCharType="begin"/>
                    </w:r>
                    <w:r>
                      <w:rPr>
                        <w:rStyle w:val="34"/>
                      </w:rPr>
                      <w:instrText xml:space="preserve">PAGE  </w:instrText>
                    </w:r>
                    <w:r>
                      <w:fldChar w:fldCharType="separate"/>
                    </w:r>
                    <w:r>
                      <w:rPr>
                        <w:rStyle w:val="34"/>
                      </w:rPr>
                      <w:t>26</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framePr w:wrap="around" w:vAnchor="text" w:hAnchor="margin" w:xAlign="center" w:y="1"/>
      <w:rPr>
        <w:rStyle w:val="34"/>
      </w:rPr>
    </w:pPr>
    <w:r>
      <w:fldChar w:fldCharType="begin"/>
    </w:r>
    <w:r>
      <w:rPr>
        <w:rStyle w:val="34"/>
      </w:rPr>
      <w:instrText xml:space="preserve">PAGE  </w:instrText>
    </w:r>
    <w:r>
      <w:fldChar w:fldCharType="end"/>
    </w:r>
  </w:p>
  <w:p>
    <w:pPr>
      <w:pStyle w:val="19"/>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center"/>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14935" cy="147955"/>
              <wp:effectExtent l="0" t="0" r="0" b="0"/>
              <wp:wrapNone/>
              <wp:docPr id="19" name="文本框 1"/>
              <wp:cNvGraphicFramePr/>
              <a:graphic xmlns:a="http://schemas.openxmlformats.org/drawingml/2006/main">
                <a:graphicData uri="http://schemas.microsoft.com/office/word/2010/wordprocessingShape">
                  <wps:wsp>
                    <wps:cNvSpPr txBox="1"/>
                    <wps:spPr>
                      <a:xfrm>
                        <a:off x="0" y="0"/>
                        <a:ext cx="114935" cy="147955"/>
                      </a:xfrm>
                      <a:prstGeom prst="rect">
                        <a:avLst/>
                      </a:prstGeom>
                      <a:noFill/>
                      <a:ln w="9525">
                        <a:noFill/>
                      </a:ln>
                      <a:effectLst/>
                    </wps:spPr>
                    <wps:txbx>
                      <w:txbxContent>
                        <w:p>
                          <w:pPr>
                            <w:pStyle w:val="19"/>
                            <w:jc w:val="center"/>
                          </w:pPr>
                          <w:r>
                            <w:fldChar w:fldCharType="begin"/>
                          </w:r>
                          <w:r>
                            <w:instrText xml:space="preserve">PAGE   \* MERGEFORMAT</w:instrText>
                          </w:r>
                          <w:r>
                            <w:fldChar w:fldCharType="separate"/>
                          </w:r>
                          <w:r>
                            <w:rPr>
                              <w:lang w:val="zh-CN"/>
                            </w:rPr>
                            <w:t>29</w:t>
                          </w:r>
                          <w:r>
                            <w:fldChar w:fldCharType="end"/>
                          </w:r>
                        </w:p>
                      </w:txbxContent>
                    </wps:txbx>
                    <wps:bodyPr vert="horz" wrap="none" lIns="0" tIns="0" rIns="0" bIns="0" anchor="t" anchorCtr="0">
                      <a:spAutoFit/>
                    </wps:bodyPr>
                  </wps:wsp>
                </a:graphicData>
              </a:graphic>
            </wp:anchor>
          </w:drawing>
        </mc:Choice>
        <mc:Fallback>
          <w:pict>
            <v:shape id="文本框 1" o:spid="_x0000_s1026" o:spt="202" type="#_x0000_t202" style="position:absolute;left:0pt;margin-top:0pt;height:11.65pt;width:9.05pt;mso-position-horizontal:center;mso-position-horizontal-relative:margin;mso-wrap-style:none;z-index:251662336;mso-width-relative:page;mso-height-relative:page;" filled="f" stroked="f" coordsize="21600,21600" o:gfxdata="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Gulvw/RAAAA&#10;AwEAAA8AAAAAAAAAAQAgAAAAIgAAAGRycy9kb3ducmV2LnhtbFBLAQIUABQAAAAIAIdO4kDjEkrt&#10;6wEAAMgDAAAOAAAAAAAAAAEAIAAAACABAABkcnMvZTJvRG9jLnhtbFBLBQYAAAAABgAGAFkBAAB9&#10;BQAAAAA=&#10;">
              <v:fill on="f" focussize="0,0"/>
              <v:stroke on="f"/>
              <v:imagedata o:title=""/>
              <o:lock v:ext="edit" aspectratio="f"/>
              <v:textbox inset="0mm,0mm,0mm,0mm" style="mso-fit-shape-to-text:t;">
                <w:txbxContent>
                  <w:p>
                    <w:pPr>
                      <w:pStyle w:val="19"/>
                      <w:jc w:val="center"/>
                    </w:pPr>
                    <w:r>
                      <w:fldChar w:fldCharType="begin"/>
                    </w:r>
                    <w:r>
                      <w:instrText xml:space="preserve">PAGE   \* MERGEFORMAT</w:instrText>
                    </w:r>
                    <w:r>
                      <w:fldChar w:fldCharType="separate"/>
                    </w:r>
                    <w:r>
                      <w:rPr>
                        <w:lang w:val="zh-CN"/>
                      </w:rPr>
                      <w:t>29</w:t>
                    </w:r>
                    <w:r>
                      <w:fldChar w:fldCharType="end"/>
                    </w:r>
                  </w:p>
                </w:txbxContent>
              </v:textbox>
            </v:shape>
          </w:pict>
        </mc:Fallback>
      </mc:AlternateContent>
    </w:r>
  </w:p>
  <w:p>
    <w:pPr>
      <w:pStyle w:val="19"/>
      <w:ind w:right="360"/>
      <w:jc w:val="right"/>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13AB1A"/>
    <w:multiLevelType w:val="singleLevel"/>
    <w:tmpl w:val="A913AB1A"/>
    <w:lvl w:ilvl="0" w:tentative="0">
      <w:start w:val="2"/>
      <w:numFmt w:val="chineseCounting"/>
      <w:suff w:val="nothing"/>
      <w:lvlText w:val="（%1）"/>
      <w:lvlJc w:val="left"/>
      <w:rPr>
        <w:rFonts w:hint="eastAsia"/>
      </w:rPr>
    </w:lvl>
  </w:abstractNum>
  <w:abstractNum w:abstractNumId="1">
    <w:nsid w:val="E69240E9"/>
    <w:multiLevelType w:val="singleLevel"/>
    <w:tmpl w:val="E69240E9"/>
    <w:lvl w:ilvl="0" w:tentative="0">
      <w:start w:val="2"/>
      <w:numFmt w:val="chineseCounting"/>
      <w:suff w:val="nothing"/>
      <w:lvlText w:val="%1、"/>
      <w:lvlJc w:val="left"/>
      <w:rPr>
        <w:rFonts w:hint="eastAsia"/>
      </w:rPr>
    </w:lvl>
  </w:abstractNum>
  <w:abstractNum w:abstractNumId="2">
    <w:nsid w:val="0FF9642E"/>
    <w:multiLevelType w:val="multilevel"/>
    <w:tmpl w:val="0FF9642E"/>
    <w:lvl w:ilvl="0" w:tentative="0">
      <w:start w:val="1"/>
      <w:numFmt w:val="decimal"/>
      <w:lvlText w:val="第%1章"/>
      <w:lvlJc w:val="left"/>
      <w:pPr>
        <w:tabs>
          <w:tab w:val="left" w:pos="2850"/>
        </w:tabs>
        <w:ind w:left="2850" w:hanging="1290"/>
      </w:pPr>
      <w:rPr>
        <w:rFonts w:hint="default"/>
        <w:b/>
        <w:lang w:val="en-US"/>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3">
    <w:nsid w:val="25E9131D"/>
    <w:multiLevelType w:val="multilevel"/>
    <w:tmpl w:val="25E9131D"/>
    <w:lvl w:ilvl="0" w:tentative="0">
      <w:start w:val="1"/>
      <w:numFmt w:val="decimal"/>
      <w:lvlText w:val="%1"/>
      <w:lvlJc w:val="left"/>
      <w:pPr>
        <w:tabs>
          <w:tab w:val="left" w:pos="900"/>
        </w:tabs>
        <w:ind w:left="900" w:hanging="900"/>
      </w:pPr>
      <w:rPr>
        <w:rFonts w:hint="eastAsia"/>
      </w:rPr>
    </w:lvl>
    <w:lvl w:ilvl="1" w:tentative="0">
      <w:start w:val="1"/>
      <w:numFmt w:val="decimal"/>
      <w:lvlText w:val="%1.%2"/>
      <w:lvlJc w:val="left"/>
      <w:pPr>
        <w:tabs>
          <w:tab w:val="left" w:pos="900"/>
        </w:tabs>
        <w:ind w:left="900" w:hanging="900"/>
      </w:pPr>
      <w:rPr>
        <w:rFonts w:hint="eastAsia"/>
      </w:rPr>
    </w:lvl>
    <w:lvl w:ilvl="2" w:tentative="0">
      <w:start w:val="1"/>
      <w:numFmt w:val="decimal"/>
      <w:lvlText w:val="%1.%2.%3"/>
      <w:lvlJc w:val="left"/>
      <w:pPr>
        <w:tabs>
          <w:tab w:val="left" w:pos="900"/>
        </w:tabs>
        <w:ind w:left="900" w:hanging="900"/>
      </w:pPr>
      <w:rPr>
        <w:rFonts w:hint="eastAsia"/>
      </w:rPr>
    </w:lvl>
    <w:lvl w:ilvl="3" w:tentative="0">
      <w:start w:val="1"/>
      <w:numFmt w:val="decimal"/>
      <w:lvlText w:val="%1.%2.%3.%4"/>
      <w:lvlJc w:val="left"/>
      <w:pPr>
        <w:tabs>
          <w:tab w:val="left" w:pos="900"/>
        </w:tabs>
        <w:ind w:left="900" w:hanging="900"/>
      </w:pPr>
      <w:rPr>
        <w:rFonts w:hint="eastAsia"/>
      </w:rPr>
    </w:lvl>
    <w:lvl w:ilvl="4" w:tentative="0">
      <w:start w:val="1"/>
      <w:numFmt w:val="decimal"/>
      <w:lvlText w:val="%1.%2.%3.%4.%5"/>
      <w:lvlJc w:val="left"/>
      <w:pPr>
        <w:tabs>
          <w:tab w:val="left" w:pos="900"/>
        </w:tabs>
        <w:ind w:left="900" w:hanging="900"/>
      </w:pPr>
      <w:rPr>
        <w:rFonts w:hint="eastAsia"/>
      </w:rPr>
    </w:lvl>
    <w:lvl w:ilvl="5" w:tentative="0">
      <w:start w:val="1"/>
      <w:numFmt w:val="decimal"/>
      <w:lvlText w:val="%1.%2.%3.%4.%5.%6"/>
      <w:lvlJc w:val="left"/>
      <w:pPr>
        <w:tabs>
          <w:tab w:val="left" w:pos="900"/>
        </w:tabs>
        <w:ind w:left="900" w:hanging="900"/>
      </w:pPr>
      <w:rPr>
        <w:rFonts w:hint="eastAsia"/>
      </w:rPr>
    </w:lvl>
    <w:lvl w:ilvl="6" w:tentative="0">
      <w:start w:val="1"/>
      <w:numFmt w:val="decimal"/>
      <w:lvlText w:val="%1.%2.%3.%4.%5.%6.%7"/>
      <w:lvlJc w:val="left"/>
      <w:pPr>
        <w:tabs>
          <w:tab w:val="left" w:pos="900"/>
        </w:tabs>
        <w:ind w:left="900" w:hanging="900"/>
      </w:pPr>
      <w:rPr>
        <w:rFonts w:hint="eastAsia"/>
      </w:rPr>
    </w:lvl>
    <w:lvl w:ilvl="7" w:tentative="0">
      <w:start w:val="1"/>
      <w:numFmt w:val="decimal"/>
      <w:lvlText w:val="%1.%2.%3.%4.%5.%6.%7.%8"/>
      <w:lvlJc w:val="left"/>
      <w:pPr>
        <w:tabs>
          <w:tab w:val="left" w:pos="900"/>
        </w:tabs>
        <w:ind w:left="900" w:hanging="900"/>
      </w:pPr>
      <w:rPr>
        <w:rFonts w:hint="eastAsia"/>
      </w:rPr>
    </w:lvl>
    <w:lvl w:ilvl="8" w:tentative="0">
      <w:start w:val="1"/>
      <w:numFmt w:val="decimal"/>
      <w:lvlText w:val="%1.%2.%3.%4.%5.%6.%7.%8.%9"/>
      <w:lvlJc w:val="left"/>
      <w:pPr>
        <w:tabs>
          <w:tab w:val="left" w:pos="900"/>
        </w:tabs>
        <w:ind w:left="900" w:hanging="900"/>
      </w:pPr>
      <w:rPr>
        <w:rFonts w:hint="eastAsia"/>
      </w:rPr>
    </w:lvl>
  </w:abstractNum>
  <w:abstractNum w:abstractNumId="4">
    <w:nsid w:val="66E4770E"/>
    <w:multiLevelType w:val="multilevel"/>
    <w:tmpl w:val="66E4770E"/>
    <w:lvl w:ilvl="0" w:tentative="0">
      <w:start w:val="1"/>
      <w:numFmt w:val="decimal"/>
      <w:lvlText w:val="第%1章"/>
      <w:lvlJc w:val="left"/>
      <w:pPr>
        <w:tabs>
          <w:tab w:val="left" w:pos="1680"/>
        </w:tabs>
        <w:ind w:left="1680" w:hanging="114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5">
    <w:nsid w:val="798DCADE"/>
    <w:multiLevelType w:val="singleLevel"/>
    <w:tmpl w:val="798DCADE"/>
    <w:lvl w:ilvl="0" w:tentative="0">
      <w:start w:val="2"/>
      <w:numFmt w:val="decimal"/>
      <w:suff w:val="nothing"/>
      <w:lvlText w:val="%1、"/>
      <w:lvlJc w:val="left"/>
    </w:lvl>
  </w:abstractNum>
  <w:num w:numId="1">
    <w:abstractNumId w:val="2"/>
  </w:num>
  <w:num w:numId="2">
    <w:abstractNumId w:val="3"/>
  </w:num>
  <w:num w:numId="3">
    <w:abstractNumId w:val="4"/>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bordersDoNotSurroundHeader w:val="0"/>
  <w:bordersDoNotSurroundFooter w:val="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E2NjgwODc0MGI0YmNiMWZiODkwMmJhMzVkOWRlMzQifQ=="/>
    <w:docVar w:name="KSO_WPS_MARK_KEY" w:val="6f4900ca-704d-45d6-9023-50cac56b4e63"/>
  </w:docVars>
  <w:rsids>
    <w:rsidRoot w:val="00172A27"/>
    <w:rsid w:val="00016056"/>
    <w:rsid w:val="0003301B"/>
    <w:rsid w:val="000472F1"/>
    <w:rsid w:val="000547BC"/>
    <w:rsid w:val="0006797B"/>
    <w:rsid w:val="00083398"/>
    <w:rsid w:val="000851EA"/>
    <w:rsid w:val="00086240"/>
    <w:rsid w:val="000A67F9"/>
    <w:rsid w:val="000C1CEF"/>
    <w:rsid w:val="000D56B4"/>
    <w:rsid w:val="000E2C91"/>
    <w:rsid w:val="000E61C7"/>
    <w:rsid w:val="000F7364"/>
    <w:rsid w:val="00117F32"/>
    <w:rsid w:val="001239B2"/>
    <w:rsid w:val="0013368F"/>
    <w:rsid w:val="0014392C"/>
    <w:rsid w:val="0014668B"/>
    <w:rsid w:val="001619AD"/>
    <w:rsid w:val="00172A27"/>
    <w:rsid w:val="00181882"/>
    <w:rsid w:val="00185D8C"/>
    <w:rsid w:val="00193E02"/>
    <w:rsid w:val="001A51F4"/>
    <w:rsid w:val="001A7530"/>
    <w:rsid w:val="001B1749"/>
    <w:rsid w:val="001D1AFD"/>
    <w:rsid w:val="001E084D"/>
    <w:rsid w:val="001E18CE"/>
    <w:rsid w:val="00205F1A"/>
    <w:rsid w:val="00226229"/>
    <w:rsid w:val="00240C2C"/>
    <w:rsid w:val="00240C3E"/>
    <w:rsid w:val="00286F9E"/>
    <w:rsid w:val="00291B26"/>
    <w:rsid w:val="00292666"/>
    <w:rsid w:val="00293489"/>
    <w:rsid w:val="00293799"/>
    <w:rsid w:val="002A2632"/>
    <w:rsid w:val="002A26DB"/>
    <w:rsid w:val="002A3C47"/>
    <w:rsid w:val="002B0A40"/>
    <w:rsid w:val="002B6586"/>
    <w:rsid w:val="002C384F"/>
    <w:rsid w:val="002D3103"/>
    <w:rsid w:val="002D3BED"/>
    <w:rsid w:val="00324A71"/>
    <w:rsid w:val="00331B79"/>
    <w:rsid w:val="00335D89"/>
    <w:rsid w:val="00351063"/>
    <w:rsid w:val="00352481"/>
    <w:rsid w:val="003529C4"/>
    <w:rsid w:val="00353178"/>
    <w:rsid w:val="00357293"/>
    <w:rsid w:val="00365F7F"/>
    <w:rsid w:val="00366F37"/>
    <w:rsid w:val="003728DF"/>
    <w:rsid w:val="003957D6"/>
    <w:rsid w:val="003A6684"/>
    <w:rsid w:val="003A78FB"/>
    <w:rsid w:val="003D22C7"/>
    <w:rsid w:val="003D30D8"/>
    <w:rsid w:val="003E1425"/>
    <w:rsid w:val="003F1132"/>
    <w:rsid w:val="00422CEF"/>
    <w:rsid w:val="00423F3D"/>
    <w:rsid w:val="00431B5E"/>
    <w:rsid w:val="0048375D"/>
    <w:rsid w:val="004B09FE"/>
    <w:rsid w:val="004B2135"/>
    <w:rsid w:val="004B2876"/>
    <w:rsid w:val="004B3AB5"/>
    <w:rsid w:val="004B78EC"/>
    <w:rsid w:val="004B7E9A"/>
    <w:rsid w:val="004E303E"/>
    <w:rsid w:val="004F20AB"/>
    <w:rsid w:val="00505278"/>
    <w:rsid w:val="00510960"/>
    <w:rsid w:val="00511716"/>
    <w:rsid w:val="00522FF6"/>
    <w:rsid w:val="00526490"/>
    <w:rsid w:val="00531699"/>
    <w:rsid w:val="00570A48"/>
    <w:rsid w:val="00585114"/>
    <w:rsid w:val="0059218B"/>
    <w:rsid w:val="005A5335"/>
    <w:rsid w:val="005B3994"/>
    <w:rsid w:val="005B47AB"/>
    <w:rsid w:val="005C2A22"/>
    <w:rsid w:val="005C76CB"/>
    <w:rsid w:val="005F57F1"/>
    <w:rsid w:val="005F755B"/>
    <w:rsid w:val="00610312"/>
    <w:rsid w:val="00620C12"/>
    <w:rsid w:val="00622262"/>
    <w:rsid w:val="006230D8"/>
    <w:rsid w:val="00641454"/>
    <w:rsid w:val="00641E25"/>
    <w:rsid w:val="00642F19"/>
    <w:rsid w:val="00654DE3"/>
    <w:rsid w:val="006554F1"/>
    <w:rsid w:val="00662F6E"/>
    <w:rsid w:val="006643FE"/>
    <w:rsid w:val="0067153F"/>
    <w:rsid w:val="006761A0"/>
    <w:rsid w:val="00695B98"/>
    <w:rsid w:val="006977AB"/>
    <w:rsid w:val="006A3F00"/>
    <w:rsid w:val="006B0F72"/>
    <w:rsid w:val="006B5B80"/>
    <w:rsid w:val="006C135E"/>
    <w:rsid w:val="006D0611"/>
    <w:rsid w:val="006E59E9"/>
    <w:rsid w:val="0070239C"/>
    <w:rsid w:val="00722C84"/>
    <w:rsid w:val="00723FDE"/>
    <w:rsid w:val="00734B1E"/>
    <w:rsid w:val="00747304"/>
    <w:rsid w:val="00747DD3"/>
    <w:rsid w:val="0075067C"/>
    <w:rsid w:val="007555F7"/>
    <w:rsid w:val="0075692F"/>
    <w:rsid w:val="00764B9B"/>
    <w:rsid w:val="00772B5F"/>
    <w:rsid w:val="00782E59"/>
    <w:rsid w:val="00791CCE"/>
    <w:rsid w:val="007A1EC4"/>
    <w:rsid w:val="007C7429"/>
    <w:rsid w:val="007F1970"/>
    <w:rsid w:val="007F2D3E"/>
    <w:rsid w:val="007F4D4F"/>
    <w:rsid w:val="007F5C65"/>
    <w:rsid w:val="008022CF"/>
    <w:rsid w:val="0081202E"/>
    <w:rsid w:val="00812159"/>
    <w:rsid w:val="008173DC"/>
    <w:rsid w:val="00832297"/>
    <w:rsid w:val="00832BC5"/>
    <w:rsid w:val="008351A5"/>
    <w:rsid w:val="008375BB"/>
    <w:rsid w:val="00840A37"/>
    <w:rsid w:val="00844E37"/>
    <w:rsid w:val="00871354"/>
    <w:rsid w:val="00880E1B"/>
    <w:rsid w:val="00895679"/>
    <w:rsid w:val="008A1E06"/>
    <w:rsid w:val="008A6052"/>
    <w:rsid w:val="008B126A"/>
    <w:rsid w:val="008D6D9C"/>
    <w:rsid w:val="008E56F7"/>
    <w:rsid w:val="008E5B32"/>
    <w:rsid w:val="00906279"/>
    <w:rsid w:val="00906A6D"/>
    <w:rsid w:val="009524FD"/>
    <w:rsid w:val="009538EC"/>
    <w:rsid w:val="009737EE"/>
    <w:rsid w:val="0098680F"/>
    <w:rsid w:val="009905C6"/>
    <w:rsid w:val="00992B3A"/>
    <w:rsid w:val="0099301F"/>
    <w:rsid w:val="009A23B5"/>
    <w:rsid w:val="009B7948"/>
    <w:rsid w:val="009C4326"/>
    <w:rsid w:val="009D14E1"/>
    <w:rsid w:val="009F7393"/>
    <w:rsid w:val="00A056C0"/>
    <w:rsid w:val="00A12030"/>
    <w:rsid w:val="00A276D6"/>
    <w:rsid w:val="00A37925"/>
    <w:rsid w:val="00A43749"/>
    <w:rsid w:val="00A443EA"/>
    <w:rsid w:val="00A47BF0"/>
    <w:rsid w:val="00A560C5"/>
    <w:rsid w:val="00A61118"/>
    <w:rsid w:val="00A63285"/>
    <w:rsid w:val="00A82AF3"/>
    <w:rsid w:val="00A8691E"/>
    <w:rsid w:val="00A953D6"/>
    <w:rsid w:val="00AA40A2"/>
    <w:rsid w:val="00AB06C6"/>
    <w:rsid w:val="00AB5E61"/>
    <w:rsid w:val="00AD22F6"/>
    <w:rsid w:val="00AE7F8E"/>
    <w:rsid w:val="00AF0B05"/>
    <w:rsid w:val="00B103D3"/>
    <w:rsid w:val="00B3448A"/>
    <w:rsid w:val="00B361E9"/>
    <w:rsid w:val="00B446B8"/>
    <w:rsid w:val="00B50DC4"/>
    <w:rsid w:val="00B51360"/>
    <w:rsid w:val="00B5197E"/>
    <w:rsid w:val="00B55747"/>
    <w:rsid w:val="00B65ABC"/>
    <w:rsid w:val="00B708F4"/>
    <w:rsid w:val="00B81F75"/>
    <w:rsid w:val="00BA4DC0"/>
    <w:rsid w:val="00BA5F85"/>
    <w:rsid w:val="00C019E7"/>
    <w:rsid w:val="00C04B65"/>
    <w:rsid w:val="00C06F40"/>
    <w:rsid w:val="00C31B6A"/>
    <w:rsid w:val="00C33F14"/>
    <w:rsid w:val="00C4522C"/>
    <w:rsid w:val="00C45960"/>
    <w:rsid w:val="00C53663"/>
    <w:rsid w:val="00C62F79"/>
    <w:rsid w:val="00C64845"/>
    <w:rsid w:val="00C76461"/>
    <w:rsid w:val="00C85717"/>
    <w:rsid w:val="00C90347"/>
    <w:rsid w:val="00C936C3"/>
    <w:rsid w:val="00C9528F"/>
    <w:rsid w:val="00C96B70"/>
    <w:rsid w:val="00CA3534"/>
    <w:rsid w:val="00CA7CEF"/>
    <w:rsid w:val="00CD4FCB"/>
    <w:rsid w:val="00D02409"/>
    <w:rsid w:val="00D06B85"/>
    <w:rsid w:val="00D06E29"/>
    <w:rsid w:val="00D644CF"/>
    <w:rsid w:val="00D86FB3"/>
    <w:rsid w:val="00D90CE5"/>
    <w:rsid w:val="00D90D8E"/>
    <w:rsid w:val="00DA142B"/>
    <w:rsid w:val="00DA3E6B"/>
    <w:rsid w:val="00DB5C16"/>
    <w:rsid w:val="00DB62E9"/>
    <w:rsid w:val="00DC24AA"/>
    <w:rsid w:val="00DE055B"/>
    <w:rsid w:val="00DE1AEF"/>
    <w:rsid w:val="00DF34CE"/>
    <w:rsid w:val="00E051B8"/>
    <w:rsid w:val="00E147FA"/>
    <w:rsid w:val="00E15819"/>
    <w:rsid w:val="00E235AA"/>
    <w:rsid w:val="00E23B11"/>
    <w:rsid w:val="00E24BE7"/>
    <w:rsid w:val="00E67A5E"/>
    <w:rsid w:val="00E7172E"/>
    <w:rsid w:val="00E720F5"/>
    <w:rsid w:val="00EB0165"/>
    <w:rsid w:val="00EB1944"/>
    <w:rsid w:val="00ED0BE6"/>
    <w:rsid w:val="00EF0A98"/>
    <w:rsid w:val="00EF4D30"/>
    <w:rsid w:val="00F03E88"/>
    <w:rsid w:val="00F046E5"/>
    <w:rsid w:val="00F351CC"/>
    <w:rsid w:val="00F35B32"/>
    <w:rsid w:val="00F62BBE"/>
    <w:rsid w:val="00F64D9E"/>
    <w:rsid w:val="00F84713"/>
    <w:rsid w:val="00F915D3"/>
    <w:rsid w:val="00F93857"/>
    <w:rsid w:val="00FA6E48"/>
    <w:rsid w:val="00FB2855"/>
    <w:rsid w:val="00FB40D4"/>
    <w:rsid w:val="00FC17CC"/>
    <w:rsid w:val="00FC6DF3"/>
    <w:rsid w:val="00FD0FA0"/>
    <w:rsid w:val="00FE49A8"/>
    <w:rsid w:val="00FF1761"/>
    <w:rsid w:val="011E2542"/>
    <w:rsid w:val="01521C8D"/>
    <w:rsid w:val="02151230"/>
    <w:rsid w:val="025053CA"/>
    <w:rsid w:val="02757C6A"/>
    <w:rsid w:val="02DF7EB2"/>
    <w:rsid w:val="02F53218"/>
    <w:rsid w:val="030003DF"/>
    <w:rsid w:val="043D0FA7"/>
    <w:rsid w:val="048653C5"/>
    <w:rsid w:val="04AD133B"/>
    <w:rsid w:val="04CB5223"/>
    <w:rsid w:val="04DA736D"/>
    <w:rsid w:val="05123C0E"/>
    <w:rsid w:val="05F316F9"/>
    <w:rsid w:val="06334A31"/>
    <w:rsid w:val="06713347"/>
    <w:rsid w:val="074958E1"/>
    <w:rsid w:val="085831B1"/>
    <w:rsid w:val="088B7A6A"/>
    <w:rsid w:val="08BF138C"/>
    <w:rsid w:val="08CC6700"/>
    <w:rsid w:val="096422B6"/>
    <w:rsid w:val="096E7880"/>
    <w:rsid w:val="09A7068B"/>
    <w:rsid w:val="0A442AD6"/>
    <w:rsid w:val="0AC21C94"/>
    <w:rsid w:val="0AD12740"/>
    <w:rsid w:val="0B6D777F"/>
    <w:rsid w:val="0B9E0C00"/>
    <w:rsid w:val="0B9F46D6"/>
    <w:rsid w:val="0BB71C77"/>
    <w:rsid w:val="0BC929B9"/>
    <w:rsid w:val="0C360B29"/>
    <w:rsid w:val="0CC5766E"/>
    <w:rsid w:val="0CFA117D"/>
    <w:rsid w:val="0DC517EF"/>
    <w:rsid w:val="0E3F552B"/>
    <w:rsid w:val="0F0049A1"/>
    <w:rsid w:val="0F3B420A"/>
    <w:rsid w:val="0FE30DF8"/>
    <w:rsid w:val="0FF33245"/>
    <w:rsid w:val="100D3F40"/>
    <w:rsid w:val="10481722"/>
    <w:rsid w:val="1097590F"/>
    <w:rsid w:val="110E55EF"/>
    <w:rsid w:val="111B4344"/>
    <w:rsid w:val="12C94A4E"/>
    <w:rsid w:val="13085987"/>
    <w:rsid w:val="13854144"/>
    <w:rsid w:val="139D35FD"/>
    <w:rsid w:val="13AE0697"/>
    <w:rsid w:val="13B41BCC"/>
    <w:rsid w:val="13DB1B85"/>
    <w:rsid w:val="14706BA3"/>
    <w:rsid w:val="147F57B4"/>
    <w:rsid w:val="14B57065"/>
    <w:rsid w:val="14D00994"/>
    <w:rsid w:val="15492CDC"/>
    <w:rsid w:val="156661AC"/>
    <w:rsid w:val="15B605E5"/>
    <w:rsid w:val="16291BE3"/>
    <w:rsid w:val="1636260B"/>
    <w:rsid w:val="1689005E"/>
    <w:rsid w:val="16A14DF1"/>
    <w:rsid w:val="16F70A4D"/>
    <w:rsid w:val="1729600A"/>
    <w:rsid w:val="17AC7EF2"/>
    <w:rsid w:val="17C8491B"/>
    <w:rsid w:val="17ED2B53"/>
    <w:rsid w:val="180F2CDA"/>
    <w:rsid w:val="190727F7"/>
    <w:rsid w:val="198B7357"/>
    <w:rsid w:val="199F34B3"/>
    <w:rsid w:val="19EE3047"/>
    <w:rsid w:val="1A1A55E6"/>
    <w:rsid w:val="1A3F6DFB"/>
    <w:rsid w:val="1A877CAB"/>
    <w:rsid w:val="1C1A1CDA"/>
    <w:rsid w:val="1C7D6032"/>
    <w:rsid w:val="1C9176B6"/>
    <w:rsid w:val="1CF23A86"/>
    <w:rsid w:val="1DE21639"/>
    <w:rsid w:val="1E6B3309"/>
    <w:rsid w:val="1EC61592"/>
    <w:rsid w:val="1F0E185C"/>
    <w:rsid w:val="1F29711F"/>
    <w:rsid w:val="1FE146ED"/>
    <w:rsid w:val="20C41ECA"/>
    <w:rsid w:val="20D671AA"/>
    <w:rsid w:val="21071252"/>
    <w:rsid w:val="21463165"/>
    <w:rsid w:val="22AE59A2"/>
    <w:rsid w:val="237A68C7"/>
    <w:rsid w:val="238607F9"/>
    <w:rsid w:val="239D0DA6"/>
    <w:rsid w:val="239F4588"/>
    <w:rsid w:val="23B60887"/>
    <w:rsid w:val="24044C11"/>
    <w:rsid w:val="24595B0B"/>
    <w:rsid w:val="24BB755C"/>
    <w:rsid w:val="2527053D"/>
    <w:rsid w:val="253D03DB"/>
    <w:rsid w:val="253D2EFC"/>
    <w:rsid w:val="25B051A2"/>
    <w:rsid w:val="25BC6A68"/>
    <w:rsid w:val="267267AA"/>
    <w:rsid w:val="27083730"/>
    <w:rsid w:val="27D3276D"/>
    <w:rsid w:val="27E572E0"/>
    <w:rsid w:val="27ED7BD0"/>
    <w:rsid w:val="28BA6ED0"/>
    <w:rsid w:val="28D667F6"/>
    <w:rsid w:val="28D73C8C"/>
    <w:rsid w:val="29312005"/>
    <w:rsid w:val="2AB36C60"/>
    <w:rsid w:val="2B285E40"/>
    <w:rsid w:val="2B473D9B"/>
    <w:rsid w:val="2BF17AA3"/>
    <w:rsid w:val="2C3266E3"/>
    <w:rsid w:val="2CF93FE9"/>
    <w:rsid w:val="2D96306F"/>
    <w:rsid w:val="2DF34CBB"/>
    <w:rsid w:val="2E0F48DF"/>
    <w:rsid w:val="2E4A54DC"/>
    <w:rsid w:val="2E7B6CC4"/>
    <w:rsid w:val="2E932284"/>
    <w:rsid w:val="2F496D12"/>
    <w:rsid w:val="2F5D3ABE"/>
    <w:rsid w:val="2FD7142C"/>
    <w:rsid w:val="2FF6672D"/>
    <w:rsid w:val="301466BF"/>
    <w:rsid w:val="30190135"/>
    <w:rsid w:val="30CC1916"/>
    <w:rsid w:val="325B0308"/>
    <w:rsid w:val="32755171"/>
    <w:rsid w:val="32DF521E"/>
    <w:rsid w:val="334311DB"/>
    <w:rsid w:val="33574D5E"/>
    <w:rsid w:val="34151D71"/>
    <w:rsid w:val="350223B3"/>
    <w:rsid w:val="36107446"/>
    <w:rsid w:val="3636341B"/>
    <w:rsid w:val="36D93CDC"/>
    <w:rsid w:val="37601F9C"/>
    <w:rsid w:val="376A551D"/>
    <w:rsid w:val="387F089F"/>
    <w:rsid w:val="38963DE3"/>
    <w:rsid w:val="38AF02F2"/>
    <w:rsid w:val="38F06EDE"/>
    <w:rsid w:val="392F0E56"/>
    <w:rsid w:val="39320E4B"/>
    <w:rsid w:val="397E08D1"/>
    <w:rsid w:val="39D276DC"/>
    <w:rsid w:val="3A8C3B01"/>
    <w:rsid w:val="3B0024F3"/>
    <w:rsid w:val="3C183361"/>
    <w:rsid w:val="3C3757AC"/>
    <w:rsid w:val="3D3057D7"/>
    <w:rsid w:val="3D7D3A58"/>
    <w:rsid w:val="3DBC0CCF"/>
    <w:rsid w:val="3DEE10A9"/>
    <w:rsid w:val="3E670C26"/>
    <w:rsid w:val="3E78202C"/>
    <w:rsid w:val="3EED5CE2"/>
    <w:rsid w:val="40297A82"/>
    <w:rsid w:val="402F3763"/>
    <w:rsid w:val="40C63843"/>
    <w:rsid w:val="40F0625D"/>
    <w:rsid w:val="4100099C"/>
    <w:rsid w:val="412F6391"/>
    <w:rsid w:val="41757628"/>
    <w:rsid w:val="4212264B"/>
    <w:rsid w:val="42245E14"/>
    <w:rsid w:val="43153E28"/>
    <w:rsid w:val="434834C8"/>
    <w:rsid w:val="43532959"/>
    <w:rsid w:val="43601A0D"/>
    <w:rsid w:val="43C41F12"/>
    <w:rsid w:val="43EA2390"/>
    <w:rsid w:val="43F565F9"/>
    <w:rsid w:val="44AC5EDE"/>
    <w:rsid w:val="4522422D"/>
    <w:rsid w:val="452804BB"/>
    <w:rsid w:val="45C62F8F"/>
    <w:rsid w:val="467A34E7"/>
    <w:rsid w:val="473470C5"/>
    <w:rsid w:val="477068A1"/>
    <w:rsid w:val="48164D90"/>
    <w:rsid w:val="48436FDA"/>
    <w:rsid w:val="48897173"/>
    <w:rsid w:val="48D975D7"/>
    <w:rsid w:val="494C6814"/>
    <w:rsid w:val="4B315A3D"/>
    <w:rsid w:val="4B4B51BF"/>
    <w:rsid w:val="4B653334"/>
    <w:rsid w:val="4C121D12"/>
    <w:rsid w:val="4C81207A"/>
    <w:rsid w:val="4F6B4A2D"/>
    <w:rsid w:val="4F910C8D"/>
    <w:rsid w:val="50A70C7B"/>
    <w:rsid w:val="50CC783B"/>
    <w:rsid w:val="50FA22D5"/>
    <w:rsid w:val="51015E93"/>
    <w:rsid w:val="51596F95"/>
    <w:rsid w:val="51A272E6"/>
    <w:rsid w:val="51AC45D2"/>
    <w:rsid w:val="51C969CF"/>
    <w:rsid w:val="51ED67A5"/>
    <w:rsid w:val="51FF27DF"/>
    <w:rsid w:val="52347646"/>
    <w:rsid w:val="523E6B49"/>
    <w:rsid w:val="525100C0"/>
    <w:rsid w:val="52EC4491"/>
    <w:rsid w:val="52FE2631"/>
    <w:rsid w:val="537A0C18"/>
    <w:rsid w:val="544A3C66"/>
    <w:rsid w:val="54814508"/>
    <w:rsid w:val="55323A38"/>
    <w:rsid w:val="56282BD5"/>
    <w:rsid w:val="5637484F"/>
    <w:rsid w:val="56BF0549"/>
    <w:rsid w:val="572B1ADD"/>
    <w:rsid w:val="574216FD"/>
    <w:rsid w:val="57772E7B"/>
    <w:rsid w:val="57D6563F"/>
    <w:rsid w:val="58D02D39"/>
    <w:rsid w:val="59266DFD"/>
    <w:rsid w:val="598D06AE"/>
    <w:rsid w:val="5A1F1C28"/>
    <w:rsid w:val="5A4B39E2"/>
    <w:rsid w:val="5A56101C"/>
    <w:rsid w:val="5A585274"/>
    <w:rsid w:val="5A6C467C"/>
    <w:rsid w:val="5A9E774D"/>
    <w:rsid w:val="5AE519B6"/>
    <w:rsid w:val="5AFA37B8"/>
    <w:rsid w:val="5B3B3231"/>
    <w:rsid w:val="5C2F00C3"/>
    <w:rsid w:val="5C86163E"/>
    <w:rsid w:val="5C974816"/>
    <w:rsid w:val="5CCC159B"/>
    <w:rsid w:val="5D592B21"/>
    <w:rsid w:val="5D675B62"/>
    <w:rsid w:val="5D681792"/>
    <w:rsid w:val="5E181C7E"/>
    <w:rsid w:val="5E2C4052"/>
    <w:rsid w:val="5E4D256F"/>
    <w:rsid w:val="5E854744"/>
    <w:rsid w:val="5F781673"/>
    <w:rsid w:val="5FB31CAD"/>
    <w:rsid w:val="615362B5"/>
    <w:rsid w:val="62740BD9"/>
    <w:rsid w:val="62B40C5B"/>
    <w:rsid w:val="635970B3"/>
    <w:rsid w:val="646C3855"/>
    <w:rsid w:val="64915AE7"/>
    <w:rsid w:val="64BA041E"/>
    <w:rsid w:val="65390F50"/>
    <w:rsid w:val="65B85087"/>
    <w:rsid w:val="66F836B2"/>
    <w:rsid w:val="676677EB"/>
    <w:rsid w:val="6848285A"/>
    <w:rsid w:val="69D56401"/>
    <w:rsid w:val="69EB25CF"/>
    <w:rsid w:val="6AA8065C"/>
    <w:rsid w:val="6AC01375"/>
    <w:rsid w:val="6AD23ECA"/>
    <w:rsid w:val="6AEF704E"/>
    <w:rsid w:val="6B14314F"/>
    <w:rsid w:val="6BBD714D"/>
    <w:rsid w:val="6BCA3618"/>
    <w:rsid w:val="6C3E5263"/>
    <w:rsid w:val="6C642FC0"/>
    <w:rsid w:val="6C671F61"/>
    <w:rsid w:val="6C68176D"/>
    <w:rsid w:val="6C77637D"/>
    <w:rsid w:val="6CF11982"/>
    <w:rsid w:val="6D5A7E24"/>
    <w:rsid w:val="6DC347C2"/>
    <w:rsid w:val="6DE0781F"/>
    <w:rsid w:val="6E132974"/>
    <w:rsid w:val="6E427DDD"/>
    <w:rsid w:val="6F320296"/>
    <w:rsid w:val="6F3F60CB"/>
    <w:rsid w:val="6FB00D8A"/>
    <w:rsid w:val="70656186"/>
    <w:rsid w:val="706D7F34"/>
    <w:rsid w:val="70DF5420"/>
    <w:rsid w:val="70E016BA"/>
    <w:rsid w:val="71467BE4"/>
    <w:rsid w:val="718040BB"/>
    <w:rsid w:val="726B6013"/>
    <w:rsid w:val="72913E7E"/>
    <w:rsid w:val="734939BC"/>
    <w:rsid w:val="73FF4FB0"/>
    <w:rsid w:val="74006FC9"/>
    <w:rsid w:val="740E3569"/>
    <w:rsid w:val="7471467F"/>
    <w:rsid w:val="74C740DC"/>
    <w:rsid w:val="75C27622"/>
    <w:rsid w:val="76323D66"/>
    <w:rsid w:val="76CB2669"/>
    <w:rsid w:val="76CB3AC4"/>
    <w:rsid w:val="772309A1"/>
    <w:rsid w:val="77530EB6"/>
    <w:rsid w:val="775D2AA1"/>
    <w:rsid w:val="77706BE3"/>
    <w:rsid w:val="77A33638"/>
    <w:rsid w:val="7826607A"/>
    <w:rsid w:val="782A3662"/>
    <w:rsid w:val="78346A52"/>
    <w:rsid w:val="785721B0"/>
    <w:rsid w:val="788D434B"/>
    <w:rsid w:val="78E4198D"/>
    <w:rsid w:val="792B6137"/>
    <w:rsid w:val="797906C6"/>
    <w:rsid w:val="79C773E8"/>
    <w:rsid w:val="79FA27C6"/>
    <w:rsid w:val="7A1671C7"/>
    <w:rsid w:val="7AA20C15"/>
    <w:rsid w:val="7AC74194"/>
    <w:rsid w:val="7ADD4B5C"/>
    <w:rsid w:val="7B305E9E"/>
    <w:rsid w:val="7C031876"/>
    <w:rsid w:val="7CC55E61"/>
    <w:rsid w:val="7D070B44"/>
    <w:rsid w:val="7D7E45E8"/>
    <w:rsid w:val="7DB3663A"/>
    <w:rsid w:val="7DEA5ABB"/>
    <w:rsid w:val="7E317FCB"/>
    <w:rsid w:val="7E936AE5"/>
    <w:rsid w:val="7ED4410A"/>
    <w:rsid w:val="7F50176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qFormat="1" w:unhideWhenUsed="0" w:uiPriority="99" w:semiHidden="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0" w:name="footnote text"/>
    <w:lsdException w:qFormat="1"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qFormat="1" w:uiPriority="99" w:semiHidden="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qFormat="1"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39"/>
    <w:qFormat/>
    <w:uiPriority w:val="0"/>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4">
    <w:name w:val="heading 2"/>
    <w:basedOn w:val="1"/>
    <w:next w:val="1"/>
    <w:autoRedefine/>
    <w:qFormat/>
    <w:uiPriority w:val="0"/>
    <w:pPr>
      <w:keepNext/>
      <w:keepLines/>
      <w:autoSpaceDE w:val="0"/>
      <w:autoSpaceDN w:val="0"/>
      <w:adjustRightInd w:val="0"/>
      <w:spacing w:before="120" w:line="300" w:lineRule="auto"/>
      <w:jc w:val="center"/>
      <w:outlineLvl w:val="1"/>
    </w:pPr>
    <w:rPr>
      <w:rFonts w:ascii="Arial" w:hAnsi="Arial" w:eastAsia="宋体"/>
      <w:b/>
      <w:kern w:val="0"/>
      <w:sz w:val="28"/>
      <w:szCs w:val="20"/>
    </w:rPr>
  </w:style>
  <w:style w:type="paragraph" w:styleId="5">
    <w:name w:val="heading 3"/>
    <w:basedOn w:val="1"/>
    <w:next w:val="6"/>
    <w:autoRedefine/>
    <w:qFormat/>
    <w:uiPriority w:val="0"/>
    <w:pPr>
      <w:keepNext/>
      <w:keepLines/>
      <w:autoSpaceDE w:val="0"/>
      <w:autoSpaceDN w:val="0"/>
      <w:adjustRightInd w:val="0"/>
      <w:spacing w:before="100" w:after="100"/>
      <w:jc w:val="left"/>
      <w:outlineLvl w:val="2"/>
    </w:pPr>
    <w:rPr>
      <w:rFonts w:ascii="宋体" w:hAnsi="宋体" w:eastAsia="宋体"/>
      <w:b/>
      <w:kern w:val="0"/>
      <w:sz w:val="24"/>
      <w:szCs w:val="20"/>
      <w:u w:val="single"/>
    </w:rPr>
  </w:style>
  <w:style w:type="paragraph" w:styleId="7">
    <w:name w:val="heading 4"/>
    <w:basedOn w:val="1"/>
    <w:next w:val="1"/>
    <w:link w:val="40"/>
    <w:autoRedefine/>
    <w:qFormat/>
    <w:uiPriority w:val="99"/>
    <w:pPr>
      <w:keepNext/>
      <w:keepLines/>
      <w:spacing w:before="280" w:after="290" w:line="376" w:lineRule="auto"/>
      <w:outlineLvl w:val="3"/>
    </w:pPr>
    <w:rPr>
      <w:rFonts w:ascii="Cambria" w:hAnsi="Cambria"/>
      <w:b/>
      <w:bCs/>
      <w:sz w:val="28"/>
      <w:szCs w:val="28"/>
    </w:rPr>
  </w:style>
  <w:style w:type="character" w:default="1" w:styleId="32">
    <w:name w:val="Default Paragraph Font"/>
    <w:autoRedefine/>
    <w:unhideWhenUsed/>
    <w:qFormat/>
    <w:uiPriority w:val="1"/>
  </w:style>
  <w:style w:type="table" w:default="1" w:styleId="30">
    <w:name w:val="Normal Table"/>
    <w:autoRedefine/>
    <w:unhideWhenUsed/>
    <w:qFormat/>
    <w:uiPriority w:val="99"/>
    <w:tblPr>
      <w:tblCellMar>
        <w:top w:w="0" w:type="dxa"/>
        <w:left w:w="108" w:type="dxa"/>
        <w:bottom w:w="0" w:type="dxa"/>
        <w:right w:w="108" w:type="dxa"/>
      </w:tblCellMar>
    </w:tblPr>
  </w:style>
  <w:style w:type="paragraph" w:styleId="2">
    <w:name w:val="List Paragraph"/>
    <w:basedOn w:val="1"/>
    <w:autoRedefine/>
    <w:qFormat/>
    <w:uiPriority w:val="1"/>
    <w:pPr>
      <w:ind w:left="960" w:firstLine="480"/>
    </w:pPr>
  </w:style>
  <w:style w:type="paragraph" w:styleId="6">
    <w:name w:val="Normal Indent"/>
    <w:basedOn w:val="1"/>
    <w:next w:val="1"/>
    <w:autoRedefine/>
    <w:qFormat/>
    <w:uiPriority w:val="0"/>
    <w:pPr>
      <w:autoSpaceDE w:val="0"/>
      <w:autoSpaceDN w:val="0"/>
      <w:adjustRightInd w:val="0"/>
      <w:ind w:firstLine="420"/>
      <w:jc w:val="left"/>
    </w:pPr>
    <w:rPr>
      <w:rFonts w:ascii="宋体"/>
      <w:kern w:val="0"/>
      <w:sz w:val="24"/>
      <w:szCs w:val="20"/>
    </w:rPr>
  </w:style>
  <w:style w:type="paragraph" w:styleId="8">
    <w:name w:val="toc 7"/>
    <w:basedOn w:val="1"/>
    <w:next w:val="1"/>
    <w:autoRedefine/>
    <w:unhideWhenUsed/>
    <w:qFormat/>
    <w:uiPriority w:val="39"/>
    <w:pPr>
      <w:ind w:left="2520" w:leftChars="1200"/>
    </w:pPr>
    <w:rPr>
      <w:rFonts w:ascii="Calibri" w:hAnsi="Calibri"/>
      <w:szCs w:val="22"/>
    </w:rPr>
  </w:style>
  <w:style w:type="paragraph" w:styleId="9">
    <w:name w:val="annotation text"/>
    <w:basedOn w:val="1"/>
    <w:link w:val="41"/>
    <w:autoRedefine/>
    <w:unhideWhenUsed/>
    <w:qFormat/>
    <w:uiPriority w:val="0"/>
    <w:pPr>
      <w:jc w:val="left"/>
    </w:pPr>
  </w:style>
  <w:style w:type="paragraph" w:styleId="10">
    <w:name w:val="Body Text"/>
    <w:basedOn w:val="1"/>
    <w:next w:val="11"/>
    <w:link w:val="42"/>
    <w:autoRedefine/>
    <w:qFormat/>
    <w:uiPriority w:val="0"/>
    <w:pPr>
      <w:tabs>
        <w:tab w:val="left" w:pos="567"/>
      </w:tabs>
      <w:spacing w:before="120" w:line="22" w:lineRule="atLeast"/>
    </w:pPr>
    <w:rPr>
      <w:rFonts w:ascii="宋体" w:hAnsi="宋体"/>
      <w:sz w:val="24"/>
    </w:rPr>
  </w:style>
  <w:style w:type="paragraph" w:styleId="11">
    <w:name w:val="Subtitle"/>
    <w:basedOn w:val="1"/>
    <w:next w:val="1"/>
    <w:qFormat/>
    <w:uiPriority w:val="0"/>
    <w:pPr>
      <w:spacing w:before="240" w:after="60" w:line="312" w:lineRule="auto"/>
      <w:ind w:left="200" w:leftChars="200" w:firstLine="200" w:firstLineChars="200"/>
      <w:jc w:val="center"/>
      <w:outlineLvl w:val="1"/>
    </w:pPr>
    <w:rPr>
      <w:rFonts w:ascii="Times New Roman" w:hAnsi="Times New Roman" w:cs="Times New Roman"/>
      <w:b/>
      <w:bCs/>
      <w:kern w:val="28"/>
      <w:sz w:val="20"/>
      <w:szCs w:val="32"/>
    </w:rPr>
  </w:style>
  <w:style w:type="paragraph" w:styleId="12">
    <w:name w:val="Body Text Indent"/>
    <w:basedOn w:val="1"/>
    <w:autoRedefine/>
    <w:qFormat/>
    <w:uiPriority w:val="0"/>
    <w:pPr>
      <w:spacing w:line="540" w:lineRule="exact"/>
      <w:ind w:firstLine="200" w:firstLineChars="200"/>
    </w:pPr>
    <w:rPr>
      <w:sz w:val="24"/>
    </w:rPr>
  </w:style>
  <w:style w:type="paragraph" w:styleId="13">
    <w:name w:val="index 4"/>
    <w:basedOn w:val="1"/>
    <w:next w:val="1"/>
    <w:autoRedefine/>
    <w:qFormat/>
    <w:uiPriority w:val="99"/>
    <w:pPr>
      <w:ind w:left="600" w:leftChars="600"/>
    </w:pPr>
  </w:style>
  <w:style w:type="paragraph" w:styleId="14">
    <w:name w:val="toc 5"/>
    <w:basedOn w:val="1"/>
    <w:next w:val="1"/>
    <w:autoRedefine/>
    <w:unhideWhenUsed/>
    <w:qFormat/>
    <w:uiPriority w:val="39"/>
    <w:pPr>
      <w:ind w:left="1680" w:leftChars="800"/>
    </w:pPr>
    <w:rPr>
      <w:rFonts w:ascii="Calibri" w:hAnsi="Calibri"/>
      <w:szCs w:val="22"/>
    </w:rPr>
  </w:style>
  <w:style w:type="paragraph" w:styleId="15">
    <w:name w:val="toc 3"/>
    <w:basedOn w:val="1"/>
    <w:next w:val="1"/>
    <w:autoRedefine/>
    <w:qFormat/>
    <w:uiPriority w:val="39"/>
    <w:pPr>
      <w:tabs>
        <w:tab w:val="left" w:pos="1260"/>
        <w:tab w:val="right" w:leader="dot" w:pos="8630"/>
      </w:tabs>
      <w:ind w:left="840" w:leftChars="400"/>
    </w:pPr>
  </w:style>
  <w:style w:type="paragraph" w:styleId="16">
    <w:name w:val="Plain Text"/>
    <w:basedOn w:val="1"/>
    <w:link w:val="43"/>
    <w:autoRedefine/>
    <w:qFormat/>
    <w:uiPriority w:val="0"/>
    <w:rPr>
      <w:rFonts w:ascii="宋体" w:hAnsi="Courier New"/>
      <w:szCs w:val="20"/>
    </w:rPr>
  </w:style>
  <w:style w:type="paragraph" w:styleId="17">
    <w:name w:val="toc 8"/>
    <w:basedOn w:val="1"/>
    <w:next w:val="1"/>
    <w:autoRedefine/>
    <w:unhideWhenUsed/>
    <w:qFormat/>
    <w:uiPriority w:val="39"/>
    <w:pPr>
      <w:ind w:left="2940" w:leftChars="1400"/>
    </w:pPr>
    <w:rPr>
      <w:rFonts w:ascii="Calibri" w:hAnsi="Calibri"/>
      <w:szCs w:val="22"/>
    </w:rPr>
  </w:style>
  <w:style w:type="paragraph" w:styleId="18">
    <w:name w:val="Balloon Text"/>
    <w:basedOn w:val="1"/>
    <w:link w:val="44"/>
    <w:autoRedefine/>
    <w:qFormat/>
    <w:uiPriority w:val="0"/>
    <w:rPr>
      <w:sz w:val="18"/>
      <w:szCs w:val="18"/>
    </w:rPr>
  </w:style>
  <w:style w:type="paragraph" w:styleId="19">
    <w:name w:val="footer"/>
    <w:basedOn w:val="1"/>
    <w:autoRedefine/>
    <w:qFormat/>
    <w:uiPriority w:val="99"/>
    <w:pPr>
      <w:tabs>
        <w:tab w:val="center" w:pos="4153"/>
        <w:tab w:val="right" w:pos="8306"/>
      </w:tabs>
      <w:autoSpaceDE w:val="0"/>
      <w:autoSpaceDN w:val="0"/>
      <w:adjustRightInd w:val="0"/>
      <w:snapToGrid w:val="0"/>
      <w:jc w:val="left"/>
    </w:pPr>
    <w:rPr>
      <w:rFonts w:ascii="宋体"/>
      <w:kern w:val="0"/>
      <w:sz w:val="18"/>
      <w:szCs w:val="20"/>
    </w:rPr>
  </w:style>
  <w:style w:type="paragraph" w:styleId="2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21">
    <w:name w:val="toc 1"/>
    <w:basedOn w:val="1"/>
    <w:next w:val="1"/>
    <w:autoRedefine/>
    <w:qFormat/>
    <w:uiPriority w:val="39"/>
  </w:style>
  <w:style w:type="paragraph" w:styleId="22">
    <w:name w:val="toc 4"/>
    <w:basedOn w:val="1"/>
    <w:next w:val="1"/>
    <w:autoRedefine/>
    <w:unhideWhenUsed/>
    <w:qFormat/>
    <w:uiPriority w:val="39"/>
    <w:pPr>
      <w:ind w:left="1260" w:leftChars="600"/>
    </w:pPr>
    <w:rPr>
      <w:rFonts w:ascii="Calibri" w:hAnsi="Calibri"/>
      <w:szCs w:val="22"/>
    </w:rPr>
  </w:style>
  <w:style w:type="paragraph" w:styleId="23">
    <w:name w:val="toc 6"/>
    <w:basedOn w:val="1"/>
    <w:next w:val="1"/>
    <w:autoRedefine/>
    <w:unhideWhenUsed/>
    <w:qFormat/>
    <w:uiPriority w:val="39"/>
    <w:pPr>
      <w:ind w:left="2100" w:leftChars="1000"/>
    </w:pPr>
    <w:rPr>
      <w:rFonts w:ascii="Calibri" w:hAnsi="Calibri"/>
      <w:szCs w:val="22"/>
    </w:rPr>
  </w:style>
  <w:style w:type="paragraph" w:styleId="24">
    <w:name w:val="toc 2"/>
    <w:basedOn w:val="1"/>
    <w:next w:val="1"/>
    <w:autoRedefine/>
    <w:qFormat/>
    <w:uiPriority w:val="39"/>
    <w:pPr>
      <w:ind w:left="420" w:leftChars="200"/>
    </w:pPr>
  </w:style>
  <w:style w:type="paragraph" w:styleId="25">
    <w:name w:val="toc 9"/>
    <w:basedOn w:val="1"/>
    <w:next w:val="1"/>
    <w:autoRedefine/>
    <w:unhideWhenUsed/>
    <w:qFormat/>
    <w:uiPriority w:val="39"/>
    <w:pPr>
      <w:ind w:left="3360" w:leftChars="1600"/>
    </w:pPr>
    <w:rPr>
      <w:rFonts w:ascii="Calibri" w:hAnsi="Calibri"/>
      <w:szCs w:val="22"/>
    </w:rPr>
  </w:style>
  <w:style w:type="paragraph" w:styleId="26">
    <w:name w:val="Normal (Web)"/>
    <w:basedOn w:val="1"/>
    <w:autoRedefine/>
    <w:qFormat/>
    <w:uiPriority w:val="0"/>
    <w:pPr>
      <w:spacing w:before="100" w:beforeAutospacing="1" w:after="100" w:afterAutospacing="1"/>
      <w:jc w:val="left"/>
    </w:pPr>
    <w:rPr>
      <w:kern w:val="0"/>
      <w:sz w:val="24"/>
    </w:rPr>
  </w:style>
  <w:style w:type="paragraph" w:styleId="27">
    <w:name w:val="annotation subject"/>
    <w:basedOn w:val="9"/>
    <w:next w:val="9"/>
    <w:link w:val="45"/>
    <w:autoRedefine/>
    <w:unhideWhenUsed/>
    <w:qFormat/>
    <w:uiPriority w:val="0"/>
    <w:rPr>
      <w:b/>
      <w:bCs/>
    </w:rPr>
  </w:style>
  <w:style w:type="paragraph" w:styleId="28">
    <w:name w:val="Body Text First Indent"/>
    <w:basedOn w:val="10"/>
    <w:link w:val="46"/>
    <w:autoRedefine/>
    <w:qFormat/>
    <w:uiPriority w:val="0"/>
    <w:pPr>
      <w:tabs>
        <w:tab w:val="clear" w:pos="567"/>
      </w:tabs>
      <w:spacing w:before="0" w:after="120" w:line="240" w:lineRule="auto"/>
      <w:ind w:firstLine="420" w:firstLineChars="100"/>
    </w:pPr>
    <w:rPr>
      <w:sz w:val="21"/>
    </w:rPr>
  </w:style>
  <w:style w:type="paragraph" w:styleId="29">
    <w:name w:val="Body Text First Indent 2"/>
    <w:basedOn w:val="12"/>
    <w:next w:val="1"/>
    <w:autoRedefine/>
    <w:qFormat/>
    <w:uiPriority w:val="0"/>
    <w:pPr>
      <w:spacing w:after="120" w:line="240" w:lineRule="auto"/>
      <w:ind w:left="200" w:leftChars="200" w:firstLine="100" w:firstLineChars="100"/>
      <w:jc w:val="left"/>
    </w:pPr>
    <w:rPr>
      <w:rFonts w:ascii="DFKai-SB" w:hAnsi="DFKai-SB" w:eastAsia="DFKai-SB"/>
      <w:spacing w:val="-8"/>
    </w:rPr>
  </w:style>
  <w:style w:type="table" w:styleId="31">
    <w:name w:val="Table Grid"/>
    <w:basedOn w:val="30"/>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3">
    <w:name w:val="Strong"/>
    <w:autoRedefine/>
    <w:qFormat/>
    <w:uiPriority w:val="0"/>
    <w:rPr>
      <w:rFonts w:ascii="Times New Roman" w:hAnsi="Times New Roman" w:eastAsia="宋体" w:cs="Times New Roman"/>
      <w:b/>
    </w:rPr>
  </w:style>
  <w:style w:type="character" w:styleId="34">
    <w:name w:val="page number"/>
    <w:autoRedefine/>
    <w:qFormat/>
    <w:uiPriority w:val="0"/>
  </w:style>
  <w:style w:type="character" w:styleId="35">
    <w:name w:val="FollowedHyperlink"/>
    <w:autoRedefine/>
    <w:unhideWhenUsed/>
    <w:qFormat/>
    <w:uiPriority w:val="99"/>
    <w:rPr>
      <w:color w:val="954F72"/>
      <w:u w:val="single"/>
    </w:rPr>
  </w:style>
  <w:style w:type="character" w:styleId="36">
    <w:name w:val="Hyperlink"/>
    <w:autoRedefine/>
    <w:qFormat/>
    <w:uiPriority w:val="99"/>
    <w:rPr>
      <w:color w:val="333333"/>
      <w:u w:val="none"/>
    </w:rPr>
  </w:style>
  <w:style w:type="character" w:styleId="37">
    <w:name w:val="annotation reference"/>
    <w:autoRedefine/>
    <w:unhideWhenUsed/>
    <w:qFormat/>
    <w:uiPriority w:val="0"/>
    <w:rPr>
      <w:sz w:val="21"/>
      <w:szCs w:val="21"/>
    </w:rPr>
  </w:style>
  <w:style w:type="paragraph" w:customStyle="1" w:styleId="38">
    <w:name w:val="Default"/>
    <w:autoRedefine/>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character" w:customStyle="1" w:styleId="39">
    <w:name w:val="标题 1 字符"/>
    <w:link w:val="3"/>
    <w:autoRedefine/>
    <w:qFormat/>
    <w:uiPriority w:val="0"/>
    <w:rPr>
      <w:rFonts w:ascii="宋体"/>
      <w:b/>
      <w:kern w:val="44"/>
      <w:sz w:val="32"/>
    </w:rPr>
  </w:style>
  <w:style w:type="character" w:customStyle="1" w:styleId="40">
    <w:name w:val="标题 4 字符"/>
    <w:link w:val="7"/>
    <w:autoRedefine/>
    <w:qFormat/>
    <w:uiPriority w:val="99"/>
    <w:rPr>
      <w:rFonts w:ascii="Cambria" w:hAnsi="Cambria" w:cs="Cambria"/>
      <w:b/>
      <w:bCs/>
      <w:kern w:val="2"/>
      <w:sz w:val="28"/>
      <w:szCs w:val="28"/>
    </w:rPr>
  </w:style>
  <w:style w:type="character" w:customStyle="1" w:styleId="41">
    <w:name w:val="批注文字 字符"/>
    <w:link w:val="9"/>
    <w:autoRedefine/>
    <w:qFormat/>
    <w:uiPriority w:val="0"/>
    <w:rPr>
      <w:kern w:val="2"/>
      <w:sz w:val="21"/>
      <w:szCs w:val="24"/>
    </w:rPr>
  </w:style>
  <w:style w:type="character" w:customStyle="1" w:styleId="42">
    <w:name w:val="正文文本 字符"/>
    <w:link w:val="10"/>
    <w:autoRedefine/>
    <w:qFormat/>
    <w:uiPriority w:val="0"/>
    <w:rPr>
      <w:rFonts w:ascii="宋体" w:hAnsi="宋体"/>
      <w:kern w:val="2"/>
      <w:sz w:val="24"/>
      <w:szCs w:val="24"/>
    </w:rPr>
  </w:style>
  <w:style w:type="character" w:customStyle="1" w:styleId="43">
    <w:name w:val="纯文本 字符"/>
    <w:link w:val="16"/>
    <w:autoRedefine/>
    <w:qFormat/>
    <w:uiPriority w:val="0"/>
    <w:rPr>
      <w:rFonts w:ascii="宋体" w:hAnsi="Courier New"/>
      <w:kern w:val="2"/>
      <w:sz w:val="21"/>
    </w:rPr>
  </w:style>
  <w:style w:type="character" w:customStyle="1" w:styleId="44">
    <w:name w:val="批注框文本 字符"/>
    <w:link w:val="18"/>
    <w:autoRedefine/>
    <w:qFormat/>
    <w:uiPriority w:val="0"/>
    <w:rPr>
      <w:kern w:val="2"/>
      <w:sz w:val="18"/>
      <w:szCs w:val="18"/>
    </w:rPr>
  </w:style>
  <w:style w:type="character" w:customStyle="1" w:styleId="45">
    <w:name w:val="批注主题 字符"/>
    <w:link w:val="27"/>
    <w:autoRedefine/>
    <w:semiHidden/>
    <w:qFormat/>
    <w:uiPriority w:val="0"/>
    <w:rPr>
      <w:b/>
      <w:bCs/>
      <w:kern w:val="2"/>
      <w:sz w:val="21"/>
      <w:szCs w:val="24"/>
    </w:rPr>
  </w:style>
  <w:style w:type="character" w:customStyle="1" w:styleId="46">
    <w:name w:val="正文文本首行缩进 字符"/>
    <w:link w:val="28"/>
    <w:autoRedefine/>
    <w:qFormat/>
    <w:uiPriority w:val="0"/>
    <w:rPr>
      <w:rFonts w:ascii="宋体" w:hAnsi="宋体"/>
      <w:kern w:val="2"/>
      <w:sz w:val="21"/>
      <w:szCs w:val="24"/>
    </w:rPr>
  </w:style>
  <w:style w:type="character" w:customStyle="1" w:styleId="47">
    <w:name w:val="fontstyle01"/>
    <w:autoRedefine/>
    <w:qFormat/>
    <w:uiPriority w:val="0"/>
    <w:rPr>
      <w:rFonts w:hint="eastAsia" w:ascii="宋体" w:hAnsi="宋体" w:eastAsia="宋体"/>
      <w:color w:val="000000"/>
      <w:sz w:val="22"/>
      <w:szCs w:val="22"/>
    </w:rPr>
  </w:style>
  <w:style w:type="character" w:customStyle="1" w:styleId="48">
    <w:name w:val="正文缩进 Char1"/>
    <w:link w:val="49"/>
    <w:autoRedefine/>
    <w:qFormat/>
    <w:uiPriority w:val="0"/>
    <w:rPr>
      <w:rFonts w:ascii="宋体"/>
      <w:sz w:val="24"/>
    </w:rPr>
  </w:style>
  <w:style w:type="paragraph" w:customStyle="1" w:styleId="49">
    <w:name w:val="正文缩进1"/>
    <w:basedOn w:val="1"/>
    <w:link w:val="48"/>
    <w:autoRedefine/>
    <w:qFormat/>
    <w:uiPriority w:val="0"/>
    <w:pPr>
      <w:autoSpaceDE w:val="0"/>
      <w:autoSpaceDN w:val="0"/>
      <w:adjustRightInd w:val="0"/>
      <w:ind w:firstLine="420"/>
      <w:jc w:val="left"/>
    </w:pPr>
    <w:rPr>
      <w:rFonts w:ascii="宋体"/>
      <w:kern w:val="0"/>
      <w:sz w:val="24"/>
      <w:szCs w:val="20"/>
    </w:rPr>
  </w:style>
  <w:style w:type="paragraph" w:customStyle="1" w:styleId="50">
    <w:name w:val="_Style 37"/>
    <w:basedOn w:val="3"/>
    <w:next w:val="1"/>
    <w:autoRedefine/>
    <w:unhideWhenUsed/>
    <w:qFormat/>
    <w:uiPriority w:val="39"/>
    <w:pPr>
      <w:widowControl/>
      <w:autoSpaceDE/>
      <w:autoSpaceDN/>
      <w:adjustRightInd/>
      <w:spacing w:before="480" w:after="0" w:line="276" w:lineRule="auto"/>
      <w:jc w:val="left"/>
      <w:outlineLvl w:val="9"/>
    </w:pPr>
    <w:rPr>
      <w:rFonts w:ascii="Calibri Light" w:hAnsi="Calibri Light"/>
      <w:bCs/>
      <w:color w:val="2E74B5"/>
      <w:kern w:val="0"/>
      <w:sz w:val="28"/>
      <w:szCs w:val="28"/>
    </w:rPr>
  </w:style>
  <w:style w:type="paragraph" w:customStyle="1" w:styleId="51">
    <w:name w:val="xl70"/>
    <w:basedOn w:val="1"/>
    <w:autoRedefine/>
    <w:qFormat/>
    <w:uiPriority w:val="0"/>
    <w:pPr>
      <w:widowControl/>
      <w:pBdr>
        <w:bottom w:val="single" w:color="auto" w:sz="8" w:space="0"/>
        <w:right w:val="single" w:color="auto" w:sz="8" w:space="0"/>
      </w:pBdr>
      <w:spacing w:before="100" w:beforeAutospacing="1" w:after="100" w:afterAutospacing="1"/>
      <w:jc w:val="center"/>
    </w:pPr>
    <w:rPr>
      <w:rFonts w:ascii="宋体" w:hAnsi="宋体" w:cs="宋体"/>
      <w:color w:val="000000"/>
      <w:kern w:val="0"/>
      <w:sz w:val="24"/>
    </w:rPr>
  </w:style>
  <w:style w:type="paragraph" w:customStyle="1" w:styleId="52">
    <w:name w:val="列出段落1"/>
    <w:basedOn w:val="1"/>
    <w:autoRedefine/>
    <w:unhideWhenUsed/>
    <w:qFormat/>
    <w:uiPriority w:val="99"/>
    <w:pPr>
      <w:ind w:firstLine="420" w:firstLineChars="200"/>
    </w:pPr>
  </w:style>
  <w:style w:type="paragraph" w:customStyle="1" w:styleId="53">
    <w:name w:val="xl65"/>
    <w:basedOn w:val="1"/>
    <w:autoRedefine/>
    <w:qFormat/>
    <w:uiPriority w:val="0"/>
    <w:pPr>
      <w:widowControl/>
      <w:pBdr>
        <w:left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4"/>
    </w:rPr>
  </w:style>
  <w:style w:type="paragraph" w:customStyle="1" w:styleId="54">
    <w:name w:val="xl73"/>
    <w:basedOn w:val="1"/>
    <w:autoRedefine/>
    <w:qFormat/>
    <w:uiPriority w:val="0"/>
    <w:pPr>
      <w:widowControl/>
      <w:pBdr>
        <w:bottom w:val="single" w:color="auto" w:sz="8" w:space="0"/>
        <w:right w:val="single" w:color="auto" w:sz="8" w:space="0"/>
      </w:pBdr>
      <w:spacing w:before="100" w:beforeAutospacing="1" w:after="100" w:afterAutospacing="1"/>
      <w:jc w:val="center"/>
    </w:pPr>
    <w:rPr>
      <w:rFonts w:ascii="宋体" w:hAnsi="宋体" w:cs="宋体"/>
      <w:kern w:val="0"/>
      <w:sz w:val="24"/>
    </w:rPr>
  </w:style>
  <w:style w:type="paragraph" w:customStyle="1" w:styleId="55">
    <w:name w:val="xl72"/>
    <w:basedOn w:val="1"/>
    <w:autoRedefine/>
    <w:qFormat/>
    <w:uiPriority w:val="0"/>
    <w:pPr>
      <w:widowControl/>
      <w:pBdr>
        <w:bottom w:val="single" w:color="auto" w:sz="8" w:space="0"/>
        <w:right w:val="single" w:color="auto" w:sz="8" w:space="0"/>
      </w:pBdr>
      <w:shd w:val="clear" w:color="000000" w:fill="FFFFFF"/>
      <w:spacing w:before="100" w:beforeAutospacing="1" w:after="100" w:afterAutospacing="1"/>
      <w:jc w:val="center"/>
    </w:pPr>
    <w:rPr>
      <w:rFonts w:ascii="宋体" w:hAnsi="宋体" w:cs="宋体"/>
      <w:kern w:val="0"/>
      <w:sz w:val="24"/>
    </w:rPr>
  </w:style>
  <w:style w:type="paragraph" w:customStyle="1" w:styleId="56">
    <w:name w:val="xl64"/>
    <w:basedOn w:val="1"/>
    <w:autoRedefine/>
    <w:qFormat/>
    <w:uiPriority w:val="0"/>
    <w:pPr>
      <w:widowControl/>
      <w:pBdr>
        <w:top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4"/>
    </w:rPr>
  </w:style>
  <w:style w:type="paragraph" w:customStyle="1" w:styleId="57">
    <w:name w:val="xl66"/>
    <w:basedOn w:val="1"/>
    <w:autoRedefine/>
    <w:qFormat/>
    <w:uiPriority w:val="0"/>
    <w:pPr>
      <w:widowControl/>
      <w:pBdr>
        <w:bottom w:val="single" w:color="auto" w:sz="8" w:space="0"/>
        <w:right w:val="single" w:color="auto" w:sz="8" w:space="0"/>
      </w:pBdr>
      <w:spacing w:before="100" w:beforeAutospacing="1" w:after="100" w:afterAutospacing="1"/>
      <w:jc w:val="left"/>
    </w:pPr>
    <w:rPr>
      <w:rFonts w:ascii="宋体" w:hAnsi="宋体" w:cs="宋体"/>
      <w:color w:val="000000"/>
      <w:kern w:val="0"/>
      <w:sz w:val="24"/>
    </w:rPr>
  </w:style>
  <w:style w:type="paragraph" w:customStyle="1" w:styleId="58">
    <w:name w:val="xl74"/>
    <w:basedOn w:val="1"/>
    <w:autoRedefine/>
    <w:qFormat/>
    <w:uiPriority w:val="0"/>
    <w:pPr>
      <w:widowControl/>
      <w:pBdr>
        <w:bottom w:val="single" w:color="auto" w:sz="8" w:space="0"/>
        <w:right w:val="single" w:color="auto" w:sz="8" w:space="0"/>
      </w:pBdr>
      <w:shd w:val="clear" w:color="000000" w:fill="FFFFFF"/>
      <w:spacing w:before="100" w:beforeAutospacing="1" w:after="100" w:afterAutospacing="1"/>
      <w:jc w:val="left"/>
    </w:pPr>
    <w:rPr>
      <w:rFonts w:ascii="宋体" w:hAnsi="宋体" w:cs="宋体"/>
      <w:kern w:val="0"/>
      <w:sz w:val="24"/>
    </w:rPr>
  </w:style>
  <w:style w:type="paragraph" w:customStyle="1" w:styleId="59">
    <w:name w:val="xl67"/>
    <w:basedOn w:val="1"/>
    <w:autoRedefine/>
    <w:qFormat/>
    <w:uiPriority w:val="0"/>
    <w:pPr>
      <w:widowControl/>
      <w:pBdr>
        <w:bottom w:val="single" w:color="auto" w:sz="8" w:space="0"/>
        <w:right w:val="single" w:color="auto" w:sz="8" w:space="0"/>
      </w:pBdr>
      <w:spacing w:before="100" w:beforeAutospacing="1" w:after="100" w:afterAutospacing="1"/>
      <w:jc w:val="center"/>
    </w:pPr>
    <w:rPr>
      <w:rFonts w:ascii="宋体" w:hAnsi="宋体" w:cs="宋体"/>
      <w:kern w:val="0"/>
      <w:sz w:val="24"/>
    </w:rPr>
  </w:style>
  <w:style w:type="paragraph" w:customStyle="1" w:styleId="60">
    <w:name w:val="xl71"/>
    <w:basedOn w:val="1"/>
    <w:autoRedefine/>
    <w:qFormat/>
    <w:uiPriority w:val="0"/>
    <w:pPr>
      <w:widowControl/>
      <w:pBdr>
        <w:bottom w:val="single" w:color="auto" w:sz="8" w:space="0"/>
        <w:right w:val="single" w:color="auto" w:sz="8" w:space="0"/>
      </w:pBdr>
      <w:spacing w:before="100" w:beforeAutospacing="1" w:after="100" w:afterAutospacing="1"/>
      <w:jc w:val="left"/>
    </w:pPr>
    <w:rPr>
      <w:rFonts w:ascii="宋体" w:hAnsi="宋体" w:cs="宋体"/>
      <w:color w:val="000000"/>
      <w:kern w:val="0"/>
      <w:sz w:val="24"/>
    </w:rPr>
  </w:style>
  <w:style w:type="paragraph" w:customStyle="1" w:styleId="61">
    <w:name w:val="xl69"/>
    <w:basedOn w:val="1"/>
    <w:autoRedefine/>
    <w:qFormat/>
    <w:uiPriority w:val="0"/>
    <w:pPr>
      <w:widowControl/>
      <w:pBdr>
        <w:bottom w:val="single" w:color="auto" w:sz="8" w:space="0"/>
        <w:right w:val="single" w:color="auto" w:sz="8" w:space="0"/>
      </w:pBdr>
      <w:spacing w:before="100" w:beforeAutospacing="1" w:after="100" w:afterAutospacing="1"/>
      <w:jc w:val="left"/>
    </w:pPr>
    <w:rPr>
      <w:rFonts w:ascii="宋体" w:hAnsi="宋体" w:cs="宋体"/>
      <w:kern w:val="0"/>
      <w:sz w:val="24"/>
    </w:rPr>
  </w:style>
  <w:style w:type="paragraph" w:customStyle="1" w:styleId="62">
    <w:name w:val="font5"/>
    <w:basedOn w:val="1"/>
    <w:autoRedefine/>
    <w:qFormat/>
    <w:uiPriority w:val="0"/>
    <w:pPr>
      <w:widowControl/>
      <w:spacing w:before="100" w:beforeAutospacing="1" w:after="100" w:afterAutospacing="1"/>
      <w:jc w:val="left"/>
    </w:pPr>
    <w:rPr>
      <w:rFonts w:ascii="宋体" w:hAnsi="宋体" w:cs="宋体"/>
      <w:color w:val="000000"/>
      <w:kern w:val="0"/>
      <w:sz w:val="24"/>
    </w:rPr>
  </w:style>
  <w:style w:type="paragraph" w:customStyle="1" w:styleId="63">
    <w:name w:val="xl63"/>
    <w:basedOn w:val="1"/>
    <w:autoRedefine/>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4"/>
    </w:rPr>
  </w:style>
  <w:style w:type="paragraph" w:customStyle="1" w:styleId="64">
    <w:name w:val="xl68"/>
    <w:basedOn w:val="1"/>
    <w:autoRedefine/>
    <w:qFormat/>
    <w:uiPriority w:val="0"/>
    <w:pPr>
      <w:widowControl/>
      <w:pBdr>
        <w:bottom w:val="single" w:color="auto" w:sz="8" w:space="0"/>
        <w:right w:val="single" w:color="auto" w:sz="8" w:space="0"/>
      </w:pBdr>
      <w:spacing w:before="100" w:beforeAutospacing="1" w:after="100" w:afterAutospacing="1"/>
      <w:jc w:val="left"/>
    </w:pPr>
    <w:rPr>
      <w:rFonts w:ascii="宋体" w:hAnsi="宋体" w:cs="宋体"/>
      <w:kern w:val="0"/>
      <w:sz w:val="24"/>
    </w:rPr>
  </w:style>
  <w:style w:type="paragraph" w:customStyle="1" w:styleId="65">
    <w:name w:val="Table Paragraph"/>
    <w:basedOn w:val="1"/>
    <w:autoRedefine/>
    <w:qFormat/>
    <w:uiPriority w:val="1"/>
  </w:style>
  <w:style w:type="paragraph" w:customStyle="1" w:styleId="66">
    <w:name w:val="WPSOffice手动目录 1"/>
    <w:autoRedefine/>
    <w:qFormat/>
    <w:uiPriority w:val="0"/>
    <w:rPr>
      <w:rFonts w:ascii="Times New Roman" w:hAnsi="Times New Roman" w:eastAsia="宋体" w:cs="Times New Roman"/>
      <w:lang w:val="en-US" w:eastAsia="zh-CN" w:bidi="ar-SA"/>
    </w:rPr>
  </w:style>
  <w:style w:type="paragraph" w:customStyle="1" w:styleId="67">
    <w:name w:val="WPSOffice手动目录 2"/>
    <w:autoRedefine/>
    <w:qFormat/>
    <w:uiPriority w:val="0"/>
    <w:pPr>
      <w:ind w:leftChars="200"/>
    </w:pPr>
    <w:rPr>
      <w:rFonts w:ascii="Times New Roman" w:hAnsi="Times New Roman" w:eastAsia="宋体" w:cs="Times New Roman"/>
      <w:lang w:val="en-US" w:eastAsia="zh-CN" w:bidi="ar-SA"/>
    </w:rPr>
  </w:style>
  <w:style w:type="paragraph" w:customStyle="1" w:styleId="68">
    <w:name w:val="WPSOffice手动目录 3"/>
    <w:autoRedefine/>
    <w:qFormat/>
    <w:uiPriority w:val="0"/>
    <w:pPr>
      <w:ind w:leftChars="400"/>
    </w:pPr>
    <w:rPr>
      <w:rFonts w:ascii="Times New Roman" w:hAnsi="Times New Roman" w:eastAsia="宋体" w:cs="Times New Roman"/>
      <w:lang w:val="en-US" w:eastAsia="zh-CN" w:bidi="ar-SA"/>
    </w:rPr>
  </w:style>
  <w:style w:type="paragraph" w:customStyle="1" w:styleId="69">
    <w:name w:val="_Style 32"/>
    <w:basedOn w:val="1"/>
    <w:next w:val="1"/>
    <w:autoRedefine/>
    <w:qFormat/>
    <w:uiPriority w:val="34"/>
    <w:pPr>
      <w:widowControl/>
      <w:ind w:firstLine="420" w:firstLineChars="200"/>
      <w:jc w:val="left"/>
    </w:pPr>
    <w:rPr>
      <w:rFonts w:ascii="Times New Roman" w:hAnsi="Times New Roman"/>
      <w:kern w:val="0"/>
      <w:sz w:val="24"/>
    </w:rPr>
  </w:style>
  <w:style w:type="character" w:customStyle="1" w:styleId="70">
    <w:name w:val="font21"/>
    <w:basedOn w:val="32"/>
    <w:autoRedefine/>
    <w:qFormat/>
    <w:uiPriority w:val="0"/>
    <w:rPr>
      <w:rFonts w:hint="default" w:ascii="Times New Roman" w:hAnsi="Times New Roman" w:cs="Times New Roman"/>
      <w:color w:val="000000"/>
      <w:sz w:val="20"/>
      <w:szCs w:val="20"/>
      <w:u w:val="none"/>
    </w:rPr>
  </w:style>
  <w:style w:type="character" w:customStyle="1" w:styleId="71">
    <w:name w:val="font11"/>
    <w:basedOn w:val="32"/>
    <w:autoRedefine/>
    <w:qFormat/>
    <w:uiPriority w:val="0"/>
    <w:rPr>
      <w:rFonts w:hint="eastAsia" w:ascii="宋体" w:hAnsi="宋体" w:eastAsia="宋体" w:cs="宋体"/>
      <w:color w:val="000000"/>
      <w:sz w:val="20"/>
      <w:szCs w:val="20"/>
      <w:u w:val="none"/>
    </w:rPr>
  </w:style>
  <w:style w:type="paragraph" w:customStyle="1" w:styleId="72">
    <w:name w:val="List Paragraph1"/>
    <w:basedOn w:val="1"/>
    <w:autoRedefine/>
    <w:qFormat/>
    <w:uiPriority w:val="99"/>
    <w:pPr>
      <w:ind w:firstLine="420" w:firstLineChars="200"/>
    </w:pPr>
    <w:rPr>
      <w:sz w:val="22"/>
      <w:szCs w:val="20"/>
    </w:rPr>
  </w:style>
  <w:style w:type="paragraph" w:customStyle="1" w:styleId="73">
    <w:name w:val="Body text|1"/>
    <w:basedOn w:val="1"/>
    <w:autoRedefine/>
    <w:qFormat/>
    <w:uiPriority w:val="0"/>
    <w:pPr>
      <w:spacing w:line="415" w:lineRule="auto"/>
      <w:ind w:firstLine="400"/>
    </w:pPr>
    <w:rPr>
      <w:rFonts w:ascii="宋体" w:hAnsi="宋体" w:eastAsia="宋体" w:cs="宋体"/>
      <w:sz w:val="22"/>
      <w:szCs w:val="22"/>
      <w:lang w:val="zh-TW" w:eastAsia="zh-TW" w:bidi="zh-TW"/>
    </w:rPr>
  </w:style>
  <w:style w:type="paragraph" w:customStyle="1" w:styleId="74">
    <w:name w:val="Other|1"/>
    <w:basedOn w:val="1"/>
    <w:autoRedefine/>
    <w:qFormat/>
    <w:uiPriority w:val="0"/>
    <w:pPr>
      <w:spacing w:line="415" w:lineRule="auto"/>
      <w:ind w:firstLine="400"/>
    </w:pPr>
    <w:rPr>
      <w:rFonts w:ascii="宋体" w:hAnsi="宋体" w:eastAsia="宋体" w:cs="宋体"/>
      <w:sz w:val="22"/>
      <w:szCs w:val="22"/>
      <w:lang w:val="zh-TW" w:eastAsia="zh-TW" w:bidi="zh-TW"/>
    </w:rPr>
  </w:style>
  <w:style w:type="table" w:customStyle="1" w:styleId="75">
    <w:name w:val="Table Normal"/>
    <w:autoRedefine/>
    <w:semiHidden/>
    <w:unhideWhenUsed/>
    <w:qFormat/>
    <w:uiPriority w:val="0"/>
    <w:tblPr>
      <w:tblCellMar>
        <w:top w:w="0" w:type="dxa"/>
        <w:left w:w="0" w:type="dxa"/>
        <w:bottom w:w="0" w:type="dxa"/>
        <w:right w:w="0" w:type="dxa"/>
      </w:tblCellMar>
    </w:tblPr>
  </w:style>
  <w:style w:type="paragraph" w:customStyle="1" w:styleId="76">
    <w:name w:val="Fließtext"/>
    <w:basedOn w:val="1"/>
    <w:autoRedefine/>
    <w:qFormat/>
    <w:uiPriority w:val="0"/>
    <w:pPr>
      <w:overflowPunct w:val="0"/>
      <w:autoSpaceDE w:val="0"/>
      <w:autoSpaceDN w:val="0"/>
      <w:adjustRightInd w:val="0"/>
      <w:textAlignment w:val="baseline"/>
    </w:pPr>
    <w:rPr>
      <w:kern w:val="28"/>
      <w:szCs w:val="20"/>
    </w:rPr>
  </w:style>
  <w:style w:type="character" w:customStyle="1" w:styleId="77">
    <w:name w:val="font61"/>
    <w:basedOn w:val="32"/>
    <w:autoRedefine/>
    <w:qFormat/>
    <w:uiPriority w:val="0"/>
    <w:rPr>
      <w:rFonts w:ascii="Symbol" w:hAnsi="Symbol" w:cs="Symbol"/>
      <w:color w:val="000000"/>
      <w:sz w:val="18"/>
      <w:szCs w:val="18"/>
      <w:u w:val="none"/>
    </w:rPr>
  </w:style>
  <w:style w:type="paragraph" w:customStyle="1" w:styleId="78">
    <w:name w:val="首行缩进"/>
    <w:basedOn w:val="1"/>
    <w:autoRedefine/>
    <w:qFormat/>
    <w:uiPriority w:val="0"/>
    <w:pPr>
      <w:spacing w:line="360" w:lineRule="auto"/>
      <w:ind w:firstLine="480"/>
    </w:pPr>
    <w:rPr>
      <w:rFonts w:hint="eastAsia" w:ascii="宋体" w:hAnsi="宋体"/>
      <w:color w:val="000000"/>
      <w:kern w:val="0"/>
      <w:sz w:val="24"/>
    </w:rPr>
  </w:style>
  <w:style w:type="character" w:customStyle="1" w:styleId="79">
    <w:name w:val="font91"/>
    <w:basedOn w:val="32"/>
    <w:autoRedefine/>
    <w:qFormat/>
    <w:uiPriority w:val="0"/>
    <w:rPr>
      <w:rFonts w:hint="eastAsia" w:ascii="宋体" w:hAnsi="宋体" w:eastAsia="宋体" w:cs="宋体"/>
      <w:color w:val="FF0000"/>
      <w:sz w:val="18"/>
      <w:szCs w:val="18"/>
      <w:u w:val="none"/>
    </w:rPr>
  </w:style>
  <w:style w:type="character" w:customStyle="1" w:styleId="80">
    <w:name w:val="font251"/>
    <w:basedOn w:val="32"/>
    <w:autoRedefine/>
    <w:qFormat/>
    <w:uiPriority w:val="0"/>
    <w:rPr>
      <w:rFonts w:hint="default" w:ascii="Arial" w:hAnsi="Arial" w:cs="Arial"/>
      <w:color w:val="FF0000"/>
      <w:sz w:val="18"/>
      <w:szCs w:val="18"/>
      <w:u w:val="none"/>
    </w:rPr>
  </w:style>
  <w:style w:type="character" w:customStyle="1" w:styleId="81">
    <w:name w:val="font141"/>
    <w:basedOn w:val="32"/>
    <w:autoRedefine/>
    <w:qFormat/>
    <w:uiPriority w:val="0"/>
    <w:rPr>
      <w:rFonts w:hint="default" w:ascii="Times New Roman" w:hAnsi="Times New Roman" w:cs="Times New Roman"/>
      <w:color w:val="FF0000"/>
      <w:sz w:val="20"/>
      <w:szCs w:val="20"/>
      <w:u w:val="none"/>
    </w:rPr>
  </w:style>
  <w:style w:type="character" w:customStyle="1" w:styleId="82">
    <w:name w:val="font121"/>
    <w:basedOn w:val="32"/>
    <w:autoRedefine/>
    <w:qFormat/>
    <w:uiPriority w:val="0"/>
    <w:rPr>
      <w:rFonts w:hint="eastAsia" w:ascii="宋体" w:hAnsi="宋体" w:eastAsia="宋体" w:cs="宋体"/>
      <w:color w:val="FF0000"/>
      <w:sz w:val="20"/>
      <w:szCs w:val="20"/>
      <w:u w:val="none"/>
    </w:rPr>
  </w:style>
  <w:style w:type="character" w:customStyle="1" w:styleId="83">
    <w:name w:val="font51"/>
    <w:basedOn w:val="32"/>
    <w:autoRedefine/>
    <w:qFormat/>
    <w:uiPriority w:val="0"/>
    <w:rPr>
      <w:rFonts w:hint="eastAsia" w:ascii="宋体" w:hAnsi="宋体" w:eastAsia="宋体" w:cs="宋体"/>
      <w:color w:val="000000"/>
      <w:sz w:val="20"/>
      <w:szCs w:val="20"/>
      <w:u w:val="none"/>
    </w:rPr>
  </w:style>
  <w:style w:type="character" w:customStyle="1" w:styleId="84">
    <w:name w:val="font281"/>
    <w:basedOn w:val="32"/>
    <w:autoRedefine/>
    <w:qFormat/>
    <w:uiPriority w:val="0"/>
    <w:rPr>
      <w:rFonts w:hint="eastAsia" w:ascii="宋体" w:hAnsi="宋体" w:eastAsia="宋体" w:cs="宋体"/>
      <w:color w:val="000000"/>
      <w:sz w:val="20"/>
      <w:szCs w:val="20"/>
      <w:u w:val="none"/>
    </w:rPr>
  </w:style>
  <w:style w:type="character" w:customStyle="1" w:styleId="85">
    <w:name w:val="font131"/>
    <w:basedOn w:val="32"/>
    <w:autoRedefine/>
    <w:qFormat/>
    <w:uiPriority w:val="0"/>
    <w:rPr>
      <w:rFonts w:hint="default" w:ascii="Times New Roman" w:hAnsi="Times New Roman" w:cs="Times New Roman"/>
      <w:color w:val="FF0000"/>
      <w:sz w:val="20"/>
      <w:szCs w:val="20"/>
      <w:u w:val="none"/>
    </w:rPr>
  </w:style>
  <w:style w:type="character" w:customStyle="1" w:styleId="86">
    <w:name w:val="font112"/>
    <w:basedOn w:val="32"/>
    <w:autoRedefine/>
    <w:qFormat/>
    <w:uiPriority w:val="0"/>
    <w:rPr>
      <w:rFonts w:hint="eastAsia" w:ascii="宋体" w:hAnsi="宋体" w:eastAsia="宋体" w:cs="宋体"/>
      <w:color w:val="FF0000"/>
      <w:sz w:val="20"/>
      <w:szCs w:val="20"/>
      <w:u w:val="none"/>
    </w:rPr>
  </w:style>
  <w:style w:type="character" w:customStyle="1" w:styleId="87">
    <w:name w:val="font41"/>
    <w:basedOn w:val="32"/>
    <w:autoRedefine/>
    <w:qFormat/>
    <w:uiPriority w:val="0"/>
    <w:rPr>
      <w:rFonts w:hint="default" w:ascii="Times New Roman" w:hAnsi="Times New Roman" w:cs="Times New Roman"/>
      <w:color w:val="FF0000"/>
      <w:sz w:val="20"/>
      <w:szCs w:val="20"/>
      <w:u w:val="none"/>
    </w:rPr>
  </w:style>
  <w:style w:type="character" w:customStyle="1" w:styleId="88">
    <w:name w:val="font31"/>
    <w:basedOn w:val="32"/>
    <w:autoRedefine/>
    <w:qFormat/>
    <w:uiPriority w:val="0"/>
    <w:rPr>
      <w:rFonts w:hint="eastAsia" w:ascii="宋体" w:hAnsi="宋体" w:eastAsia="宋体" w:cs="宋体"/>
      <w:color w:val="FF0000"/>
      <w:sz w:val="20"/>
      <w:szCs w:val="20"/>
      <w:u w:val="none"/>
    </w:rPr>
  </w:style>
  <w:style w:type="character" w:customStyle="1" w:styleId="89">
    <w:name w:val="font81"/>
    <w:basedOn w:val="32"/>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2.png"/><Relationship Id="rId14" Type="http://schemas.openxmlformats.org/officeDocument/2006/relationships/image" Target="media/image1.png"/><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沂蒙国际招标有限公司</Company>
  <Pages>67</Pages>
  <Words>33922</Words>
  <Characters>36303</Characters>
  <Lines>213</Lines>
  <Paragraphs>60</Paragraphs>
  <TotalTime>194</TotalTime>
  <ScaleCrop>false</ScaleCrop>
  <LinksUpToDate>false</LinksUpToDate>
  <CharactersWithSpaces>37827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2022-05-26T00:30:00Z</dcterms:created>
  <dc:creator>毛锟</dc:creator>
  <cp:lastModifiedBy>申振</cp:lastModifiedBy>
  <cp:lastPrinted>2021-04-08T02:50:00Z</cp:lastPrinted>
  <dcterms:modified xsi:type="dcterms:W3CDTF">2024-05-31T07:06:20Z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20089ACEF7744CE49B723BA133F07855_13</vt:lpwstr>
  </property>
  <property fmtid="{D5CDD505-2E9C-101B-9397-08002B2CF9AE}" pid="4" name="commondata">
    <vt:lpwstr>eyJoZGlkIjoiYTI4ZDhhM2MxYzllZDkwOTY2MGMwZTkyMGZjMWQ3ODYifQ==</vt:lpwstr>
  </property>
</Properties>
</file>