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6"/>
        <w:jc w:val="right"/>
        <w:rPr>
          <w:rFonts w:hint="eastAsia"/>
          <w:b/>
          <w:bCs/>
          <w:color w:val="auto"/>
          <w:sz w:val="24"/>
          <w:szCs w:val="32"/>
          <w:highlight w:val="none"/>
          <w:lang w:val="en-US" w:eastAsia="zh-CN"/>
        </w:rPr>
      </w:pPr>
      <w:r>
        <w:rPr>
          <w:rFonts w:hint="eastAsia"/>
          <w:b/>
          <w:bCs/>
          <w:color w:val="auto"/>
          <w:sz w:val="24"/>
          <w:szCs w:val="32"/>
          <w:highlight w:val="none"/>
          <w:lang w:val="en-US" w:eastAsia="zh-CN"/>
        </w:rPr>
        <w:t>本项目专门面向中小企业采购</w:t>
      </w:r>
    </w:p>
    <w:p>
      <w:pPr>
        <w:rPr>
          <w:rFonts w:hint="default"/>
          <w:color w:val="auto"/>
          <w:highlight w:val="none"/>
          <w:lang w:val="en-US" w:eastAsia="zh-CN"/>
        </w:rPr>
      </w:pPr>
    </w:p>
    <w:p>
      <w:pPr>
        <w:spacing w:line="240" w:lineRule="atLeast"/>
        <w:ind w:left="1080" w:leftChars="257" w:hanging="540"/>
        <w:jc w:val="center"/>
        <w:rPr>
          <w:rFonts w:ascii="宋体" w:hAnsi="宋体" w:cs="宋体"/>
          <w:b/>
          <w:color w:val="auto"/>
          <w:sz w:val="52"/>
          <w:szCs w:val="52"/>
          <w:highlight w:val="none"/>
        </w:rPr>
      </w:pPr>
    </w:p>
    <w:p>
      <w:pPr>
        <w:spacing w:line="240" w:lineRule="atLeast"/>
        <w:ind w:left="1080" w:leftChars="257" w:hanging="540"/>
        <w:jc w:val="center"/>
        <w:rPr>
          <w:rFonts w:ascii="宋体" w:hAnsi="宋体" w:cs="宋体"/>
          <w:b/>
          <w:color w:val="auto"/>
          <w:sz w:val="52"/>
          <w:szCs w:val="52"/>
          <w:highlight w:val="none"/>
        </w:rPr>
      </w:pPr>
    </w:p>
    <w:p>
      <w:pPr>
        <w:spacing w:line="240" w:lineRule="atLeast"/>
        <w:ind w:left="1080" w:leftChars="257" w:hanging="540"/>
        <w:jc w:val="center"/>
        <w:rPr>
          <w:rFonts w:ascii="宋体" w:hAnsi="宋体" w:cs="宋体"/>
          <w:b/>
          <w:bCs/>
          <w:color w:val="auto"/>
          <w:sz w:val="70"/>
          <w:szCs w:val="52"/>
          <w:highlight w:val="none"/>
        </w:rPr>
      </w:pPr>
      <w:r>
        <w:rPr>
          <w:rFonts w:hint="eastAsia" w:ascii="宋体" w:hAnsi="宋体" w:cs="宋体"/>
          <w:b/>
          <w:bCs/>
          <w:color w:val="auto"/>
          <w:sz w:val="70"/>
          <w:szCs w:val="52"/>
          <w:highlight w:val="none"/>
        </w:rPr>
        <w:t>政府采购竞争性磋商文件</w:t>
      </w:r>
    </w:p>
    <w:p>
      <w:pPr>
        <w:spacing w:line="240" w:lineRule="atLeast"/>
        <w:ind w:left="1080" w:leftChars="257" w:hanging="540"/>
        <w:jc w:val="center"/>
        <w:rPr>
          <w:rFonts w:ascii="宋体" w:hAnsi="宋体" w:cs="宋体"/>
          <w:bCs/>
          <w:color w:val="auto"/>
          <w:sz w:val="32"/>
          <w:szCs w:val="32"/>
          <w:highlight w:val="none"/>
        </w:rPr>
      </w:pPr>
    </w:p>
    <w:p>
      <w:pPr>
        <w:spacing w:line="240" w:lineRule="atLeast"/>
        <w:ind w:left="1080" w:leftChars="257" w:hanging="540"/>
        <w:jc w:val="center"/>
        <w:rPr>
          <w:rFonts w:ascii="宋体" w:hAnsi="宋体" w:cs="宋体"/>
          <w:b/>
          <w:color w:val="auto"/>
          <w:sz w:val="32"/>
          <w:szCs w:val="32"/>
          <w:highlight w:val="none"/>
        </w:rPr>
      </w:pPr>
    </w:p>
    <w:p>
      <w:pPr>
        <w:spacing w:line="240" w:lineRule="atLeast"/>
        <w:ind w:left="1080" w:leftChars="257" w:hanging="540"/>
        <w:rPr>
          <w:rFonts w:ascii="宋体" w:hAnsi="宋体" w:cs="宋体"/>
          <w:b/>
          <w:color w:val="auto"/>
          <w:sz w:val="28"/>
          <w:highlight w:val="none"/>
        </w:rPr>
      </w:pPr>
    </w:p>
    <w:p>
      <w:pPr>
        <w:spacing w:line="240" w:lineRule="atLeast"/>
        <w:ind w:left="1080" w:leftChars="257" w:hanging="540"/>
        <w:jc w:val="center"/>
        <w:rPr>
          <w:rFonts w:ascii="宋体" w:hAnsi="宋体" w:cs="宋体"/>
          <w:b/>
          <w:color w:val="auto"/>
          <w:sz w:val="36"/>
          <w:szCs w:val="36"/>
          <w:highlight w:val="none"/>
        </w:rPr>
      </w:pPr>
      <w:r>
        <w:rPr>
          <w:rFonts w:hint="eastAsia" w:ascii="宋体" w:hAnsi="宋体" w:cs="宋体"/>
          <w:b/>
          <w:color w:val="auto"/>
          <w:sz w:val="36"/>
          <w:szCs w:val="36"/>
          <w:highlight w:val="none"/>
        </w:rPr>
        <w:t>第一册</w:t>
      </w:r>
    </w:p>
    <w:p>
      <w:pPr>
        <w:spacing w:line="240" w:lineRule="atLeast"/>
        <w:ind w:left="1080" w:leftChars="257" w:hanging="540"/>
        <w:jc w:val="center"/>
        <w:rPr>
          <w:rFonts w:ascii="宋体" w:hAnsi="宋体" w:cs="宋体"/>
          <w:b/>
          <w:color w:val="auto"/>
          <w:sz w:val="52"/>
          <w:highlight w:val="none"/>
        </w:rPr>
      </w:pPr>
    </w:p>
    <w:p>
      <w:pPr>
        <w:spacing w:line="360" w:lineRule="auto"/>
        <w:ind w:left="-1" w:leftChars="0" w:firstLine="602" w:firstLineChars="200"/>
        <w:jc w:val="left"/>
        <w:rPr>
          <w:rFonts w:hint="eastAsia" w:ascii="宋体" w:hAnsi="宋体" w:eastAsia="宋体" w:cs="宋体"/>
          <w:b/>
          <w:color w:val="auto"/>
          <w:sz w:val="30"/>
          <w:szCs w:val="30"/>
          <w:highlight w:val="none"/>
          <w:lang w:eastAsia="zh-CN"/>
        </w:rPr>
      </w:pPr>
      <w:r>
        <w:rPr>
          <w:rFonts w:hint="eastAsia" w:ascii="宋体" w:hAnsi="宋体" w:cs="宋体"/>
          <w:b/>
          <w:color w:val="auto"/>
          <w:sz w:val="30"/>
          <w:szCs w:val="30"/>
          <w:highlight w:val="none"/>
        </w:rPr>
        <w:t>项目编号：</w:t>
      </w:r>
      <w:r>
        <w:rPr>
          <w:rFonts w:hint="eastAsia" w:ascii="宋体" w:hAnsi="宋体" w:cs="宋体"/>
          <w:b/>
          <w:color w:val="auto"/>
          <w:sz w:val="30"/>
          <w:szCs w:val="30"/>
          <w:highlight w:val="none"/>
          <w:lang w:eastAsia="zh-CN"/>
        </w:rPr>
        <w:t>SDGP370000000202402001848</w:t>
      </w:r>
    </w:p>
    <w:p>
      <w:pPr>
        <w:spacing w:line="360" w:lineRule="auto"/>
        <w:ind w:left="1505" w:leftChars="286" w:hanging="904" w:hangingChars="300"/>
        <w:jc w:val="left"/>
        <w:rPr>
          <w:rFonts w:hint="eastAsia" w:ascii="宋体" w:hAnsi="宋体" w:eastAsia="宋体" w:cs="宋体"/>
          <w:b/>
          <w:color w:val="auto"/>
          <w:spacing w:val="0"/>
          <w:sz w:val="30"/>
          <w:szCs w:val="30"/>
          <w:highlight w:val="none"/>
          <w:u w:val="single"/>
          <w:lang w:eastAsia="zh-CN"/>
        </w:rPr>
      </w:pPr>
      <w:r>
        <w:rPr>
          <w:rFonts w:hint="eastAsia" w:ascii="宋体" w:hAnsi="宋体" w:cs="宋体"/>
          <w:b/>
          <w:color w:val="auto"/>
          <w:spacing w:val="0"/>
          <w:sz w:val="30"/>
          <w:szCs w:val="30"/>
          <w:highlight w:val="none"/>
        </w:rPr>
        <w:t>项目名称</w:t>
      </w:r>
      <w:r>
        <w:rPr>
          <w:rFonts w:hint="eastAsia" w:ascii="宋体" w:hAnsi="宋体" w:cs="宋体"/>
          <w:b/>
          <w:color w:val="auto"/>
          <w:spacing w:val="0"/>
          <w:sz w:val="30"/>
          <w:szCs w:val="30"/>
          <w:highlight w:val="none"/>
          <w:lang w:eastAsia="zh-CN"/>
        </w:rPr>
        <w:t>：临沂大学2024年毕业证学位证印刷品采购项目</w:t>
      </w:r>
    </w:p>
    <w:p>
      <w:pPr>
        <w:tabs>
          <w:tab w:val="left" w:pos="6156"/>
        </w:tabs>
        <w:spacing w:line="240" w:lineRule="atLeast"/>
        <w:ind w:left="1080" w:leftChars="257" w:hanging="540"/>
        <w:jc w:val="left"/>
        <w:rPr>
          <w:rFonts w:ascii="宋体" w:hAnsi="宋体" w:cs="宋体"/>
          <w:b/>
          <w:color w:val="auto"/>
          <w:sz w:val="52"/>
          <w:highlight w:val="none"/>
        </w:rPr>
      </w:pPr>
      <w:r>
        <w:rPr>
          <w:rFonts w:hint="eastAsia" w:ascii="宋体" w:hAnsi="宋体" w:cs="宋体"/>
          <w:b/>
          <w:color w:val="auto"/>
          <w:sz w:val="52"/>
          <w:highlight w:val="none"/>
        </w:rPr>
        <w:tab/>
      </w:r>
    </w:p>
    <w:p>
      <w:pPr>
        <w:spacing w:line="240" w:lineRule="atLeast"/>
        <w:ind w:left="1080" w:leftChars="257" w:hanging="540"/>
        <w:jc w:val="center"/>
        <w:rPr>
          <w:rFonts w:ascii="宋体" w:hAnsi="宋体" w:cs="宋体"/>
          <w:b/>
          <w:color w:val="auto"/>
          <w:sz w:val="52"/>
          <w:highlight w:val="none"/>
        </w:rPr>
      </w:pPr>
    </w:p>
    <w:p>
      <w:pPr>
        <w:spacing w:line="240" w:lineRule="atLeast"/>
        <w:ind w:left="1080" w:leftChars="257" w:hanging="540"/>
        <w:jc w:val="center"/>
        <w:rPr>
          <w:rFonts w:ascii="宋体" w:hAnsi="宋体" w:cs="宋体"/>
          <w:b/>
          <w:color w:val="auto"/>
          <w:sz w:val="52"/>
          <w:highlight w:val="none"/>
        </w:rPr>
      </w:pPr>
    </w:p>
    <w:p>
      <w:pPr>
        <w:spacing w:line="240" w:lineRule="atLeast"/>
        <w:ind w:left="1080" w:leftChars="257" w:hanging="540"/>
        <w:jc w:val="center"/>
        <w:rPr>
          <w:rFonts w:ascii="宋体" w:hAnsi="宋体" w:cs="宋体"/>
          <w:b/>
          <w:color w:val="auto"/>
          <w:sz w:val="52"/>
          <w:highlight w:val="none"/>
        </w:rPr>
      </w:pPr>
    </w:p>
    <w:p>
      <w:pPr>
        <w:spacing w:line="240" w:lineRule="atLeast"/>
        <w:ind w:left="1080" w:leftChars="257" w:hanging="540"/>
        <w:jc w:val="center"/>
        <w:rPr>
          <w:rFonts w:ascii="宋体" w:hAnsi="宋体" w:cs="宋体"/>
          <w:b/>
          <w:color w:val="auto"/>
          <w:sz w:val="52"/>
          <w:highlight w:val="none"/>
        </w:rPr>
      </w:pPr>
    </w:p>
    <w:p>
      <w:pPr>
        <w:spacing w:line="360" w:lineRule="auto"/>
        <w:ind w:left="645" w:leftChars="307" w:firstLine="193" w:firstLineChars="64"/>
        <w:rPr>
          <w:rFonts w:ascii="宋体" w:hAnsi="宋体" w:cs="宋体"/>
          <w:b/>
          <w:color w:val="auto"/>
          <w:sz w:val="30"/>
          <w:szCs w:val="30"/>
          <w:highlight w:val="none"/>
        </w:rPr>
      </w:pPr>
      <w:r>
        <w:rPr>
          <w:rFonts w:hint="eastAsia" w:ascii="宋体" w:hAnsi="宋体" w:cs="宋体"/>
          <w:b/>
          <w:color w:val="auto"/>
          <w:sz w:val="30"/>
          <w:szCs w:val="30"/>
          <w:highlight w:val="none"/>
        </w:rPr>
        <w:t>采   购   人: 临沂大学</w:t>
      </w:r>
    </w:p>
    <w:p>
      <w:pPr>
        <w:spacing w:line="360" w:lineRule="auto"/>
        <w:ind w:left="645" w:leftChars="307" w:firstLine="193" w:firstLineChars="64"/>
        <w:jc w:val="both"/>
        <w:rPr>
          <w:rFonts w:ascii="宋体" w:hAnsi="宋体" w:cs="宋体"/>
          <w:b/>
          <w:color w:val="auto"/>
          <w:sz w:val="30"/>
          <w:szCs w:val="30"/>
          <w:highlight w:val="none"/>
        </w:rPr>
      </w:pPr>
      <w:r>
        <w:rPr>
          <w:rFonts w:hint="eastAsia" w:ascii="宋体" w:hAnsi="宋体" w:cs="宋体"/>
          <w:b/>
          <w:color w:val="auto"/>
          <w:sz w:val="30"/>
          <w:szCs w:val="30"/>
          <w:highlight w:val="none"/>
        </w:rPr>
        <w:t>采购代理机构：临沂市沂蒙国际招标有限公司</w:t>
      </w:r>
    </w:p>
    <w:p>
      <w:pPr>
        <w:spacing w:line="240" w:lineRule="atLeast"/>
        <w:ind w:left="645" w:leftChars="307" w:firstLine="135" w:firstLineChars="64"/>
        <w:rPr>
          <w:rFonts w:ascii="宋体" w:hAnsi="宋体" w:cs="宋体"/>
          <w:b/>
          <w:color w:val="auto"/>
          <w:szCs w:val="21"/>
          <w:highlight w:val="none"/>
        </w:rPr>
      </w:pPr>
    </w:p>
    <w:p>
      <w:pPr>
        <w:spacing w:line="240" w:lineRule="atLeast"/>
        <w:ind w:left="645" w:leftChars="307" w:firstLine="135" w:firstLineChars="64"/>
        <w:rPr>
          <w:rFonts w:ascii="宋体" w:hAnsi="宋体" w:cs="宋体"/>
          <w:b/>
          <w:color w:val="auto"/>
          <w:szCs w:val="21"/>
          <w:highlight w:val="none"/>
        </w:rPr>
      </w:pPr>
    </w:p>
    <w:p>
      <w:pPr>
        <w:spacing w:line="240" w:lineRule="atLeast"/>
        <w:ind w:left="645" w:leftChars="307" w:firstLine="193" w:firstLineChars="64"/>
        <w:rPr>
          <w:rFonts w:hint="eastAsia" w:ascii="宋体" w:hAnsi="宋体" w:eastAsia="宋体" w:cs="宋体"/>
          <w:b/>
          <w:color w:val="auto"/>
          <w:szCs w:val="21"/>
          <w:highlight w:val="none"/>
          <w:lang w:eastAsia="zh-CN"/>
        </w:rPr>
      </w:pPr>
      <w:r>
        <w:rPr>
          <w:rFonts w:hint="eastAsia" w:ascii="宋体" w:hAnsi="宋体" w:cs="宋体"/>
          <w:b/>
          <w:bCs/>
          <w:color w:val="auto"/>
          <w:sz w:val="30"/>
          <w:szCs w:val="30"/>
          <w:highlight w:val="none"/>
        </w:rPr>
        <w:t>发 出 日 期：</w:t>
      </w:r>
      <w:r>
        <w:rPr>
          <w:rFonts w:hint="eastAsia" w:ascii="宋体" w:hAnsi="宋体" w:cs="宋体"/>
          <w:b/>
          <w:bCs/>
          <w:color w:val="auto"/>
          <w:sz w:val="30"/>
          <w:szCs w:val="30"/>
          <w:highlight w:val="none"/>
          <w:lang w:eastAsia="zh-CN"/>
        </w:rPr>
        <w:t>二〇二四年</w:t>
      </w:r>
      <w:r>
        <w:rPr>
          <w:rFonts w:hint="eastAsia" w:ascii="宋体" w:hAnsi="宋体" w:cs="宋体"/>
          <w:b/>
          <w:bCs/>
          <w:color w:val="auto"/>
          <w:sz w:val="30"/>
          <w:szCs w:val="30"/>
          <w:highlight w:val="none"/>
          <w:lang w:val="en-US" w:eastAsia="zh-CN"/>
        </w:rPr>
        <w:t>五</w:t>
      </w:r>
      <w:r>
        <w:rPr>
          <w:rFonts w:hint="eastAsia" w:ascii="宋体" w:hAnsi="宋体" w:cs="宋体"/>
          <w:b/>
          <w:bCs/>
          <w:color w:val="auto"/>
          <w:sz w:val="30"/>
          <w:szCs w:val="30"/>
          <w:highlight w:val="none"/>
          <w:lang w:eastAsia="zh-CN"/>
        </w:rPr>
        <w:t>月</w:t>
      </w:r>
      <w:r>
        <w:rPr>
          <w:rFonts w:hint="eastAsia" w:ascii="宋体" w:hAnsi="宋体" w:cs="宋体"/>
          <w:b/>
          <w:bCs/>
          <w:color w:val="auto"/>
          <w:sz w:val="30"/>
          <w:szCs w:val="30"/>
          <w:highlight w:val="none"/>
          <w:lang w:val="en-US" w:eastAsia="zh-CN"/>
        </w:rPr>
        <w:t>七</w:t>
      </w:r>
      <w:r>
        <w:rPr>
          <w:rFonts w:hint="eastAsia" w:ascii="宋体" w:hAnsi="宋体" w:cs="宋体"/>
          <w:b/>
          <w:bCs/>
          <w:color w:val="auto"/>
          <w:sz w:val="30"/>
          <w:szCs w:val="30"/>
          <w:highlight w:val="none"/>
          <w:lang w:eastAsia="zh-CN"/>
        </w:rPr>
        <w:t>日</w:t>
      </w:r>
    </w:p>
    <w:p>
      <w:pPr>
        <w:pStyle w:val="46"/>
        <w:ind w:left="0" w:firstLine="0"/>
        <w:jc w:val="center"/>
        <w:rPr>
          <w:rFonts w:ascii="宋体" w:hAnsi="宋体" w:cs="宋体"/>
          <w:b/>
          <w:bCs/>
          <w:color w:val="auto"/>
          <w:sz w:val="40"/>
          <w:szCs w:val="40"/>
          <w:highlight w:val="none"/>
        </w:rPr>
      </w:pPr>
      <w:r>
        <w:rPr>
          <w:rFonts w:hint="eastAsia" w:ascii="宋体" w:hAnsi="宋体" w:cs="宋体"/>
          <w:b/>
          <w:color w:val="auto"/>
          <w:sz w:val="52"/>
          <w:highlight w:val="none"/>
        </w:rPr>
        <w:br w:type="page"/>
      </w:r>
      <w:r>
        <w:rPr>
          <w:rFonts w:hint="eastAsia" w:ascii="宋体" w:hAnsi="宋体" w:cs="宋体"/>
          <w:b/>
          <w:color w:val="auto"/>
          <w:sz w:val="32"/>
          <w:highlight w:val="none"/>
        </w:rPr>
        <w:t>临沂大学特别公告</w:t>
      </w:r>
    </w:p>
    <w:p>
      <w:pPr>
        <w:pStyle w:val="46"/>
        <w:tabs>
          <w:tab w:val="left" w:pos="840"/>
        </w:tabs>
        <w:spacing w:line="480" w:lineRule="exact"/>
        <w:ind w:left="0" w:firstLine="0"/>
        <w:rPr>
          <w:rFonts w:ascii="宋体" w:hAnsi="宋体" w:cs="宋体"/>
          <w:color w:val="auto"/>
          <w:sz w:val="28"/>
          <w:szCs w:val="28"/>
          <w:highlight w:val="none"/>
        </w:rPr>
      </w:pPr>
    </w:p>
    <w:p>
      <w:pPr>
        <w:pStyle w:val="46"/>
        <w:keepNext w:val="0"/>
        <w:keepLines w:val="0"/>
        <w:pageBreakBefore w:val="0"/>
        <w:widowControl w:val="0"/>
        <w:tabs>
          <w:tab w:val="left" w:pos="840"/>
        </w:tabs>
        <w:kinsoku/>
        <w:wordWrap/>
        <w:overflowPunct/>
        <w:topLinePunct w:val="0"/>
        <w:autoSpaceDE/>
        <w:autoSpaceDN/>
        <w:bidi w:val="0"/>
        <w:adjustRightInd/>
        <w:snapToGrid/>
        <w:spacing w:line="480" w:lineRule="exact"/>
        <w:ind w:left="0" w:leftChars="0" w:firstLine="0" w:firstLineChars="0"/>
        <w:textAlignment w:val="auto"/>
        <w:rPr>
          <w:rFonts w:ascii="宋体" w:hAnsi="宋体" w:eastAsia="宋体" w:cs="宋体"/>
          <w:color w:val="auto"/>
          <w:sz w:val="28"/>
          <w:szCs w:val="28"/>
          <w:highlight w:val="none"/>
        </w:rPr>
      </w:pPr>
      <w:r>
        <w:rPr>
          <w:rFonts w:ascii="宋体" w:hAnsi="宋体" w:eastAsia="宋体" w:cs="宋体"/>
          <w:color w:val="auto"/>
          <w:sz w:val="28"/>
          <w:szCs w:val="28"/>
          <w:highlight w:val="none"/>
        </w:rPr>
        <w:t xml:space="preserve">各供应商： </w:t>
      </w:r>
    </w:p>
    <w:p>
      <w:pPr>
        <w:pStyle w:val="46"/>
        <w:keepNext w:val="0"/>
        <w:keepLines w:val="0"/>
        <w:pageBreakBefore w:val="0"/>
        <w:widowControl w:val="0"/>
        <w:tabs>
          <w:tab w:val="left" w:pos="840"/>
        </w:tabs>
        <w:kinsoku/>
        <w:wordWrap/>
        <w:overflowPunct/>
        <w:topLinePunct w:val="0"/>
        <w:autoSpaceDE/>
        <w:autoSpaceDN/>
        <w:bidi w:val="0"/>
        <w:adjustRightInd/>
        <w:snapToGrid/>
        <w:spacing w:line="480" w:lineRule="exact"/>
        <w:ind w:left="0" w:leftChars="0" w:firstLine="490" w:firstLineChars="175"/>
        <w:textAlignment w:val="auto"/>
        <w:rPr>
          <w:rFonts w:ascii="宋体" w:hAnsi="宋体" w:eastAsia="宋体" w:cs="宋体"/>
          <w:color w:val="auto"/>
          <w:sz w:val="28"/>
          <w:szCs w:val="28"/>
          <w:highlight w:val="none"/>
        </w:rPr>
      </w:pPr>
      <w:r>
        <w:rPr>
          <w:rFonts w:ascii="宋体" w:hAnsi="宋体" w:eastAsia="宋体" w:cs="宋体"/>
          <w:color w:val="auto"/>
          <w:sz w:val="28"/>
          <w:szCs w:val="28"/>
          <w:highlight w:val="none"/>
        </w:rPr>
        <w:t>热忱欢迎大家投标竞标，响应</w:t>
      </w:r>
      <w:r>
        <w:rPr>
          <w:rFonts w:hint="eastAsia" w:ascii="宋体" w:hAnsi="宋体" w:cs="宋体"/>
          <w:color w:val="auto"/>
          <w:sz w:val="28"/>
          <w:szCs w:val="28"/>
          <w:highlight w:val="none"/>
          <w:lang w:eastAsia="zh-CN"/>
        </w:rPr>
        <w:t>学校</w:t>
      </w:r>
      <w:r>
        <w:rPr>
          <w:rFonts w:ascii="宋体" w:hAnsi="宋体" w:eastAsia="宋体" w:cs="宋体"/>
          <w:color w:val="auto"/>
          <w:sz w:val="28"/>
          <w:szCs w:val="28"/>
          <w:highlight w:val="none"/>
        </w:rPr>
        <w:t>招标项目！</w:t>
      </w:r>
      <w:r>
        <w:rPr>
          <w:rFonts w:hint="eastAsia" w:ascii="宋体" w:hAnsi="宋体" w:cs="宋体"/>
          <w:color w:val="auto"/>
          <w:sz w:val="28"/>
          <w:szCs w:val="28"/>
          <w:highlight w:val="none"/>
          <w:lang w:eastAsia="zh-CN"/>
        </w:rPr>
        <w:t>学校</w:t>
      </w:r>
      <w:r>
        <w:rPr>
          <w:rFonts w:ascii="宋体" w:hAnsi="宋体" w:eastAsia="宋体" w:cs="宋体"/>
          <w:color w:val="auto"/>
          <w:sz w:val="28"/>
          <w:szCs w:val="28"/>
          <w:highlight w:val="none"/>
        </w:rPr>
        <w:t xml:space="preserve">承诺该项目在公正公开的原则下公平竞争，客观评审。 </w:t>
      </w:r>
    </w:p>
    <w:p>
      <w:pPr>
        <w:pStyle w:val="46"/>
        <w:keepNext w:val="0"/>
        <w:keepLines w:val="0"/>
        <w:pageBreakBefore w:val="0"/>
        <w:widowControl w:val="0"/>
        <w:tabs>
          <w:tab w:val="left" w:pos="840"/>
        </w:tabs>
        <w:kinsoku/>
        <w:wordWrap/>
        <w:overflowPunct/>
        <w:topLinePunct w:val="0"/>
        <w:autoSpaceDE/>
        <w:autoSpaceDN/>
        <w:bidi w:val="0"/>
        <w:adjustRightInd/>
        <w:snapToGrid/>
        <w:spacing w:line="480" w:lineRule="exact"/>
        <w:ind w:left="0" w:leftChars="0" w:firstLine="490" w:firstLineChars="175"/>
        <w:textAlignment w:val="auto"/>
        <w:rPr>
          <w:rFonts w:ascii="宋体" w:hAnsi="宋体" w:eastAsia="宋体" w:cs="宋体"/>
          <w:color w:val="auto"/>
          <w:sz w:val="28"/>
          <w:szCs w:val="28"/>
          <w:highlight w:val="none"/>
        </w:rPr>
      </w:pPr>
      <w:r>
        <w:rPr>
          <w:rFonts w:ascii="宋体" w:hAnsi="宋体" w:eastAsia="宋体" w:cs="宋体"/>
          <w:color w:val="auto"/>
          <w:sz w:val="28"/>
          <w:szCs w:val="28"/>
          <w:highlight w:val="none"/>
        </w:rPr>
        <w:t>本采购文件已经多位专家审核修订，若仍存在涉及指向性、排他性参数指标，请及时与代理机构或</w:t>
      </w:r>
      <w:r>
        <w:rPr>
          <w:rFonts w:hint="eastAsia" w:ascii="宋体" w:hAnsi="宋体" w:cs="宋体"/>
          <w:color w:val="auto"/>
          <w:sz w:val="28"/>
          <w:szCs w:val="28"/>
          <w:highlight w:val="none"/>
          <w:lang w:eastAsia="zh-CN"/>
        </w:rPr>
        <w:t>学校</w:t>
      </w:r>
      <w:r>
        <w:rPr>
          <w:rFonts w:ascii="宋体" w:hAnsi="宋体" w:eastAsia="宋体" w:cs="宋体"/>
          <w:color w:val="auto"/>
          <w:sz w:val="28"/>
          <w:szCs w:val="28"/>
          <w:highlight w:val="none"/>
        </w:rPr>
        <w:t>采购部门反映。</w:t>
      </w:r>
    </w:p>
    <w:p>
      <w:pPr>
        <w:pStyle w:val="46"/>
        <w:keepNext w:val="0"/>
        <w:keepLines w:val="0"/>
        <w:pageBreakBefore w:val="0"/>
        <w:widowControl w:val="0"/>
        <w:tabs>
          <w:tab w:val="left" w:pos="840"/>
        </w:tabs>
        <w:kinsoku/>
        <w:wordWrap w:val="0"/>
        <w:overflowPunct/>
        <w:topLinePunct w:val="0"/>
        <w:autoSpaceDE/>
        <w:autoSpaceDN/>
        <w:bidi w:val="0"/>
        <w:adjustRightInd/>
        <w:snapToGrid/>
        <w:spacing w:line="480" w:lineRule="exact"/>
        <w:ind w:left="0" w:leftChars="0" w:firstLine="490" w:firstLineChars="175"/>
        <w:textAlignment w:val="auto"/>
        <w:rPr>
          <w:rFonts w:ascii="宋体" w:hAnsi="宋体" w:eastAsia="宋体" w:cs="宋体"/>
          <w:color w:val="auto"/>
          <w:sz w:val="28"/>
          <w:szCs w:val="28"/>
          <w:highlight w:val="none"/>
        </w:rPr>
      </w:pPr>
      <w:r>
        <w:rPr>
          <w:rFonts w:hint="eastAsia" w:ascii="宋体" w:hAnsi="宋体" w:cs="宋体"/>
          <w:color w:val="auto"/>
          <w:sz w:val="28"/>
          <w:szCs w:val="28"/>
          <w:highlight w:val="none"/>
          <w:lang w:eastAsia="zh-CN"/>
        </w:rPr>
        <w:t>学校</w:t>
      </w:r>
      <w:r>
        <w:rPr>
          <w:rFonts w:ascii="宋体" w:hAnsi="宋体" w:eastAsia="宋体" w:cs="宋体"/>
          <w:color w:val="auto"/>
          <w:sz w:val="28"/>
          <w:szCs w:val="28"/>
          <w:highlight w:val="none"/>
        </w:rPr>
        <w:t>所有项目严格执行“回避”制度，对可能影响评标结果的潜在因素及人员关系（含代理机构、评标专家、工作人员、其他类人员等），请及时与</w:t>
      </w:r>
      <w:r>
        <w:rPr>
          <w:rFonts w:hint="eastAsia" w:ascii="宋体" w:hAnsi="宋体" w:cs="宋体"/>
          <w:color w:val="auto"/>
          <w:sz w:val="28"/>
          <w:szCs w:val="28"/>
          <w:highlight w:val="none"/>
          <w:lang w:eastAsia="zh-CN"/>
        </w:rPr>
        <w:t>学校</w:t>
      </w:r>
      <w:r>
        <w:rPr>
          <w:rFonts w:ascii="宋体" w:hAnsi="宋体" w:eastAsia="宋体" w:cs="宋体"/>
          <w:color w:val="auto"/>
          <w:sz w:val="28"/>
          <w:szCs w:val="28"/>
          <w:highlight w:val="none"/>
        </w:rPr>
        <w:t>采购科反映（临沂大学</w:t>
      </w:r>
      <w:r>
        <w:rPr>
          <w:rFonts w:hint="eastAsia" w:ascii="宋体" w:hAnsi="宋体" w:cs="宋体"/>
          <w:color w:val="auto"/>
          <w:sz w:val="28"/>
          <w:szCs w:val="28"/>
          <w:highlight w:val="none"/>
          <w:lang w:val="en-US" w:eastAsia="zh-CN"/>
        </w:rPr>
        <w:t>招标</w:t>
      </w:r>
      <w:r>
        <w:rPr>
          <w:rFonts w:ascii="宋体" w:hAnsi="宋体" w:eastAsia="宋体" w:cs="宋体"/>
          <w:color w:val="auto"/>
          <w:sz w:val="28"/>
          <w:szCs w:val="28"/>
          <w:highlight w:val="none"/>
        </w:rPr>
        <w:t xml:space="preserve">科 </w:t>
      </w:r>
      <w:r>
        <w:rPr>
          <w:rFonts w:hint="eastAsia" w:ascii="宋体" w:hAnsi="宋体" w:cs="宋体"/>
          <w:color w:val="auto"/>
          <w:sz w:val="28"/>
          <w:szCs w:val="28"/>
          <w:highlight w:val="none"/>
          <w:lang w:val="en-US" w:eastAsia="zh-CN"/>
        </w:rPr>
        <w:t>蔺</w:t>
      </w:r>
      <w:r>
        <w:rPr>
          <w:rFonts w:hint="eastAsia" w:ascii="宋体" w:hAnsi="宋体" w:eastAsia="宋体" w:cs="宋体"/>
          <w:color w:val="auto"/>
          <w:sz w:val="28"/>
          <w:szCs w:val="28"/>
          <w:highlight w:val="none"/>
        </w:rPr>
        <w:t xml:space="preserve">老师 </w:t>
      </w:r>
      <w:r>
        <w:rPr>
          <w:rFonts w:hint="eastAsia" w:ascii="宋体" w:hAnsi="宋体" w:cs="宋体"/>
          <w:color w:val="auto"/>
          <w:sz w:val="28"/>
          <w:szCs w:val="28"/>
          <w:highlight w:val="none"/>
          <w:lang w:val="en-US" w:eastAsia="zh-CN"/>
        </w:rPr>
        <w:t>0539-</w:t>
      </w:r>
      <w:r>
        <w:rPr>
          <w:rFonts w:ascii="宋体" w:hAnsi="宋体" w:eastAsia="宋体" w:cs="宋体"/>
          <w:color w:val="auto"/>
          <w:sz w:val="28"/>
          <w:szCs w:val="28"/>
          <w:highlight w:val="none"/>
        </w:rPr>
        <w:t>725875</w:t>
      </w:r>
      <w:r>
        <w:rPr>
          <w:rFonts w:hint="eastAsia" w:ascii="宋体" w:hAnsi="宋体" w:cs="宋体"/>
          <w:color w:val="auto"/>
          <w:sz w:val="28"/>
          <w:szCs w:val="28"/>
          <w:highlight w:val="none"/>
          <w:lang w:val="en-US" w:eastAsia="zh-CN"/>
        </w:rPr>
        <w:t>6</w:t>
      </w:r>
      <w:r>
        <w:rPr>
          <w:rFonts w:ascii="宋体" w:hAnsi="宋体" w:eastAsia="宋体" w:cs="宋体"/>
          <w:color w:val="auto"/>
          <w:sz w:val="28"/>
          <w:szCs w:val="28"/>
          <w:highlight w:val="none"/>
        </w:rPr>
        <w:t xml:space="preserve">）。 </w:t>
      </w:r>
    </w:p>
    <w:p>
      <w:pPr>
        <w:pStyle w:val="46"/>
        <w:keepNext w:val="0"/>
        <w:keepLines w:val="0"/>
        <w:pageBreakBefore w:val="0"/>
        <w:widowControl w:val="0"/>
        <w:tabs>
          <w:tab w:val="left" w:pos="840"/>
        </w:tabs>
        <w:kinsoku/>
        <w:wordWrap/>
        <w:overflowPunct/>
        <w:topLinePunct w:val="0"/>
        <w:autoSpaceDE/>
        <w:autoSpaceDN/>
        <w:bidi w:val="0"/>
        <w:adjustRightInd/>
        <w:snapToGrid/>
        <w:spacing w:line="480" w:lineRule="exact"/>
        <w:ind w:left="0" w:leftChars="0" w:firstLine="490" w:firstLineChars="175"/>
        <w:textAlignment w:val="auto"/>
        <w:rPr>
          <w:rFonts w:ascii="宋体" w:hAnsi="宋体" w:eastAsia="宋体" w:cs="宋体"/>
          <w:color w:val="auto"/>
          <w:sz w:val="28"/>
          <w:szCs w:val="28"/>
          <w:highlight w:val="none"/>
        </w:rPr>
      </w:pPr>
      <w:r>
        <w:rPr>
          <w:rFonts w:ascii="宋体" w:hAnsi="宋体" w:eastAsia="宋体" w:cs="宋体"/>
          <w:color w:val="auto"/>
          <w:sz w:val="28"/>
          <w:szCs w:val="28"/>
          <w:highlight w:val="none"/>
        </w:rPr>
        <w:t>若报名过程中存在差别性待遇或排他性暗示，请做好取证。及时与</w:t>
      </w:r>
      <w:r>
        <w:rPr>
          <w:rFonts w:hint="eastAsia" w:ascii="宋体" w:hAnsi="宋体" w:cs="宋体"/>
          <w:color w:val="auto"/>
          <w:sz w:val="28"/>
          <w:szCs w:val="28"/>
          <w:highlight w:val="none"/>
          <w:lang w:eastAsia="zh-CN"/>
        </w:rPr>
        <w:t>学校</w:t>
      </w:r>
      <w:r>
        <w:rPr>
          <w:rFonts w:ascii="宋体" w:hAnsi="宋体" w:eastAsia="宋体" w:cs="宋体"/>
          <w:color w:val="auto"/>
          <w:sz w:val="28"/>
          <w:szCs w:val="28"/>
          <w:highlight w:val="none"/>
        </w:rPr>
        <w:t xml:space="preserve">纪委联系（0539-7258030）进行举报查处。 </w:t>
      </w:r>
    </w:p>
    <w:p>
      <w:pPr>
        <w:pStyle w:val="46"/>
        <w:keepNext w:val="0"/>
        <w:keepLines w:val="0"/>
        <w:pageBreakBefore w:val="0"/>
        <w:widowControl w:val="0"/>
        <w:tabs>
          <w:tab w:val="left" w:pos="840"/>
        </w:tabs>
        <w:kinsoku/>
        <w:wordWrap/>
        <w:overflowPunct/>
        <w:topLinePunct w:val="0"/>
        <w:autoSpaceDE/>
        <w:autoSpaceDN/>
        <w:bidi w:val="0"/>
        <w:adjustRightInd/>
        <w:snapToGrid/>
        <w:spacing w:line="480" w:lineRule="exact"/>
        <w:ind w:left="0" w:leftChars="0" w:firstLine="490" w:firstLineChars="175"/>
        <w:textAlignment w:val="auto"/>
        <w:rPr>
          <w:rFonts w:ascii="宋体" w:hAnsi="宋体" w:eastAsia="宋体" w:cs="宋体"/>
          <w:color w:val="auto"/>
          <w:sz w:val="28"/>
          <w:szCs w:val="28"/>
          <w:highlight w:val="none"/>
        </w:rPr>
      </w:pPr>
      <w:r>
        <w:rPr>
          <w:rFonts w:ascii="宋体" w:hAnsi="宋体" w:eastAsia="宋体" w:cs="宋体"/>
          <w:color w:val="auto"/>
          <w:sz w:val="28"/>
          <w:szCs w:val="28"/>
          <w:highlight w:val="none"/>
        </w:rPr>
        <w:t xml:space="preserve">临沂大学采购部门联系方式： </w:t>
      </w:r>
    </w:p>
    <w:p>
      <w:pPr>
        <w:pStyle w:val="46"/>
        <w:keepNext w:val="0"/>
        <w:keepLines w:val="0"/>
        <w:pageBreakBefore w:val="0"/>
        <w:widowControl w:val="0"/>
        <w:tabs>
          <w:tab w:val="left" w:pos="840"/>
        </w:tabs>
        <w:kinsoku/>
        <w:wordWrap/>
        <w:overflowPunct/>
        <w:topLinePunct w:val="0"/>
        <w:autoSpaceDE/>
        <w:autoSpaceDN/>
        <w:bidi w:val="0"/>
        <w:adjustRightInd/>
        <w:snapToGrid/>
        <w:spacing w:line="480" w:lineRule="exact"/>
        <w:ind w:left="0" w:leftChars="0" w:firstLine="490" w:firstLineChars="175"/>
        <w:textAlignment w:val="auto"/>
        <w:rPr>
          <w:rFonts w:ascii="宋体" w:hAnsi="宋体" w:eastAsia="宋体" w:cs="宋体"/>
          <w:color w:val="auto"/>
          <w:sz w:val="28"/>
          <w:szCs w:val="28"/>
          <w:highlight w:val="none"/>
        </w:rPr>
      </w:pPr>
      <w:r>
        <w:rPr>
          <w:rFonts w:ascii="宋体" w:hAnsi="宋体" w:eastAsia="宋体" w:cs="宋体"/>
          <w:color w:val="auto"/>
          <w:sz w:val="28"/>
          <w:szCs w:val="28"/>
          <w:highlight w:val="none"/>
        </w:rPr>
        <w:t>电话：0539-725875</w:t>
      </w:r>
      <w:r>
        <w:rPr>
          <w:rFonts w:hint="eastAsia" w:ascii="宋体" w:hAnsi="宋体" w:cs="宋体"/>
          <w:color w:val="auto"/>
          <w:sz w:val="28"/>
          <w:szCs w:val="28"/>
          <w:highlight w:val="none"/>
          <w:lang w:val="en-US" w:eastAsia="zh-CN"/>
        </w:rPr>
        <w:t>6</w:t>
      </w:r>
      <w:r>
        <w:rPr>
          <w:rFonts w:ascii="宋体" w:hAnsi="宋体" w:eastAsia="宋体" w:cs="宋体"/>
          <w:color w:val="auto"/>
          <w:sz w:val="28"/>
          <w:szCs w:val="28"/>
          <w:highlight w:val="none"/>
        </w:rPr>
        <w:t xml:space="preserve"> 邮箱：lyuzbb@126.com </w:t>
      </w:r>
    </w:p>
    <w:p>
      <w:pPr>
        <w:pStyle w:val="46"/>
        <w:keepNext w:val="0"/>
        <w:keepLines w:val="0"/>
        <w:pageBreakBefore w:val="0"/>
        <w:widowControl w:val="0"/>
        <w:tabs>
          <w:tab w:val="left" w:pos="840"/>
        </w:tabs>
        <w:kinsoku/>
        <w:wordWrap/>
        <w:overflowPunct/>
        <w:topLinePunct w:val="0"/>
        <w:autoSpaceDE/>
        <w:autoSpaceDN/>
        <w:bidi w:val="0"/>
        <w:adjustRightInd/>
        <w:snapToGrid/>
        <w:spacing w:line="480" w:lineRule="exact"/>
        <w:ind w:left="0" w:leftChars="0" w:firstLine="490" w:firstLineChars="175"/>
        <w:textAlignment w:val="auto"/>
        <w:rPr>
          <w:rFonts w:ascii="宋体" w:hAnsi="宋体" w:eastAsia="宋体" w:cs="宋体"/>
          <w:color w:val="auto"/>
          <w:sz w:val="28"/>
          <w:szCs w:val="28"/>
          <w:highlight w:val="none"/>
        </w:rPr>
      </w:pPr>
    </w:p>
    <w:p>
      <w:pPr>
        <w:pStyle w:val="46"/>
        <w:keepNext w:val="0"/>
        <w:keepLines w:val="0"/>
        <w:pageBreakBefore w:val="0"/>
        <w:widowControl w:val="0"/>
        <w:tabs>
          <w:tab w:val="left" w:pos="840"/>
        </w:tabs>
        <w:kinsoku/>
        <w:wordWrap/>
        <w:overflowPunct/>
        <w:topLinePunct w:val="0"/>
        <w:autoSpaceDE/>
        <w:autoSpaceDN/>
        <w:bidi w:val="0"/>
        <w:adjustRightInd/>
        <w:snapToGrid/>
        <w:spacing w:line="480" w:lineRule="exact"/>
        <w:ind w:left="0" w:leftChars="0" w:firstLine="490" w:firstLineChars="175"/>
        <w:textAlignment w:val="auto"/>
        <w:rPr>
          <w:color w:val="auto"/>
          <w:sz w:val="28"/>
          <w:szCs w:val="28"/>
          <w:highlight w:val="none"/>
        </w:rPr>
      </w:pPr>
      <w:r>
        <w:rPr>
          <w:rFonts w:ascii="宋体" w:hAnsi="宋体" w:eastAsia="宋体" w:cs="宋体"/>
          <w:color w:val="auto"/>
          <w:sz w:val="28"/>
          <w:szCs w:val="28"/>
          <w:highlight w:val="none"/>
        </w:rPr>
        <w:t>打造风清气正的招投标环境，让我们一起努力…</w:t>
      </w:r>
    </w:p>
    <w:p>
      <w:pPr>
        <w:rPr>
          <w:rFonts w:hint="eastAsia" w:ascii="宋体" w:hAnsi="宋体" w:cs="宋体"/>
          <w:b/>
          <w:color w:val="auto"/>
          <w:sz w:val="32"/>
          <w:highlight w:val="none"/>
        </w:rPr>
      </w:pPr>
      <w:r>
        <w:rPr>
          <w:rFonts w:hint="eastAsia" w:ascii="宋体" w:hAnsi="宋体" w:cs="宋体"/>
          <w:b/>
          <w:color w:val="auto"/>
          <w:sz w:val="32"/>
          <w:highlight w:val="none"/>
        </w:rPr>
        <w:br w:type="page"/>
      </w:r>
    </w:p>
    <w:p>
      <w:pPr>
        <w:pStyle w:val="46"/>
        <w:ind w:left="0" w:firstLine="0"/>
        <w:rPr>
          <w:rFonts w:hint="eastAsia" w:ascii="宋体" w:hAnsi="宋体" w:cs="宋体"/>
          <w:b/>
          <w:bCs/>
          <w:color w:val="auto"/>
          <w:sz w:val="24"/>
          <w:highlight w:val="none"/>
        </w:rPr>
      </w:pPr>
      <w:r>
        <w:rPr>
          <w:rFonts w:hint="eastAsia" w:ascii="宋体" w:hAnsi="宋体" w:cs="宋体"/>
          <w:b/>
          <w:bCs/>
          <w:color w:val="auto"/>
          <w:sz w:val="24"/>
          <w:highlight w:val="none"/>
        </w:rPr>
        <w:t>附表：</w:t>
      </w:r>
    </w:p>
    <w:p>
      <w:pPr>
        <w:pStyle w:val="46"/>
        <w:ind w:firstLine="0"/>
        <w:rPr>
          <w:rFonts w:ascii="宋体" w:hAnsi="宋体" w:cs="宋体"/>
          <w:b/>
          <w:bCs/>
          <w:color w:val="auto"/>
          <w:sz w:val="24"/>
          <w:highlight w:val="none"/>
        </w:rPr>
      </w:pPr>
      <w:r>
        <w:rPr>
          <w:rFonts w:hint="eastAsia" w:ascii="宋体" w:hAnsi="宋体" w:cs="宋体"/>
          <w:b/>
          <w:bCs/>
          <w:color w:val="auto"/>
          <w:sz w:val="24"/>
          <w:highlight w:val="none"/>
        </w:rPr>
        <w:t>致各报名供应商，如发现采购文件存在不合理问题，请填写该表。</w:t>
      </w:r>
    </w:p>
    <w:p>
      <w:pPr>
        <w:pStyle w:val="46"/>
        <w:ind w:firstLine="0"/>
        <w:jc w:val="center"/>
        <w:rPr>
          <w:rFonts w:hint="eastAsia" w:ascii="宋体" w:hAnsi="宋体" w:cs="宋体"/>
          <w:b/>
          <w:bCs/>
          <w:color w:val="auto"/>
          <w:sz w:val="32"/>
          <w:szCs w:val="32"/>
          <w:highlight w:val="none"/>
        </w:rPr>
      </w:pPr>
    </w:p>
    <w:p>
      <w:pPr>
        <w:pStyle w:val="46"/>
        <w:ind w:firstLine="0"/>
        <w:jc w:val="center"/>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t>本项目采购文件存在不合理性问题反馈单</w:t>
      </w:r>
    </w:p>
    <w:p>
      <w:pPr>
        <w:pStyle w:val="46"/>
        <w:ind w:firstLine="0"/>
        <w:jc w:val="center"/>
        <w:rPr>
          <w:rFonts w:hint="eastAsia" w:ascii="宋体" w:hAnsi="宋体" w:cs="宋体"/>
          <w:b/>
          <w:bCs/>
          <w:color w:val="auto"/>
          <w:sz w:val="24"/>
          <w:highlight w:val="none"/>
        </w:rPr>
      </w:pPr>
      <w:r>
        <w:rPr>
          <w:rFonts w:hint="eastAsia" w:ascii="宋体" w:hAnsi="宋体" w:cs="宋体"/>
          <w:b/>
          <w:bCs/>
          <w:color w:val="auto"/>
          <w:sz w:val="24"/>
          <w:highlight w:val="none"/>
        </w:rPr>
        <w:t>（已报名供应商使用）</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
        <w:gridCol w:w="1878"/>
        <w:gridCol w:w="3156"/>
        <w:gridCol w:w="27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772" w:type="dxa"/>
            <w:noWrap w:val="0"/>
            <w:vAlign w:val="center"/>
          </w:tcPr>
          <w:p>
            <w:pPr>
              <w:pStyle w:val="46"/>
              <w:ind w:left="0" w:leftChars="0" w:firstLine="0" w:firstLineChars="0"/>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序号</w:t>
            </w:r>
          </w:p>
        </w:tc>
        <w:tc>
          <w:tcPr>
            <w:tcW w:w="2031" w:type="dxa"/>
            <w:noWrap w:val="0"/>
            <w:vAlign w:val="center"/>
          </w:tcPr>
          <w:p>
            <w:pPr>
              <w:pStyle w:val="46"/>
              <w:ind w:left="0" w:leftChars="0" w:firstLine="0" w:firstLineChars="0"/>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服务</w:t>
            </w:r>
            <w:r>
              <w:rPr>
                <w:rFonts w:hint="eastAsia" w:ascii="仿宋" w:hAnsi="仿宋" w:eastAsia="仿宋" w:cs="仿宋"/>
                <w:b/>
                <w:bCs/>
                <w:color w:val="auto"/>
                <w:sz w:val="24"/>
                <w:highlight w:val="none"/>
              </w:rPr>
              <w:t>名称</w:t>
            </w:r>
          </w:p>
        </w:tc>
        <w:tc>
          <w:tcPr>
            <w:tcW w:w="3448" w:type="dxa"/>
            <w:noWrap w:val="0"/>
            <w:vAlign w:val="center"/>
          </w:tcPr>
          <w:p>
            <w:pPr>
              <w:pStyle w:val="46"/>
              <w:ind w:left="0" w:leftChars="0" w:firstLine="0" w:firstLineChars="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相关参数</w:t>
            </w:r>
          </w:p>
        </w:tc>
        <w:tc>
          <w:tcPr>
            <w:tcW w:w="2992" w:type="dxa"/>
            <w:noWrap w:val="0"/>
            <w:vAlign w:val="center"/>
          </w:tcPr>
          <w:p>
            <w:pPr>
              <w:pStyle w:val="46"/>
              <w:ind w:left="0" w:leftChars="0" w:firstLine="0" w:firstLineChars="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存在问题说明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noWrap w:val="0"/>
            <w:vAlign w:val="center"/>
          </w:tcPr>
          <w:p>
            <w:pPr>
              <w:pStyle w:val="46"/>
              <w:ind w:left="0" w:leftChars="0" w:firstLine="0" w:firstLineChars="0"/>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1</w:t>
            </w:r>
          </w:p>
        </w:tc>
        <w:tc>
          <w:tcPr>
            <w:tcW w:w="2031" w:type="dxa"/>
            <w:noWrap w:val="0"/>
            <w:vAlign w:val="center"/>
          </w:tcPr>
          <w:p>
            <w:pPr>
              <w:pStyle w:val="46"/>
              <w:ind w:left="0" w:leftChars="0" w:firstLine="0" w:firstLineChars="0"/>
              <w:rPr>
                <w:rFonts w:hint="eastAsia" w:ascii="仿宋" w:hAnsi="仿宋" w:eastAsia="仿宋" w:cs="仿宋"/>
                <w:b/>
                <w:bCs/>
                <w:color w:val="auto"/>
                <w:sz w:val="32"/>
                <w:szCs w:val="32"/>
                <w:highlight w:val="none"/>
              </w:rPr>
            </w:pPr>
          </w:p>
          <w:p>
            <w:pPr>
              <w:pStyle w:val="46"/>
              <w:ind w:left="0" w:leftChars="0" w:firstLine="0" w:firstLineChars="0"/>
              <w:rPr>
                <w:rFonts w:hint="eastAsia" w:ascii="仿宋" w:hAnsi="仿宋" w:eastAsia="仿宋" w:cs="仿宋"/>
                <w:b/>
                <w:bCs/>
                <w:color w:val="auto"/>
                <w:sz w:val="32"/>
                <w:szCs w:val="32"/>
                <w:highlight w:val="none"/>
              </w:rPr>
            </w:pPr>
          </w:p>
          <w:p>
            <w:pPr>
              <w:pStyle w:val="46"/>
              <w:ind w:left="0" w:leftChars="0" w:firstLine="0" w:firstLineChars="0"/>
              <w:rPr>
                <w:rFonts w:hint="eastAsia" w:ascii="仿宋" w:hAnsi="仿宋" w:eastAsia="仿宋" w:cs="仿宋"/>
                <w:b/>
                <w:bCs/>
                <w:color w:val="auto"/>
                <w:sz w:val="32"/>
                <w:szCs w:val="32"/>
                <w:highlight w:val="none"/>
              </w:rPr>
            </w:pPr>
          </w:p>
        </w:tc>
        <w:tc>
          <w:tcPr>
            <w:tcW w:w="3448" w:type="dxa"/>
            <w:noWrap w:val="0"/>
            <w:vAlign w:val="center"/>
          </w:tcPr>
          <w:p>
            <w:pPr>
              <w:pStyle w:val="46"/>
              <w:ind w:left="0" w:leftChars="0" w:firstLine="0" w:firstLineChars="0"/>
              <w:rPr>
                <w:rFonts w:hint="eastAsia" w:ascii="仿宋" w:hAnsi="仿宋" w:eastAsia="仿宋" w:cs="仿宋"/>
                <w:b/>
                <w:bCs/>
                <w:color w:val="auto"/>
                <w:sz w:val="32"/>
                <w:szCs w:val="32"/>
                <w:highlight w:val="none"/>
              </w:rPr>
            </w:pPr>
          </w:p>
        </w:tc>
        <w:tc>
          <w:tcPr>
            <w:tcW w:w="2992" w:type="dxa"/>
            <w:noWrap w:val="0"/>
            <w:vAlign w:val="center"/>
          </w:tcPr>
          <w:p>
            <w:pPr>
              <w:pStyle w:val="46"/>
              <w:ind w:left="0" w:leftChars="0" w:firstLine="0" w:firstLineChars="0"/>
              <w:rPr>
                <w:rFonts w:hint="eastAsia" w:ascii="仿宋" w:hAnsi="仿宋" w:eastAsia="仿宋" w:cs="仿宋"/>
                <w:b/>
                <w:bCs/>
                <w:color w:val="auto"/>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noWrap w:val="0"/>
            <w:vAlign w:val="center"/>
          </w:tcPr>
          <w:p>
            <w:pPr>
              <w:pStyle w:val="46"/>
              <w:ind w:left="0" w:leftChars="0" w:firstLine="0" w:firstLineChars="0"/>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2</w:t>
            </w:r>
          </w:p>
        </w:tc>
        <w:tc>
          <w:tcPr>
            <w:tcW w:w="2031" w:type="dxa"/>
            <w:noWrap w:val="0"/>
            <w:vAlign w:val="center"/>
          </w:tcPr>
          <w:p>
            <w:pPr>
              <w:pStyle w:val="46"/>
              <w:ind w:left="0" w:leftChars="0" w:firstLine="0" w:firstLineChars="0"/>
              <w:rPr>
                <w:rFonts w:hint="eastAsia" w:ascii="仿宋" w:hAnsi="仿宋" w:eastAsia="仿宋" w:cs="仿宋"/>
                <w:b/>
                <w:bCs/>
                <w:color w:val="auto"/>
                <w:sz w:val="32"/>
                <w:szCs w:val="32"/>
                <w:highlight w:val="none"/>
              </w:rPr>
            </w:pPr>
          </w:p>
          <w:p>
            <w:pPr>
              <w:pStyle w:val="46"/>
              <w:ind w:left="0" w:leftChars="0" w:firstLine="0" w:firstLineChars="0"/>
              <w:rPr>
                <w:rFonts w:hint="eastAsia" w:ascii="仿宋" w:hAnsi="仿宋" w:eastAsia="仿宋" w:cs="仿宋"/>
                <w:b/>
                <w:bCs/>
                <w:color w:val="auto"/>
                <w:sz w:val="32"/>
                <w:szCs w:val="32"/>
                <w:highlight w:val="none"/>
              </w:rPr>
            </w:pPr>
          </w:p>
          <w:p>
            <w:pPr>
              <w:pStyle w:val="46"/>
              <w:ind w:left="0" w:leftChars="0" w:firstLine="0" w:firstLineChars="0"/>
              <w:rPr>
                <w:rFonts w:hint="eastAsia" w:ascii="仿宋" w:hAnsi="仿宋" w:eastAsia="仿宋" w:cs="仿宋"/>
                <w:b/>
                <w:bCs/>
                <w:color w:val="auto"/>
                <w:sz w:val="32"/>
                <w:szCs w:val="32"/>
                <w:highlight w:val="none"/>
              </w:rPr>
            </w:pPr>
          </w:p>
        </w:tc>
        <w:tc>
          <w:tcPr>
            <w:tcW w:w="3448" w:type="dxa"/>
            <w:noWrap w:val="0"/>
            <w:vAlign w:val="center"/>
          </w:tcPr>
          <w:p>
            <w:pPr>
              <w:pStyle w:val="46"/>
              <w:ind w:left="0" w:leftChars="0" w:firstLine="0" w:firstLineChars="0"/>
              <w:rPr>
                <w:rFonts w:hint="eastAsia" w:ascii="仿宋" w:hAnsi="仿宋" w:eastAsia="仿宋" w:cs="仿宋"/>
                <w:b/>
                <w:bCs/>
                <w:color w:val="auto"/>
                <w:sz w:val="32"/>
                <w:szCs w:val="32"/>
                <w:highlight w:val="none"/>
              </w:rPr>
            </w:pPr>
          </w:p>
        </w:tc>
        <w:tc>
          <w:tcPr>
            <w:tcW w:w="2992" w:type="dxa"/>
            <w:noWrap w:val="0"/>
            <w:vAlign w:val="center"/>
          </w:tcPr>
          <w:p>
            <w:pPr>
              <w:pStyle w:val="46"/>
              <w:ind w:left="0" w:leftChars="0" w:firstLine="0" w:firstLineChars="0"/>
              <w:rPr>
                <w:rFonts w:hint="eastAsia" w:ascii="仿宋" w:hAnsi="仿宋" w:eastAsia="仿宋" w:cs="仿宋"/>
                <w:b/>
                <w:bCs/>
                <w:color w:val="auto"/>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noWrap w:val="0"/>
            <w:vAlign w:val="center"/>
          </w:tcPr>
          <w:p>
            <w:pPr>
              <w:pStyle w:val="46"/>
              <w:ind w:left="0" w:leftChars="0" w:firstLine="0" w:firstLineChars="0"/>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3</w:t>
            </w:r>
          </w:p>
        </w:tc>
        <w:tc>
          <w:tcPr>
            <w:tcW w:w="2031" w:type="dxa"/>
            <w:noWrap w:val="0"/>
            <w:vAlign w:val="center"/>
          </w:tcPr>
          <w:p>
            <w:pPr>
              <w:pStyle w:val="46"/>
              <w:ind w:left="0" w:leftChars="0" w:firstLine="0" w:firstLineChars="0"/>
              <w:rPr>
                <w:rFonts w:hint="eastAsia" w:ascii="仿宋" w:hAnsi="仿宋" w:eastAsia="仿宋" w:cs="仿宋"/>
                <w:b/>
                <w:bCs/>
                <w:color w:val="auto"/>
                <w:sz w:val="32"/>
                <w:szCs w:val="32"/>
                <w:highlight w:val="none"/>
              </w:rPr>
            </w:pPr>
          </w:p>
          <w:p>
            <w:pPr>
              <w:pStyle w:val="46"/>
              <w:ind w:left="0" w:leftChars="0" w:firstLine="0" w:firstLineChars="0"/>
              <w:rPr>
                <w:rFonts w:hint="eastAsia" w:ascii="仿宋" w:hAnsi="仿宋" w:eastAsia="仿宋" w:cs="仿宋"/>
                <w:b/>
                <w:bCs/>
                <w:color w:val="auto"/>
                <w:sz w:val="32"/>
                <w:szCs w:val="32"/>
                <w:highlight w:val="none"/>
              </w:rPr>
            </w:pPr>
          </w:p>
          <w:p>
            <w:pPr>
              <w:pStyle w:val="46"/>
              <w:ind w:left="0" w:leftChars="0" w:firstLine="0" w:firstLineChars="0"/>
              <w:rPr>
                <w:rFonts w:hint="eastAsia" w:ascii="仿宋" w:hAnsi="仿宋" w:eastAsia="仿宋" w:cs="仿宋"/>
                <w:b/>
                <w:bCs/>
                <w:color w:val="auto"/>
                <w:sz w:val="32"/>
                <w:szCs w:val="32"/>
                <w:highlight w:val="none"/>
              </w:rPr>
            </w:pPr>
          </w:p>
        </w:tc>
        <w:tc>
          <w:tcPr>
            <w:tcW w:w="3448" w:type="dxa"/>
            <w:noWrap w:val="0"/>
            <w:vAlign w:val="center"/>
          </w:tcPr>
          <w:p>
            <w:pPr>
              <w:pStyle w:val="46"/>
              <w:ind w:left="0" w:leftChars="0" w:firstLine="0" w:firstLineChars="0"/>
              <w:rPr>
                <w:rFonts w:hint="eastAsia" w:ascii="仿宋" w:hAnsi="仿宋" w:eastAsia="仿宋" w:cs="仿宋"/>
                <w:b/>
                <w:bCs/>
                <w:color w:val="auto"/>
                <w:sz w:val="32"/>
                <w:szCs w:val="32"/>
                <w:highlight w:val="none"/>
              </w:rPr>
            </w:pPr>
          </w:p>
        </w:tc>
        <w:tc>
          <w:tcPr>
            <w:tcW w:w="2992" w:type="dxa"/>
            <w:noWrap w:val="0"/>
            <w:vAlign w:val="center"/>
          </w:tcPr>
          <w:p>
            <w:pPr>
              <w:pStyle w:val="46"/>
              <w:ind w:left="0" w:leftChars="0" w:firstLine="0" w:firstLineChars="0"/>
              <w:rPr>
                <w:rFonts w:hint="eastAsia" w:ascii="仿宋" w:hAnsi="仿宋" w:eastAsia="仿宋" w:cs="仿宋"/>
                <w:b/>
                <w:bCs/>
                <w:color w:val="auto"/>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8" w:hRule="atLeast"/>
        </w:trPr>
        <w:tc>
          <w:tcPr>
            <w:tcW w:w="772" w:type="dxa"/>
            <w:noWrap w:val="0"/>
            <w:vAlign w:val="center"/>
          </w:tcPr>
          <w:p>
            <w:pPr>
              <w:pStyle w:val="46"/>
              <w:ind w:left="0" w:leftChars="0" w:firstLine="0" w:firstLineChars="0"/>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其他问题</w:t>
            </w:r>
          </w:p>
        </w:tc>
        <w:tc>
          <w:tcPr>
            <w:tcW w:w="8471" w:type="dxa"/>
            <w:gridSpan w:val="3"/>
            <w:noWrap w:val="0"/>
            <w:vAlign w:val="center"/>
          </w:tcPr>
          <w:p>
            <w:pPr>
              <w:pStyle w:val="46"/>
              <w:ind w:left="0" w:leftChars="0" w:firstLine="0" w:firstLineChars="0"/>
              <w:jc w:val="center"/>
              <w:rPr>
                <w:rFonts w:hint="eastAsia" w:ascii="仿宋" w:hAnsi="仿宋" w:eastAsia="仿宋" w:cs="仿宋"/>
                <w:b/>
                <w:bCs/>
                <w:color w:val="auto"/>
                <w:sz w:val="32"/>
                <w:szCs w:val="32"/>
                <w:highlight w:val="none"/>
              </w:rPr>
            </w:pPr>
          </w:p>
          <w:p>
            <w:pPr>
              <w:pStyle w:val="46"/>
              <w:ind w:left="0" w:leftChars="0" w:firstLine="0" w:firstLineChars="0"/>
              <w:jc w:val="center"/>
              <w:rPr>
                <w:rFonts w:hint="eastAsia" w:ascii="仿宋" w:hAnsi="仿宋" w:eastAsia="仿宋" w:cs="仿宋"/>
                <w:b/>
                <w:bCs/>
                <w:color w:val="auto"/>
                <w:sz w:val="32"/>
                <w:szCs w:val="32"/>
                <w:highlight w:val="none"/>
              </w:rPr>
            </w:pPr>
          </w:p>
          <w:p>
            <w:pPr>
              <w:pStyle w:val="46"/>
              <w:ind w:left="0" w:leftChars="0" w:firstLine="0" w:firstLineChars="0"/>
              <w:jc w:val="center"/>
              <w:rPr>
                <w:rFonts w:hint="eastAsia" w:ascii="仿宋" w:hAnsi="仿宋" w:eastAsia="仿宋" w:cs="仿宋"/>
                <w:b/>
                <w:bCs/>
                <w:color w:val="auto"/>
                <w:sz w:val="32"/>
                <w:szCs w:val="32"/>
                <w:highlight w:val="none"/>
              </w:rPr>
            </w:pPr>
          </w:p>
          <w:p>
            <w:pPr>
              <w:pStyle w:val="46"/>
              <w:ind w:left="0" w:leftChars="0" w:firstLine="0" w:firstLineChars="0"/>
              <w:jc w:val="center"/>
              <w:rPr>
                <w:rFonts w:hint="eastAsia" w:ascii="仿宋" w:hAnsi="仿宋" w:eastAsia="仿宋" w:cs="仿宋"/>
                <w:b/>
                <w:bCs/>
                <w:color w:val="auto"/>
                <w:sz w:val="32"/>
                <w:szCs w:val="32"/>
                <w:highlight w:val="none"/>
              </w:rPr>
            </w:pPr>
          </w:p>
          <w:p>
            <w:pPr>
              <w:pStyle w:val="46"/>
              <w:ind w:left="0" w:leftChars="0" w:firstLine="0" w:firstLineChars="0"/>
              <w:jc w:val="center"/>
              <w:rPr>
                <w:rFonts w:hint="eastAsia" w:ascii="仿宋" w:hAnsi="仿宋" w:eastAsia="仿宋" w:cs="仿宋"/>
                <w:b/>
                <w:bCs/>
                <w:color w:val="auto"/>
                <w:sz w:val="32"/>
                <w:szCs w:val="32"/>
                <w:highlight w:val="none"/>
              </w:rPr>
            </w:pPr>
          </w:p>
          <w:p>
            <w:pPr>
              <w:pStyle w:val="46"/>
              <w:ind w:left="0" w:leftChars="0" w:firstLine="0" w:firstLineChars="0"/>
              <w:jc w:val="center"/>
              <w:rPr>
                <w:rFonts w:hint="eastAsia" w:ascii="仿宋" w:hAnsi="仿宋" w:eastAsia="仿宋" w:cs="仿宋"/>
                <w:b/>
                <w:bCs/>
                <w:color w:val="auto"/>
                <w:sz w:val="32"/>
                <w:szCs w:val="32"/>
                <w:highlight w:val="none"/>
              </w:rPr>
            </w:pPr>
          </w:p>
          <w:p>
            <w:pPr>
              <w:pStyle w:val="46"/>
              <w:ind w:left="0" w:leftChars="0" w:firstLine="0" w:firstLineChars="0"/>
              <w:jc w:val="center"/>
              <w:rPr>
                <w:rFonts w:hint="eastAsia" w:ascii="仿宋" w:hAnsi="仿宋" w:eastAsia="仿宋" w:cs="仿宋"/>
                <w:b/>
                <w:bCs/>
                <w:color w:val="auto"/>
                <w:sz w:val="32"/>
                <w:szCs w:val="32"/>
                <w:highlight w:val="none"/>
              </w:rPr>
            </w:pPr>
          </w:p>
          <w:p>
            <w:pPr>
              <w:pStyle w:val="46"/>
              <w:ind w:left="0" w:leftChars="0" w:firstLine="0" w:firstLineChars="0"/>
              <w:jc w:val="center"/>
              <w:rPr>
                <w:rFonts w:hint="eastAsia" w:ascii="仿宋" w:hAnsi="仿宋" w:eastAsia="仿宋" w:cs="仿宋"/>
                <w:b/>
                <w:bCs/>
                <w:color w:val="auto"/>
                <w:sz w:val="32"/>
                <w:szCs w:val="32"/>
                <w:highlight w:val="none"/>
              </w:rPr>
            </w:pPr>
          </w:p>
          <w:p>
            <w:pPr>
              <w:pStyle w:val="46"/>
              <w:ind w:left="0" w:leftChars="0" w:firstLine="0" w:firstLineChars="0"/>
              <w:jc w:val="center"/>
              <w:rPr>
                <w:rFonts w:hint="eastAsia" w:ascii="仿宋" w:hAnsi="仿宋" w:eastAsia="仿宋" w:cs="仿宋"/>
                <w:b/>
                <w:bCs/>
                <w:color w:val="auto"/>
                <w:sz w:val="32"/>
                <w:szCs w:val="32"/>
                <w:highlight w:val="none"/>
              </w:rPr>
            </w:pPr>
          </w:p>
        </w:tc>
      </w:tr>
    </w:tbl>
    <w:p>
      <w:pPr>
        <w:pStyle w:val="46"/>
        <w:widowControl/>
        <w:adjustRightInd w:val="0"/>
        <w:snapToGrid w:val="0"/>
        <w:spacing w:line="520" w:lineRule="exact"/>
        <w:ind w:left="0"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说明：</w:t>
      </w:r>
      <w:r>
        <w:rPr>
          <w:rFonts w:hint="eastAsia" w:ascii="仿宋" w:hAnsi="仿宋" w:eastAsia="仿宋" w:cs="仿宋"/>
          <w:b/>
          <w:bCs/>
          <w:color w:val="auto"/>
          <w:sz w:val="24"/>
          <w:highlight w:val="none"/>
        </w:rPr>
        <w:fldChar w:fldCharType="begin"/>
      </w:r>
      <w:r>
        <w:rPr>
          <w:rFonts w:hint="eastAsia" w:ascii="仿宋" w:hAnsi="仿宋" w:eastAsia="仿宋" w:cs="仿宋"/>
          <w:b/>
          <w:bCs/>
          <w:color w:val="auto"/>
          <w:sz w:val="24"/>
          <w:highlight w:val="none"/>
        </w:rPr>
        <w:instrText xml:space="preserve"> HYPERLINK "mailto:本表填写并盖章后，请发至邮箱lyuzbb@126.com。" </w:instrText>
      </w:r>
      <w:r>
        <w:rPr>
          <w:rFonts w:hint="eastAsia" w:ascii="仿宋" w:hAnsi="仿宋" w:eastAsia="仿宋" w:cs="仿宋"/>
          <w:b/>
          <w:bCs/>
          <w:color w:val="auto"/>
          <w:sz w:val="24"/>
          <w:highlight w:val="none"/>
        </w:rPr>
        <w:fldChar w:fldCharType="separate"/>
      </w:r>
      <w:r>
        <w:rPr>
          <w:rStyle w:val="35"/>
          <w:rFonts w:hint="eastAsia" w:ascii="仿宋" w:hAnsi="仿宋" w:eastAsia="仿宋" w:cs="仿宋"/>
          <w:b/>
          <w:bCs/>
          <w:color w:val="auto"/>
          <w:sz w:val="24"/>
          <w:highlight w:val="none"/>
        </w:rPr>
        <w:t>本表填写并盖章后，请发至邮箱lyuzbb@126.com。</w:t>
      </w:r>
      <w:r>
        <w:rPr>
          <w:rFonts w:hint="eastAsia" w:ascii="仿宋" w:hAnsi="仿宋" w:eastAsia="仿宋" w:cs="仿宋"/>
          <w:b/>
          <w:bCs/>
          <w:color w:val="auto"/>
          <w:sz w:val="24"/>
          <w:highlight w:val="none"/>
        </w:rPr>
        <w:fldChar w:fldCharType="end"/>
      </w:r>
      <w:r>
        <w:rPr>
          <w:rFonts w:hint="eastAsia" w:ascii="仿宋" w:hAnsi="仿宋" w:eastAsia="仿宋" w:cs="仿宋"/>
          <w:b/>
          <w:bCs/>
          <w:color w:val="auto"/>
          <w:sz w:val="24"/>
          <w:highlight w:val="none"/>
        </w:rPr>
        <w:t xml:space="preserve"> 并致电临沂大学采购科 </w:t>
      </w:r>
      <w:r>
        <w:rPr>
          <w:rFonts w:hint="eastAsia" w:ascii="仿宋" w:hAnsi="仿宋" w:eastAsia="仿宋" w:cs="仿宋"/>
          <w:b/>
          <w:bCs/>
          <w:color w:val="auto"/>
          <w:sz w:val="24"/>
          <w:highlight w:val="none"/>
          <w:lang w:val="en-US" w:eastAsia="zh-CN"/>
        </w:rPr>
        <w:t>蔺</w:t>
      </w:r>
      <w:r>
        <w:rPr>
          <w:rFonts w:hint="eastAsia" w:ascii="仿宋" w:hAnsi="仿宋" w:eastAsia="仿宋" w:cs="仿宋"/>
          <w:b/>
          <w:bCs/>
          <w:color w:val="auto"/>
          <w:sz w:val="24"/>
          <w:highlight w:val="none"/>
        </w:rPr>
        <w:t>老师 0539-725875</w:t>
      </w:r>
      <w:r>
        <w:rPr>
          <w:rFonts w:hint="eastAsia" w:ascii="仿宋" w:hAnsi="仿宋" w:eastAsia="仿宋" w:cs="仿宋"/>
          <w:b/>
          <w:bCs/>
          <w:color w:val="auto"/>
          <w:sz w:val="24"/>
          <w:highlight w:val="none"/>
          <w:lang w:val="en-US" w:eastAsia="zh-CN"/>
        </w:rPr>
        <w:t>6</w:t>
      </w:r>
      <w:r>
        <w:rPr>
          <w:rFonts w:hint="eastAsia" w:ascii="仿宋" w:hAnsi="仿宋" w:eastAsia="仿宋" w:cs="仿宋"/>
          <w:b/>
          <w:bCs/>
          <w:color w:val="auto"/>
          <w:sz w:val="24"/>
          <w:highlight w:val="none"/>
        </w:rPr>
        <w:t>。</w:t>
      </w:r>
    </w:p>
    <w:p>
      <w:pPr>
        <w:pStyle w:val="46"/>
        <w:widowControl/>
        <w:adjustRightInd w:val="0"/>
        <w:snapToGrid w:val="0"/>
        <w:spacing w:line="520" w:lineRule="exact"/>
        <w:ind w:left="0"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非常感谢您的反馈问题！</w:t>
      </w:r>
    </w:p>
    <w:p>
      <w:pPr>
        <w:pStyle w:val="46"/>
        <w:widowControl/>
        <w:adjustRightInd w:val="0"/>
        <w:snapToGrid w:val="0"/>
        <w:spacing w:line="52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 xml:space="preserve">                      单位名称（盖章）：</w:t>
      </w:r>
    </w:p>
    <w:p>
      <w:pPr>
        <w:pStyle w:val="46"/>
        <w:widowControl/>
        <w:adjustRightInd w:val="0"/>
        <w:snapToGrid w:val="0"/>
        <w:spacing w:line="52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 xml:space="preserve">                    联系人：        电话：</w:t>
      </w:r>
    </w:p>
    <w:p>
      <w:pPr>
        <w:rPr>
          <w:rFonts w:hint="eastAsia" w:ascii="宋体" w:hAnsi="宋体" w:cs="宋体"/>
          <w:b/>
          <w:color w:val="auto"/>
          <w:sz w:val="32"/>
          <w:highlight w:val="none"/>
        </w:rPr>
        <w:sectPr>
          <w:headerReference r:id="rId3" w:type="default"/>
          <w:footerReference r:id="rId5" w:type="default"/>
          <w:headerReference r:id="rId4" w:type="even"/>
          <w:footerReference r:id="rId6" w:type="even"/>
          <w:pgSz w:w="11906" w:h="16838"/>
          <w:pgMar w:top="1440" w:right="1797" w:bottom="1440" w:left="1797" w:header="851" w:footer="992" w:gutter="0"/>
          <w:pgBorders>
            <w:top w:val="none" w:sz="0" w:space="0"/>
            <w:left w:val="none" w:sz="0" w:space="0"/>
            <w:bottom w:val="none" w:sz="0" w:space="0"/>
            <w:right w:val="none" w:sz="0" w:space="0"/>
          </w:pgBorders>
          <w:cols w:space="720" w:num="1"/>
          <w:docGrid w:linePitch="312" w:charSpace="0"/>
        </w:sectPr>
      </w:pPr>
      <w:r>
        <w:rPr>
          <w:rFonts w:hint="eastAsia" w:ascii="宋体" w:hAnsi="宋体" w:cs="宋体"/>
          <w:b/>
          <w:bCs/>
          <w:color w:val="auto"/>
          <w:sz w:val="24"/>
          <w:highlight w:val="none"/>
        </w:rPr>
        <w:t xml:space="preserve">                                   年   月   日          </w:t>
      </w:r>
    </w:p>
    <w:p>
      <w:pPr>
        <w:pageBreakBefore w:val="0"/>
        <w:widowControl w:val="0"/>
        <w:numPr>
          <w:ilvl w:val="0"/>
          <w:numId w:val="0"/>
        </w:numPr>
        <w:kinsoku/>
        <w:wordWrap/>
        <w:overflowPunct/>
        <w:topLinePunct w:val="0"/>
        <w:bidi w:val="0"/>
        <w:spacing w:line="360" w:lineRule="auto"/>
        <w:textAlignment w:val="auto"/>
        <w:rPr>
          <w:rFonts w:hint="eastAsia" w:ascii="宋体" w:hAnsi="宋体" w:eastAsia="宋体" w:cs="宋体"/>
          <w:b/>
          <w:color w:val="auto"/>
          <w:kern w:val="0"/>
          <w:sz w:val="28"/>
          <w:szCs w:val="28"/>
          <w:highlight w:val="none"/>
          <w:u w:val="none"/>
          <w:lang w:val="en-US" w:eastAsia="zh-CN" w:bidi="ar-SA"/>
        </w:rPr>
      </w:pPr>
      <w:r>
        <w:rPr>
          <w:rFonts w:hint="eastAsia" w:ascii="宋体" w:hAnsi="宋体" w:eastAsia="宋体" w:cs="宋体"/>
          <w:b/>
          <w:color w:val="auto"/>
          <w:kern w:val="0"/>
          <w:sz w:val="28"/>
          <w:szCs w:val="28"/>
          <w:highlight w:val="none"/>
          <w:u w:val="none"/>
          <w:lang w:val="en-US" w:eastAsia="zh-CN" w:bidi="ar-SA"/>
        </w:rPr>
        <w:t xml:space="preserve"> 致供应商：            </w:t>
      </w:r>
    </w:p>
    <w:p>
      <w:pPr>
        <w:pStyle w:val="46"/>
        <w:ind w:left="0" w:firstLine="0"/>
        <w:jc w:val="center"/>
        <w:rPr>
          <w:rFonts w:hint="eastAsia" w:ascii="宋体" w:hAnsi="宋体" w:cs="宋体"/>
          <w:b/>
          <w:color w:val="auto"/>
          <w:sz w:val="32"/>
          <w:highlight w:val="none"/>
          <w:lang w:val="en-US" w:eastAsia="zh-CN"/>
        </w:rPr>
      </w:pPr>
      <w:r>
        <w:rPr>
          <w:rFonts w:hint="eastAsia" w:ascii="宋体" w:hAnsi="宋体" w:cs="宋体"/>
          <w:b/>
          <w:color w:val="auto"/>
          <w:sz w:val="32"/>
          <w:highlight w:val="none"/>
          <w:lang w:val="en-US" w:eastAsia="zh-CN"/>
        </w:rPr>
        <w:t>响应文件双面打印倡议书</w:t>
      </w:r>
    </w:p>
    <w:p>
      <w:pPr>
        <w:pStyle w:val="37"/>
        <w:spacing w:line="480" w:lineRule="auto"/>
        <w:rPr>
          <w:rFonts w:hint="eastAsia"/>
          <w:color w:val="auto"/>
          <w:sz w:val="32"/>
          <w:szCs w:val="32"/>
          <w:highlight w:val="none"/>
          <w:lang w:val="en-US" w:eastAsia="zh-CN"/>
        </w:rPr>
      </w:pPr>
    </w:p>
    <w:p>
      <w:pPr>
        <w:pStyle w:val="46"/>
        <w:keepNext w:val="0"/>
        <w:keepLines w:val="0"/>
        <w:pageBreakBefore w:val="0"/>
        <w:widowControl w:val="0"/>
        <w:tabs>
          <w:tab w:val="left" w:pos="840"/>
        </w:tabs>
        <w:kinsoku/>
        <w:wordWrap w:val="0"/>
        <w:overflowPunct/>
        <w:topLinePunct w:val="0"/>
        <w:autoSpaceDE/>
        <w:autoSpaceDN/>
        <w:bidi w:val="0"/>
        <w:adjustRightInd/>
        <w:snapToGrid/>
        <w:spacing w:line="480" w:lineRule="exact"/>
        <w:ind w:left="0" w:leftChars="0" w:firstLine="490" w:firstLineChars="175"/>
        <w:textAlignment w:val="auto"/>
        <w:rPr>
          <w:rFonts w:hint="default" w:ascii="宋体" w:hAnsi="宋体" w:eastAsia="宋体" w:cs="宋体"/>
          <w:color w:val="auto"/>
          <w:sz w:val="28"/>
          <w:szCs w:val="28"/>
          <w:highlight w:val="none"/>
          <w:lang w:val="en-US" w:eastAsia="zh-CN"/>
        </w:rPr>
      </w:pPr>
      <w:r>
        <w:rPr>
          <w:rFonts w:hint="default"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lang w:val="en-US" w:eastAsia="zh-CN"/>
        </w:rPr>
        <w:t>响应文件</w:t>
      </w:r>
      <w:r>
        <w:rPr>
          <w:rFonts w:hint="default" w:ascii="宋体" w:hAnsi="宋体" w:eastAsia="宋体" w:cs="宋体"/>
          <w:color w:val="auto"/>
          <w:sz w:val="28"/>
          <w:szCs w:val="28"/>
          <w:highlight w:val="none"/>
          <w:lang w:val="en-US" w:eastAsia="zh-CN"/>
        </w:rPr>
        <w:t>的厚重，不是评定是否中标的因素</w:t>
      </w:r>
      <w:r>
        <w:rPr>
          <w:rFonts w:hint="eastAsia" w:ascii="宋体" w:hAnsi="宋体" w:eastAsia="宋体" w:cs="宋体"/>
          <w:color w:val="auto"/>
          <w:sz w:val="28"/>
          <w:szCs w:val="28"/>
          <w:highlight w:val="none"/>
          <w:lang w:val="en-US" w:eastAsia="zh-CN"/>
        </w:rPr>
        <w:t>，更</w:t>
      </w:r>
      <w:r>
        <w:rPr>
          <w:rFonts w:hint="default" w:ascii="宋体" w:hAnsi="宋体" w:eastAsia="宋体" w:cs="宋体"/>
          <w:color w:val="auto"/>
          <w:sz w:val="28"/>
          <w:szCs w:val="28"/>
          <w:highlight w:val="none"/>
          <w:lang w:val="en-US" w:eastAsia="zh-CN"/>
        </w:rPr>
        <w:t>不便于评审专家翻阅及</w:t>
      </w:r>
      <w:r>
        <w:rPr>
          <w:rFonts w:hint="eastAsia" w:ascii="宋体" w:hAnsi="宋体" w:eastAsia="宋体" w:cs="宋体"/>
          <w:color w:val="auto"/>
          <w:sz w:val="28"/>
          <w:szCs w:val="28"/>
          <w:highlight w:val="none"/>
          <w:lang w:val="en-US" w:eastAsia="zh-CN"/>
        </w:rPr>
        <w:t>评审</w:t>
      </w:r>
      <w:r>
        <w:rPr>
          <w:rFonts w:hint="default" w:ascii="宋体" w:hAnsi="宋体" w:eastAsia="宋体" w:cs="宋体"/>
          <w:color w:val="auto"/>
          <w:sz w:val="28"/>
          <w:szCs w:val="28"/>
          <w:highlight w:val="none"/>
          <w:lang w:val="en-US" w:eastAsia="zh-CN"/>
        </w:rPr>
        <w:t>。</w:t>
      </w:r>
    </w:p>
    <w:p>
      <w:pPr>
        <w:pStyle w:val="46"/>
        <w:keepNext w:val="0"/>
        <w:keepLines w:val="0"/>
        <w:pageBreakBefore w:val="0"/>
        <w:widowControl w:val="0"/>
        <w:tabs>
          <w:tab w:val="left" w:pos="840"/>
        </w:tabs>
        <w:kinsoku/>
        <w:wordWrap w:val="0"/>
        <w:overflowPunct/>
        <w:topLinePunct w:val="0"/>
        <w:autoSpaceDE/>
        <w:autoSpaceDN/>
        <w:bidi w:val="0"/>
        <w:adjustRightInd/>
        <w:snapToGrid/>
        <w:spacing w:line="480" w:lineRule="exact"/>
        <w:ind w:left="0" w:leftChars="0" w:firstLine="490" w:firstLineChars="175"/>
        <w:textAlignment w:val="auto"/>
        <w:rPr>
          <w:rFonts w:hint="default" w:ascii="宋体" w:hAnsi="宋体" w:eastAsia="宋体" w:cs="宋体"/>
          <w:color w:val="auto"/>
          <w:sz w:val="28"/>
          <w:szCs w:val="28"/>
          <w:highlight w:val="none"/>
          <w:lang w:val="en-US" w:eastAsia="zh-CN"/>
        </w:rPr>
      </w:pPr>
      <w:r>
        <w:rPr>
          <w:rFonts w:hint="default" w:ascii="宋体" w:hAnsi="宋体" w:eastAsia="宋体" w:cs="宋体"/>
          <w:color w:val="auto"/>
          <w:sz w:val="28"/>
          <w:szCs w:val="28"/>
          <w:highlight w:val="none"/>
          <w:lang w:val="en-US" w:eastAsia="zh-CN"/>
        </w:rPr>
        <w:t>当前，我国以习近平生态文明思想为指引，大力推动生态文明建设，坚持走生态优先、绿色低碳的发展道路。为在招投标环节贯彻新发展理念，树立节约资源、保护环境意识，增强节能环保的责任感，在编制</w:t>
      </w:r>
      <w:r>
        <w:rPr>
          <w:rFonts w:hint="eastAsia" w:ascii="宋体" w:hAnsi="宋体" w:eastAsia="宋体" w:cs="宋体"/>
          <w:color w:val="auto"/>
          <w:sz w:val="28"/>
          <w:szCs w:val="28"/>
          <w:highlight w:val="none"/>
          <w:lang w:val="en-US" w:eastAsia="zh-CN"/>
        </w:rPr>
        <w:t>响应文件</w:t>
      </w:r>
      <w:r>
        <w:rPr>
          <w:rFonts w:hint="default" w:ascii="宋体" w:hAnsi="宋体" w:eastAsia="宋体" w:cs="宋体"/>
          <w:color w:val="auto"/>
          <w:sz w:val="28"/>
          <w:szCs w:val="28"/>
          <w:highlight w:val="none"/>
          <w:lang w:val="en-US" w:eastAsia="zh-CN"/>
        </w:rPr>
        <w:t>时，</w:t>
      </w:r>
      <w:r>
        <w:rPr>
          <w:rFonts w:hint="eastAsia" w:ascii="宋体" w:hAnsi="宋体" w:eastAsia="宋体" w:cs="宋体"/>
          <w:color w:val="auto"/>
          <w:sz w:val="28"/>
          <w:szCs w:val="28"/>
          <w:highlight w:val="none"/>
          <w:lang w:val="en-US" w:eastAsia="zh-CN"/>
        </w:rPr>
        <w:t>临沂大学倡议</w:t>
      </w:r>
      <w:r>
        <w:rPr>
          <w:rFonts w:hint="default" w:ascii="宋体" w:hAnsi="宋体" w:eastAsia="宋体" w:cs="宋体"/>
          <w:color w:val="auto"/>
          <w:sz w:val="28"/>
          <w:szCs w:val="28"/>
          <w:highlight w:val="none"/>
          <w:lang w:val="en-US" w:eastAsia="zh-CN"/>
        </w:rPr>
        <w:t>如下:</w:t>
      </w:r>
    </w:p>
    <w:p>
      <w:pPr>
        <w:pStyle w:val="46"/>
        <w:keepNext w:val="0"/>
        <w:keepLines w:val="0"/>
        <w:pageBreakBefore w:val="0"/>
        <w:widowControl w:val="0"/>
        <w:tabs>
          <w:tab w:val="left" w:pos="840"/>
        </w:tabs>
        <w:kinsoku/>
        <w:wordWrap w:val="0"/>
        <w:overflowPunct/>
        <w:topLinePunct w:val="0"/>
        <w:autoSpaceDE/>
        <w:autoSpaceDN/>
        <w:bidi w:val="0"/>
        <w:adjustRightInd/>
        <w:snapToGrid/>
        <w:spacing w:line="480" w:lineRule="exact"/>
        <w:ind w:left="0" w:leftChars="0" w:firstLine="492" w:firstLineChars="175"/>
        <w:textAlignment w:val="auto"/>
        <w:rPr>
          <w:rFonts w:hint="default" w:ascii="宋体" w:hAnsi="宋体" w:eastAsia="宋体" w:cs="宋体"/>
          <w:b/>
          <w:bCs/>
          <w:color w:val="auto"/>
          <w:sz w:val="28"/>
          <w:szCs w:val="28"/>
          <w:highlight w:val="none"/>
          <w:lang w:val="en-US" w:eastAsia="zh-CN"/>
        </w:rPr>
      </w:pPr>
      <w:r>
        <w:rPr>
          <w:rFonts w:hint="default" w:ascii="宋体" w:hAnsi="宋体" w:eastAsia="宋体" w:cs="宋体"/>
          <w:b/>
          <w:bCs/>
          <w:color w:val="auto"/>
          <w:sz w:val="28"/>
          <w:szCs w:val="28"/>
          <w:highlight w:val="none"/>
          <w:lang w:val="en-US" w:eastAsia="zh-CN"/>
        </w:rPr>
        <w:t>“除必要的商务文书或要求的证书复印件外，</w:t>
      </w:r>
      <w:r>
        <w:rPr>
          <w:rFonts w:hint="eastAsia" w:ascii="宋体" w:hAnsi="宋体" w:eastAsia="宋体" w:cs="宋体"/>
          <w:b/>
          <w:bCs/>
          <w:color w:val="auto"/>
          <w:sz w:val="28"/>
          <w:szCs w:val="28"/>
          <w:highlight w:val="none"/>
          <w:lang w:val="en-US" w:eastAsia="zh-CN"/>
        </w:rPr>
        <w:t>响应文件</w:t>
      </w:r>
      <w:r>
        <w:rPr>
          <w:rFonts w:hint="default" w:ascii="宋体" w:hAnsi="宋体" w:eastAsia="宋体" w:cs="宋体"/>
          <w:b/>
          <w:bCs/>
          <w:color w:val="auto"/>
          <w:sz w:val="28"/>
          <w:szCs w:val="28"/>
          <w:highlight w:val="none"/>
          <w:lang w:val="en-US" w:eastAsia="zh-CN"/>
        </w:rPr>
        <w:t>的正本和副本均</w:t>
      </w:r>
      <w:r>
        <w:rPr>
          <w:rFonts w:hint="eastAsia" w:ascii="宋体" w:hAnsi="宋体" w:eastAsia="宋体" w:cs="宋体"/>
          <w:b/>
          <w:bCs/>
          <w:color w:val="auto"/>
          <w:sz w:val="28"/>
          <w:szCs w:val="28"/>
          <w:highlight w:val="none"/>
          <w:lang w:val="en-US" w:eastAsia="zh-CN"/>
        </w:rPr>
        <w:t>使用</w:t>
      </w:r>
      <w:r>
        <w:rPr>
          <w:rFonts w:hint="default" w:ascii="宋体" w:hAnsi="宋体" w:eastAsia="宋体" w:cs="宋体"/>
          <w:b/>
          <w:bCs/>
          <w:color w:val="auto"/>
          <w:sz w:val="28"/>
          <w:szCs w:val="28"/>
          <w:highlight w:val="none"/>
          <w:lang w:val="en-US" w:eastAsia="zh-CN"/>
        </w:rPr>
        <w:t>A4纸双面打印”</w:t>
      </w:r>
      <w:r>
        <w:rPr>
          <w:rFonts w:hint="eastAsia" w:ascii="宋体" w:hAnsi="宋体" w:eastAsia="宋体" w:cs="宋体"/>
          <w:b/>
          <w:bCs/>
          <w:color w:val="auto"/>
          <w:sz w:val="28"/>
          <w:szCs w:val="28"/>
          <w:highlight w:val="none"/>
          <w:lang w:val="en-US" w:eastAsia="zh-CN"/>
        </w:rPr>
        <w:t>，感谢支持！</w:t>
      </w:r>
    </w:p>
    <w:p>
      <w:pPr>
        <w:spacing w:line="480" w:lineRule="auto"/>
        <w:rPr>
          <w:color w:val="auto"/>
          <w:sz w:val="32"/>
          <w:szCs w:val="32"/>
          <w:highlight w:val="none"/>
        </w:rPr>
      </w:pPr>
    </w:p>
    <w:p>
      <w:pPr>
        <w:rPr>
          <w:rFonts w:hint="eastAsia" w:ascii="宋体" w:hAnsi="宋体" w:cs="宋体"/>
          <w:b/>
          <w:color w:val="auto"/>
          <w:sz w:val="32"/>
          <w:highlight w:val="none"/>
        </w:rPr>
      </w:pPr>
      <w:r>
        <w:rPr>
          <w:rFonts w:hint="eastAsia" w:ascii="宋体" w:hAnsi="宋体" w:cs="宋体"/>
          <w:b/>
          <w:color w:val="auto"/>
          <w:sz w:val="32"/>
          <w:highlight w:val="none"/>
        </w:rPr>
        <w:br w:type="page"/>
      </w:r>
    </w:p>
    <w:p>
      <w:pPr>
        <w:pStyle w:val="37"/>
        <w:rPr>
          <w:rFonts w:hint="eastAsia"/>
          <w:color w:val="auto"/>
          <w:highlight w:val="none"/>
        </w:rPr>
      </w:pPr>
    </w:p>
    <w:p>
      <w:pPr>
        <w:jc w:val="center"/>
        <w:rPr>
          <w:rFonts w:ascii="宋体" w:hAnsi="宋体" w:cs="宋体"/>
          <w:b/>
          <w:color w:val="auto"/>
          <w:sz w:val="32"/>
          <w:highlight w:val="none"/>
        </w:rPr>
      </w:pPr>
      <w:r>
        <w:rPr>
          <w:rFonts w:hint="eastAsia" w:ascii="宋体" w:hAnsi="宋体" w:cs="宋体"/>
          <w:b/>
          <w:color w:val="auto"/>
          <w:sz w:val="32"/>
          <w:highlight w:val="none"/>
        </w:rPr>
        <w:t>目  录</w:t>
      </w:r>
    </w:p>
    <w:p>
      <w:pPr>
        <w:pStyle w:val="20"/>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4"/>
          <w:szCs w:val="24"/>
          <w:highlight w:val="none"/>
        </w:rPr>
      </w:pPr>
      <w:bookmarkStart w:id="0" w:name="_Toc22782"/>
      <w:bookmarkStart w:id="1" w:name="_Toc17230"/>
      <w:bookmarkStart w:id="2" w:name="_Toc216582804"/>
    </w:p>
    <w:p>
      <w:pPr>
        <w:pStyle w:val="20"/>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color w:val="auto"/>
          <w:sz w:val="24"/>
          <w:szCs w:val="24"/>
          <w:highlight w:val="none"/>
        </w:rPr>
      </w:pPr>
      <w:r>
        <w:rPr>
          <w:rFonts w:hint="eastAsia" w:ascii="宋体" w:hAnsi="宋体" w:eastAsia="宋体" w:cs="宋体"/>
          <w:color w:val="auto"/>
          <w:kern w:val="0"/>
          <w:sz w:val="24"/>
          <w:szCs w:val="24"/>
          <w:highlight w:val="none"/>
        </w:rPr>
        <w:fldChar w:fldCharType="begin"/>
      </w:r>
      <w:r>
        <w:rPr>
          <w:rFonts w:hint="eastAsia" w:ascii="宋体" w:hAnsi="宋体" w:eastAsia="宋体" w:cs="宋体"/>
          <w:color w:val="auto"/>
          <w:kern w:val="0"/>
          <w:sz w:val="24"/>
          <w:szCs w:val="24"/>
          <w:highlight w:val="none"/>
        </w:rPr>
        <w:instrText xml:space="preserve">TOC \o "1-2" \h \z \u</w:instrText>
      </w:r>
      <w:r>
        <w:rPr>
          <w:rFonts w:hint="eastAsia" w:ascii="宋体" w:hAnsi="宋体" w:eastAsia="宋体" w:cs="宋体"/>
          <w:color w:val="auto"/>
          <w:kern w:val="0"/>
          <w:sz w:val="24"/>
          <w:szCs w:val="24"/>
          <w:highlight w:val="none"/>
        </w:rPr>
        <w:fldChar w:fldCharType="separate"/>
      </w:r>
      <w:r>
        <w:rPr>
          <w:rFonts w:hint="eastAsia" w:ascii="宋体" w:hAnsi="宋体" w:eastAsia="宋体" w:cs="宋体"/>
          <w:color w:val="auto"/>
          <w:kern w:val="0"/>
          <w:sz w:val="24"/>
          <w:szCs w:val="24"/>
          <w:highlight w:val="none"/>
        </w:rPr>
        <w:fldChar w:fldCharType="begin"/>
      </w:r>
      <w:r>
        <w:rPr>
          <w:rFonts w:hint="eastAsia" w:ascii="宋体" w:hAnsi="宋体" w:eastAsia="宋体" w:cs="宋体"/>
          <w:color w:val="auto"/>
          <w:kern w:val="0"/>
          <w:sz w:val="24"/>
          <w:szCs w:val="24"/>
          <w:highlight w:val="none"/>
        </w:rPr>
        <w:instrText xml:space="preserve"> HYPERLINK \l _Toc29532 </w:instrText>
      </w:r>
      <w:r>
        <w:rPr>
          <w:rFonts w:hint="eastAsia" w:ascii="宋体" w:hAnsi="宋体" w:eastAsia="宋体" w:cs="宋体"/>
          <w:color w:val="auto"/>
          <w:kern w:val="0"/>
          <w:sz w:val="24"/>
          <w:szCs w:val="24"/>
          <w:highlight w:val="none"/>
        </w:rPr>
        <w:fldChar w:fldCharType="separate"/>
      </w:r>
      <w:r>
        <w:rPr>
          <w:rFonts w:hint="default" w:hAnsi="宋体" w:cs="宋体"/>
          <w:color w:val="auto"/>
          <w:sz w:val="24"/>
          <w:szCs w:val="24"/>
          <w:highlight w:val="none"/>
          <w:lang w:val="en-US"/>
        </w:rPr>
        <w:t xml:space="preserve">第1章 </w:t>
      </w:r>
      <w:r>
        <w:rPr>
          <w:rFonts w:hint="eastAsia" w:hAnsi="宋体" w:cs="宋体"/>
          <w:color w:val="auto"/>
          <w:sz w:val="24"/>
          <w:szCs w:val="24"/>
          <w:highlight w:val="none"/>
        </w:rPr>
        <w:t>供应商须知</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_Toc29532 \h </w:instrText>
      </w:r>
      <w:r>
        <w:rPr>
          <w:color w:val="auto"/>
          <w:sz w:val="24"/>
          <w:szCs w:val="24"/>
          <w:highlight w:val="none"/>
        </w:rPr>
        <w:fldChar w:fldCharType="separate"/>
      </w:r>
      <w:r>
        <w:rPr>
          <w:color w:val="auto"/>
          <w:sz w:val="24"/>
          <w:szCs w:val="24"/>
          <w:highlight w:val="none"/>
        </w:rPr>
        <w:t>6</w:t>
      </w:r>
      <w:r>
        <w:rPr>
          <w:color w:val="auto"/>
          <w:sz w:val="24"/>
          <w:szCs w:val="24"/>
          <w:highlight w:val="none"/>
        </w:rPr>
        <w:fldChar w:fldCharType="end"/>
      </w:r>
      <w:r>
        <w:rPr>
          <w:rFonts w:hint="eastAsia" w:ascii="宋体" w:hAnsi="宋体" w:eastAsia="宋体" w:cs="宋体"/>
          <w:color w:val="auto"/>
          <w:kern w:val="0"/>
          <w:sz w:val="24"/>
          <w:szCs w:val="24"/>
          <w:highlight w:val="none"/>
        </w:rPr>
        <w:fldChar w:fldCharType="end"/>
      </w:r>
    </w:p>
    <w:p>
      <w:pPr>
        <w:pStyle w:val="23"/>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color w:val="auto"/>
          <w:sz w:val="24"/>
          <w:szCs w:val="24"/>
          <w:highlight w:val="none"/>
        </w:rPr>
      </w:pPr>
      <w:r>
        <w:rPr>
          <w:rFonts w:hint="eastAsia" w:ascii="宋体" w:hAnsi="宋体" w:eastAsia="宋体" w:cs="宋体"/>
          <w:color w:val="auto"/>
          <w:kern w:val="0"/>
          <w:sz w:val="24"/>
          <w:szCs w:val="24"/>
          <w:highlight w:val="none"/>
        </w:rPr>
        <w:fldChar w:fldCharType="begin"/>
      </w:r>
      <w:r>
        <w:rPr>
          <w:rFonts w:hint="eastAsia" w:ascii="宋体" w:hAnsi="宋体" w:eastAsia="宋体" w:cs="宋体"/>
          <w:color w:val="auto"/>
          <w:kern w:val="0"/>
          <w:sz w:val="24"/>
          <w:szCs w:val="24"/>
          <w:highlight w:val="none"/>
        </w:rPr>
        <w:instrText xml:space="preserve"> HYPERLINK \l _Toc13427 </w:instrText>
      </w:r>
      <w:r>
        <w:rPr>
          <w:rFonts w:hint="eastAsia" w:ascii="宋体" w:hAnsi="宋体" w:eastAsia="宋体" w:cs="宋体"/>
          <w:color w:val="auto"/>
          <w:kern w:val="0"/>
          <w:sz w:val="24"/>
          <w:szCs w:val="24"/>
          <w:highlight w:val="none"/>
        </w:rPr>
        <w:fldChar w:fldCharType="separate"/>
      </w:r>
      <w:r>
        <w:rPr>
          <w:rFonts w:hint="eastAsia" w:ascii="宋体" w:hAnsi="宋体" w:eastAsia="宋体" w:cs="宋体"/>
          <w:color w:val="auto"/>
          <w:sz w:val="24"/>
          <w:szCs w:val="24"/>
          <w:highlight w:val="none"/>
        </w:rPr>
        <w:t>一</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总 则</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_Toc13427 \h </w:instrText>
      </w:r>
      <w:r>
        <w:rPr>
          <w:color w:val="auto"/>
          <w:sz w:val="24"/>
          <w:szCs w:val="24"/>
          <w:highlight w:val="none"/>
        </w:rPr>
        <w:fldChar w:fldCharType="separate"/>
      </w:r>
      <w:r>
        <w:rPr>
          <w:color w:val="auto"/>
          <w:sz w:val="24"/>
          <w:szCs w:val="24"/>
          <w:highlight w:val="none"/>
        </w:rPr>
        <w:t>6</w:t>
      </w:r>
      <w:r>
        <w:rPr>
          <w:color w:val="auto"/>
          <w:sz w:val="24"/>
          <w:szCs w:val="24"/>
          <w:highlight w:val="none"/>
        </w:rPr>
        <w:fldChar w:fldCharType="end"/>
      </w:r>
      <w:r>
        <w:rPr>
          <w:rFonts w:hint="eastAsia" w:ascii="宋体" w:hAnsi="宋体" w:eastAsia="宋体" w:cs="宋体"/>
          <w:color w:val="auto"/>
          <w:kern w:val="0"/>
          <w:sz w:val="24"/>
          <w:szCs w:val="24"/>
          <w:highlight w:val="none"/>
        </w:rPr>
        <w:fldChar w:fldCharType="end"/>
      </w:r>
    </w:p>
    <w:p>
      <w:pPr>
        <w:pStyle w:val="23"/>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color w:val="auto"/>
          <w:sz w:val="24"/>
          <w:szCs w:val="24"/>
          <w:highlight w:val="none"/>
        </w:rPr>
      </w:pPr>
      <w:r>
        <w:rPr>
          <w:rFonts w:hint="eastAsia" w:ascii="宋体" w:hAnsi="宋体" w:eastAsia="宋体" w:cs="宋体"/>
          <w:color w:val="auto"/>
          <w:kern w:val="0"/>
          <w:sz w:val="24"/>
          <w:szCs w:val="24"/>
          <w:highlight w:val="none"/>
        </w:rPr>
        <w:fldChar w:fldCharType="begin"/>
      </w:r>
      <w:r>
        <w:rPr>
          <w:rFonts w:hint="eastAsia" w:ascii="宋体" w:hAnsi="宋体" w:eastAsia="宋体" w:cs="宋体"/>
          <w:color w:val="auto"/>
          <w:kern w:val="0"/>
          <w:sz w:val="24"/>
          <w:szCs w:val="24"/>
          <w:highlight w:val="none"/>
        </w:rPr>
        <w:instrText xml:space="preserve"> HYPERLINK \l _Toc32134 </w:instrText>
      </w:r>
      <w:r>
        <w:rPr>
          <w:rFonts w:hint="eastAsia" w:ascii="宋体" w:hAnsi="宋体" w:eastAsia="宋体" w:cs="宋体"/>
          <w:color w:val="auto"/>
          <w:kern w:val="0"/>
          <w:sz w:val="24"/>
          <w:szCs w:val="24"/>
          <w:highlight w:val="none"/>
        </w:rPr>
        <w:fldChar w:fldCharType="separate"/>
      </w:r>
      <w:r>
        <w:rPr>
          <w:rFonts w:hint="eastAsia" w:ascii="宋体" w:hAnsi="宋体" w:eastAsia="宋体" w:cs="宋体"/>
          <w:color w:val="auto"/>
          <w:sz w:val="24"/>
          <w:szCs w:val="24"/>
          <w:highlight w:val="none"/>
        </w:rPr>
        <w:t>二</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竞争性磋商文件</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_Toc32134 \h </w:instrText>
      </w:r>
      <w:r>
        <w:rPr>
          <w:color w:val="auto"/>
          <w:sz w:val="24"/>
          <w:szCs w:val="24"/>
          <w:highlight w:val="none"/>
        </w:rPr>
        <w:fldChar w:fldCharType="separate"/>
      </w:r>
      <w:r>
        <w:rPr>
          <w:color w:val="auto"/>
          <w:sz w:val="24"/>
          <w:szCs w:val="24"/>
          <w:highlight w:val="none"/>
        </w:rPr>
        <w:t>8</w:t>
      </w:r>
      <w:r>
        <w:rPr>
          <w:color w:val="auto"/>
          <w:sz w:val="24"/>
          <w:szCs w:val="24"/>
          <w:highlight w:val="none"/>
        </w:rPr>
        <w:fldChar w:fldCharType="end"/>
      </w:r>
      <w:r>
        <w:rPr>
          <w:rFonts w:hint="eastAsia" w:ascii="宋体" w:hAnsi="宋体" w:eastAsia="宋体" w:cs="宋体"/>
          <w:color w:val="auto"/>
          <w:kern w:val="0"/>
          <w:sz w:val="24"/>
          <w:szCs w:val="24"/>
          <w:highlight w:val="none"/>
        </w:rPr>
        <w:fldChar w:fldCharType="end"/>
      </w:r>
    </w:p>
    <w:p>
      <w:pPr>
        <w:pStyle w:val="23"/>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color w:val="auto"/>
          <w:sz w:val="24"/>
          <w:szCs w:val="24"/>
          <w:highlight w:val="none"/>
        </w:rPr>
      </w:pPr>
      <w:r>
        <w:rPr>
          <w:rFonts w:hint="eastAsia" w:ascii="宋体" w:hAnsi="宋体" w:eastAsia="宋体" w:cs="宋体"/>
          <w:color w:val="auto"/>
          <w:kern w:val="0"/>
          <w:sz w:val="24"/>
          <w:szCs w:val="24"/>
          <w:highlight w:val="none"/>
        </w:rPr>
        <w:fldChar w:fldCharType="begin"/>
      </w:r>
      <w:r>
        <w:rPr>
          <w:rFonts w:hint="eastAsia" w:ascii="宋体" w:hAnsi="宋体" w:eastAsia="宋体" w:cs="宋体"/>
          <w:color w:val="auto"/>
          <w:kern w:val="0"/>
          <w:sz w:val="24"/>
          <w:szCs w:val="24"/>
          <w:highlight w:val="none"/>
        </w:rPr>
        <w:instrText xml:space="preserve"> HYPERLINK \l _Toc2484 </w:instrText>
      </w:r>
      <w:r>
        <w:rPr>
          <w:rFonts w:hint="eastAsia" w:ascii="宋体" w:hAnsi="宋体" w:eastAsia="宋体" w:cs="宋体"/>
          <w:color w:val="auto"/>
          <w:kern w:val="0"/>
          <w:sz w:val="24"/>
          <w:szCs w:val="24"/>
          <w:highlight w:val="none"/>
        </w:rPr>
        <w:fldChar w:fldCharType="separate"/>
      </w:r>
      <w:r>
        <w:rPr>
          <w:rFonts w:hint="eastAsia" w:ascii="宋体" w:hAnsi="宋体" w:eastAsia="宋体" w:cs="宋体"/>
          <w:color w:val="auto"/>
          <w:sz w:val="24"/>
          <w:szCs w:val="24"/>
          <w:highlight w:val="none"/>
        </w:rPr>
        <w:t>三</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响应文件的编制</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_Toc2484 \h </w:instrText>
      </w:r>
      <w:r>
        <w:rPr>
          <w:color w:val="auto"/>
          <w:sz w:val="24"/>
          <w:szCs w:val="24"/>
          <w:highlight w:val="none"/>
        </w:rPr>
        <w:fldChar w:fldCharType="separate"/>
      </w:r>
      <w:r>
        <w:rPr>
          <w:color w:val="auto"/>
          <w:sz w:val="24"/>
          <w:szCs w:val="24"/>
          <w:highlight w:val="none"/>
        </w:rPr>
        <w:t>10</w:t>
      </w:r>
      <w:r>
        <w:rPr>
          <w:color w:val="auto"/>
          <w:sz w:val="24"/>
          <w:szCs w:val="24"/>
          <w:highlight w:val="none"/>
        </w:rPr>
        <w:fldChar w:fldCharType="end"/>
      </w:r>
      <w:r>
        <w:rPr>
          <w:rFonts w:hint="eastAsia" w:ascii="宋体" w:hAnsi="宋体" w:eastAsia="宋体" w:cs="宋体"/>
          <w:color w:val="auto"/>
          <w:kern w:val="0"/>
          <w:sz w:val="24"/>
          <w:szCs w:val="24"/>
          <w:highlight w:val="none"/>
        </w:rPr>
        <w:fldChar w:fldCharType="end"/>
      </w:r>
    </w:p>
    <w:p>
      <w:pPr>
        <w:pStyle w:val="23"/>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color w:val="auto"/>
          <w:sz w:val="24"/>
          <w:szCs w:val="24"/>
          <w:highlight w:val="none"/>
        </w:rPr>
      </w:pPr>
      <w:r>
        <w:rPr>
          <w:rFonts w:hint="eastAsia" w:ascii="宋体" w:hAnsi="宋体" w:eastAsia="宋体" w:cs="宋体"/>
          <w:color w:val="auto"/>
          <w:kern w:val="0"/>
          <w:sz w:val="24"/>
          <w:szCs w:val="24"/>
          <w:highlight w:val="none"/>
        </w:rPr>
        <w:fldChar w:fldCharType="begin"/>
      </w:r>
      <w:r>
        <w:rPr>
          <w:rFonts w:hint="eastAsia" w:ascii="宋体" w:hAnsi="宋体" w:eastAsia="宋体" w:cs="宋体"/>
          <w:color w:val="auto"/>
          <w:kern w:val="0"/>
          <w:sz w:val="24"/>
          <w:szCs w:val="24"/>
          <w:highlight w:val="none"/>
        </w:rPr>
        <w:instrText xml:space="preserve"> HYPERLINK \l _Toc18853 </w:instrText>
      </w:r>
      <w:r>
        <w:rPr>
          <w:rFonts w:hint="eastAsia" w:ascii="宋体" w:hAnsi="宋体" w:eastAsia="宋体" w:cs="宋体"/>
          <w:color w:val="auto"/>
          <w:kern w:val="0"/>
          <w:sz w:val="24"/>
          <w:szCs w:val="24"/>
          <w:highlight w:val="none"/>
        </w:rPr>
        <w:fldChar w:fldCharType="separate"/>
      </w:r>
      <w:r>
        <w:rPr>
          <w:rFonts w:hint="eastAsia" w:ascii="宋体" w:hAnsi="宋体" w:eastAsia="宋体" w:cs="宋体"/>
          <w:color w:val="auto"/>
          <w:sz w:val="24"/>
          <w:szCs w:val="24"/>
          <w:highlight w:val="none"/>
        </w:rPr>
        <w:t>四</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响应文件的递交</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_Toc18853 \h </w:instrText>
      </w:r>
      <w:r>
        <w:rPr>
          <w:color w:val="auto"/>
          <w:sz w:val="24"/>
          <w:szCs w:val="24"/>
          <w:highlight w:val="none"/>
        </w:rPr>
        <w:fldChar w:fldCharType="separate"/>
      </w:r>
      <w:r>
        <w:rPr>
          <w:color w:val="auto"/>
          <w:sz w:val="24"/>
          <w:szCs w:val="24"/>
          <w:highlight w:val="none"/>
        </w:rPr>
        <w:t>13</w:t>
      </w:r>
      <w:r>
        <w:rPr>
          <w:color w:val="auto"/>
          <w:sz w:val="24"/>
          <w:szCs w:val="24"/>
          <w:highlight w:val="none"/>
        </w:rPr>
        <w:fldChar w:fldCharType="end"/>
      </w:r>
      <w:r>
        <w:rPr>
          <w:rFonts w:hint="eastAsia" w:ascii="宋体" w:hAnsi="宋体" w:eastAsia="宋体" w:cs="宋体"/>
          <w:color w:val="auto"/>
          <w:kern w:val="0"/>
          <w:sz w:val="24"/>
          <w:szCs w:val="24"/>
          <w:highlight w:val="none"/>
        </w:rPr>
        <w:fldChar w:fldCharType="end"/>
      </w:r>
    </w:p>
    <w:p>
      <w:pPr>
        <w:pStyle w:val="23"/>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color w:val="auto"/>
          <w:sz w:val="24"/>
          <w:szCs w:val="24"/>
          <w:highlight w:val="none"/>
        </w:rPr>
      </w:pPr>
      <w:r>
        <w:rPr>
          <w:rFonts w:hint="eastAsia" w:ascii="宋体" w:hAnsi="宋体" w:eastAsia="宋体" w:cs="宋体"/>
          <w:color w:val="auto"/>
          <w:kern w:val="0"/>
          <w:sz w:val="24"/>
          <w:szCs w:val="24"/>
          <w:highlight w:val="none"/>
        </w:rPr>
        <w:fldChar w:fldCharType="begin"/>
      </w:r>
      <w:r>
        <w:rPr>
          <w:rFonts w:hint="eastAsia" w:ascii="宋体" w:hAnsi="宋体" w:eastAsia="宋体" w:cs="宋体"/>
          <w:color w:val="auto"/>
          <w:kern w:val="0"/>
          <w:sz w:val="24"/>
          <w:szCs w:val="24"/>
          <w:highlight w:val="none"/>
        </w:rPr>
        <w:instrText xml:space="preserve"> HYPERLINK \l _Toc19536 </w:instrText>
      </w:r>
      <w:r>
        <w:rPr>
          <w:rFonts w:hint="eastAsia" w:ascii="宋体" w:hAnsi="宋体" w:eastAsia="宋体" w:cs="宋体"/>
          <w:color w:val="auto"/>
          <w:kern w:val="0"/>
          <w:sz w:val="24"/>
          <w:szCs w:val="24"/>
          <w:highlight w:val="none"/>
        </w:rPr>
        <w:fldChar w:fldCharType="separate"/>
      </w:r>
      <w:r>
        <w:rPr>
          <w:rFonts w:hint="eastAsia" w:ascii="宋体" w:hAnsi="宋体" w:eastAsia="宋体" w:cs="宋体"/>
          <w:color w:val="auto"/>
          <w:sz w:val="24"/>
          <w:szCs w:val="24"/>
          <w:highlight w:val="none"/>
        </w:rPr>
        <w:t>五</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提交响应文件截止及磋商</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_Toc19536 \h </w:instrText>
      </w:r>
      <w:r>
        <w:rPr>
          <w:color w:val="auto"/>
          <w:sz w:val="24"/>
          <w:szCs w:val="24"/>
          <w:highlight w:val="none"/>
        </w:rPr>
        <w:fldChar w:fldCharType="separate"/>
      </w:r>
      <w:r>
        <w:rPr>
          <w:color w:val="auto"/>
          <w:sz w:val="24"/>
          <w:szCs w:val="24"/>
          <w:highlight w:val="none"/>
        </w:rPr>
        <w:t>14</w:t>
      </w:r>
      <w:r>
        <w:rPr>
          <w:color w:val="auto"/>
          <w:sz w:val="24"/>
          <w:szCs w:val="24"/>
          <w:highlight w:val="none"/>
        </w:rPr>
        <w:fldChar w:fldCharType="end"/>
      </w:r>
      <w:r>
        <w:rPr>
          <w:rFonts w:hint="eastAsia" w:ascii="宋体" w:hAnsi="宋体" w:eastAsia="宋体" w:cs="宋体"/>
          <w:color w:val="auto"/>
          <w:kern w:val="0"/>
          <w:sz w:val="24"/>
          <w:szCs w:val="24"/>
          <w:highlight w:val="none"/>
        </w:rPr>
        <w:fldChar w:fldCharType="end"/>
      </w:r>
    </w:p>
    <w:p>
      <w:pPr>
        <w:pStyle w:val="23"/>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color w:val="auto"/>
          <w:sz w:val="24"/>
          <w:szCs w:val="24"/>
          <w:highlight w:val="none"/>
        </w:rPr>
      </w:pPr>
      <w:r>
        <w:rPr>
          <w:rFonts w:hint="eastAsia" w:ascii="宋体" w:hAnsi="宋体" w:eastAsia="宋体" w:cs="宋体"/>
          <w:color w:val="auto"/>
          <w:kern w:val="0"/>
          <w:sz w:val="24"/>
          <w:szCs w:val="24"/>
          <w:highlight w:val="none"/>
        </w:rPr>
        <w:fldChar w:fldCharType="begin"/>
      </w:r>
      <w:r>
        <w:rPr>
          <w:rFonts w:hint="eastAsia" w:ascii="宋体" w:hAnsi="宋体" w:eastAsia="宋体" w:cs="宋体"/>
          <w:color w:val="auto"/>
          <w:kern w:val="0"/>
          <w:sz w:val="24"/>
          <w:szCs w:val="24"/>
          <w:highlight w:val="none"/>
        </w:rPr>
        <w:instrText xml:space="preserve"> HYPERLINK \l _Toc27908 </w:instrText>
      </w:r>
      <w:r>
        <w:rPr>
          <w:rFonts w:hint="eastAsia" w:ascii="宋体" w:hAnsi="宋体" w:eastAsia="宋体" w:cs="宋体"/>
          <w:color w:val="auto"/>
          <w:kern w:val="0"/>
          <w:sz w:val="24"/>
          <w:szCs w:val="24"/>
          <w:highlight w:val="none"/>
        </w:rPr>
        <w:fldChar w:fldCharType="separate"/>
      </w:r>
      <w:r>
        <w:rPr>
          <w:rFonts w:hint="eastAsia" w:ascii="宋体" w:hAnsi="宋体" w:eastAsia="宋体" w:cs="宋体"/>
          <w:color w:val="auto"/>
          <w:sz w:val="24"/>
          <w:szCs w:val="24"/>
          <w:highlight w:val="none"/>
        </w:rPr>
        <w:t>六</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确定成交</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_Toc27908 \h </w:instrText>
      </w:r>
      <w:r>
        <w:rPr>
          <w:color w:val="auto"/>
          <w:sz w:val="24"/>
          <w:szCs w:val="24"/>
          <w:highlight w:val="none"/>
        </w:rPr>
        <w:fldChar w:fldCharType="separate"/>
      </w:r>
      <w:r>
        <w:rPr>
          <w:color w:val="auto"/>
          <w:sz w:val="24"/>
          <w:szCs w:val="24"/>
          <w:highlight w:val="none"/>
        </w:rPr>
        <w:t>18</w:t>
      </w:r>
      <w:r>
        <w:rPr>
          <w:color w:val="auto"/>
          <w:sz w:val="24"/>
          <w:szCs w:val="24"/>
          <w:highlight w:val="none"/>
        </w:rPr>
        <w:fldChar w:fldCharType="end"/>
      </w:r>
      <w:r>
        <w:rPr>
          <w:rFonts w:hint="eastAsia" w:ascii="宋体" w:hAnsi="宋体" w:eastAsia="宋体" w:cs="宋体"/>
          <w:color w:val="auto"/>
          <w:kern w:val="0"/>
          <w:sz w:val="24"/>
          <w:szCs w:val="24"/>
          <w:highlight w:val="none"/>
        </w:rPr>
        <w:fldChar w:fldCharType="end"/>
      </w:r>
    </w:p>
    <w:p>
      <w:pPr>
        <w:pStyle w:val="20"/>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color w:val="auto"/>
          <w:sz w:val="24"/>
          <w:szCs w:val="24"/>
          <w:highlight w:val="none"/>
        </w:rPr>
      </w:pPr>
      <w:r>
        <w:rPr>
          <w:rFonts w:hint="eastAsia" w:ascii="宋体" w:hAnsi="宋体" w:eastAsia="宋体" w:cs="宋体"/>
          <w:color w:val="auto"/>
          <w:kern w:val="0"/>
          <w:sz w:val="24"/>
          <w:szCs w:val="24"/>
          <w:highlight w:val="none"/>
        </w:rPr>
        <w:fldChar w:fldCharType="begin"/>
      </w:r>
      <w:r>
        <w:rPr>
          <w:rFonts w:hint="eastAsia" w:ascii="宋体" w:hAnsi="宋体" w:eastAsia="宋体" w:cs="宋体"/>
          <w:color w:val="auto"/>
          <w:kern w:val="0"/>
          <w:sz w:val="24"/>
          <w:szCs w:val="24"/>
          <w:highlight w:val="none"/>
        </w:rPr>
        <w:instrText xml:space="preserve"> HYPERLINK \l _Toc57 </w:instrText>
      </w:r>
      <w:r>
        <w:rPr>
          <w:rFonts w:hint="eastAsia" w:ascii="宋体" w:hAnsi="宋体" w:eastAsia="宋体" w:cs="宋体"/>
          <w:color w:val="auto"/>
          <w:kern w:val="0"/>
          <w:sz w:val="24"/>
          <w:szCs w:val="24"/>
          <w:highlight w:val="none"/>
        </w:rPr>
        <w:fldChar w:fldCharType="separate"/>
      </w:r>
      <w:r>
        <w:rPr>
          <w:rFonts w:hint="eastAsia" w:hAnsi="宋体" w:cs="宋体"/>
          <w:color w:val="auto"/>
          <w:sz w:val="24"/>
          <w:szCs w:val="24"/>
          <w:highlight w:val="none"/>
        </w:rPr>
        <w:t>第2章  采购邀请</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_Toc57 \h </w:instrText>
      </w:r>
      <w:r>
        <w:rPr>
          <w:color w:val="auto"/>
          <w:sz w:val="24"/>
          <w:szCs w:val="24"/>
          <w:highlight w:val="none"/>
        </w:rPr>
        <w:fldChar w:fldCharType="separate"/>
      </w:r>
      <w:r>
        <w:rPr>
          <w:color w:val="auto"/>
          <w:sz w:val="24"/>
          <w:szCs w:val="24"/>
          <w:highlight w:val="none"/>
        </w:rPr>
        <w:t>24</w:t>
      </w:r>
      <w:r>
        <w:rPr>
          <w:color w:val="auto"/>
          <w:sz w:val="24"/>
          <w:szCs w:val="24"/>
          <w:highlight w:val="none"/>
        </w:rPr>
        <w:fldChar w:fldCharType="end"/>
      </w:r>
      <w:r>
        <w:rPr>
          <w:rFonts w:hint="eastAsia" w:ascii="宋体" w:hAnsi="宋体" w:eastAsia="宋体" w:cs="宋体"/>
          <w:color w:val="auto"/>
          <w:kern w:val="0"/>
          <w:sz w:val="24"/>
          <w:szCs w:val="24"/>
          <w:highlight w:val="none"/>
        </w:rPr>
        <w:fldChar w:fldCharType="end"/>
      </w:r>
    </w:p>
    <w:p>
      <w:pPr>
        <w:pStyle w:val="20"/>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color w:val="auto"/>
          <w:sz w:val="24"/>
          <w:szCs w:val="24"/>
          <w:highlight w:val="none"/>
        </w:rPr>
      </w:pPr>
      <w:r>
        <w:rPr>
          <w:rFonts w:hint="eastAsia" w:ascii="宋体" w:hAnsi="宋体" w:eastAsia="宋体" w:cs="宋体"/>
          <w:color w:val="auto"/>
          <w:kern w:val="0"/>
          <w:sz w:val="24"/>
          <w:szCs w:val="24"/>
          <w:highlight w:val="none"/>
        </w:rPr>
        <w:fldChar w:fldCharType="begin"/>
      </w:r>
      <w:r>
        <w:rPr>
          <w:rFonts w:hint="eastAsia" w:ascii="宋体" w:hAnsi="宋体" w:eastAsia="宋体" w:cs="宋体"/>
          <w:color w:val="auto"/>
          <w:kern w:val="0"/>
          <w:sz w:val="24"/>
          <w:szCs w:val="24"/>
          <w:highlight w:val="none"/>
        </w:rPr>
        <w:instrText xml:space="preserve"> HYPERLINK \l _Toc22616 </w:instrText>
      </w:r>
      <w:r>
        <w:rPr>
          <w:rFonts w:hint="eastAsia" w:ascii="宋体" w:hAnsi="宋体" w:eastAsia="宋体" w:cs="宋体"/>
          <w:color w:val="auto"/>
          <w:kern w:val="0"/>
          <w:sz w:val="24"/>
          <w:szCs w:val="24"/>
          <w:highlight w:val="none"/>
        </w:rPr>
        <w:fldChar w:fldCharType="separate"/>
      </w:r>
      <w:r>
        <w:rPr>
          <w:rFonts w:hint="eastAsia" w:hAnsi="宋体" w:cs="宋体"/>
          <w:color w:val="auto"/>
          <w:sz w:val="24"/>
          <w:szCs w:val="24"/>
          <w:highlight w:val="none"/>
        </w:rPr>
        <w:t>第3章 供应商须知资料表</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_Toc22616 \h </w:instrText>
      </w:r>
      <w:r>
        <w:rPr>
          <w:color w:val="auto"/>
          <w:sz w:val="24"/>
          <w:szCs w:val="24"/>
          <w:highlight w:val="none"/>
        </w:rPr>
        <w:fldChar w:fldCharType="separate"/>
      </w:r>
      <w:r>
        <w:rPr>
          <w:color w:val="auto"/>
          <w:sz w:val="24"/>
          <w:szCs w:val="24"/>
          <w:highlight w:val="none"/>
        </w:rPr>
        <w:t>26</w:t>
      </w:r>
      <w:r>
        <w:rPr>
          <w:color w:val="auto"/>
          <w:sz w:val="24"/>
          <w:szCs w:val="24"/>
          <w:highlight w:val="none"/>
        </w:rPr>
        <w:fldChar w:fldCharType="end"/>
      </w:r>
      <w:r>
        <w:rPr>
          <w:rFonts w:hint="eastAsia" w:ascii="宋体" w:hAnsi="宋体" w:eastAsia="宋体" w:cs="宋体"/>
          <w:color w:val="auto"/>
          <w:kern w:val="0"/>
          <w:sz w:val="24"/>
          <w:szCs w:val="24"/>
          <w:highlight w:val="none"/>
        </w:rPr>
        <w:fldChar w:fldCharType="end"/>
      </w:r>
    </w:p>
    <w:p>
      <w:pPr>
        <w:pStyle w:val="20"/>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rFonts w:hint="eastAsia" w:eastAsia="宋体"/>
          <w:color w:val="auto"/>
          <w:sz w:val="24"/>
          <w:szCs w:val="24"/>
          <w:highlight w:val="none"/>
          <w:lang w:val="en-US" w:eastAsia="zh-CN"/>
        </w:rPr>
      </w:pPr>
      <w:r>
        <w:rPr>
          <w:rFonts w:hint="eastAsia" w:ascii="宋体" w:hAnsi="宋体" w:eastAsia="宋体" w:cs="宋体"/>
          <w:color w:val="auto"/>
          <w:kern w:val="0"/>
          <w:sz w:val="24"/>
          <w:szCs w:val="24"/>
          <w:highlight w:val="none"/>
        </w:rPr>
        <w:fldChar w:fldCharType="begin"/>
      </w:r>
      <w:r>
        <w:rPr>
          <w:rFonts w:hint="eastAsia" w:ascii="宋体" w:hAnsi="宋体" w:eastAsia="宋体" w:cs="宋体"/>
          <w:color w:val="auto"/>
          <w:kern w:val="0"/>
          <w:sz w:val="24"/>
          <w:szCs w:val="24"/>
          <w:highlight w:val="none"/>
        </w:rPr>
        <w:instrText xml:space="preserve"> HYPERLINK \l _Toc1457 </w:instrText>
      </w:r>
      <w:r>
        <w:rPr>
          <w:rFonts w:hint="eastAsia" w:ascii="宋体" w:hAnsi="宋体" w:eastAsia="宋体" w:cs="宋体"/>
          <w:color w:val="auto"/>
          <w:kern w:val="0"/>
          <w:sz w:val="24"/>
          <w:szCs w:val="24"/>
          <w:highlight w:val="none"/>
        </w:rPr>
        <w:fldChar w:fldCharType="separate"/>
      </w:r>
      <w:r>
        <w:rPr>
          <w:color w:val="auto"/>
          <w:sz w:val="24"/>
          <w:szCs w:val="24"/>
          <w:highlight w:val="none"/>
        </w:rPr>
        <w:t xml:space="preserve">第4章 </w:t>
      </w:r>
      <w:r>
        <w:rPr>
          <w:rFonts w:hint="eastAsia"/>
          <w:color w:val="auto"/>
          <w:sz w:val="24"/>
          <w:szCs w:val="24"/>
          <w:highlight w:val="none"/>
        </w:rPr>
        <w:t>货物需求一览表及技术规格</w:t>
      </w:r>
      <w:r>
        <w:rPr>
          <w:color w:val="auto"/>
          <w:sz w:val="24"/>
          <w:szCs w:val="24"/>
          <w:highlight w:val="none"/>
        </w:rPr>
        <w:tab/>
      </w:r>
      <w:r>
        <w:rPr>
          <w:rFonts w:hint="eastAsia"/>
          <w:color w:val="auto"/>
          <w:sz w:val="24"/>
          <w:szCs w:val="24"/>
          <w:highlight w:val="none"/>
          <w:lang w:val="en-US" w:eastAsia="zh-CN"/>
        </w:rPr>
        <w:t>2</w:t>
      </w:r>
      <w:r>
        <w:rPr>
          <w:rFonts w:hint="eastAsia" w:ascii="宋体" w:hAnsi="宋体" w:eastAsia="宋体" w:cs="宋体"/>
          <w:color w:val="auto"/>
          <w:kern w:val="0"/>
          <w:sz w:val="24"/>
          <w:szCs w:val="24"/>
          <w:highlight w:val="none"/>
        </w:rPr>
        <w:fldChar w:fldCharType="end"/>
      </w:r>
      <w:r>
        <w:rPr>
          <w:rFonts w:hint="eastAsia" w:ascii="Times New Roman" w:hAnsi="Times New Roman" w:eastAsia="宋体" w:cs="Times New Roman"/>
          <w:color w:val="auto"/>
          <w:sz w:val="24"/>
          <w:szCs w:val="24"/>
          <w:highlight w:val="none"/>
          <w:lang w:val="en-US" w:eastAsia="zh-CN"/>
        </w:rPr>
        <w:t>9</w:t>
      </w:r>
    </w:p>
    <w:p>
      <w:pPr>
        <w:pStyle w:val="20"/>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color w:val="auto"/>
          <w:sz w:val="24"/>
          <w:szCs w:val="24"/>
          <w:highlight w:val="none"/>
        </w:rPr>
      </w:pPr>
      <w:r>
        <w:rPr>
          <w:rFonts w:hint="eastAsia" w:ascii="宋体" w:hAnsi="宋体" w:eastAsia="宋体" w:cs="宋体"/>
          <w:color w:val="auto"/>
          <w:kern w:val="0"/>
          <w:sz w:val="24"/>
          <w:szCs w:val="24"/>
          <w:highlight w:val="none"/>
        </w:rPr>
        <w:fldChar w:fldCharType="begin"/>
      </w:r>
      <w:r>
        <w:rPr>
          <w:rFonts w:hint="eastAsia" w:ascii="宋体" w:hAnsi="宋体" w:eastAsia="宋体" w:cs="宋体"/>
          <w:color w:val="auto"/>
          <w:kern w:val="0"/>
          <w:sz w:val="24"/>
          <w:szCs w:val="24"/>
          <w:highlight w:val="none"/>
        </w:rPr>
        <w:instrText xml:space="preserve"> HYPERLINK \l _Toc23476 </w:instrText>
      </w:r>
      <w:r>
        <w:rPr>
          <w:rFonts w:hint="eastAsia" w:ascii="宋体" w:hAnsi="宋体" w:eastAsia="宋体" w:cs="宋体"/>
          <w:color w:val="auto"/>
          <w:kern w:val="0"/>
          <w:sz w:val="24"/>
          <w:szCs w:val="24"/>
          <w:highlight w:val="none"/>
        </w:rPr>
        <w:fldChar w:fldCharType="separate"/>
      </w:r>
      <w:r>
        <w:rPr>
          <w:rFonts w:hint="eastAsia" w:hAnsi="宋体" w:cs="宋体"/>
          <w:color w:val="auto"/>
          <w:sz w:val="24"/>
          <w:szCs w:val="24"/>
          <w:highlight w:val="none"/>
        </w:rPr>
        <w:t>第5章  评审方法和标准</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_Toc23476 \h </w:instrText>
      </w:r>
      <w:r>
        <w:rPr>
          <w:color w:val="auto"/>
          <w:sz w:val="24"/>
          <w:szCs w:val="24"/>
          <w:highlight w:val="none"/>
        </w:rPr>
        <w:fldChar w:fldCharType="separate"/>
      </w:r>
      <w:r>
        <w:rPr>
          <w:color w:val="auto"/>
          <w:sz w:val="24"/>
          <w:szCs w:val="24"/>
          <w:highlight w:val="none"/>
        </w:rPr>
        <w:t>37</w:t>
      </w:r>
      <w:r>
        <w:rPr>
          <w:color w:val="auto"/>
          <w:sz w:val="24"/>
          <w:szCs w:val="24"/>
          <w:highlight w:val="none"/>
        </w:rPr>
        <w:fldChar w:fldCharType="end"/>
      </w:r>
      <w:r>
        <w:rPr>
          <w:rFonts w:hint="eastAsia" w:ascii="宋体" w:hAnsi="宋体" w:eastAsia="宋体" w:cs="宋体"/>
          <w:color w:val="auto"/>
          <w:kern w:val="0"/>
          <w:sz w:val="24"/>
          <w:szCs w:val="24"/>
          <w:highlight w:val="none"/>
        </w:rPr>
        <w:fldChar w:fldCharType="end"/>
      </w:r>
    </w:p>
    <w:p>
      <w:pPr>
        <w:pStyle w:val="23"/>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color w:val="auto"/>
          <w:sz w:val="24"/>
          <w:szCs w:val="24"/>
          <w:highlight w:val="none"/>
        </w:rPr>
      </w:pPr>
      <w:r>
        <w:rPr>
          <w:rFonts w:hint="eastAsia" w:ascii="宋体" w:hAnsi="宋体" w:eastAsia="宋体" w:cs="宋体"/>
          <w:color w:val="auto"/>
          <w:kern w:val="0"/>
          <w:sz w:val="24"/>
          <w:szCs w:val="24"/>
          <w:highlight w:val="none"/>
        </w:rPr>
        <w:fldChar w:fldCharType="begin"/>
      </w:r>
      <w:r>
        <w:rPr>
          <w:rFonts w:hint="eastAsia" w:ascii="宋体" w:hAnsi="宋体" w:eastAsia="宋体" w:cs="宋体"/>
          <w:color w:val="auto"/>
          <w:kern w:val="0"/>
          <w:sz w:val="24"/>
          <w:szCs w:val="24"/>
          <w:highlight w:val="none"/>
        </w:rPr>
        <w:instrText xml:space="preserve"> HYPERLINK \l _Toc499 </w:instrText>
      </w:r>
      <w:r>
        <w:rPr>
          <w:rFonts w:hint="eastAsia" w:ascii="宋体" w:hAnsi="宋体" w:eastAsia="宋体" w:cs="宋体"/>
          <w:color w:val="auto"/>
          <w:kern w:val="0"/>
          <w:sz w:val="24"/>
          <w:szCs w:val="24"/>
          <w:highlight w:val="none"/>
        </w:rPr>
        <w:fldChar w:fldCharType="separate"/>
      </w:r>
      <w:r>
        <w:rPr>
          <w:rFonts w:hint="eastAsia"/>
          <w:color w:val="auto"/>
          <w:sz w:val="24"/>
          <w:szCs w:val="24"/>
          <w:highlight w:val="none"/>
          <w:lang w:val="en-US" w:eastAsia="zh-CN"/>
        </w:rPr>
        <w:t>一、</w:t>
      </w:r>
      <w:r>
        <w:rPr>
          <w:rFonts w:hint="eastAsia"/>
          <w:color w:val="auto"/>
          <w:sz w:val="24"/>
          <w:szCs w:val="24"/>
          <w:highlight w:val="none"/>
        </w:rPr>
        <w:t>初步评审</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_Toc499 \h </w:instrText>
      </w:r>
      <w:r>
        <w:rPr>
          <w:color w:val="auto"/>
          <w:sz w:val="24"/>
          <w:szCs w:val="24"/>
          <w:highlight w:val="none"/>
        </w:rPr>
        <w:fldChar w:fldCharType="separate"/>
      </w:r>
      <w:r>
        <w:rPr>
          <w:color w:val="auto"/>
          <w:sz w:val="24"/>
          <w:szCs w:val="24"/>
          <w:highlight w:val="none"/>
        </w:rPr>
        <w:t>37</w:t>
      </w:r>
      <w:r>
        <w:rPr>
          <w:color w:val="auto"/>
          <w:sz w:val="24"/>
          <w:szCs w:val="24"/>
          <w:highlight w:val="none"/>
        </w:rPr>
        <w:fldChar w:fldCharType="end"/>
      </w:r>
      <w:r>
        <w:rPr>
          <w:rFonts w:hint="eastAsia" w:ascii="宋体" w:hAnsi="宋体" w:eastAsia="宋体" w:cs="宋体"/>
          <w:color w:val="auto"/>
          <w:kern w:val="0"/>
          <w:sz w:val="24"/>
          <w:szCs w:val="24"/>
          <w:highlight w:val="none"/>
        </w:rPr>
        <w:fldChar w:fldCharType="end"/>
      </w:r>
    </w:p>
    <w:p>
      <w:pPr>
        <w:pStyle w:val="23"/>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color w:val="auto"/>
          <w:sz w:val="24"/>
          <w:szCs w:val="24"/>
          <w:highlight w:val="none"/>
        </w:rPr>
      </w:pPr>
      <w:r>
        <w:rPr>
          <w:rFonts w:hint="eastAsia" w:ascii="宋体" w:hAnsi="宋体" w:eastAsia="宋体" w:cs="宋体"/>
          <w:color w:val="auto"/>
          <w:kern w:val="0"/>
          <w:sz w:val="24"/>
          <w:szCs w:val="24"/>
          <w:highlight w:val="none"/>
        </w:rPr>
        <w:fldChar w:fldCharType="begin"/>
      </w:r>
      <w:r>
        <w:rPr>
          <w:rFonts w:hint="eastAsia" w:ascii="宋体" w:hAnsi="宋体" w:eastAsia="宋体" w:cs="宋体"/>
          <w:color w:val="auto"/>
          <w:kern w:val="0"/>
          <w:sz w:val="24"/>
          <w:szCs w:val="24"/>
          <w:highlight w:val="none"/>
        </w:rPr>
        <w:instrText xml:space="preserve"> HYPERLINK \l _Toc3860 </w:instrText>
      </w:r>
      <w:r>
        <w:rPr>
          <w:rFonts w:hint="eastAsia" w:ascii="宋体" w:hAnsi="宋体" w:eastAsia="宋体" w:cs="宋体"/>
          <w:color w:val="auto"/>
          <w:kern w:val="0"/>
          <w:sz w:val="24"/>
          <w:szCs w:val="24"/>
          <w:highlight w:val="none"/>
        </w:rPr>
        <w:fldChar w:fldCharType="separate"/>
      </w:r>
      <w:r>
        <w:rPr>
          <w:rFonts w:hint="eastAsia" w:ascii="宋体" w:hAnsi="宋体" w:cs="宋体"/>
          <w:color w:val="auto"/>
          <w:sz w:val="24"/>
          <w:szCs w:val="24"/>
          <w:highlight w:val="none"/>
          <w:lang w:val="en-US" w:eastAsia="zh-CN"/>
        </w:rPr>
        <w:t>二、</w:t>
      </w:r>
      <w:r>
        <w:rPr>
          <w:rFonts w:hint="eastAsia" w:ascii="宋体" w:hAnsi="宋体" w:eastAsia="宋体" w:cs="宋体"/>
          <w:color w:val="auto"/>
          <w:sz w:val="24"/>
          <w:szCs w:val="24"/>
          <w:highlight w:val="none"/>
        </w:rPr>
        <w:t>评分细则</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_Toc3860 \h </w:instrText>
      </w:r>
      <w:r>
        <w:rPr>
          <w:color w:val="auto"/>
          <w:sz w:val="24"/>
          <w:szCs w:val="24"/>
          <w:highlight w:val="none"/>
        </w:rPr>
        <w:fldChar w:fldCharType="separate"/>
      </w:r>
      <w:r>
        <w:rPr>
          <w:color w:val="auto"/>
          <w:sz w:val="24"/>
          <w:szCs w:val="24"/>
          <w:highlight w:val="none"/>
        </w:rPr>
        <w:t>38</w:t>
      </w:r>
      <w:r>
        <w:rPr>
          <w:color w:val="auto"/>
          <w:sz w:val="24"/>
          <w:szCs w:val="24"/>
          <w:highlight w:val="none"/>
        </w:rPr>
        <w:fldChar w:fldCharType="end"/>
      </w:r>
      <w:r>
        <w:rPr>
          <w:rFonts w:hint="eastAsia" w:ascii="宋体" w:hAnsi="宋体" w:eastAsia="宋体" w:cs="宋体"/>
          <w:color w:val="auto"/>
          <w:kern w:val="0"/>
          <w:sz w:val="24"/>
          <w:szCs w:val="24"/>
          <w:highlight w:val="none"/>
        </w:rPr>
        <w:fldChar w:fldCharType="end"/>
      </w:r>
    </w:p>
    <w:p>
      <w:pPr>
        <w:pStyle w:val="20"/>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color w:val="auto"/>
          <w:sz w:val="24"/>
          <w:szCs w:val="24"/>
          <w:highlight w:val="none"/>
        </w:rPr>
      </w:pPr>
      <w:r>
        <w:rPr>
          <w:rFonts w:hint="eastAsia" w:ascii="宋体" w:hAnsi="宋体" w:eastAsia="宋体" w:cs="宋体"/>
          <w:color w:val="auto"/>
          <w:kern w:val="0"/>
          <w:sz w:val="24"/>
          <w:szCs w:val="24"/>
          <w:highlight w:val="none"/>
        </w:rPr>
        <w:fldChar w:fldCharType="begin"/>
      </w:r>
      <w:r>
        <w:rPr>
          <w:rFonts w:hint="eastAsia" w:ascii="宋体" w:hAnsi="宋体" w:eastAsia="宋体" w:cs="宋体"/>
          <w:color w:val="auto"/>
          <w:kern w:val="0"/>
          <w:sz w:val="24"/>
          <w:szCs w:val="24"/>
          <w:highlight w:val="none"/>
        </w:rPr>
        <w:instrText xml:space="preserve"> HYPERLINK \l _Toc15882 </w:instrText>
      </w:r>
      <w:r>
        <w:rPr>
          <w:rFonts w:hint="eastAsia" w:ascii="宋体" w:hAnsi="宋体" w:eastAsia="宋体" w:cs="宋体"/>
          <w:color w:val="auto"/>
          <w:kern w:val="0"/>
          <w:sz w:val="24"/>
          <w:szCs w:val="24"/>
          <w:highlight w:val="none"/>
        </w:rPr>
        <w:fldChar w:fldCharType="separate"/>
      </w:r>
      <w:r>
        <w:rPr>
          <w:rFonts w:hint="eastAsia" w:hAnsi="宋体" w:cs="宋体"/>
          <w:color w:val="auto"/>
          <w:sz w:val="24"/>
          <w:szCs w:val="24"/>
          <w:highlight w:val="none"/>
        </w:rPr>
        <w:t>第6章 响应文件格式</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_Toc15882 \h </w:instrText>
      </w:r>
      <w:r>
        <w:rPr>
          <w:color w:val="auto"/>
          <w:sz w:val="24"/>
          <w:szCs w:val="24"/>
          <w:highlight w:val="none"/>
        </w:rPr>
        <w:fldChar w:fldCharType="separate"/>
      </w:r>
      <w:r>
        <w:rPr>
          <w:color w:val="auto"/>
          <w:sz w:val="24"/>
          <w:szCs w:val="24"/>
          <w:highlight w:val="none"/>
        </w:rPr>
        <w:t>42</w:t>
      </w:r>
      <w:r>
        <w:rPr>
          <w:color w:val="auto"/>
          <w:sz w:val="24"/>
          <w:szCs w:val="24"/>
          <w:highlight w:val="none"/>
        </w:rPr>
        <w:fldChar w:fldCharType="end"/>
      </w:r>
      <w:r>
        <w:rPr>
          <w:rFonts w:hint="eastAsia" w:ascii="宋体" w:hAnsi="宋体" w:eastAsia="宋体" w:cs="宋体"/>
          <w:color w:val="auto"/>
          <w:kern w:val="0"/>
          <w:sz w:val="24"/>
          <w:szCs w:val="24"/>
          <w:highlight w:val="none"/>
        </w:rPr>
        <w:fldChar w:fldCharType="end"/>
      </w:r>
    </w:p>
    <w:p>
      <w:pPr>
        <w:pStyle w:val="23"/>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color w:val="auto"/>
          <w:sz w:val="24"/>
          <w:szCs w:val="24"/>
          <w:highlight w:val="none"/>
        </w:rPr>
      </w:pPr>
      <w:r>
        <w:rPr>
          <w:rFonts w:hint="eastAsia" w:ascii="宋体" w:hAnsi="宋体" w:eastAsia="宋体" w:cs="宋体"/>
          <w:color w:val="auto"/>
          <w:kern w:val="0"/>
          <w:sz w:val="24"/>
          <w:szCs w:val="24"/>
          <w:highlight w:val="none"/>
        </w:rPr>
        <w:fldChar w:fldCharType="begin"/>
      </w:r>
      <w:r>
        <w:rPr>
          <w:rFonts w:hint="eastAsia" w:ascii="宋体" w:hAnsi="宋体" w:eastAsia="宋体" w:cs="宋体"/>
          <w:color w:val="auto"/>
          <w:kern w:val="0"/>
          <w:sz w:val="24"/>
          <w:szCs w:val="24"/>
          <w:highlight w:val="none"/>
        </w:rPr>
        <w:instrText xml:space="preserve"> HYPERLINK \l _Toc27723 </w:instrText>
      </w:r>
      <w:r>
        <w:rPr>
          <w:rFonts w:hint="eastAsia" w:ascii="宋体" w:hAnsi="宋体" w:eastAsia="宋体" w:cs="宋体"/>
          <w:color w:val="auto"/>
          <w:kern w:val="0"/>
          <w:sz w:val="24"/>
          <w:szCs w:val="24"/>
          <w:highlight w:val="none"/>
        </w:rPr>
        <w:fldChar w:fldCharType="separate"/>
      </w:r>
      <w:r>
        <w:rPr>
          <w:rFonts w:hint="eastAsia" w:ascii="宋体" w:hAnsi="宋体" w:eastAsia="宋体" w:cs="宋体"/>
          <w:color w:val="auto"/>
          <w:sz w:val="24"/>
          <w:szCs w:val="24"/>
          <w:highlight w:val="none"/>
        </w:rPr>
        <w:t>一、封面格式</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_Toc27723 \h </w:instrText>
      </w:r>
      <w:r>
        <w:rPr>
          <w:color w:val="auto"/>
          <w:sz w:val="24"/>
          <w:szCs w:val="24"/>
          <w:highlight w:val="none"/>
        </w:rPr>
        <w:fldChar w:fldCharType="separate"/>
      </w:r>
      <w:r>
        <w:rPr>
          <w:color w:val="auto"/>
          <w:sz w:val="24"/>
          <w:szCs w:val="24"/>
          <w:highlight w:val="none"/>
        </w:rPr>
        <w:t>42</w:t>
      </w:r>
      <w:r>
        <w:rPr>
          <w:color w:val="auto"/>
          <w:sz w:val="24"/>
          <w:szCs w:val="24"/>
          <w:highlight w:val="none"/>
        </w:rPr>
        <w:fldChar w:fldCharType="end"/>
      </w:r>
      <w:r>
        <w:rPr>
          <w:rFonts w:hint="eastAsia" w:ascii="宋体" w:hAnsi="宋体" w:eastAsia="宋体" w:cs="宋体"/>
          <w:color w:val="auto"/>
          <w:kern w:val="0"/>
          <w:sz w:val="24"/>
          <w:szCs w:val="24"/>
          <w:highlight w:val="none"/>
        </w:rPr>
        <w:fldChar w:fldCharType="end"/>
      </w:r>
    </w:p>
    <w:p>
      <w:pPr>
        <w:pStyle w:val="23"/>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color w:val="auto"/>
          <w:sz w:val="24"/>
          <w:szCs w:val="24"/>
          <w:highlight w:val="none"/>
        </w:rPr>
      </w:pPr>
      <w:r>
        <w:rPr>
          <w:rFonts w:hint="eastAsia" w:ascii="宋体" w:hAnsi="宋体" w:eastAsia="宋体" w:cs="宋体"/>
          <w:color w:val="auto"/>
          <w:kern w:val="0"/>
          <w:sz w:val="24"/>
          <w:szCs w:val="24"/>
          <w:highlight w:val="none"/>
        </w:rPr>
        <w:fldChar w:fldCharType="begin"/>
      </w:r>
      <w:r>
        <w:rPr>
          <w:rFonts w:hint="eastAsia" w:ascii="宋体" w:hAnsi="宋体" w:eastAsia="宋体" w:cs="宋体"/>
          <w:color w:val="auto"/>
          <w:kern w:val="0"/>
          <w:sz w:val="24"/>
          <w:szCs w:val="24"/>
          <w:highlight w:val="none"/>
        </w:rPr>
        <w:instrText xml:space="preserve"> HYPERLINK \l _Toc13711 </w:instrText>
      </w:r>
      <w:r>
        <w:rPr>
          <w:rFonts w:hint="eastAsia" w:ascii="宋体" w:hAnsi="宋体" w:eastAsia="宋体" w:cs="宋体"/>
          <w:color w:val="auto"/>
          <w:kern w:val="0"/>
          <w:sz w:val="24"/>
          <w:szCs w:val="24"/>
          <w:highlight w:val="none"/>
        </w:rPr>
        <w:fldChar w:fldCharType="separate"/>
      </w:r>
      <w:r>
        <w:rPr>
          <w:rFonts w:hint="eastAsia" w:ascii="宋体" w:hAnsi="宋体" w:eastAsia="宋体" w:cs="宋体"/>
          <w:color w:val="auto"/>
          <w:sz w:val="24"/>
          <w:szCs w:val="24"/>
          <w:highlight w:val="none"/>
        </w:rPr>
        <w:t>二、评审因素索引表</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_Toc13711 \h </w:instrText>
      </w:r>
      <w:r>
        <w:rPr>
          <w:color w:val="auto"/>
          <w:sz w:val="24"/>
          <w:szCs w:val="24"/>
          <w:highlight w:val="none"/>
        </w:rPr>
        <w:fldChar w:fldCharType="separate"/>
      </w:r>
      <w:r>
        <w:rPr>
          <w:color w:val="auto"/>
          <w:sz w:val="24"/>
          <w:szCs w:val="24"/>
          <w:highlight w:val="none"/>
        </w:rPr>
        <w:t>43</w:t>
      </w:r>
      <w:r>
        <w:rPr>
          <w:color w:val="auto"/>
          <w:sz w:val="24"/>
          <w:szCs w:val="24"/>
          <w:highlight w:val="none"/>
        </w:rPr>
        <w:fldChar w:fldCharType="end"/>
      </w:r>
      <w:r>
        <w:rPr>
          <w:rFonts w:hint="eastAsia" w:ascii="宋体" w:hAnsi="宋体" w:eastAsia="宋体" w:cs="宋体"/>
          <w:color w:val="auto"/>
          <w:kern w:val="0"/>
          <w:sz w:val="24"/>
          <w:szCs w:val="24"/>
          <w:highlight w:val="none"/>
        </w:rPr>
        <w:fldChar w:fldCharType="end"/>
      </w:r>
    </w:p>
    <w:p>
      <w:pPr>
        <w:pStyle w:val="23"/>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color w:val="auto"/>
          <w:sz w:val="24"/>
          <w:szCs w:val="24"/>
          <w:highlight w:val="none"/>
        </w:rPr>
      </w:pPr>
      <w:r>
        <w:rPr>
          <w:rFonts w:hint="eastAsia" w:ascii="宋体" w:hAnsi="宋体" w:eastAsia="宋体" w:cs="宋体"/>
          <w:color w:val="auto"/>
          <w:kern w:val="0"/>
          <w:sz w:val="24"/>
          <w:szCs w:val="24"/>
          <w:highlight w:val="none"/>
        </w:rPr>
        <w:fldChar w:fldCharType="begin"/>
      </w:r>
      <w:r>
        <w:rPr>
          <w:rFonts w:hint="eastAsia" w:ascii="宋体" w:hAnsi="宋体" w:eastAsia="宋体" w:cs="宋体"/>
          <w:color w:val="auto"/>
          <w:kern w:val="0"/>
          <w:sz w:val="24"/>
          <w:szCs w:val="24"/>
          <w:highlight w:val="none"/>
        </w:rPr>
        <w:instrText xml:space="preserve"> HYPERLINK \l _Toc7206 </w:instrText>
      </w:r>
      <w:r>
        <w:rPr>
          <w:rFonts w:hint="eastAsia" w:ascii="宋体" w:hAnsi="宋体" w:eastAsia="宋体" w:cs="宋体"/>
          <w:color w:val="auto"/>
          <w:kern w:val="0"/>
          <w:sz w:val="24"/>
          <w:szCs w:val="24"/>
          <w:highlight w:val="none"/>
        </w:rPr>
        <w:fldChar w:fldCharType="separate"/>
      </w:r>
      <w:r>
        <w:rPr>
          <w:rFonts w:hint="eastAsia" w:ascii="宋体" w:hAnsi="宋体" w:cs="宋体"/>
          <w:color w:val="auto"/>
          <w:sz w:val="24"/>
          <w:szCs w:val="24"/>
          <w:highlight w:val="none"/>
          <w:lang w:val="en-US" w:eastAsia="zh-CN"/>
        </w:rPr>
        <w:t>三</w:t>
      </w:r>
      <w:r>
        <w:rPr>
          <w:rFonts w:hint="eastAsia" w:ascii="宋体" w:hAnsi="宋体" w:eastAsia="宋体" w:cs="宋体"/>
          <w:color w:val="auto"/>
          <w:sz w:val="24"/>
          <w:szCs w:val="24"/>
          <w:highlight w:val="none"/>
        </w:rPr>
        <w:t>、报价一览表</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_Toc7206 \h </w:instrText>
      </w:r>
      <w:r>
        <w:rPr>
          <w:color w:val="auto"/>
          <w:sz w:val="24"/>
          <w:szCs w:val="24"/>
          <w:highlight w:val="none"/>
        </w:rPr>
        <w:fldChar w:fldCharType="separate"/>
      </w:r>
      <w:r>
        <w:rPr>
          <w:color w:val="auto"/>
          <w:sz w:val="24"/>
          <w:szCs w:val="24"/>
          <w:highlight w:val="none"/>
        </w:rPr>
        <w:t>48</w:t>
      </w:r>
      <w:r>
        <w:rPr>
          <w:color w:val="auto"/>
          <w:sz w:val="24"/>
          <w:szCs w:val="24"/>
          <w:highlight w:val="none"/>
        </w:rPr>
        <w:fldChar w:fldCharType="end"/>
      </w:r>
      <w:r>
        <w:rPr>
          <w:rFonts w:hint="eastAsia" w:ascii="宋体" w:hAnsi="宋体" w:eastAsia="宋体" w:cs="宋体"/>
          <w:color w:val="auto"/>
          <w:kern w:val="0"/>
          <w:sz w:val="24"/>
          <w:szCs w:val="24"/>
          <w:highlight w:val="none"/>
        </w:rPr>
        <w:fldChar w:fldCharType="end"/>
      </w:r>
    </w:p>
    <w:p>
      <w:pPr>
        <w:pStyle w:val="23"/>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color w:val="auto"/>
          <w:sz w:val="24"/>
          <w:szCs w:val="24"/>
          <w:highlight w:val="none"/>
        </w:rPr>
      </w:pPr>
      <w:r>
        <w:rPr>
          <w:rFonts w:hint="eastAsia" w:ascii="宋体" w:hAnsi="宋体" w:eastAsia="宋体" w:cs="宋体"/>
          <w:color w:val="auto"/>
          <w:kern w:val="0"/>
          <w:sz w:val="24"/>
          <w:szCs w:val="24"/>
          <w:highlight w:val="none"/>
        </w:rPr>
        <w:fldChar w:fldCharType="begin"/>
      </w:r>
      <w:r>
        <w:rPr>
          <w:rFonts w:hint="eastAsia" w:ascii="宋体" w:hAnsi="宋体" w:eastAsia="宋体" w:cs="宋体"/>
          <w:color w:val="auto"/>
          <w:kern w:val="0"/>
          <w:sz w:val="24"/>
          <w:szCs w:val="24"/>
          <w:highlight w:val="none"/>
        </w:rPr>
        <w:instrText xml:space="preserve"> HYPERLINK \l _Toc23154 </w:instrText>
      </w:r>
      <w:r>
        <w:rPr>
          <w:rFonts w:hint="eastAsia" w:ascii="宋体" w:hAnsi="宋体" w:eastAsia="宋体" w:cs="宋体"/>
          <w:color w:val="auto"/>
          <w:kern w:val="0"/>
          <w:sz w:val="24"/>
          <w:szCs w:val="24"/>
          <w:highlight w:val="none"/>
        </w:rPr>
        <w:fldChar w:fldCharType="separate"/>
      </w:r>
      <w:r>
        <w:rPr>
          <w:rFonts w:hint="eastAsia" w:ascii="宋体" w:hAnsi="宋体" w:eastAsia="宋体" w:cs="宋体"/>
          <w:color w:val="auto"/>
          <w:sz w:val="24"/>
          <w:szCs w:val="24"/>
          <w:highlight w:val="none"/>
        </w:rPr>
        <w:t>四、资格证明文件</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_Toc23154 \h </w:instrText>
      </w:r>
      <w:r>
        <w:rPr>
          <w:color w:val="auto"/>
          <w:sz w:val="24"/>
          <w:szCs w:val="24"/>
          <w:highlight w:val="none"/>
        </w:rPr>
        <w:fldChar w:fldCharType="separate"/>
      </w:r>
      <w:r>
        <w:rPr>
          <w:color w:val="auto"/>
          <w:sz w:val="24"/>
          <w:szCs w:val="24"/>
          <w:highlight w:val="none"/>
        </w:rPr>
        <w:t>49</w:t>
      </w:r>
      <w:r>
        <w:rPr>
          <w:color w:val="auto"/>
          <w:sz w:val="24"/>
          <w:szCs w:val="24"/>
          <w:highlight w:val="none"/>
        </w:rPr>
        <w:fldChar w:fldCharType="end"/>
      </w:r>
      <w:r>
        <w:rPr>
          <w:rFonts w:hint="eastAsia" w:ascii="宋体" w:hAnsi="宋体" w:eastAsia="宋体" w:cs="宋体"/>
          <w:color w:val="auto"/>
          <w:kern w:val="0"/>
          <w:sz w:val="24"/>
          <w:szCs w:val="24"/>
          <w:highlight w:val="none"/>
        </w:rPr>
        <w:fldChar w:fldCharType="end"/>
      </w:r>
    </w:p>
    <w:p>
      <w:pPr>
        <w:pStyle w:val="23"/>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color w:val="auto"/>
          <w:sz w:val="24"/>
          <w:szCs w:val="24"/>
          <w:highlight w:val="none"/>
        </w:rPr>
      </w:pPr>
      <w:r>
        <w:rPr>
          <w:rFonts w:hint="eastAsia" w:ascii="宋体" w:hAnsi="宋体" w:eastAsia="宋体" w:cs="宋体"/>
          <w:color w:val="auto"/>
          <w:kern w:val="0"/>
          <w:sz w:val="24"/>
          <w:szCs w:val="24"/>
          <w:highlight w:val="none"/>
        </w:rPr>
        <w:fldChar w:fldCharType="begin"/>
      </w:r>
      <w:r>
        <w:rPr>
          <w:rFonts w:hint="eastAsia" w:ascii="宋体" w:hAnsi="宋体" w:eastAsia="宋体" w:cs="宋体"/>
          <w:color w:val="auto"/>
          <w:kern w:val="0"/>
          <w:sz w:val="24"/>
          <w:szCs w:val="24"/>
          <w:highlight w:val="none"/>
        </w:rPr>
        <w:instrText xml:space="preserve"> HYPERLINK \l _Toc6115 </w:instrText>
      </w:r>
      <w:r>
        <w:rPr>
          <w:rFonts w:hint="eastAsia" w:ascii="宋体" w:hAnsi="宋体" w:eastAsia="宋体" w:cs="宋体"/>
          <w:color w:val="auto"/>
          <w:kern w:val="0"/>
          <w:sz w:val="24"/>
          <w:szCs w:val="24"/>
          <w:highlight w:val="none"/>
        </w:rPr>
        <w:fldChar w:fldCharType="separate"/>
      </w:r>
      <w:r>
        <w:rPr>
          <w:rFonts w:hint="eastAsia" w:ascii="宋体" w:hAnsi="宋体" w:eastAsia="宋体" w:cs="宋体"/>
          <w:color w:val="auto"/>
          <w:sz w:val="24"/>
          <w:szCs w:val="24"/>
          <w:highlight w:val="none"/>
        </w:rPr>
        <w:t>五、商务及技术文件</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_Toc6115 \h </w:instrText>
      </w:r>
      <w:r>
        <w:rPr>
          <w:color w:val="auto"/>
          <w:sz w:val="24"/>
          <w:szCs w:val="24"/>
          <w:highlight w:val="none"/>
        </w:rPr>
        <w:fldChar w:fldCharType="separate"/>
      </w:r>
      <w:r>
        <w:rPr>
          <w:color w:val="auto"/>
          <w:sz w:val="24"/>
          <w:szCs w:val="24"/>
          <w:highlight w:val="none"/>
        </w:rPr>
        <w:t>55</w:t>
      </w:r>
      <w:r>
        <w:rPr>
          <w:color w:val="auto"/>
          <w:sz w:val="24"/>
          <w:szCs w:val="24"/>
          <w:highlight w:val="none"/>
        </w:rPr>
        <w:fldChar w:fldCharType="end"/>
      </w:r>
      <w:r>
        <w:rPr>
          <w:rFonts w:hint="eastAsia" w:ascii="宋体" w:hAnsi="宋体" w:eastAsia="宋体" w:cs="宋体"/>
          <w:color w:val="auto"/>
          <w:kern w:val="0"/>
          <w:sz w:val="24"/>
          <w:szCs w:val="24"/>
          <w:highlight w:val="none"/>
        </w:rPr>
        <w:fldChar w:fldCharType="end"/>
      </w:r>
    </w:p>
    <w:p>
      <w:pPr>
        <w:pStyle w:val="20"/>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color w:val="auto"/>
          <w:sz w:val="24"/>
          <w:szCs w:val="24"/>
          <w:highlight w:val="none"/>
        </w:rPr>
      </w:pPr>
      <w:r>
        <w:rPr>
          <w:rFonts w:hint="eastAsia" w:ascii="宋体" w:hAnsi="宋体" w:eastAsia="宋体" w:cs="宋体"/>
          <w:color w:val="auto"/>
          <w:kern w:val="0"/>
          <w:sz w:val="24"/>
          <w:szCs w:val="24"/>
          <w:highlight w:val="none"/>
        </w:rPr>
        <w:fldChar w:fldCharType="begin"/>
      </w:r>
      <w:r>
        <w:rPr>
          <w:rFonts w:hint="eastAsia" w:ascii="宋体" w:hAnsi="宋体" w:eastAsia="宋体" w:cs="宋体"/>
          <w:color w:val="auto"/>
          <w:kern w:val="0"/>
          <w:sz w:val="24"/>
          <w:szCs w:val="24"/>
          <w:highlight w:val="none"/>
        </w:rPr>
        <w:instrText xml:space="preserve"> HYPERLINK \l _Toc3391 </w:instrText>
      </w:r>
      <w:r>
        <w:rPr>
          <w:rFonts w:hint="eastAsia" w:ascii="宋体" w:hAnsi="宋体" w:eastAsia="宋体" w:cs="宋体"/>
          <w:color w:val="auto"/>
          <w:kern w:val="0"/>
          <w:sz w:val="24"/>
          <w:szCs w:val="24"/>
          <w:highlight w:val="none"/>
        </w:rPr>
        <w:fldChar w:fldCharType="separate"/>
      </w:r>
      <w:r>
        <w:rPr>
          <w:rFonts w:hint="eastAsia"/>
          <w:color w:val="auto"/>
          <w:sz w:val="24"/>
          <w:szCs w:val="24"/>
          <w:highlight w:val="none"/>
        </w:rPr>
        <w:t>第7章  政府采购合同格式</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_Toc3391 \h </w:instrText>
      </w:r>
      <w:r>
        <w:rPr>
          <w:color w:val="auto"/>
          <w:sz w:val="24"/>
          <w:szCs w:val="24"/>
          <w:highlight w:val="none"/>
        </w:rPr>
        <w:fldChar w:fldCharType="separate"/>
      </w:r>
      <w:r>
        <w:rPr>
          <w:color w:val="auto"/>
          <w:sz w:val="24"/>
          <w:szCs w:val="24"/>
          <w:highlight w:val="none"/>
        </w:rPr>
        <w:t>60</w:t>
      </w:r>
      <w:r>
        <w:rPr>
          <w:color w:val="auto"/>
          <w:sz w:val="24"/>
          <w:szCs w:val="24"/>
          <w:highlight w:val="none"/>
        </w:rPr>
        <w:fldChar w:fldCharType="end"/>
      </w:r>
      <w:r>
        <w:rPr>
          <w:rFonts w:hint="eastAsia" w:ascii="宋体" w:hAnsi="宋体" w:eastAsia="宋体" w:cs="宋体"/>
          <w:color w:val="auto"/>
          <w:kern w:val="0"/>
          <w:sz w:val="24"/>
          <w:szCs w:val="24"/>
          <w:highlight w:val="none"/>
        </w:rPr>
        <w:fldChar w:fldCharType="end"/>
      </w:r>
    </w:p>
    <w:p>
      <w:pPr>
        <w:pStyle w:val="20"/>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fldChar w:fldCharType="end"/>
      </w:r>
    </w:p>
    <w:p>
      <w:pPr>
        <w:widowControl/>
        <w:jc w:val="left"/>
        <w:rPr>
          <w:rFonts w:ascii="宋体" w:hAnsi="宋体" w:cs="宋体"/>
          <w:color w:val="auto"/>
          <w:kern w:val="44"/>
          <w:szCs w:val="20"/>
          <w:highlight w:val="none"/>
        </w:rPr>
      </w:pPr>
      <w:r>
        <w:rPr>
          <w:rFonts w:ascii="宋体" w:hAnsi="宋体" w:cs="宋体"/>
          <w:color w:val="auto"/>
          <w:kern w:val="44"/>
          <w:szCs w:val="20"/>
          <w:highlight w:val="none"/>
        </w:rPr>
        <w:br w:type="page"/>
      </w:r>
    </w:p>
    <w:p>
      <w:pPr>
        <w:pStyle w:val="3"/>
        <w:numPr>
          <w:ilvl w:val="0"/>
          <w:numId w:val="1"/>
        </w:numPr>
        <w:tabs>
          <w:tab w:val="clear" w:pos="2850"/>
        </w:tabs>
        <w:spacing w:before="0" w:after="0" w:line="240" w:lineRule="atLeast"/>
        <w:ind w:left="1985" w:hanging="1007"/>
        <w:rPr>
          <w:rFonts w:hAnsi="宋体" w:cs="宋体"/>
          <w:color w:val="auto"/>
          <w:highlight w:val="none"/>
        </w:rPr>
      </w:pPr>
      <w:bookmarkStart w:id="3" w:name="_Toc68259613"/>
      <w:bookmarkStart w:id="4" w:name="_Toc515647756"/>
      <w:bookmarkStart w:id="5" w:name="_Toc29532"/>
      <w:r>
        <w:rPr>
          <w:rFonts w:hint="eastAsia" w:hAnsi="宋体" w:cs="宋体"/>
          <w:color w:val="auto"/>
          <w:highlight w:val="none"/>
        </w:rPr>
        <w:t>供应商须知</w:t>
      </w:r>
      <w:bookmarkEnd w:id="0"/>
      <w:bookmarkEnd w:id="1"/>
      <w:bookmarkEnd w:id="2"/>
      <w:bookmarkEnd w:id="3"/>
      <w:bookmarkEnd w:id="4"/>
      <w:bookmarkEnd w:id="5"/>
    </w:p>
    <w:p>
      <w:pPr>
        <w:rPr>
          <w:rFonts w:ascii="宋体" w:hAnsi="宋体" w:cs="宋体"/>
          <w:color w:val="auto"/>
          <w:highlight w:val="none"/>
        </w:rPr>
      </w:pPr>
    </w:p>
    <w:p>
      <w:pPr>
        <w:pStyle w:val="4"/>
        <w:spacing w:before="0" w:line="240" w:lineRule="atLeast"/>
        <w:ind w:left="565" w:leftChars="12" w:hanging="540"/>
        <w:rPr>
          <w:rFonts w:ascii="宋体" w:hAnsi="宋体" w:eastAsia="宋体" w:cs="宋体"/>
          <w:color w:val="auto"/>
          <w:sz w:val="28"/>
          <w:highlight w:val="none"/>
        </w:rPr>
      </w:pPr>
      <w:bookmarkStart w:id="6" w:name="_Toc216582805"/>
      <w:bookmarkStart w:id="7" w:name="_Toc520356143"/>
      <w:bookmarkStart w:id="8" w:name="_Toc515647757"/>
      <w:bookmarkStart w:id="9" w:name="_Toc21015"/>
      <w:bookmarkStart w:id="10" w:name="_Toc68259614"/>
      <w:bookmarkStart w:id="11" w:name="_Toc13427"/>
      <w:bookmarkStart w:id="12" w:name="_Toc21215"/>
      <w:r>
        <w:rPr>
          <w:rFonts w:hint="eastAsia" w:ascii="宋体" w:hAnsi="宋体" w:eastAsia="宋体" w:cs="宋体"/>
          <w:color w:val="auto"/>
          <w:sz w:val="28"/>
          <w:highlight w:val="none"/>
        </w:rPr>
        <w:t xml:space="preserve">一   </w:t>
      </w:r>
      <w:bookmarkEnd w:id="6"/>
      <w:bookmarkEnd w:id="7"/>
      <w:bookmarkEnd w:id="8"/>
      <w:r>
        <w:rPr>
          <w:rFonts w:hint="eastAsia" w:ascii="宋体" w:hAnsi="宋体" w:eastAsia="宋体" w:cs="宋体"/>
          <w:color w:val="auto"/>
          <w:sz w:val="28"/>
          <w:highlight w:val="none"/>
        </w:rPr>
        <w:t>总 则</w:t>
      </w:r>
      <w:bookmarkEnd w:id="9"/>
      <w:bookmarkEnd w:id="10"/>
      <w:bookmarkEnd w:id="11"/>
      <w:bookmarkEnd w:id="12"/>
    </w:p>
    <w:p>
      <w:pPr>
        <w:pStyle w:val="5"/>
        <w:pageBreakBefore w:val="0"/>
        <w:widowControl w:val="0"/>
        <w:kinsoku/>
        <w:wordWrap/>
        <w:overflowPunct/>
        <w:topLinePunct w:val="0"/>
        <w:bidi w:val="0"/>
        <w:spacing w:line="480" w:lineRule="exact"/>
        <w:textAlignment w:val="auto"/>
        <w:rPr>
          <w:color w:val="auto"/>
          <w:highlight w:val="none"/>
        </w:rPr>
      </w:pPr>
      <w:bookmarkStart w:id="13" w:name="_Toc520356144"/>
      <w:bookmarkStart w:id="14" w:name="_Toc32623"/>
      <w:bookmarkStart w:id="15" w:name="_Toc32189"/>
      <w:bookmarkStart w:id="16" w:name="_Toc515647758"/>
      <w:r>
        <w:rPr>
          <w:rFonts w:hint="eastAsia"/>
          <w:color w:val="auto"/>
          <w:highlight w:val="none"/>
        </w:rPr>
        <w:t>1.采购人、采购代理机构及</w:t>
      </w:r>
      <w:bookmarkEnd w:id="13"/>
      <w:r>
        <w:rPr>
          <w:rFonts w:hint="eastAsia"/>
          <w:color w:val="auto"/>
          <w:highlight w:val="none"/>
        </w:rPr>
        <w:t>供应商</w:t>
      </w:r>
      <w:bookmarkEnd w:id="14"/>
      <w:bookmarkEnd w:id="15"/>
      <w:bookmarkEnd w:id="16"/>
    </w:p>
    <w:p>
      <w:pPr>
        <w:pageBreakBefore w:val="0"/>
        <w:widowControl w:val="0"/>
        <w:numPr>
          <w:ilvl w:val="1"/>
          <w:numId w:val="2"/>
        </w:numPr>
        <w:tabs>
          <w:tab w:val="left" w:pos="0"/>
          <w:tab w:val="clear" w:pos="900"/>
        </w:tabs>
        <w:kinsoku/>
        <w:wordWrap/>
        <w:overflowPunct/>
        <w:topLinePunct w:val="0"/>
        <w:bidi w:val="0"/>
        <w:spacing w:line="480" w:lineRule="exact"/>
        <w:ind w:left="0" w:firstLine="424" w:firstLineChars="177"/>
        <w:textAlignment w:val="auto"/>
        <w:rPr>
          <w:rFonts w:ascii="宋体" w:hAnsi="宋体" w:cs="宋体"/>
          <w:color w:val="auto"/>
          <w:sz w:val="24"/>
          <w:highlight w:val="none"/>
        </w:rPr>
      </w:pPr>
      <w:r>
        <w:rPr>
          <w:rFonts w:hint="eastAsia" w:ascii="宋体" w:hAnsi="宋体" w:cs="宋体"/>
          <w:color w:val="auto"/>
          <w:sz w:val="24"/>
          <w:highlight w:val="none"/>
        </w:rPr>
        <w:t xml:space="preserve"> 采购人：是指依法开展政府采购活动的国家机关、事业单位、团体组织。本项目的采购人见</w:t>
      </w:r>
      <w:r>
        <w:rPr>
          <w:rFonts w:hint="eastAsia" w:ascii="宋体" w:hAnsi="宋体" w:cs="宋体"/>
          <w:color w:val="auto"/>
          <w:sz w:val="24"/>
          <w:highlight w:val="none"/>
          <w:u w:val="single"/>
        </w:rPr>
        <w:t>供应商须知资料表</w:t>
      </w:r>
      <w:r>
        <w:rPr>
          <w:rFonts w:hint="eastAsia" w:ascii="宋体" w:hAnsi="宋体" w:cs="宋体"/>
          <w:color w:val="auto"/>
          <w:sz w:val="24"/>
          <w:highlight w:val="none"/>
        </w:rPr>
        <w:t>。</w:t>
      </w:r>
    </w:p>
    <w:p>
      <w:pPr>
        <w:pageBreakBefore w:val="0"/>
        <w:widowControl w:val="0"/>
        <w:numPr>
          <w:ilvl w:val="1"/>
          <w:numId w:val="2"/>
        </w:numPr>
        <w:tabs>
          <w:tab w:val="left" w:pos="0"/>
          <w:tab w:val="clear" w:pos="900"/>
        </w:tabs>
        <w:kinsoku/>
        <w:wordWrap/>
        <w:overflowPunct/>
        <w:topLinePunct w:val="0"/>
        <w:bidi w:val="0"/>
        <w:spacing w:line="480" w:lineRule="exact"/>
        <w:ind w:left="0" w:firstLine="424" w:firstLineChars="177"/>
        <w:textAlignment w:val="auto"/>
        <w:rPr>
          <w:rFonts w:ascii="宋体" w:hAnsi="宋体" w:cs="宋体"/>
          <w:color w:val="auto"/>
          <w:sz w:val="24"/>
          <w:highlight w:val="none"/>
        </w:rPr>
      </w:pPr>
      <w:r>
        <w:rPr>
          <w:rFonts w:hint="eastAsia" w:ascii="宋体" w:hAnsi="宋体" w:cs="宋体"/>
          <w:color w:val="auto"/>
          <w:sz w:val="24"/>
          <w:highlight w:val="none"/>
        </w:rPr>
        <w:t xml:space="preserve"> 采购代理机构：是指集中采购机构或从事采购代理业务的社会中介机构，本项目的采购代理机构见供应商须知资料表。</w:t>
      </w:r>
    </w:p>
    <w:p>
      <w:pPr>
        <w:numPr>
          <w:ilvl w:val="1"/>
          <w:numId w:val="2"/>
        </w:numPr>
        <w:tabs>
          <w:tab w:val="left" w:pos="0"/>
          <w:tab w:val="clear" w:pos="900"/>
        </w:tabs>
        <w:spacing w:line="480" w:lineRule="exact"/>
        <w:ind w:left="0" w:firstLine="424" w:firstLineChars="177"/>
        <w:rPr>
          <w:rFonts w:ascii="宋体" w:hAnsi="宋体" w:cs="宋体"/>
          <w:color w:val="auto"/>
          <w:sz w:val="24"/>
          <w:highlight w:val="none"/>
        </w:rPr>
      </w:pPr>
      <w:bookmarkStart w:id="17" w:name="_Toc5286"/>
      <w:bookmarkStart w:id="18" w:name="_Toc515647759"/>
      <w:bookmarkStart w:id="19" w:name="_Toc12139"/>
      <w:r>
        <w:rPr>
          <w:rFonts w:hint="eastAsia" w:ascii="宋体" w:hAnsi="宋体" w:cs="宋体"/>
          <w:color w:val="auto"/>
          <w:sz w:val="24"/>
          <w:highlight w:val="none"/>
        </w:rPr>
        <w:t xml:space="preserve"> 供应商：是指响应磋商、参加报价竞争的法人、其他组织或者自然人。潜在供应商：以竞争性磋商文件规定的方式获取本项目竞争性磋商文件的法人、其他组织或者自然人。</w:t>
      </w:r>
    </w:p>
    <w:p>
      <w:pPr>
        <w:spacing w:line="480" w:lineRule="exact"/>
        <w:ind w:firstLine="600" w:firstLineChars="250"/>
        <w:rPr>
          <w:rFonts w:ascii="宋体" w:hAnsi="宋体" w:cs="宋体"/>
          <w:color w:val="auto"/>
          <w:sz w:val="24"/>
          <w:highlight w:val="none"/>
        </w:rPr>
      </w:pPr>
      <w:r>
        <w:rPr>
          <w:rFonts w:hint="eastAsia" w:ascii="宋体" w:hAnsi="宋体" w:cs="宋体"/>
          <w:color w:val="auto"/>
          <w:sz w:val="24"/>
          <w:highlight w:val="none"/>
        </w:rPr>
        <w:t>本项目的供应商须满足以下条件：</w:t>
      </w:r>
    </w:p>
    <w:p>
      <w:pPr>
        <w:tabs>
          <w:tab w:val="left" w:pos="0"/>
        </w:tabs>
        <w:spacing w:line="480" w:lineRule="exact"/>
        <w:ind w:firstLine="424" w:firstLineChars="177"/>
        <w:rPr>
          <w:rFonts w:ascii="宋体" w:hAnsi="宋体" w:cs="宋体"/>
          <w:color w:val="auto"/>
          <w:sz w:val="24"/>
          <w:highlight w:val="none"/>
        </w:rPr>
      </w:pPr>
      <w:r>
        <w:rPr>
          <w:rFonts w:hint="eastAsia" w:ascii="宋体" w:hAnsi="宋体" w:cs="宋体"/>
          <w:color w:val="auto"/>
          <w:sz w:val="24"/>
          <w:highlight w:val="none"/>
        </w:rPr>
        <w:t>1.3.1 在中华人民共和国境内注册，能够独立承担民事责任的本国供应商。</w:t>
      </w:r>
    </w:p>
    <w:p>
      <w:pPr>
        <w:tabs>
          <w:tab w:val="left" w:pos="0"/>
        </w:tabs>
        <w:spacing w:line="480" w:lineRule="exact"/>
        <w:ind w:firstLine="424" w:firstLineChars="177"/>
        <w:rPr>
          <w:rFonts w:ascii="宋体" w:hAnsi="宋体" w:cs="宋体"/>
          <w:color w:val="auto"/>
          <w:sz w:val="24"/>
          <w:highlight w:val="none"/>
        </w:rPr>
      </w:pPr>
      <w:r>
        <w:rPr>
          <w:rFonts w:hint="eastAsia" w:ascii="宋体" w:hAnsi="宋体" w:cs="宋体"/>
          <w:color w:val="auto"/>
          <w:sz w:val="24"/>
          <w:highlight w:val="none"/>
        </w:rPr>
        <w:t>1.3.2 具备《中华人民共和国政府采购法》第二十二条关于供应商条件的规定，遵守本项目采购人本级和上级财政部门政府采购的有关规定。</w:t>
      </w:r>
    </w:p>
    <w:p>
      <w:pPr>
        <w:tabs>
          <w:tab w:val="left" w:pos="0"/>
        </w:tabs>
        <w:spacing w:line="480" w:lineRule="exact"/>
        <w:ind w:firstLine="424" w:firstLineChars="177"/>
        <w:rPr>
          <w:rFonts w:ascii="宋体" w:hAnsi="宋体" w:cs="宋体"/>
          <w:color w:val="auto"/>
          <w:sz w:val="24"/>
          <w:highlight w:val="none"/>
        </w:rPr>
      </w:pPr>
      <w:r>
        <w:rPr>
          <w:rFonts w:hint="eastAsia" w:ascii="宋体" w:hAnsi="宋体" w:cs="宋体"/>
          <w:color w:val="auto"/>
          <w:sz w:val="24"/>
          <w:highlight w:val="none"/>
        </w:rPr>
        <w:t>1.3.3 以竞争性磋商文件规定的方式获得了本项目的竞争性磋商文件。</w:t>
      </w:r>
    </w:p>
    <w:p>
      <w:pPr>
        <w:tabs>
          <w:tab w:val="left" w:pos="0"/>
        </w:tabs>
        <w:spacing w:line="480" w:lineRule="exact"/>
        <w:ind w:firstLine="424" w:firstLineChars="177"/>
        <w:rPr>
          <w:rFonts w:ascii="宋体" w:hAnsi="宋体" w:cs="宋体"/>
          <w:color w:val="auto"/>
          <w:sz w:val="24"/>
          <w:highlight w:val="none"/>
        </w:rPr>
      </w:pPr>
      <w:r>
        <w:rPr>
          <w:rFonts w:hint="eastAsia" w:ascii="宋体" w:hAnsi="宋体" w:cs="宋体"/>
          <w:color w:val="auto"/>
          <w:sz w:val="24"/>
          <w:highlight w:val="none"/>
        </w:rPr>
        <w:t>1.3.4 符合供应商须知资料表中规定的其他资格要求。</w:t>
      </w:r>
    </w:p>
    <w:p>
      <w:pPr>
        <w:tabs>
          <w:tab w:val="left" w:pos="0"/>
        </w:tabs>
        <w:spacing w:line="480" w:lineRule="exact"/>
        <w:ind w:firstLine="424" w:firstLineChars="177"/>
        <w:rPr>
          <w:rFonts w:ascii="宋体" w:hAnsi="宋体" w:cs="宋体"/>
          <w:color w:val="auto"/>
          <w:sz w:val="24"/>
          <w:highlight w:val="none"/>
        </w:rPr>
      </w:pPr>
      <w:r>
        <w:rPr>
          <w:rFonts w:hint="eastAsia" w:ascii="宋体" w:hAnsi="宋体" w:cs="宋体"/>
          <w:color w:val="auto"/>
          <w:sz w:val="24"/>
          <w:highlight w:val="none"/>
        </w:rPr>
        <w:t>1.3.5 若供应商须知资料表中写明专门面向中小企业采购的，如供应商为非中小企业，其响应文件将被认定为响应文件无效。</w:t>
      </w:r>
    </w:p>
    <w:p>
      <w:pPr>
        <w:tabs>
          <w:tab w:val="left" w:pos="0"/>
        </w:tabs>
        <w:spacing w:line="480" w:lineRule="exact"/>
        <w:ind w:firstLine="424" w:firstLineChars="177"/>
        <w:rPr>
          <w:rFonts w:ascii="宋体" w:hAnsi="宋体" w:cs="宋体"/>
          <w:color w:val="auto"/>
          <w:sz w:val="24"/>
          <w:highlight w:val="none"/>
        </w:rPr>
      </w:pPr>
      <w:r>
        <w:rPr>
          <w:rFonts w:hint="eastAsia" w:ascii="宋体" w:hAnsi="宋体" w:cs="宋体"/>
          <w:color w:val="auto"/>
          <w:sz w:val="24"/>
          <w:highlight w:val="none"/>
        </w:rPr>
        <w:t>1.4 如供应商须知资料表中允许联合体进行响应，对联合体规定如下：</w:t>
      </w:r>
    </w:p>
    <w:p>
      <w:pPr>
        <w:tabs>
          <w:tab w:val="left" w:pos="0"/>
        </w:tabs>
        <w:spacing w:line="480" w:lineRule="exact"/>
        <w:ind w:firstLine="424" w:firstLineChars="177"/>
        <w:rPr>
          <w:rFonts w:ascii="宋体" w:hAnsi="宋体" w:cs="宋体"/>
          <w:color w:val="auto"/>
          <w:sz w:val="24"/>
          <w:highlight w:val="none"/>
        </w:rPr>
      </w:pPr>
      <w:r>
        <w:rPr>
          <w:rFonts w:hint="eastAsia" w:ascii="宋体" w:hAnsi="宋体" w:cs="宋体"/>
          <w:color w:val="auto"/>
          <w:sz w:val="24"/>
          <w:highlight w:val="none"/>
        </w:rPr>
        <w:t>1.4.1 两个以上供应商可以组成一个联合体，以一个供应商的身份响应。</w:t>
      </w:r>
    </w:p>
    <w:p>
      <w:pPr>
        <w:tabs>
          <w:tab w:val="left" w:pos="0"/>
        </w:tabs>
        <w:spacing w:line="480" w:lineRule="exact"/>
        <w:ind w:firstLine="424" w:firstLineChars="177"/>
        <w:rPr>
          <w:rFonts w:ascii="宋体" w:hAnsi="宋体" w:cs="宋体"/>
          <w:color w:val="auto"/>
          <w:sz w:val="24"/>
          <w:highlight w:val="none"/>
        </w:rPr>
      </w:pPr>
      <w:r>
        <w:rPr>
          <w:rFonts w:hint="eastAsia" w:ascii="宋体" w:hAnsi="宋体" w:cs="宋体"/>
          <w:color w:val="auto"/>
          <w:sz w:val="24"/>
          <w:highlight w:val="none"/>
        </w:rPr>
        <w:t>1.4.2 联合体各方均应符合1.3.2规定。</w:t>
      </w:r>
    </w:p>
    <w:p>
      <w:pPr>
        <w:tabs>
          <w:tab w:val="left" w:pos="0"/>
        </w:tabs>
        <w:spacing w:line="480" w:lineRule="exact"/>
        <w:ind w:firstLine="424" w:firstLineChars="177"/>
        <w:rPr>
          <w:rFonts w:ascii="宋体" w:hAnsi="宋体" w:cs="宋体"/>
          <w:color w:val="auto"/>
          <w:sz w:val="24"/>
          <w:highlight w:val="none"/>
        </w:rPr>
      </w:pPr>
      <w:r>
        <w:rPr>
          <w:rFonts w:hint="eastAsia" w:ascii="宋体" w:hAnsi="宋体" w:cs="宋体"/>
          <w:color w:val="auto"/>
          <w:sz w:val="24"/>
          <w:highlight w:val="none"/>
        </w:rPr>
        <w:t>1.4.3 采购人根据采购项目对供应商的特殊要求，联合体中至少应当有一方符合相关规定。</w:t>
      </w:r>
    </w:p>
    <w:p>
      <w:pPr>
        <w:tabs>
          <w:tab w:val="left" w:pos="0"/>
        </w:tabs>
        <w:spacing w:line="480" w:lineRule="exact"/>
        <w:ind w:firstLine="424" w:firstLineChars="177"/>
        <w:rPr>
          <w:rFonts w:ascii="宋体" w:hAnsi="宋体" w:cs="宋体"/>
          <w:color w:val="auto"/>
          <w:sz w:val="24"/>
          <w:highlight w:val="none"/>
        </w:rPr>
      </w:pPr>
      <w:r>
        <w:rPr>
          <w:rFonts w:hint="eastAsia" w:ascii="宋体" w:hAnsi="宋体" w:cs="宋体"/>
          <w:color w:val="auto"/>
          <w:sz w:val="24"/>
          <w:highlight w:val="none"/>
        </w:rPr>
        <w:t>1.4.4 联合体各方应签订共同响应协议，明确约定联合体各方承担的工作和相应的责任，并将共同响应协议连同响应文件一并提交，否则其响应文件将被认定为无效。</w:t>
      </w:r>
    </w:p>
    <w:p>
      <w:pPr>
        <w:tabs>
          <w:tab w:val="left" w:pos="0"/>
        </w:tabs>
        <w:spacing w:line="480" w:lineRule="exact"/>
        <w:ind w:firstLine="424" w:firstLineChars="177"/>
        <w:rPr>
          <w:rFonts w:ascii="宋体" w:hAnsi="宋体" w:cs="宋体"/>
          <w:color w:val="auto"/>
          <w:sz w:val="24"/>
          <w:highlight w:val="none"/>
        </w:rPr>
      </w:pPr>
      <w:r>
        <w:rPr>
          <w:rFonts w:hint="eastAsia" w:ascii="宋体" w:hAnsi="宋体" w:cs="宋体"/>
          <w:color w:val="auto"/>
          <w:sz w:val="24"/>
          <w:highlight w:val="none"/>
        </w:rPr>
        <w:t>1.4.5 大中型企业、其他自然人、法人或者其他组织与小型、微型企业组成联合体共同参加响应，共同响应协议中应写明小型、微型企业的协议合同金额占到共同响应协议响应总金额的比例。</w:t>
      </w:r>
    </w:p>
    <w:p>
      <w:pPr>
        <w:tabs>
          <w:tab w:val="left" w:pos="0"/>
        </w:tabs>
        <w:spacing w:line="480" w:lineRule="exact"/>
        <w:ind w:firstLine="424" w:firstLineChars="177"/>
        <w:rPr>
          <w:rFonts w:ascii="宋体" w:hAnsi="宋体" w:cs="宋体"/>
          <w:color w:val="auto"/>
          <w:sz w:val="24"/>
          <w:highlight w:val="none"/>
        </w:rPr>
      </w:pPr>
      <w:r>
        <w:rPr>
          <w:rFonts w:hint="eastAsia" w:ascii="宋体" w:hAnsi="宋体" w:cs="宋体"/>
          <w:color w:val="auto"/>
          <w:sz w:val="24"/>
          <w:highlight w:val="none"/>
        </w:rPr>
        <w:t>1.4.6 以联合体形式参加政府采购活动的，联合体各方不得再单独参加或者与其他供应商另外组成联合体参加本项目，否则其响应文件将被认定为无效。</w:t>
      </w:r>
    </w:p>
    <w:p>
      <w:pPr>
        <w:tabs>
          <w:tab w:val="left" w:pos="0"/>
        </w:tabs>
        <w:spacing w:line="480" w:lineRule="exact"/>
        <w:ind w:firstLine="424" w:firstLineChars="177"/>
        <w:rPr>
          <w:rFonts w:ascii="宋体" w:hAnsi="宋体" w:cs="宋体"/>
          <w:color w:val="auto"/>
          <w:sz w:val="24"/>
          <w:highlight w:val="none"/>
        </w:rPr>
      </w:pPr>
      <w:r>
        <w:rPr>
          <w:rFonts w:hint="eastAsia" w:ascii="宋体" w:hAnsi="宋体" w:cs="宋体"/>
          <w:color w:val="auto"/>
          <w:sz w:val="24"/>
          <w:highlight w:val="none"/>
        </w:rPr>
        <w:t>1.4.7 对联合体响应的其他资格要求见供应商须知资料表。</w:t>
      </w:r>
    </w:p>
    <w:p>
      <w:pPr>
        <w:tabs>
          <w:tab w:val="left" w:pos="0"/>
        </w:tabs>
        <w:spacing w:line="480" w:lineRule="exact"/>
        <w:ind w:firstLine="424" w:firstLineChars="177"/>
        <w:rPr>
          <w:rFonts w:ascii="宋体" w:hAnsi="宋体" w:cs="宋体"/>
          <w:color w:val="auto"/>
          <w:sz w:val="24"/>
          <w:highlight w:val="none"/>
        </w:rPr>
      </w:pPr>
      <w:r>
        <w:rPr>
          <w:rFonts w:hint="eastAsia" w:ascii="宋体" w:hAnsi="宋体" w:cs="宋体"/>
          <w:color w:val="auto"/>
          <w:sz w:val="24"/>
          <w:highlight w:val="none"/>
        </w:rPr>
        <w:t>1.5 单位负责人为同一人或者存在直接控股、管理关系的不同供应商，不得参加同一合同项下的政府采购活动，否则其相关响应文件均将被认定为响应文件无效。</w:t>
      </w:r>
    </w:p>
    <w:p>
      <w:pPr>
        <w:tabs>
          <w:tab w:val="left" w:pos="0"/>
        </w:tabs>
        <w:spacing w:line="480" w:lineRule="exact"/>
        <w:ind w:firstLine="424" w:firstLineChars="177"/>
        <w:rPr>
          <w:rFonts w:hint="eastAsia" w:ascii="宋体" w:hAnsi="宋体" w:cs="宋体"/>
          <w:color w:val="auto"/>
          <w:sz w:val="24"/>
          <w:highlight w:val="none"/>
        </w:rPr>
      </w:pPr>
      <w:r>
        <w:rPr>
          <w:rFonts w:hint="eastAsia" w:ascii="宋体" w:hAnsi="宋体" w:cs="宋体"/>
          <w:color w:val="auto"/>
          <w:sz w:val="24"/>
          <w:highlight w:val="none"/>
        </w:rPr>
        <w:t>1.6 各供应商须对本项目指定一个项目负责人，对本项目所有事宜全程负责。未经采购人同意中途不得更换项目负责人。</w:t>
      </w:r>
    </w:p>
    <w:p>
      <w:pPr>
        <w:tabs>
          <w:tab w:val="left" w:pos="0"/>
        </w:tabs>
        <w:spacing w:line="480" w:lineRule="exact"/>
        <w:ind w:firstLine="426" w:firstLineChars="177"/>
        <w:rPr>
          <w:rFonts w:hint="eastAsia"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1.7 关于委托代理人及项目实施负责人的说明：</w:t>
      </w:r>
    </w:p>
    <w:p>
      <w:pPr>
        <w:tabs>
          <w:tab w:val="left" w:pos="0"/>
        </w:tabs>
        <w:spacing w:line="480" w:lineRule="exact"/>
        <w:ind w:firstLine="426" w:firstLineChars="177"/>
        <w:rPr>
          <w:rFonts w:hint="eastAsia"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为杜绝围标串标现象，营造良好的营商环境，投标委托代理人须为投标单位正式员工，并出具该员工投标前6个月内任意3个月的社保证明。若为新公司成立不足3个月，可提供成立以来的社保即可。</w:t>
      </w:r>
    </w:p>
    <w:p>
      <w:pPr>
        <w:tabs>
          <w:tab w:val="left" w:pos="0"/>
        </w:tabs>
        <w:spacing w:line="480" w:lineRule="exact"/>
        <w:ind w:firstLine="426" w:firstLineChars="177"/>
        <w:rPr>
          <w:rFonts w:hint="default"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若该项目有项目实施负责人或经理，也要求为单位正式员工，并出具该员工投标前6个月内任意3个月的社保证明。</w:t>
      </w:r>
    </w:p>
    <w:p>
      <w:pPr>
        <w:pStyle w:val="37"/>
        <w:rPr>
          <w:color w:val="auto"/>
          <w:highlight w:val="none"/>
        </w:rPr>
      </w:pPr>
    </w:p>
    <w:p>
      <w:pPr>
        <w:pStyle w:val="5"/>
        <w:bidi w:val="0"/>
        <w:rPr>
          <w:color w:val="auto"/>
          <w:highlight w:val="none"/>
        </w:rPr>
      </w:pPr>
      <w:r>
        <w:rPr>
          <w:rFonts w:hint="eastAsia"/>
          <w:color w:val="auto"/>
          <w:highlight w:val="none"/>
        </w:rPr>
        <w:t>2.资金来源</w:t>
      </w:r>
      <w:bookmarkEnd w:id="17"/>
      <w:bookmarkEnd w:id="18"/>
      <w:bookmarkEnd w:id="19"/>
    </w:p>
    <w:p>
      <w:pPr>
        <w:tabs>
          <w:tab w:val="left" w:pos="0"/>
        </w:tabs>
        <w:spacing w:line="480" w:lineRule="exact"/>
        <w:ind w:firstLine="424" w:firstLineChars="177"/>
        <w:rPr>
          <w:rFonts w:ascii="宋体" w:hAnsi="宋体" w:cs="宋体"/>
          <w:color w:val="auto"/>
          <w:sz w:val="24"/>
          <w:highlight w:val="none"/>
        </w:rPr>
      </w:pPr>
      <w:r>
        <w:rPr>
          <w:rFonts w:hint="eastAsia" w:ascii="宋体" w:hAnsi="宋体" w:cs="宋体"/>
          <w:color w:val="auto"/>
          <w:sz w:val="24"/>
          <w:highlight w:val="none"/>
        </w:rPr>
        <w:t>2.1</w:t>
      </w:r>
      <w:r>
        <w:rPr>
          <w:rFonts w:hint="eastAsia" w:ascii="宋体" w:hAnsi="宋体" w:cs="宋体"/>
          <w:color w:val="auto"/>
          <w:sz w:val="24"/>
          <w:highlight w:val="none"/>
        </w:rPr>
        <w:tab/>
      </w:r>
      <w:r>
        <w:rPr>
          <w:rFonts w:hint="eastAsia" w:ascii="宋体" w:hAnsi="宋体" w:cs="宋体"/>
          <w:color w:val="auto"/>
          <w:sz w:val="24"/>
          <w:highlight w:val="none"/>
        </w:rPr>
        <w:t xml:space="preserve"> 本项目的采购人已获得足以支付本次磋商后所签订的合同项下的资金（包括财政性资金和本项目采购中无法与财政性资金分割的非财政性资金，预采购项目除外。）。</w:t>
      </w:r>
    </w:p>
    <w:p>
      <w:pPr>
        <w:tabs>
          <w:tab w:val="left" w:pos="0"/>
        </w:tabs>
        <w:spacing w:line="480" w:lineRule="exact"/>
        <w:ind w:firstLine="424" w:firstLineChars="177"/>
        <w:rPr>
          <w:rFonts w:ascii="宋体" w:hAnsi="宋体" w:cs="宋体"/>
          <w:color w:val="auto"/>
          <w:sz w:val="24"/>
          <w:highlight w:val="none"/>
        </w:rPr>
      </w:pPr>
      <w:r>
        <w:rPr>
          <w:rFonts w:hint="eastAsia" w:ascii="宋体" w:hAnsi="宋体" w:cs="宋体"/>
          <w:color w:val="auto"/>
          <w:sz w:val="24"/>
          <w:highlight w:val="none"/>
        </w:rPr>
        <w:t>2.2  项目预算金额和分项或分包最高限价见供应商须知资料表。</w:t>
      </w:r>
    </w:p>
    <w:p>
      <w:pPr>
        <w:tabs>
          <w:tab w:val="left" w:pos="0"/>
        </w:tabs>
        <w:spacing w:line="480" w:lineRule="exact"/>
        <w:ind w:firstLine="424" w:firstLineChars="177"/>
        <w:rPr>
          <w:rFonts w:ascii="宋体" w:hAnsi="宋体" w:cs="宋体"/>
          <w:color w:val="auto"/>
          <w:sz w:val="24"/>
          <w:highlight w:val="none"/>
        </w:rPr>
      </w:pPr>
      <w:r>
        <w:rPr>
          <w:rFonts w:hint="eastAsia" w:ascii="宋体" w:hAnsi="宋体" w:cs="宋体"/>
          <w:color w:val="auto"/>
          <w:sz w:val="24"/>
          <w:highlight w:val="none"/>
        </w:rPr>
        <w:t>2.3  供应商报价超过竞争性磋商文件规定的预算金额或者分项、分包最高限价的，其响应文件将被认定为无效。</w:t>
      </w:r>
    </w:p>
    <w:p>
      <w:pPr>
        <w:pStyle w:val="5"/>
        <w:bidi w:val="0"/>
        <w:rPr>
          <w:color w:val="auto"/>
          <w:highlight w:val="none"/>
        </w:rPr>
      </w:pPr>
      <w:bookmarkStart w:id="20" w:name="_Toc15936"/>
      <w:bookmarkStart w:id="21" w:name="_Toc520356145"/>
      <w:bookmarkStart w:id="22" w:name="_Toc20526"/>
      <w:bookmarkStart w:id="23" w:name="_Toc515647760"/>
      <w:r>
        <w:rPr>
          <w:rFonts w:hint="eastAsia"/>
          <w:color w:val="auto"/>
          <w:highlight w:val="none"/>
        </w:rPr>
        <w:t>3.响应费用</w:t>
      </w:r>
      <w:bookmarkEnd w:id="20"/>
      <w:bookmarkEnd w:id="21"/>
      <w:bookmarkEnd w:id="22"/>
      <w:bookmarkEnd w:id="23"/>
    </w:p>
    <w:p>
      <w:pPr>
        <w:tabs>
          <w:tab w:val="left" w:pos="0"/>
        </w:tabs>
        <w:spacing w:line="480" w:lineRule="exact"/>
        <w:ind w:firstLine="424" w:firstLineChars="177"/>
        <w:rPr>
          <w:rFonts w:ascii="宋体" w:hAnsi="宋体" w:cs="宋体"/>
          <w:color w:val="auto"/>
          <w:sz w:val="24"/>
          <w:highlight w:val="none"/>
        </w:rPr>
      </w:pPr>
      <w:r>
        <w:rPr>
          <w:rFonts w:hint="eastAsia" w:ascii="宋体" w:hAnsi="宋体" w:cs="宋体"/>
          <w:color w:val="auto"/>
          <w:sz w:val="24"/>
          <w:highlight w:val="none"/>
        </w:rPr>
        <w:t>不论响应的结果如何，供应商应承担所有与准备和参加响应有关的费用。</w:t>
      </w:r>
    </w:p>
    <w:p>
      <w:pPr>
        <w:pStyle w:val="5"/>
        <w:bidi w:val="0"/>
        <w:rPr>
          <w:color w:val="auto"/>
          <w:highlight w:val="none"/>
        </w:rPr>
      </w:pPr>
      <w:bookmarkStart w:id="24" w:name="_Toc6116"/>
      <w:bookmarkStart w:id="25" w:name="_Toc4463"/>
      <w:bookmarkStart w:id="26" w:name="_Toc515647761"/>
      <w:r>
        <w:rPr>
          <w:rFonts w:hint="eastAsia"/>
          <w:color w:val="auto"/>
          <w:highlight w:val="none"/>
        </w:rPr>
        <w:t>4.适用法律</w:t>
      </w:r>
      <w:bookmarkEnd w:id="24"/>
      <w:bookmarkEnd w:id="25"/>
      <w:bookmarkEnd w:id="26"/>
    </w:p>
    <w:p>
      <w:pPr>
        <w:tabs>
          <w:tab w:val="left" w:pos="0"/>
        </w:tabs>
        <w:spacing w:line="480" w:lineRule="exact"/>
        <w:ind w:firstLine="544" w:firstLineChars="227"/>
        <w:rPr>
          <w:rFonts w:ascii="宋体" w:hAnsi="宋体" w:cs="宋体"/>
          <w:color w:val="auto"/>
          <w:sz w:val="24"/>
          <w:highlight w:val="none"/>
        </w:rPr>
      </w:pPr>
      <w:r>
        <w:rPr>
          <w:rFonts w:hint="eastAsia" w:ascii="宋体" w:hAnsi="宋体" w:cs="宋体"/>
          <w:color w:val="auto"/>
          <w:sz w:val="24"/>
          <w:highlight w:val="none"/>
        </w:rPr>
        <w:t>本项目采购人、采购代理机构、供应商、磋商小组的相关行为均受《中华人民共和国政府采购法》、《中华人民共和国政府采购法实施条例》及本项目本级和上级财政部门政府采购有关规定的约束和保护。</w:t>
      </w:r>
    </w:p>
    <w:p>
      <w:pPr>
        <w:spacing w:line="480" w:lineRule="exact"/>
        <w:rPr>
          <w:rFonts w:ascii="宋体" w:hAnsi="宋体" w:cs="宋体"/>
          <w:color w:val="auto"/>
          <w:sz w:val="24"/>
          <w:highlight w:val="none"/>
        </w:rPr>
      </w:pPr>
    </w:p>
    <w:p>
      <w:pPr>
        <w:pStyle w:val="4"/>
        <w:spacing w:before="0" w:line="480" w:lineRule="exact"/>
        <w:ind w:left="565" w:leftChars="12" w:hanging="540"/>
        <w:rPr>
          <w:rFonts w:ascii="宋体" w:hAnsi="宋体" w:eastAsia="宋体" w:cs="宋体"/>
          <w:color w:val="auto"/>
          <w:sz w:val="28"/>
          <w:highlight w:val="none"/>
        </w:rPr>
      </w:pPr>
      <w:bookmarkStart w:id="27" w:name="_Toc21566"/>
      <w:bookmarkStart w:id="28" w:name="_Toc515647762"/>
      <w:bookmarkStart w:id="29" w:name="_Toc32134"/>
      <w:bookmarkStart w:id="30" w:name="_Toc4365"/>
      <w:bookmarkStart w:id="31" w:name="_Toc216582806"/>
      <w:bookmarkStart w:id="32" w:name="_Toc68259615"/>
      <w:bookmarkStart w:id="33" w:name="_Toc520356146"/>
      <w:r>
        <w:rPr>
          <w:rFonts w:hint="eastAsia" w:ascii="宋体" w:hAnsi="宋体" w:eastAsia="宋体" w:cs="宋体"/>
          <w:color w:val="auto"/>
          <w:sz w:val="28"/>
          <w:highlight w:val="none"/>
        </w:rPr>
        <w:t>二   竞争性磋商文件</w:t>
      </w:r>
      <w:bookmarkEnd w:id="27"/>
      <w:bookmarkEnd w:id="28"/>
      <w:bookmarkEnd w:id="29"/>
      <w:bookmarkEnd w:id="30"/>
      <w:bookmarkEnd w:id="31"/>
      <w:bookmarkEnd w:id="32"/>
      <w:bookmarkEnd w:id="33"/>
    </w:p>
    <w:p>
      <w:pPr>
        <w:pStyle w:val="6"/>
        <w:spacing w:line="480" w:lineRule="exact"/>
        <w:rPr>
          <w:rFonts w:hAnsi="宋体" w:cs="宋体"/>
          <w:color w:val="auto"/>
          <w:highlight w:val="none"/>
        </w:rPr>
      </w:pPr>
    </w:p>
    <w:p>
      <w:pPr>
        <w:pStyle w:val="5"/>
        <w:bidi w:val="0"/>
        <w:rPr>
          <w:color w:val="auto"/>
          <w:highlight w:val="none"/>
        </w:rPr>
      </w:pPr>
      <w:bookmarkStart w:id="34" w:name="_Toc25743"/>
      <w:bookmarkStart w:id="35" w:name="_Toc520356147"/>
      <w:bookmarkStart w:id="36" w:name="_Toc515647763"/>
      <w:bookmarkStart w:id="37" w:name="_Toc14084"/>
      <w:r>
        <w:rPr>
          <w:rFonts w:hint="eastAsia"/>
          <w:color w:val="auto"/>
          <w:highlight w:val="none"/>
        </w:rPr>
        <w:t>5.竞争性磋商文件构成</w:t>
      </w:r>
      <w:bookmarkEnd w:id="34"/>
      <w:bookmarkEnd w:id="35"/>
      <w:bookmarkEnd w:id="36"/>
      <w:bookmarkEnd w:id="37"/>
    </w:p>
    <w:p>
      <w:pPr>
        <w:spacing w:line="480" w:lineRule="exact"/>
        <w:ind w:left="900" w:hanging="900" w:hangingChars="375"/>
        <w:rPr>
          <w:rFonts w:ascii="宋体" w:hAnsi="宋体" w:cs="宋体"/>
          <w:color w:val="auto"/>
          <w:sz w:val="24"/>
          <w:highlight w:val="none"/>
        </w:rPr>
      </w:pPr>
      <w:r>
        <w:rPr>
          <w:rFonts w:hint="eastAsia" w:ascii="宋体" w:hAnsi="宋体" w:cs="宋体"/>
          <w:color w:val="auto"/>
          <w:sz w:val="24"/>
          <w:highlight w:val="none"/>
        </w:rPr>
        <w:t>5.1  竞争性磋商文件分为2册共7章，内容如下：</w:t>
      </w:r>
    </w:p>
    <w:p>
      <w:pPr>
        <w:spacing w:line="480" w:lineRule="exact"/>
        <w:ind w:left="1079" w:leftChars="428" w:hanging="180" w:hangingChars="75"/>
        <w:rPr>
          <w:rFonts w:ascii="宋体" w:hAnsi="宋体" w:cs="宋体"/>
          <w:color w:val="auto"/>
          <w:sz w:val="24"/>
          <w:highlight w:val="none"/>
        </w:rPr>
      </w:pPr>
      <w:r>
        <w:rPr>
          <w:rFonts w:hint="eastAsia" w:ascii="宋体" w:hAnsi="宋体" w:cs="宋体"/>
          <w:color w:val="auto"/>
          <w:sz w:val="24"/>
          <w:highlight w:val="none"/>
        </w:rPr>
        <w:t>第一册</w:t>
      </w:r>
    </w:p>
    <w:p>
      <w:pPr>
        <w:numPr>
          <w:ilvl w:val="0"/>
          <w:numId w:val="3"/>
        </w:numPr>
        <w:spacing w:line="480" w:lineRule="exact"/>
        <w:ind w:left="1081" w:leftChars="429" w:hanging="180"/>
        <w:rPr>
          <w:rFonts w:ascii="宋体" w:hAnsi="宋体" w:cs="宋体"/>
          <w:color w:val="auto"/>
          <w:sz w:val="24"/>
          <w:highlight w:val="none"/>
        </w:rPr>
      </w:pPr>
      <w:r>
        <w:rPr>
          <w:rFonts w:hint="eastAsia" w:ascii="宋体" w:hAnsi="宋体" w:cs="宋体"/>
          <w:color w:val="auto"/>
          <w:sz w:val="24"/>
          <w:highlight w:val="none"/>
        </w:rPr>
        <w:t xml:space="preserve"> 供应商须知</w:t>
      </w:r>
    </w:p>
    <w:p>
      <w:pPr>
        <w:spacing w:line="480" w:lineRule="exact"/>
        <w:ind w:left="1081" w:leftChars="429" w:hanging="180"/>
        <w:rPr>
          <w:rFonts w:ascii="宋体" w:hAnsi="宋体" w:cs="宋体"/>
          <w:color w:val="auto"/>
          <w:sz w:val="24"/>
          <w:highlight w:val="none"/>
        </w:rPr>
      </w:pPr>
      <w:r>
        <w:rPr>
          <w:rFonts w:hint="eastAsia" w:ascii="宋体" w:hAnsi="宋体" w:cs="宋体"/>
          <w:color w:val="auto"/>
          <w:sz w:val="24"/>
          <w:highlight w:val="none"/>
        </w:rPr>
        <w:t>第二册</w:t>
      </w:r>
    </w:p>
    <w:p>
      <w:pPr>
        <w:numPr>
          <w:ilvl w:val="0"/>
          <w:numId w:val="3"/>
        </w:numPr>
        <w:spacing w:line="480" w:lineRule="exact"/>
        <w:ind w:left="1081" w:leftChars="429" w:hanging="180"/>
        <w:rPr>
          <w:rFonts w:ascii="宋体" w:hAnsi="宋体" w:cs="宋体"/>
          <w:color w:val="auto"/>
          <w:sz w:val="24"/>
          <w:highlight w:val="none"/>
        </w:rPr>
      </w:pPr>
      <w:r>
        <w:rPr>
          <w:rFonts w:hint="eastAsia" w:ascii="宋体" w:hAnsi="宋体" w:cs="宋体"/>
          <w:color w:val="auto"/>
          <w:sz w:val="24"/>
          <w:highlight w:val="none"/>
        </w:rPr>
        <w:t>采购邀请</w:t>
      </w:r>
    </w:p>
    <w:p>
      <w:pPr>
        <w:numPr>
          <w:ilvl w:val="0"/>
          <w:numId w:val="3"/>
        </w:numPr>
        <w:spacing w:line="480" w:lineRule="exact"/>
        <w:ind w:left="1081" w:leftChars="429" w:hanging="180"/>
        <w:rPr>
          <w:rFonts w:ascii="宋体" w:hAnsi="宋体" w:cs="宋体"/>
          <w:color w:val="auto"/>
          <w:sz w:val="24"/>
          <w:highlight w:val="none"/>
        </w:rPr>
      </w:pPr>
      <w:r>
        <w:rPr>
          <w:rFonts w:hint="eastAsia" w:ascii="宋体" w:hAnsi="宋体" w:cs="宋体"/>
          <w:color w:val="auto"/>
          <w:sz w:val="24"/>
          <w:highlight w:val="none"/>
        </w:rPr>
        <w:t>供应商须知资料表</w:t>
      </w:r>
    </w:p>
    <w:p>
      <w:pPr>
        <w:numPr>
          <w:ilvl w:val="0"/>
          <w:numId w:val="3"/>
        </w:numPr>
        <w:spacing w:line="480" w:lineRule="exact"/>
        <w:ind w:left="1081" w:leftChars="429" w:hanging="180"/>
        <w:rPr>
          <w:rFonts w:ascii="宋体" w:hAnsi="宋体" w:cs="宋体"/>
          <w:color w:val="auto"/>
          <w:sz w:val="24"/>
          <w:highlight w:val="none"/>
        </w:rPr>
      </w:pPr>
      <w:r>
        <w:rPr>
          <w:rFonts w:hint="eastAsia" w:ascii="宋体" w:hAnsi="宋体" w:cs="宋体"/>
          <w:color w:val="auto"/>
          <w:sz w:val="24"/>
          <w:highlight w:val="none"/>
        </w:rPr>
        <w:t>货物需求一览表及技术规格</w:t>
      </w:r>
    </w:p>
    <w:p>
      <w:pPr>
        <w:numPr>
          <w:ilvl w:val="0"/>
          <w:numId w:val="3"/>
        </w:numPr>
        <w:spacing w:line="480" w:lineRule="exact"/>
        <w:ind w:left="1081" w:leftChars="429" w:hanging="180"/>
        <w:rPr>
          <w:rFonts w:ascii="宋体" w:hAnsi="宋体" w:cs="宋体"/>
          <w:color w:val="auto"/>
          <w:sz w:val="24"/>
          <w:highlight w:val="none"/>
        </w:rPr>
      </w:pPr>
      <w:r>
        <w:rPr>
          <w:rFonts w:hint="eastAsia" w:ascii="宋体" w:hAnsi="宋体" w:cs="宋体"/>
          <w:color w:val="auto"/>
          <w:sz w:val="24"/>
          <w:highlight w:val="none"/>
        </w:rPr>
        <w:t>评审方法和标准</w:t>
      </w:r>
      <w:r>
        <w:rPr>
          <w:rFonts w:hint="eastAsia" w:ascii="宋体" w:hAnsi="宋体" w:cs="宋体"/>
          <w:color w:val="auto"/>
          <w:sz w:val="24"/>
          <w:highlight w:val="none"/>
        </w:rPr>
        <w:tab/>
      </w:r>
    </w:p>
    <w:p>
      <w:pPr>
        <w:numPr>
          <w:ilvl w:val="0"/>
          <w:numId w:val="3"/>
        </w:numPr>
        <w:spacing w:line="480" w:lineRule="exact"/>
        <w:ind w:left="1081" w:leftChars="429" w:hanging="180"/>
        <w:rPr>
          <w:rFonts w:ascii="宋体" w:hAnsi="宋体" w:cs="宋体"/>
          <w:color w:val="auto"/>
          <w:sz w:val="24"/>
          <w:highlight w:val="none"/>
        </w:rPr>
      </w:pPr>
      <w:r>
        <w:rPr>
          <w:rFonts w:hint="eastAsia" w:ascii="宋体" w:hAnsi="宋体" w:cs="宋体"/>
          <w:color w:val="auto"/>
          <w:sz w:val="24"/>
          <w:highlight w:val="none"/>
        </w:rPr>
        <w:t>响应文件格式</w:t>
      </w:r>
    </w:p>
    <w:p>
      <w:pPr>
        <w:numPr>
          <w:ilvl w:val="0"/>
          <w:numId w:val="3"/>
        </w:numPr>
        <w:spacing w:line="480" w:lineRule="exact"/>
        <w:ind w:left="1081" w:leftChars="429" w:hanging="180"/>
        <w:rPr>
          <w:rFonts w:ascii="宋体" w:hAnsi="宋体" w:cs="宋体"/>
          <w:color w:val="auto"/>
          <w:sz w:val="24"/>
          <w:highlight w:val="none"/>
        </w:rPr>
      </w:pPr>
      <w:r>
        <w:rPr>
          <w:rFonts w:hint="eastAsia" w:ascii="宋体" w:hAnsi="宋体" w:cs="宋体"/>
          <w:color w:val="auto"/>
          <w:sz w:val="24"/>
          <w:highlight w:val="none"/>
        </w:rPr>
        <w:t>政府采购合同格式</w:t>
      </w:r>
    </w:p>
    <w:p>
      <w:pPr>
        <w:tabs>
          <w:tab w:val="left" w:pos="0"/>
        </w:tabs>
        <w:spacing w:line="480" w:lineRule="exact"/>
        <w:ind w:firstLine="544" w:firstLineChars="227"/>
        <w:rPr>
          <w:rFonts w:ascii="宋体" w:hAnsi="宋体" w:cs="宋体"/>
          <w:color w:val="auto"/>
          <w:sz w:val="24"/>
          <w:highlight w:val="none"/>
        </w:rPr>
      </w:pPr>
      <w:r>
        <w:rPr>
          <w:rFonts w:hint="eastAsia" w:ascii="宋体" w:hAnsi="宋体" w:cs="宋体"/>
          <w:color w:val="auto"/>
          <w:sz w:val="24"/>
          <w:highlight w:val="none"/>
        </w:rPr>
        <w:t>5.2  竞争性磋商文件中有不一致的，有澄清的部分以最终的澄清更正内容为准；未澄清的，以供应商须知资料表为准；供应商须知资料表不涉及的内容，以编排在后的描述为准。</w:t>
      </w:r>
    </w:p>
    <w:p>
      <w:pPr>
        <w:tabs>
          <w:tab w:val="left" w:pos="0"/>
        </w:tabs>
        <w:spacing w:line="480" w:lineRule="exact"/>
        <w:ind w:firstLine="544" w:firstLineChars="227"/>
        <w:rPr>
          <w:rFonts w:ascii="宋体" w:hAnsi="宋体" w:cs="宋体"/>
          <w:color w:val="auto"/>
          <w:sz w:val="24"/>
          <w:highlight w:val="none"/>
        </w:rPr>
      </w:pPr>
      <w:r>
        <w:rPr>
          <w:rFonts w:hint="eastAsia" w:ascii="宋体" w:hAnsi="宋体" w:cs="宋体"/>
          <w:color w:val="auto"/>
          <w:sz w:val="24"/>
          <w:highlight w:val="none"/>
        </w:rPr>
        <w:t>5.3  供应商应认真阅读竞争性磋商文件所有的事项、格式、条款和技术规范等。如供应商没有按照竞争性磋商文件要求提交全部资料，或者响应文件没有对竞争性磋商文件在各方面都做出实质性响应，可能导致其响应文件将被认定为无效，该风险由供应商承担。</w:t>
      </w:r>
    </w:p>
    <w:p>
      <w:pPr>
        <w:tabs>
          <w:tab w:val="left" w:pos="0"/>
        </w:tabs>
        <w:spacing w:line="480" w:lineRule="exact"/>
        <w:ind w:firstLine="544" w:firstLineChars="227"/>
        <w:rPr>
          <w:rFonts w:ascii="宋体" w:hAnsi="宋体" w:cs="宋体"/>
          <w:color w:val="auto"/>
          <w:sz w:val="24"/>
          <w:highlight w:val="none"/>
        </w:rPr>
      </w:pPr>
      <w:bookmarkStart w:id="38" w:name="_Toc515904805"/>
      <w:bookmarkStart w:id="39" w:name="_Toc520356148"/>
      <w:bookmarkStart w:id="40" w:name="_Toc9232"/>
      <w:bookmarkStart w:id="41" w:name="_Toc26044"/>
      <w:r>
        <w:rPr>
          <w:rFonts w:hint="eastAsia" w:ascii="宋体" w:hAnsi="宋体" w:cs="宋体"/>
          <w:color w:val="auto"/>
          <w:sz w:val="24"/>
          <w:highlight w:val="none"/>
        </w:rPr>
        <w:t>5.4  响应文件以中文编印，且以中文为准。</w:t>
      </w:r>
    </w:p>
    <w:p>
      <w:pPr>
        <w:tabs>
          <w:tab w:val="left" w:pos="0"/>
        </w:tabs>
        <w:spacing w:line="480" w:lineRule="exact"/>
        <w:ind w:firstLine="544" w:firstLineChars="227"/>
        <w:rPr>
          <w:rFonts w:ascii="宋体" w:hAnsi="宋体" w:cs="宋体"/>
          <w:color w:val="auto"/>
          <w:sz w:val="24"/>
          <w:highlight w:val="none"/>
        </w:rPr>
      </w:pPr>
      <w:r>
        <w:rPr>
          <w:rFonts w:hint="eastAsia" w:ascii="宋体" w:hAnsi="宋体" w:cs="宋体"/>
          <w:color w:val="auto"/>
          <w:sz w:val="24"/>
          <w:highlight w:val="none"/>
        </w:rPr>
        <w:t>5.5  响应文件第二册第三部分“供应商须知资料表”规定组织踏勘现场的，采购人按规定的时间、地点组织供应商踏勘项目现场，踏勘现场所发生的费用由供应商承担。</w:t>
      </w:r>
    </w:p>
    <w:p>
      <w:pPr>
        <w:tabs>
          <w:tab w:val="left" w:pos="0"/>
        </w:tabs>
        <w:spacing w:line="480" w:lineRule="exact"/>
        <w:ind w:firstLine="544" w:firstLineChars="227"/>
        <w:rPr>
          <w:rFonts w:hint="eastAsia" w:ascii="宋体" w:hAnsi="宋体" w:cs="宋体"/>
          <w:color w:val="auto"/>
          <w:sz w:val="24"/>
          <w:highlight w:val="none"/>
        </w:rPr>
      </w:pPr>
      <w:r>
        <w:rPr>
          <w:rFonts w:hint="eastAsia" w:ascii="宋体" w:hAnsi="宋体" w:cs="宋体"/>
          <w:color w:val="auto"/>
          <w:sz w:val="24"/>
          <w:highlight w:val="none"/>
        </w:rPr>
        <w:t>5.6  采购人向供应商提供的有关现场的资料和数据，是采购人现有的能使供应商利用的资料，采购人对供应商由此而做出的推论、理解和结论概不负责。</w:t>
      </w:r>
    </w:p>
    <w:p>
      <w:pPr>
        <w:tabs>
          <w:tab w:val="left" w:pos="0"/>
        </w:tabs>
        <w:spacing w:line="480" w:lineRule="exact"/>
        <w:ind w:firstLine="544" w:firstLineChars="227"/>
        <w:rPr>
          <w:rFonts w:hint="eastAsia" w:ascii="宋体" w:hAnsi="宋体" w:cs="宋体"/>
          <w:color w:val="auto"/>
          <w:sz w:val="24"/>
          <w:highlight w:val="none"/>
        </w:rPr>
      </w:pPr>
      <w:r>
        <w:rPr>
          <w:rFonts w:hint="eastAsia" w:ascii="宋体" w:hAnsi="宋体" w:cs="宋体"/>
          <w:color w:val="auto"/>
          <w:sz w:val="24"/>
          <w:highlight w:val="none"/>
        </w:rPr>
        <w:t>5.7  供应商经过采购人的允许，可进入项目现场踏勘，对服务现场及其范围环境进行考察，以获取有关编制响应</w:t>
      </w:r>
      <w:r>
        <w:rPr>
          <w:rFonts w:hint="eastAsia" w:ascii="宋体" w:hAnsi="宋体" w:cs="宋体"/>
          <w:color w:val="auto"/>
          <w:sz w:val="24"/>
          <w:highlight w:val="none"/>
          <w:lang w:eastAsia="zh-CN"/>
        </w:rPr>
        <w:t>文件</w:t>
      </w:r>
      <w:r>
        <w:rPr>
          <w:rFonts w:hint="eastAsia" w:ascii="宋体" w:hAnsi="宋体" w:cs="宋体"/>
          <w:color w:val="auto"/>
          <w:sz w:val="24"/>
          <w:highlight w:val="none"/>
        </w:rPr>
        <w:t>和签署实施合同所需的各项资料，但供应商及其人员不得因此使采购人及其人员承担有关的责任和蒙受损失。供应商并应对由此次踏勘现场而造成的死亡、人身伤害、财产损失、损害以及任何其它损失、损害和引起的费用和开支承担责任。</w:t>
      </w:r>
    </w:p>
    <w:p>
      <w:pPr>
        <w:tabs>
          <w:tab w:val="left" w:pos="0"/>
        </w:tabs>
        <w:spacing w:line="480" w:lineRule="exact"/>
        <w:ind w:firstLine="544" w:firstLineChars="227"/>
        <w:rPr>
          <w:rFonts w:hint="eastAsia" w:ascii="宋体" w:hAnsi="宋体" w:cs="宋体"/>
          <w:color w:val="auto"/>
          <w:sz w:val="24"/>
          <w:highlight w:val="none"/>
        </w:rPr>
      </w:pPr>
      <w:r>
        <w:rPr>
          <w:rFonts w:hint="eastAsia" w:ascii="宋体" w:hAnsi="宋体" w:cs="宋体"/>
          <w:color w:val="auto"/>
          <w:sz w:val="24"/>
          <w:highlight w:val="none"/>
        </w:rPr>
        <w:t>5.8 不论响应过程和响应文件结果如何，供应商的响应文件（含电子版）均不退还。</w:t>
      </w:r>
    </w:p>
    <w:p>
      <w:pPr>
        <w:tabs>
          <w:tab w:val="left" w:pos="0"/>
        </w:tabs>
        <w:spacing w:line="480" w:lineRule="exact"/>
        <w:ind w:firstLine="544" w:firstLineChars="227"/>
        <w:rPr>
          <w:rFonts w:hint="eastAsia" w:ascii="宋体" w:hAnsi="宋体" w:cs="宋体"/>
          <w:color w:val="auto"/>
          <w:sz w:val="24"/>
          <w:highlight w:val="none"/>
        </w:rPr>
      </w:pPr>
      <w:r>
        <w:rPr>
          <w:rFonts w:hint="eastAsia" w:ascii="宋体" w:hAnsi="宋体" w:cs="宋体"/>
          <w:color w:val="auto"/>
          <w:sz w:val="24"/>
          <w:highlight w:val="none"/>
        </w:rPr>
        <w:t>5.9  除响应文件中另有规定外，响应文件所使用的时间单位“天”、“日”均指日历天，且所有时刻均为北京时间。</w:t>
      </w:r>
    </w:p>
    <w:p>
      <w:pPr>
        <w:tabs>
          <w:tab w:val="left" w:pos="0"/>
        </w:tabs>
        <w:spacing w:line="480" w:lineRule="exact"/>
        <w:ind w:firstLine="544" w:firstLineChars="227"/>
        <w:rPr>
          <w:rFonts w:hint="eastAsia" w:ascii="宋体" w:hAnsi="宋体" w:cs="宋体"/>
          <w:color w:val="auto"/>
          <w:sz w:val="24"/>
          <w:highlight w:val="none"/>
        </w:rPr>
      </w:pPr>
      <w:r>
        <w:rPr>
          <w:rFonts w:hint="eastAsia" w:ascii="宋体" w:hAnsi="宋体" w:cs="宋体"/>
          <w:color w:val="auto"/>
          <w:sz w:val="24"/>
          <w:highlight w:val="none"/>
        </w:rPr>
        <w:t>5.10 参与</w:t>
      </w:r>
      <w:r>
        <w:rPr>
          <w:rFonts w:hint="eastAsia" w:ascii="宋体" w:hAnsi="宋体" w:cs="宋体"/>
          <w:color w:val="auto"/>
          <w:sz w:val="24"/>
          <w:highlight w:val="none"/>
          <w:lang w:val="en-US" w:eastAsia="zh-CN"/>
        </w:rPr>
        <w:t>磋商</w:t>
      </w:r>
      <w:r>
        <w:rPr>
          <w:rFonts w:hint="eastAsia" w:ascii="宋体" w:hAnsi="宋体" w:cs="宋体"/>
          <w:color w:val="auto"/>
          <w:sz w:val="24"/>
          <w:highlight w:val="none"/>
        </w:rPr>
        <w:t>活动的各方应对响应文件和响应文件中的商业和技术等秘密保密，违者应对由此造成的后果承担法律责任。</w:t>
      </w:r>
    </w:p>
    <w:p>
      <w:pPr>
        <w:tabs>
          <w:tab w:val="left" w:pos="0"/>
        </w:tabs>
        <w:spacing w:line="480" w:lineRule="exact"/>
        <w:ind w:firstLine="544" w:firstLineChars="227"/>
        <w:rPr>
          <w:rFonts w:hint="eastAsia" w:ascii="宋体" w:hAnsi="宋体" w:cs="宋体"/>
          <w:color w:val="auto"/>
          <w:sz w:val="24"/>
          <w:highlight w:val="none"/>
        </w:rPr>
      </w:pPr>
      <w:r>
        <w:rPr>
          <w:rFonts w:hint="eastAsia" w:ascii="宋体" w:hAnsi="宋体" w:cs="宋体"/>
          <w:color w:val="auto"/>
          <w:sz w:val="24"/>
          <w:highlight w:val="none"/>
        </w:rPr>
        <w:t>5.11 供应商应自行承担其准备和参加响应文件活动发生的所有费用。不论响应文件结果如何，采购人及采购代理机构在任何情况下无义务也无责任承担这些费用。</w:t>
      </w:r>
    </w:p>
    <w:p>
      <w:pPr>
        <w:pStyle w:val="5"/>
        <w:bidi w:val="0"/>
        <w:rPr>
          <w:color w:val="auto"/>
          <w:highlight w:val="none"/>
        </w:rPr>
      </w:pPr>
      <w:r>
        <w:rPr>
          <w:rFonts w:hint="eastAsia"/>
          <w:color w:val="auto"/>
          <w:highlight w:val="none"/>
        </w:rPr>
        <w:t>6.竞争性磋商文件的澄清</w:t>
      </w:r>
      <w:bookmarkEnd w:id="38"/>
      <w:bookmarkEnd w:id="39"/>
      <w:r>
        <w:rPr>
          <w:rFonts w:hint="eastAsia"/>
          <w:color w:val="auto"/>
          <w:highlight w:val="none"/>
        </w:rPr>
        <w:t>与修改</w:t>
      </w:r>
      <w:bookmarkEnd w:id="40"/>
      <w:bookmarkEnd w:id="41"/>
    </w:p>
    <w:p>
      <w:pPr>
        <w:tabs>
          <w:tab w:val="left" w:pos="0"/>
        </w:tabs>
        <w:spacing w:line="480" w:lineRule="exact"/>
        <w:ind w:firstLine="544" w:firstLineChars="227"/>
        <w:rPr>
          <w:rFonts w:ascii="宋体" w:hAnsi="宋体" w:cs="宋体"/>
          <w:color w:val="auto"/>
          <w:sz w:val="24"/>
          <w:highlight w:val="none"/>
        </w:rPr>
      </w:pPr>
      <w:bookmarkStart w:id="42" w:name="_Toc515904806"/>
      <w:bookmarkStart w:id="43" w:name="_Toc520356149"/>
      <w:bookmarkStart w:id="44" w:name="_Ref467378678"/>
      <w:bookmarkStart w:id="45" w:name="_Toc14569"/>
      <w:bookmarkStart w:id="46" w:name="_Toc25635"/>
      <w:r>
        <w:rPr>
          <w:rFonts w:hint="eastAsia" w:ascii="宋体" w:hAnsi="宋体" w:cs="宋体"/>
          <w:color w:val="auto"/>
          <w:sz w:val="24"/>
          <w:highlight w:val="none"/>
        </w:rPr>
        <w:t>6.1 采购人可主动地或在解答供应商提出的澄清问题时对竞争性磋商文件澄清或修改。采购代理机构将以发布澄清（更正）公告的方式，澄清或修改竞争性磋商文件，澄清或修改内容作为竞争性磋商文件的组成部分。</w:t>
      </w:r>
    </w:p>
    <w:p>
      <w:pPr>
        <w:tabs>
          <w:tab w:val="left" w:pos="0"/>
        </w:tabs>
        <w:spacing w:line="480" w:lineRule="exact"/>
        <w:ind w:firstLine="544" w:firstLineChars="227"/>
        <w:rPr>
          <w:rFonts w:ascii="宋体" w:hAnsi="宋体" w:cs="宋体"/>
          <w:color w:val="auto"/>
          <w:sz w:val="24"/>
          <w:highlight w:val="none"/>
        </w:rPr>
      </w:pPr>
      <w:r>
        <w:rPr>
          <w:rFonts w:hint="eastAsia" w:ascii="宋体" w:hAnsi="宋体" w:cs="宋体"/>
          <w:color w:val="auto"/>
          <w:sz w:val="24"/>
          <w:highlight w:val="none"/>
        </w:rPr>
        <w:t>6.2 澄清或者修改的内容可能影响响应文件编制的，采购代理机构应当在报价截止时间至少5日前，将以书面或公告等形式通知所有获取竞争性磋商文件的潜在供应商，并对其具有约束力。供应商在收到上述通知后，应及时向采购代理机构回函确认。供应商未回复的，视同已知晓澄清或者修改的内容。</w:t>
      </w:r>
    </w:p>
    <w:p>
      <w:pPr>
        <w:tabs>
          <w:tab w:val="left" w:pos="0"/>
        </w:tabs>
        <w:spacing w:line="480" w:lineRule="exact"/>
        <w:ind w:firstLine="544" w:firstLineChars="227"/>
        <w:rPr>
          <w:rFonts w:ascii="宋体" w:hAnsi="宋体" w:cs="宋体"/>
          <w:color w:val="auto"/>
          <w:sz w:val="24"/>
          <w:highlight w:val="none"/>
        </w:rPr>
      </w:pPr>
      <w:r>
        <w:rPr>
          <w:rFonts w:hint="eastAsia" w:ascii="宋体" w:hAnsi="宋体" w:cs="宋体"/>
          <w:color w:val="auto"/>
          <w:sz w:val="24"/>
          <w:highlight w:val="none"/>
        </w:rPr>
        <w:t>因潜在供应商原因或通讯线路故障导致逾期送达或无法送达，采购代理机构不因此承担任何责任，有关的磋商采购活动可以继续有效进行。</w:t>
      </w:r>
    </w:p>
    <w:p>
      <w:pPr>
        <w:tabs>
          <w:tab w:val="left" w:pos="0"/>
        </w:tabs>
        <w:spacing w:line="480" w:lineRule="exact"/>
        <w:ind w:firstLine="544" w:firstLineChars="227"/>
        <w:rPr>
          <w:rFonts w:ascii="宋体" w:hAnsi="宋体" w:cs="宋体"/>
          <w:color w:val="auto"/>
          <w:sz w:val="24"/>
          <w:highlight w:val="none"/>
        </w:rPr>
      </w:pPr>
      <w:r>
        <w:rPr>
          <w:rFonts w:hint="eastAsia" w:ascii="宋体" w:hAnsi="宋体" w:cs="宋体"/>
          <w:color w:val="auto"/>
          <w:sz w:val="24"/>
          <w:highlight w:val="none"/>
        </w:rPr>
        <w:t>6.3 供应商认为响应文件存在歧视性条款或不合理要求等需要澄清的，应在规定时间内一次性全部提出。如在规定时间内，供应商对响应文件中的各项条款未提出异议，即</w:t>
      </w:r>
      <w:r>
        <w:rPr>
          <w:rFonts w:hint="eastAsia" w:ascii="宋体" w:hAnsi="宋体" w:cs="宋体"/>
          <w:color w:val="auto"/>
          <w:sz w:val="24"/>
          <w:highlight w:val="none"/>
          <w:lang w:eastAsia="zh-CN"/>
        </w:rPr>
        <w:t>视为</w:t>
      </w:r>
      <w:r>
        <w:rPr>
          <w:rFonts w:hint="eastAsia" w:ascii="宋体" w:hAnsi="宋体" w:cs="宋体"/>
          <w:color w:val="auto"/>
          <w:sz w:val="24"/>
          <w:highlight w:val="none"/>
        </w:rPr>
        <w:t>同意和接受响应文件。</w:t>
      </w:r>
    </w:p>
    <w:p>
      <w:pPr>
        <w:pStyle w:val="5"/>
        <w:bidi w:val="0"/>
        <w:rPr>
          <w:color w:val="auto"/>
          <w:highlight w:val="none"/>
        </w:rPr>
      </w:pPr>
      <w:r>
        <w:rPr>
          <w:rFonts w:hint="eastAsia"/>
          <w:color w:val="auto"/>
          <w:highlight w:val="none"/>
        </w:rPr>
        <w:t>7</w:t>
      </w:r>
      <w:bookmarkEnd w:id="42"/>
      <w:bookmarkEnd w:id="43"/>
      <w:bookmarkEnd w:id="44"/>
      <w:r>
        <w:rPr>
          <w:rFonts w:hint="eastAsia"/>
          <w:color w:val="auto"/>
          <w:highlight w:val="none"/>
        </w:rPr>
        <w:t>.提交响应文件截止时间的顺延</w:t>
      </w:r>
      <w:bookmarkEnd w:id="45"/>
      <w:bookmarkEnd w:id="46"/>
    </w:p>
    <w:p>
      <w:pPr>
        <w:tabs>
          <w:tab w:val="left" w:pos="0"/>
        </w:tabs>
        <w:spacing w:line="480" w:lineRule="exact"/>
        <w:ind w:firstLine="544" w:firstLineChars="227"/>
        <w:rPr>
          <w:rFonts w:ascii="宋体" w:hAnsi="宋体" w:cs="宋体"/>
          <w:color w:val="auto"/>
          <w:sz w:val="24"/>
          <w:highlight w:val="none"/>
        </w:rPr>
      </w:pPr>
      <w:r>
        <w:rPr>
          <w:rFonts w:hint="eastAsia" w:ascii="宋体" w:hAnsi="宋体" w:cs="宋体"/>
          <w:color w:val="auto"/>
          <w:sz w:val="24"/>
          <w:highlight w:val="none"/>
        </w:rPr>
        <w:t>为使供应商准备响应时有足够的时间对竞争性磋商文件的澄清或者修改部分进行研究，采购人将依法决定是否顺延提交响应文件截止时间。</w:t>
      </w:r>
    </w:p>
    <w:p>
      <w:pPr>
        <w:bidi w:val="0"/>
        <w:rPr>
          <w:color w:val="auto"/>
          <w:highlight w:val="none"/>
        </w:rPr>
      </w:pPr>
    </w:p>
    <w:p>
      <w:pPr>
        <w:pStyle w:val="4"/>
        <w:tabs>
          <w:tab w:val="left" w:pos="900"/>
        </w:tabs>
        <w:spacing w:before="0" w:line="480" w:lineRule="exact"/>
        <w:ind w:left="565" w:leftChars="12" w:hanging="540"/>
        <w:rPr>
          <w:rFonts w:ascii="宋体" w:hAnsi="宋体" w:eastAsia="宋体" w:cs="宋体"/>
          <w:color w:val="auto"/>
          <w:sz w:val="28"/>
          <w:highlight w:val="none"/>
        </w:rPr>
      </w:pPr>
      <w:bookmarkStart w:id="47" w:name="_Toc516367020"/>
      <w:bookmarkStart w:id="48" w:name="_Toc216582807"/>
      <w:bookmarkStart w:id="49" w:name="_Toc2484"/>
      <w:bookmarkStart w:id="50" w:name="_Toc30808"/>
      <w:bookmarkStart w:id="51" w:name="_Toc68259616"/>
      <w:bookmarkStart w:id="52" w:name="_Toc7636"/>
      <w:bookmarkStart w:id="53" w:name="_Toc520356150"/>
      <w:bookmarkStart w:id="54" w:name="_Toc515647766"/>
      <w:r>
        <w:rPr>
          <w:rFonts w:hint="eastAsia" w:ascii="宋体" w:hAnsi="宋体" w:eastAsia="宋体" w:cs="宋体"/>
          <w:color w:val="auto"/>
          <w:sz w:val="28"/>
          <w:highlight w:val="none"/>
        </w:rPr>
        <w:t>三   响应文件</w:t>
      </w:r>
      <w:bookmarkEnd w:id="47"/>
      <w:r>
        <w:rPr>
          <w:rFonts w:hint="eastAsia" w:ascii="宋体" w:hAnsi="宋体" w:eastAsia="宋体" w:cs="宋体"/>
          <w:color w:val="auto"/>
          <w:sz w:val="28"/>
          <w:highlight w:val="none"/>
        </w:rPr>
        <w:t>的编制</w:t>
      </w:r>
      <w:bookmarkEnd w:id="48"/>
      <w:bookmarkEnd w:id="49"/>
      <w:bookmarkEnd w:id="50"/>
      <w:bookmarkEnd w:id="51"/>
      <w:bookmarkEnd w:id="52"/>
      <w:bookmarkEnd w:id="53"/>
      <w:bookmarkEnd w:id="54"/>
    </w:p>
    <w:p>
      <w:pPr>
        <w:pStyle w:val="5"/>
        <w:bidi w:val="0"/>
        <w:rPr>
          <w:color w:val="auto"/>
          <w:highlight w:val="none"/>
        </w:rPr>
      </w:pPr>
      <w:bookmarkStart w:id="55" w:name="_Toc51176589"/>
      <w:r>
        <w:rPr>
          <w:rFonts w:hint="eastAsia"/>
          <w:color w:val="auto"/>
          <w:highlight w:val="none"/>
        </w:rPr>
        <w:t>8. 编制要求</w:t>
      </w:r>
      <w:bookmarkEnd w:id="55"/>
    </w:p>
    <w:p>
      <w:pPr>
        <w:tabs>
          <w:tab w:val="left" w:pos="0"/>
        </w:tabs>
        <w:spacing w:line="480" w:lineRule="exact"/>
        <w:ind w:firstLine="544" w:firstLineChars="227"/>
        <w:rPr>
          <w:rFonts w:ascii="宋体" w:hAnsi="宋体" w:cs="宋体"/>
          <w:color w:val="auto"/>
          <w:sz w:val="24"/>
          <w:highlight w:val="none"/>
        </w:rPr>
      </w:pPr>
      <w:r>
        <w:rPr>
          <w:rFonts w:hint="eastAsia" w:ascii="宋体" w:hAnsi="宋体" w:cs="宋体"/>
          <w:color w:val="auto"/>
          <w:sz w:val="24"/>
          <w:highlight w:val="none"/>
        </w:rPr>
        <w:t>8.1 供应商应仔细阅读磋商文件的所有内容，按照磋商文件的要求及格式编制响应文件，并保证其真实性。若供应商没有按照磋商文件要求提交全部实质性要求资料或对实质性要求未作响应是供应商的风险，其响应文件将会被拒绝。</w:t>
      </w:r>
    </w:p>
    <w:p>
      <w:pPr>
        <w:tabs>
          <w:tab w:val="left" w:pos="0"/>
        </w:tabs>
        <w:spacing w:line="480" w:lineRule="exact"/>
        <w:ind w:firstLine="544" w:firstLineChars="227"/>
        <w:rPr>
          <w:rFonts w:ascii="宋体" w:hAnsi="宋体" w:cs="宋体"/>
          <w:color w:val="auto"/>
          <w:sz w:val="24"/>
          <w:highlight w:val="none"/>
        </w:rPr>
      </w:pPr>
      <w:r>
        <w:rPr>
          <w:rFonts w:hint="eastAsia" w:ascii="宋体" w:hAnsi="宋体" w:cs="宋体"/>
          <w:color w:val="auto"/>
          <w:sz w:val="24"/>
          <w:highlight w:val="none"/>
        </w:rPr>
        <w:t>8.2 供应商对多个分包进行响应文件的，应以分包为单位编制响应文件，每一包响应文件均需满足本响应文件对响应文件的签署、盖章要求。</w:t>
      </w:r>
    </w:p>
    <w:p>
      <w:pPr>
        <w:tabs>
          <w:tab w:val="left" w:pos="0"/>
        </w:tabs>
        <w:spacing w:line="480" w:lineRule="exact"/>
        <w:ind w:firstLine="544" w:firstLineChars="227"/>
        <w:rPr>
          <w:rFonts w:ascii="宋体" w:hAnsi="宋体" w:cs="宋体"/>
          <w:color w:val="auto"/>
          <w:sz w:val="24"/>
          <w:highlight w:val="none"/>
        </w:rPr>
      </w:pPr>
      <w:r>
        <w:rPr>
          <w:rFonts w:hint="eastAsia" w:ascii="宋体" w:hAnsi="宋体" w:cs="宋体"/>
          <w:color w:val="auto"/>
          <w:sz w:val="24"/>
          <w:highlight w:val="none"/>
        </w:rPr>
        <w:t>8.3 封面设置</w:t>
      </w:r>
    </w:p>
    <w:p>
      <w:pPr>
        <w:tabs>
          <w:tab w:val="left" w:pos="0"/>
        </w:tabs>
        <w:spacing w:line="480" w:lineRule="exact"/>
        <w:ind w:firstLine="544" w:firstLineChars="227"/>
        <w:rPr>
          <w:rFonts w:ascii="宋体" w:hAnsi="宋体" w:cs="宋体"/>
          <w:color w:val="auto"/>
          <w:sz w:val="24"/>
          <w:highlight w:val="none"/>
        </w:rPr>
      </w:pPr>
      <w:r>
        <w:rPr>
          <w:rFonts w:hint="eastAsia" w:ascii="宋体" w:hAnsi="宋体" w:cs="宋体"/>
          <w:color w:val="auto"/>
          <w:sz w:val="24"/>
          <w:highlight w:val="none"/>
        </w:rPr>
        <w:t>响应文件材料封面设置包括：“响应文件”、项目名称、项目编号、所投包号、供应商名称。</w:t>
      </w:r>
    </w:p>
    <w:p>
      <w:pPr>
        <w:tabs>
          <w:tab w:val="left" w:pos="0"/>
        </w:tabs>
        <w:spacing w:line="480" w:lineRule="exact"/>
        <w:ind w:firstLine="544" w:firstLineChars="227"/>
        <w:rPr>
          <w:rFonts w:ascii="宋体" w:hAnsi="宋体" w:cs="宋体"/>
          <w:color w:val="auto"/>
          <w:sz w:val="24"/>
          <w:highlight w:val="none"/>
        </w:rPr>
      </w:pPr>
      <w:r>
        <w:rPr>
          <w:rFonts w:hint="eastAsia" w:ascii="宋体" w:hAnsi="宋体" w:cs="宋体"/>
          <w:color w:val="auto"/>
          <w:sz w:val="24"/>
          <w:highlight w:val="none"/>
        </w:rPr>
        <w:t>8.4 供应商应按响应文件的要求及格式编写其响应文件；不得缺少或留空任何响应文件要求填写的表格或资料。</w:t>
      </w:r>
    </w:p>
    <w:p>
      <w:pPr>
        <w:tabs>
          <w:tab w:val="left" w:pos="0"/>
        </w:tabs>
        <w:spacing w:line="480" w:lineRule="exact"/>
        <w:ind w:firstLine="544" w:firstLineChars="227"/>
        <w:rPr>
          <w:rFonts w:hint="eastAsia" w:ascii="宋体" w:hAnsi="宋体" w:cs="宋体"/>
          <w:color w:val="auto"/>
          <w:sz w:val="24"/>
          <w:highlight w:val="none"/>
        </w:rPr>
      </w:pPr>
      <w:r>
        <w:rPr>
          <w:rFonts w:hint="eastAsia" w:ascii="宋体" w:hAnsi="宋体" w:cs="宋体"/>
          <w:color w:val="auto"/>
          <w:sz w:val="24"/>
          <w:highlight w:val="none"/>
        </w:rPr>
        <w:t>8.5 供应商应编制响应文件目录、内容，标注连续页码。</w:t>
      </w:r>
    </w:p>
    <w:p>
      <w:pPr>
        <w:tabs>
          <w:tab w:val="left" w:pos="0"/>
        </w:tabs>
        <w:spacing w:line="480" w:lineRule="exact"/>
        <w:ind w:firstLine="544" w:firstLineChars="227"/>
        <w:rPr>
          <w:rFonts w:hint="eastAsia" w:ascii="宋体" w:hAnsi="宋体" w:cs="宋体"/>
          <w:color w:val="auto"/>
          <w:sz w:val="24"/>
          <w:highlight w:val="none"/>
        </w:rPr>
      </w:pPr>
      <w:r>
        <w:rPr>
          <w:rFonts w:hint="eastAsia" w:ascii="宋体" w:hAnsi="宋体" w:cs="宋体"/>
          <w:color w:val="auto"/>
          <w:sz w:val="24"/>
          <w:highlight w:val="none"/>
        </w:rPr>
        <w:t>8.6 关于兼投不兼中要求详见：供应商须知资料表。</w:t>
      </w:r>
    </w:p>
    <w:p>
      <w:pPr>
        <w:tabs>
          <w:tab w:val="left" w:pos="0"/>
        </w:tabs>
        <w:spacing w:line="480" w:lineRule="exact"/>
        <w:ind w:firstLine="547" w:firstLineChars="227"/>
        <w:rPr>
          <w:rFonts w:hint="default"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8.7</w:t>
      </w:r>
      <w:r>
        <w:rPr>
          <w:rFonts w:hint="default" w:ascii="宋体" w:hAnsi="宋体" w:cs="宋体"/>
          <w:b/>
          <w:bCs/>
          <w:color w:val="auto"/>
          <w:sz w:val="24"/>
          <w:highlight w:val="none"/>
          <w:lang w:val="en-US" w:eastAsia="zh-CN"/>
        </w:rPr>
        <w:t>除必要的商务文书或要求的证书复印件外，</w:t>
      </w:r>
      <w:r>
        <w:rPr>
          <w:rFonts w:hint="eastAsia" w:ascii="宋体" w:hAnsi="宋体" w:cs="宋体"/>
          <w:b/>
          <w:bCs/>
          <w:color w:val="auto"/>
          <w:sz w:val="24"/>
          <w:highlight w:val="none"/>
          <w:lang w:val="en-US" w:eastAsia="zh-CN"/>
        </w:rPr>
        <w:t>响应文件</w:t>
      </w:r>
      <w:r>
        <w:rPr>
          <w:rFonts w:hint="default" w:ascii="宋体" w:hAnsi="宋体" w:cs="宋体"/>
          <w:b/>
          <w:bCs/>
          <w:color w:val="auto"/>
          <w:sz w:val="24"/>
          <w:highlight w:val="none"/>
          <w:lang w:val="en-US" w:eastAsia="zh-CN"/>
        </w:rPr>
        <w:t>的正本和副本均须A4纸双面打印”</w:t>
      </w:r>
      <w:r>
        <w:rPr>
          <w:rFonts w:hint="eastAsia" w:ascii="宋体" w:hAnsi="宋体" w:cs="宋体"/>
          <w:b/>
          <w:bCs/>
          <w:color w:val="auto"/>
          <w:sz w:val="24"/>
          <w:highlight w:val="none"/>
          <w:lang w:val="en-US" w:eastAsia="zh-CN"/>
        </w:rPr>
        <w:t>，感谢支持！！</w:t>
      </w:r>
    </w:p>
    <w:p>
      <w:pPr>
        <w:pStyle w:val="5"/>
        <w:bidi w:val="0"/>
        <w:rPr>
          <w:color w:val="auto"/>
          <w:highlight w:val="none"/>
        </w:rPr>
      </w:pPr>
      <w:bookmarkStart w:id="56" w:name="_Toc7786"/>
      <w:bookmarkStart w:id="57" w:name="_Toc515647767"/>
      <w:bookmarkStart w:id="58" w:name="_Toc520356151"/>
      <w:bookmarkStart w:id="59" w:name="_Toc3553"/>
      <w:bookmarkStart w:id="60" w:name="_Toc516367021"/>
      <w:r>
        <w:rPr>
          <w:rFonts w:hint="eastAsia"/>
          <w:color w:val="auto"/>
          <w:highlight w:val="none"/>
        </w:rPr>
        <w:t>9.响应范围及响应文件中标准和计量单位的使用</w:t>
      </w:r>
      <w:bookmarkEnd w:id="56"/>
      <w:bookmarkEnd w:id="57"/>
      <w:bookmarkEnd w:id="58"/>
      <w:bookmarkEnd w:id="59"/>
      <w:bookmarkEnd w:id="60"/>
    </w:p>
    <w:p>
      <w:pPr>
        <w:tabs>
          <w:tab w:val="left" w:pos="0"/>
        </w:tabs>
        <w:spacing w:line="480" w:lineRule="exact"/>
        <w:ind w:firstLine="544" w:firstLineChars="227"/>
        <w:rPr>
          <w:rFonts w:ascii="宋体" w:hAnsi="宋体" w:cs="宋体"/>
          <w:color w:val="auto"/>
          <w:sz w:val="24"/>
          <w:highlight w:val="none"/>
        </w:rPr>
      </w:pPr>
      <w:bookmarkStart w:id="61" w:name="_Ref467306676"/>
      <w:bookmarkStart w:id="62" w:name="_Ref467306195"/>
      <w:bookmarkStart w:id="63" w:name="_Toc516367022"/>
      <w:bookmarkStart w:id="64" w:name="_Toc28307"/>
      <w:bookmarkStart w:id="65" w:name="_Toc520356152"/>
      <w:bookmarkStart w:id="66" w:name="_Toc515647768"/>
      <w:bookmarkStart w:id="67" w:name="_Toc10364"/>
      <w:r>
        <w:rPr>
          <w:rFonts w:hint="eastAsia" w:ascii="宋体" w:hAnsi="宋体" w:cs="宋体"/>
          <w:color w:val="auto"/>
          <w:sz w:val="24"/>
          <w:highlight w:val="none"/>
        </w:rPr>
        <w:t>9.1 供应商可对竞争性磋商文件其中一个或几个分包进行响应。除非在供应商须知资料表中另有规定。</w:t>
      </w:r>
    </w:p>
    <w:p>
      <w:pPr>
        <w:tabs>
          <w:tab w:val="left" w:pos="0"/>
        </w:tabs>
        <w:spacing w:line="480" w:lineRule="exact"/>
        <w:ind w:firstLine="544" w:firstLineChars="227"/>
        <w:rPr>
          <w:rFonts w:ascii="宋体" w:hAnsi="宋体" w:cs="宋体"/>
          <w:color w:val="auto"/>
          <w:sz w:val="24"/>
          <w:highlight w:val="none"/>
        </w:rPr>
      </w:pPr>
      <w:r>
        <w:rPr>
          <w:rFonts w:hint="eastAsia" w:ascii="宋体" w:hAnsi="宋体" w:cs="宋体"/>
          <w:color w:val="auto"/>
          <w:sz w:val="24"/>
          <w:highlight w:val="none"/>
        </w:rPr>
        <w:t>9.2 供应商应当对竞争性磋商文件中“服务需求”所列的所有内容进行响应，如仅响应某一包中的部分内容，其响应文件将被认定为无效。</w:t>
      </w:r>
    </w:p>
    <w:p>
      <w:pPr>
        <w:tabs>
          <w:tab w:val="left" w:pos="0"/>
        </w:tabs>
        <w:spacing w:line="480" w:lineRule="exact"/>
        <w:ind w:firstLine="544" w:firstLineChars="227"/>
        <w:rPr>
          <w:rFonts w:ascii="宋体" w:hAnsi="宋体" w:cs="宋体"/>
          <w:color w:val="auto"/>
          <w:sz w:val="24"/>
          <w:highlight w:val="none"/>
        </w:rPr>
      </w:pPr>
      <w:r>
        <w:rPr>
          <w:rFonts w:hint="eastAsia" w:ascii="宋体" w:hAnsi="宋体" w:cs="宋体"/>
          <w:color w:val="auto"/>
          <w:sz w:val="24"/>
          <w:highlight w:val="none"/>
        </w:rPr>
        <w:t>9.3 无论竞争性磋商文件第4章服务需求中是否要求，供应商所报服务均应符合国家强制性标准。</w:t>
      </w:r>
    </w:p>
    <w:p>
      <w:pPr>
        <w:tabs>
          <w:tab w:val="left" w:pos="0"/>
        </w:tabs>
        <w:spacing w:line="480" w:lineRule="exact"/>
        <w:ind w:firstLine="544" w:firstLineChars="227"/>
        <w:rPr>
          <w:rFonts w:ascii="宋体" w:hAnsi="宋体" w:cs="宋体"/>
          <w:color w:val="auto"/>
          <w:sz w:val="24"/>
          <w:highlight w:val="none"/>
        </w:rPr>
      </w:pPr>
      <w:r>
        <w:rPr>
          <w:rFonts w:hint="eastAsia" w:ascii="宋体" w:hAnsi="宋体" w:cs="宋体"/>
          <w:color w:val="auto"/>
          <w:sz w:val="24"/>
          <w:highlight w:val="none"/>
        </w:rPr>
        <w:t>9.4 除竞争性磋商文件中有特殊要求外，响应文件中所使用的计量单位，应采用中华人民共和国法定计量单位。</w:t>
      </w:r>
    </w:p>
    <w:p>
      <w:pPr>
        <w:pStyle w:val="5"/>
        <w:bidi w:val="0"/>
        <w:rPr>
          <w:color w:val="auto"/>
          <w:highlight w:val="none"/>
        </w:rPr>
      </w:pPr>
      <w:r>
        <w:rPr>
          <w:rFonts w:hint="eastAsia"/>
          <w:color w:val="auto"/>
          <w:highlight w:val="none"/>
        </w:rPr>
        <w:t>10.响应文件</w:t>
      </w:r>
      <w:bookmarkEnd w:id="61"/>
      <w:bookmarkEnd w:id="62"/>
      <w:bookmarkEnd w:id="63"/>
      <w:r>
        <w:rPr>
          <w:rFonts w:hint="eastAsia"/>
          <w:color w:val="auto"/>
          <w:highlight w:val="none"/>
        </w:rPr>
        <w:t>构成</w:t>
      </w:r>
      <w:bookmarkEnd w:id="64"/>
      <w:bookmarkEnd w:id="65"/>
      <w:bookmarkEnd w:id="66"/>
      <w:bookmarkEnd w:id="67"/>
    </w:p>
    <w:p>
      <w:pPr>
        <w:tabs>
          <w:tab w:val="left" w:pos="0"/>
        </w:tabs>
        <w:spacing w:line="480" w:lineRule="exact"/>
        <w:ind w:firstLine="544" w:firstLineChars="227"/>
        <w:rPr>
          <w:rFonts w:ascii="宋体" w:hAnsi="宋体" w:cs="宋体"/>
          <w:color w:val="auto"/>
          <w:sz w:val="24"/>
          <w:highlight w:val="none"/>
        </w:rPr>
      </w:pPr>
      <w:bookmarkStart w:id="68" w:name="_Ref467052588"/>
      <w:r>
        <w:rPr>
          <w:rFonts w:hint="eastAsia" w:ascii="宋体" w:hAnsi="宋体" w:cs="宋体"/>
          <w:color w:val="auto"/>
          <w:sz w:val="24"/>
          <w:highlight w:val="none"/>
        </w:rPr>
        <w:t>10.1 供应商应完整地按竞争性磋商文件提供的响应文件格式及要求编写响应文件。竞争性磋商文件中资格审查和符合性审查涉及的事项不满足竞争性磋商文件要求的，其响应文件将被认定为无效。</w:t>
      </w:r>
    </w:p>
    <w:p>
      <w:pPr>
        <w:tabs>
          <w:tab w:val="left" w:pos="0"/>
        </w:tabs>
        <w:spacing w:line="480" w:lineRule="exact"/>
        <w:ind w:firstLine="544" w:firstLineChars="227"/>
        <w:rPr>
          <w:rFonts w:ascii="宋体" w:hAnsi="宋体" w:cs="宋体"/>
          <w:color w:val="auto"/>
          <w:sz w:val="24"/>
          <w:highlight w:val="none"/>
        </w:rPr>
      </w:pPr>
      <w:r>
        <w:rPr>
          <w:rFonts w:hint="eastAsia" w:ascii="宋体" w:hAnsi="宋体" w:cs="宋体"/>
          <w:color w:val="auto"/>
          <w:sz w:val="24"/>
          <w:highlight w:val="none"/>
        </w:rPr>
        <w:t>10.2 上述文件应按照竞争性磋商文件规定签署和盖公章或经公章授权的其他单位章（以下统称公章）。采用公章授权方式的，应当在响应文件第一部分附公章授权书（格式自定）。</w:t>
      </w:r>
    </w:p>
    <w:p>
      <w:pPr>
        <w:tabs>
          <w:tab w:val="left" w:pos="0"/>
        </w:tabs>
        <w:spacing w:line="480" w:lineRule="exact"/>
        <w:ind w:firstLine="544" w:firstLineChars="227"/>
        <w:rPr>
          <w:rFonts w:ascii="宋体" w:hAnsi="宋体" w:cs="宋体"/>
          <w:color w:val="auto"/>
          <w:sz w:val="24"/>
          <w:highlight w:val="none"/>
        </w:rPr>
      </w:pPr>
      <w:r>
        <w:rPr>
          <w:rFonts w:hint="eastAsia" w:ascii="宋体" w:hAnsi="宋体" w:cs="宋体"/>
          <w:color w:val="auto"/>
          <w:sz w:val="24"/>
          <w:highlight w:val="none"/>
        </w:rPr>
        <w:t>10.3 供应商应提交证明文件，证明其提供内容符合响应文件规定。该证明文件是响应文件的一部分。</w:t>
      </w:r>
    </w:p>
    <w:p>
      <w:pPr>
        <w:tabs>
          <w:tab w:val="left" w:pos="0"/>
        </w:tabs>
        <w:spacing w:line="480" w:lineRule="exact"/>
        <w:ind w:firstLine="544" w:firstLineChars="227"/>
        <w:rPr>
          <w:rFonts w:ascii="宋体" w:hAnsi="宋体" w:cs="宋体"/>
          <w:color w:val="auto"/>
          <w:sz w:val="24"/>
          <w:highlight w:val="none"/>
        </w:rPr>
      </w:pPr>
      <w:r>
        <w:rPr>
          <w:rFonts w:hint="eastAsia" w:ascii="宋体" w:hAnsi="宋体" w:cs="宋体"/>
          <w:color w:val="auto"/>
          <w:sz w:val="24"/>
          <w:highlight w:val="none"/>
        </w:rPr>
        <w:t>10.4 上款所述的证明文件，可以是文字资料、图纸和数据等。</w:t>
      </w:r>
    </w:p>
    <w:p>
      <w:pPr>
        <w:tabs>
          <w:tab w:val="left" w:pos="0"/>
        </w:tabs>
        <w:spacing w:line="480" w:lineRule="exact"/>
        <w:ind w:firstLine="544" w:firstLineChars="227"/>
        <w:rPr>
          <w:rFonts w:ascii="宋体" w:hAnsi="宋体" w:cs="宋体"/>
          <w:color w:val="auto"/>
          <w:sz w:val="24"/>
          <w:highlight w:val="none"/>
        </w:rPr>
      </w:pPr>
      <w:r>
        <w:rPr>
          <w:rFonts w:hint="eastAsia" w:ascii="宋体" w:hAnsi="宋体" w:cs="宋体"/>
          <w:color w:val="auto"/>
          <w:sz w:val="24"/>
          <w:highlight w:val="none"/>
        </w:rPr>
        <w:t>10.5 本项目采用纸质版响应文件。</w:t>
      </w:r>
    </w:p>
    <w:p>
      <w:pPr>
        <w:tabs>
          <w:tab w:val="left" w:pos="0"/>
        </w:tabs>
        <w:spacing w:line="480" w:lineRule="exact"/>
        <w:ind w:firstLine="547" w:firstLineChars="227"/>
        <w:rPr>
          <w:rFonts w:ascii="宋体" w:hAnsi="宋体" w:cs="宋体"/>
          <w:b/>
          <w:color w:val="auto"/>
          <w:sz w:val="24"/>
          <w:highlight w:val="none"/>
        </w:rPr>
      </w:pPr>
      <w:r>
        <w:rPr>
          <w:rFonts w:hint="eastAsia" w:ascii="宋体" w:hAnsi="宋体" w:cs="宋体"/>
          <w:b/>
          <w:color w:val="auto"/>
          <w:sz w:val="24"/>
          <w:highlight w:val="none"/>
        </w:rPr>
        <w:t>10.6 供应商提交的响应文件应包含以下各个部分，具体组成内容见第6章响应文件格式。</w:t>
      </w:r>
    </w:p>
    <w:p>
      <w:pPr>
        <w:tabs>
          <w:tab w:val="left" w:pos="0"/>
        </w:tabs>
        <w:spacing w:line="480" w:lineRule="exact"/>
        <w:ind w:firstLine="547" w:firstLineChars="227"/>
        <w:rPr>
          <w:rFonts w:ascii="宋体" w:hAnsi="宋体" w:cs="宋体"/>
          <w:b/>
          <w:color w:val="auto"/>
          <w:sz w:val="24"/>
          <w:highlight w:val="none"/>
        </w:rPr>
      </w:pPr>
      <w:r>
        <w:rPr>
          <w:rFonts w:hint="eastAsia" w:ascii="宋体" w:hAnsi="宋体" w:cs="宋体"/>
          <w:b/>
          <w:color w:val="auto"/>
          <w:sz w:val="24"/>
          <w:highlight w:val="none"/>
        </w:rPr>
        <w:t>10.6.1 商务部分</w:t>
      </w:r>
    </w:p>
    <w:p>
      <w:pPr>
        <w:tabs>
          <w:tab w:val="left" w:pos="0"/>
        </w:tabs>
        <w:spacing w:line="480" w:lineRule="exact"/>
        <w:ind w:firstLine="547" w:firstLineChars="227"/>
        <w:rPr>
          <w:rFonts w:ascii="宋体" w:hAnsi="宋体" w:cs="宋体"/>
          <w:b/>
          <w:color w:val="auto"/>
          <w:sz w:val="24"/>
          <w:highlight w:val="none"/>
        </w:rPr>
      </w:pPr>
      <w:r>
        <w:rPr>
          <w:rFonts w:hint="eastAsia" w:ascii="宋体" w:hAnsi="宋体" w:cs="宋体"/>
          <w:b/>
          <w:color w:val="auto"/>
          <w:sz w:val="24"/>
          <w:highlight w:val="none"/>
        </w:rPr>
        <w:t>10.6.2 资信部分</w:t>
      </w:r>
    </w:p>
    <w:p>
      <w:pPr>
        <w:tabs>
          <w:tab w:val="left" w:pos="0"/>
        </w:tabs>
        <w:spacing w:line="480" w:lineRule="exact"/>
        <w:ind w:firstLine="547" w:firstLineChars="227"/>
        <w:rPr>
          <w:rFonts w:ascii="宋体" w:hAnsi="宋体" w:cs="宋体"/>
          <w:b/>
          <w:color w:val="auto"/>
          <w:sz w:val="24"/>
          <w:highlight w:val="none"/>
        </w:rPr>
      </w:pPr>
      <w:r>
        <w:rPr>
          <w:rFonts w:hint="eastAsia" w:ascii="宋体" w:hAnsi="宋体" w:cs="宋体"/>
          <w:b/>
          <w:color w:val="auto"/>
          <w:sz w:val="24"/>
          <w:highlight w:val="none"/>
        </w:rPr>
        <w:t>10.6.2.1 供应商须对提交的资格证明真实性、有效性、完整性负责，并保证无不诚信记录。</w:t>
      </w:r>
    </w:p>
    <w:p>
      <w:pPr>
        <w:tabs>
          <w:tab w:val="left" w:pos="0"/>
        </w:tabs>
        <w:spacing w:line="480" w:lineRule="exact"/>
        <w:ind w:firstLine="547" w:firstLineChars="227"/>
        <w:rPr>
          <w:rFonts w:ascii="宋体" w:hAnsi="宋体" w:cs="宋体"/>
          <w:b/>
          <w:color w:val="auto"/>
          <w:sz w:val="24"/>
          <w:highlight w:val="none"/>
        </w:rPr>
      </w:pPr>
      <w:r>
        <w:rPr>
          <w:rFonts w:hint="eastAsia" w:ascii="宋体" w:hAnsi="宋体" w:cs="宋体"/>
          <w:b/>
          <w:color w:val="auto"/>
          <w:sz w:val="24"/>
          <w:highlight w:val="none"/>
        </w:rPr>
        <w:t>10.6.2.2 资格证明的字迹、印章必须完整、清晰，否则其响应文件将会被拒绝。</w:t>
      </w:r>
    </w:p>
    <w:p>
      <w:pPr>
        <w:tabs>
          <w:tab w:val="left" w:pos="0"/>
        </w:tabs>
        <w:spacing w:line="480" w:lineRule="exact"/>
        <w:ind w:firstLine="547" w:firstLineChars="227"/>
        <w:rPr>
          <w:rFonts w:ascii="宋体" w:hAnsi="宋体" w:cs="宋体"/>
          <w:b/>
          <w:color w:val="auto"/>
          <w:sz w:val="24"/>
          <w:highlight w:val="none"/>
        </w:rPr>
      </w:pPr>
      <w:r>
        <w:rPr>
          <w:rFonts w:hint="eastAsia" w:ascii="宋体" w:hAnsi="宋体" w:cs="宋体"/>
          <w:b/>
          <w:color w:val="auto"/>
          <w:sz w:val="24"/>
          <w:highlight w:val="none"/>
        </w:rPr>
        <w:t>10.6.3 技术部分</w:t>
      </w:r>
    </w:p>
    <w:p>
      <w:pPr>
        <w:tabs>
          <w:tab w:val="left" w:pos="0"/>
        </w:tabs>
        <w:spacing w:line="480" w:lineRule="exact"/>
        <w:ind w:firstLine="547" w:firstLineChars="227"/>
        <w:rPr>
          <w:rFonts w:ascii="宋体" w:hAnsi="宋体" w:cs="宋体"/>
          <w:b/>
          <w:color w:val="auto"/>
          <w:sz w:val="24"/>
          <w:highlight w:val="none"/>
        </w:rPr>
      </w:pPr>
      <w:r>
        <w:rPr>
          <w:rFonts w:hint="eastAsia" w:ascii="宋体" w:hAnsi="宋体" w:cs="宋体"/>
          <w:b/>
          <w:color w:val="auto"/>
          <w:sz w:val="24"/>
          <w:highlight w:val="none"/>
        </w:rPr>
        <w:t>10.6.3.1 针对本项目的服务方案及相关承诺</w:t>
      </w:r>
    </w:p>
    <w:p>
      <w:pPr>
        <w:tabs>
          <w:tab w:val="left" w:pos="0"/>
        </w:tabs>
        <w:spacing w:line="480" w:lineRule="exact"/>
        <w:ind w:firstLine="547" w:firstLineChars="227"/>
        <w:rPr>
          <w:rFonts w:ascii="宋体" w:hAnsi="宋体" w:cs="宋体"/>
          <w:b/>
          <w:color w:val="auto"/>
          <w:sz w:val="24"/>
          <w:highlight w:val="none"/>
        </w:rPr>
      </w:pPr>
      <w:r>
        <w:rPr>
          <w:rFonts w:hint="eastAsia" w:ascii="宋体" w:hAnsi="宋体" w:cs="宋体"/>
          <w:b/>
          <w:color w:val="auto"/>
          <w:sz w:val="24"/>
          <w:highlight w:val="none"/>
        </w:rPr>
        <w:t xml:space="preserve">10.6.3.2 用于评分的其它材料 </w:t>
      </w:r>
    </w:p>
    <w:bookmarkEnd w:id="68"/>
    <w:p>
      <w:pPr>
        <w:pStyle w:val="5"/>
        <w:bidi w:val="0"/>
        <w:rPr>
          <w:color w:val="auto"/>
          <w:highlight w:val="none"/>
        </w:rPr>
      </w:pPr>
      <w:bookmarkStart w:id="69" w:name="_Toc2248"/>
      <w:bookmarkStart w:id="70" w:name="_Toc515647770"/>
      <w:bookmarkStart w:id="71" w:name="_Toc520356155"/>
      <w:bookmarkStart w:id="72" w:name="_Toc23231"/>
      <w:r>
        <w:rPr>
          <w:rFonts w:hint="eastAsia"/>
          <w:color w:val="auto"/>
          <w:highlight w:val="none"/>
        </w:rPr>
        <w:t>11.</w:t>
      </w:r>
      <w:bookmarkEnd w:id="69"/>
      <w:bookmarkEnd w:id="70"/>
      <w:bookmarkEnd w:id="71"/>
      <w:bookmarkEnd w:id="72"/>
      <w:r>
        <w:rPr>
          <w:rFonts w:hint="eastAsia"/>
          <w:color w:val="auto"/>
          <w:highlight w:val="none"/>
        </w:rPr>
        <w:t>报价</w:t>
      </w:r>
    </w:p>
    <w:p>
      <w:pPr>
        <w:tabs>
          <w:tab w:val="left" w:pos="0"/>
        </w:tabs>
        <w:spacing w:line="480" w:lineRule="exact"/>
        <w:ind w:firstLine="544" w:firstLineChars="227"/>
        <w:rPr>
          <w:rFonts w:ascii="宋体" w:hAnsi="宋体" w:cs="宋体"/>
          <w:color w:val="auto"/>
          <w:sz w:val="24"/>
          <w:highlight w:val="none"/>
        </w:rPr>
      </w:pPr>
      <w:r>
        <w:rPr>
          <w:rFonts w:hint="eastAsia" w:ascii="宋体" w:hAnsi="宋体" w:cs="宋体"/>
          <w:color w:val="auto"/>
          <w:sz w:val="24"/>
          <w:highlight w:val="none"/>
        </w:rPr>
        <w:t>11.1 供应商的报价应当包括满足本次磋商全部采购需求所应提供的服务，以及伴随的货物或工程。报价要求详见供应商须知资料表。供应商的报价应遵守《中华人民共和国价格法》。</w:t>
      </w:r>
    </w:p>
    <w:p>
      <w:pPr>
        <w:tabs>
          <w:tab w:val="left" w:pos="0"/>
        </w:tabs>
        <w:spacing w:line="480" w:lineRule="exact"/>
        <w:ind w:firstLine="544" w:firstLineChars="227"/>
        <w:rPr>
          <w:rFonts w:ascii="宋体" w:hAnsi="宋体" w:cs="宋体"/>
          <w:color w:val="auto"/>
          <w:sz w:val="24"/>
          <w:highlight w:val="none"/>
        </w:rPr>
      </w:pPr>
      <w:r>
        <w:rPr>
          <w:rFonts w:hint="eastAsia" w:ascii="宋体" w:hAnsi="宋体" w:cs="宋体"/>
          <w:color w:val="auto"/>
          <w:sz w:val="24"/>
          <w:highlight w:val="none"/>
        </w:rPr>
        <w:t>11.2 供应商应在分项报价表上标明响应服务单价和总价，并由法定代表人（非法人组织的负责人）或其委托代理人签署。</w:t>
      </w:r>
    </w:p>
    <w:p>
      <w:pPr>
        <w:tabs>
          <w:tab w:val="left" w:pos="0"/>
        </w:tabs>
        <w:spacing w:line="480" w:lineRule="exact"/>
        <w:ind w:firstLine="544" w:firstLineChars="227"/>
        <w:rPr>
          <w:rFonts w:ascii="宋体" w:hAnsi="宋体" w:cs="宋体"/>
          <w:color w:val="auto"/>
          <w:sz w:val="24"/>
          <w:highlight w:val="none"/>
        </w:rPr>
      </w:pPr>
      <w:r>
        <w:rPr>
          <w:rFonts w:hint="eastAsia" w:ascii="宋体" w:hAnsi="宋体" w:cs="宋体"/>
          <w:color w:val="auto"/>
          <w:sz w:val="24"/>
          <w:highlight w:val="none"/>
        </w:rPr>
        <w:t>11.3 分项报价表上的价格应包括：</w:t>
      </w:r>
      <w:r>
        <w:rPr>
          <w:rFonts w:hint="eastAsia" w:ascii="宋体" w:hAnsi="宋体" w:cs="宋体"/>
          <w:color w:val="auto"/>
          <w:sz w:val="24"/>
          <w:highlight w:val="none"/>
          <w:lang w:val="en-US" w:eastAsia="zh-CN"/>
        </w:rPr>
        <w:t>服务人员</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税金、</w:t>
      </w:r>
      <w:r>
        <w:rPr>
          <w:rFonts w:hint="eastAsia" w:ascii="宋体" w:hAnsi="宋体" w:cs="宋体"/>
          <w:color w:val="auto"/>
          <w:sz w:val="24"/>
          <w:highlight w:val="none"/>
        </w:rPr>
        <w:t>管理和竞争性磋商文件要求提供的所有伴随费用。</w:t>
      </w:r>
    </w:p>
    <w:p>
      <w:pPr>
        <w:tabs>
          <w:tab w:val="left" w:pos="0"/>
        </w:tabs>
        <w:spacing w:line="480" w:lineRule="exact"/>
        <w:ind w:firstLine="544" w:firstLineChars="227"/>
        <w:rPr>
          <w:rFonts w:ascii="宋体" w:hAnsi="宋体" w:cs="宋体"/>
          <w:color w:val="auto"/>
          <w:sz w:val="24"/>
          <w:highlight w:val="none"/>
        </w:rPr>
      </w:pPr>
      <w:r>
        <w:rPr>
          <w:rFonts w:hint="eastAsia" w:ascii="宋体" w:hAnsi="宋体" w:cs="宋体"/>
          <w:color w:val="auto"/>
          <w:sz w:val="24"/>
          <w:highlight w:val="none"/>
        </w:rPr>
        <w:t>11.4</w:t>
      </w:r>
      <w:r>
        <w:rPr>
          <w:rFonts w:hint="eastAsia" w:ascii="宋体" w:hAnsi="宋体" w:cs="宋体"/>
          <w:color w:val="auto"/>
          <w:sz w:val="24"/>
          <w:highlight w:val="none"/>
        </w:rPr>
        <w:tab/>
      </w:r>
      <w:r>
        <w:rPr>
          <w:rFonts w:hint="eastAsia" w:ascii="宋体" w:hAnsi="宋体" w:cs="宋体"/>
          <w:color w:val="auto"/>
          <w:sz w:val="24"/>
          <w:highlight w:val="none"/>
        </w:rPr>
        <w:t>供应商所报的各分项单价在合同履行过程中是固定不变的，不得以任何理由予以变更。任何包含价格调整要求的响应文件，其响应文件将被认定为无效。</w:t>
      </w:r>
    </w:p>
    <w:p>
      <w:pPr>
        <w:tabs>
          <w:tab w:val="left" w:pos="0"/>
        </w:tabs>
        <w:spacing w:line="480" w:lineRule="exact"/>
        <w:ind w:firstLine="544" w:firstLineChars="227"/>
        <w:rPr>
          <w:rFonts w:ascii="宋体" w:hAnsi="宋体" w:cs="宋体"/>
          <w:color w:val="auto"/>
          <w:sz w:val="24"/>
          <w:highlight w:val="none"/>
        </w:rPr>
      </w:pPr>
      <w:r>
        <w:rPr>
          <w:rFonts w:hint="eastAsia" w:ascii="宋体" w:hAnsi="宋体" w:cs="宋体"/>
          <w:color w:val="auto"/>
          <w:sz w:val="24"/>
          <w:highlight w:val="none"/>
        </w:rPr>
        <w:t>11.5</w:t>
      </w:r>
      <w:r>
        <w:rPr>
          <w:rFonts w:hint="eastAsia" w:ascii="宋体" w:hAnsi="宋体" w:cs="宋体"/>
          <w:color w:val="auto"/>
          <w:sz w:val="24"/>
          <w:highlight w:val="none"/>
        </w:rPr>
        <w:tab/>
      </w:r>
      <w:r>
        <w:rPr>
          <w:rFonts w:hint="eastAsia" w:ascii="宋体" w:hAnsi="宋体" w:cs="宋体"/>
          <w:color w:val="auto"/>
          <w:sz w:val="24"/>
          <w:highlight w:val="none"/>
        </w:rPr>
        <w:t>采购人不接受具有附加条件的报价或多个方案的报价。</w:t>
      </w:r>
    </w:p>
    <w:p>
      <w:pPr>
        <w:tabs>
          <w:tab w:val="left" w:pos="0"/>
        </w:tabs>
        <w:spacing w:line="480" w:lineRule="exact"/>
        <w:ind w:firstLine="544" w:firstLineChars="227"/>
        <w:rPr>
          <w:rFonts w:ascii="宋体" w:hAnsi="宋体" w:cs="宋体"/>
          <w:color w:val="auto"/>
          <w:sz w:val="24"/>
          <w:highlight w:val="none"/>
        </w:rPr>
      </w:pPr>
      <w:r>
        <w:rPr>
          <w:rFonts w:hint="eastAsia" w:ascii="宋体" w:hAnsi="宋体" w:cs="宋体"/>
          <w:color w:val="auto"/>
          <w:sz w:val="24"/>
          <w:highlight w:val="none"/>
        </w:rPr>
        <w:t>11.6 通过资格性审查和符合性审查的供应商有再次报价的机会，但每一次报价均应以书面形式确认。价格的评审以最后报价为准。</w:t>
      </w:r>
    </w:p>
    <w:p>
      <w:pPr>
        <w:pStyle w:val="5"/>
        <w:bidi w:val="0"/>
        <w:rPr>
          <w:color w:val="auto"/>
          <w:highlight w:val="none"/>
        </w:rPr>
      </w:pPr>
      <w:bookmarkStart w:id="73" w:name="_Toc17788"/>
      <w:bookmarkStart w:id="74" w:name="_Toc520356156"/>
      <w:bookmarkStart w:id="75" w:name="_Ref467306513"/>
      <w:bookmarkStart w:id="76" w:name="_Toc515647771"/>
      <w:bookmarkStart w:id="77" w:name="_Toc11514"/>
      <w:r>
        <w:rPr>
          <w:rFonts w:hint="eastAsia"/>
          <w:color w:val="auto"/>
          <w:highlight w:val="none"/>
        </w:rPr>
        <w:t>12.磋商保证金</w:t>
      </w:r>
      <w:bookmarkEnd w:id="73"/>
      <w:bookmarkEnd w:id="74"/>
      <w:bookmarkEnd w:id="75"/>
      <w:bookmarkEnd w:id="76"/>
      <w:bookmarkEnd w:id="77"/>
    </w:p>
    <w:p>
      <w:pPr>
        <w:tabs>
          <w:tab w:val="left" w:pos="0"/>
        </w:tabs>
        <w:spacing w:line="480" w:lineRule="exact"/>
        <w:ind w:firstLine="544" w:firstLineChars="227"/>
        <w:rPr>
          <w:rFonts w:ascii="宋体" w:hAnsi="宋体" w:cs="宋体"/>
          <w:color w:val="auto"/>
          <w:sz w:val="24"/>
          <w:highlight w:val="none"/>
        </w:rPr>
      </w:pPr>
      <w:bookmarkStart w:id="78" w:name="_Ref467306302"/>
      <w:bookmarkStart w:id="79" w:name="_Toc32569"/>
      <w:bookmarkStart w:id="80" w:name="_Toc515647772"/>
      <w:bookmarkStart w:id="81" w:name="_Toc23590"/>
      <w:bookmarkStart w:id="82" w:name="_Toc520356157"/>
      <w:r>
        <w:rPr>
          <w:rFonts w:hint="eastAsia" w:ascii="宋体" w:hAnsi="宋体" w:cs="宋体"/>
          <w:color w:val="auto"/>
          <w:sz w:val="24"/>
          <w:highlight w:val="none"/>
        </w:rPr>
        <w:t>12.1</w:t>
      </w:r>
      <w:bookmarkEnd w:id="78"/>
      <w:r>
        <w:rPr>
          <w:rFonts w:hint="eastAsia" w:ascii="宋体" w:hAnsi="宋体" w:cs="宋体"/>
          <w:color w:val="auto"/>
          <w:sz w:val="24"/>
          <w:highlight w:val="none"/>
        </w:rPr>
        <w:t xml:space="preserve"> </w:t>
      </w:r>
      <w:r>
        <w:rPr>
          <w:rFonts w:hint="eastAsia" w:ascii="宋体" w:hAnsi="宋体" w:cs="宋体"/>
          <w:b/>
          <w:color w:val="auto"/>
          <w:sz w:val="24"/>
          <w:highlight w:val="none"/>
        </w:rPr>
        <w:t>根据鲁财采【2019】40号的规定，本项目不向诚信记录良好的供应商收取磋商保证金。</w:t>
      </w:r>
    </w:p>
    <w:p>
      <w:pPr>
        <w:tabs>
          <w:tab w:val="left" w:pos="0"/>
        </w:tabs>
        <w:spacing w:line="480" w:lineRule="exact"/>
        <w:ind w:firstLine="544" w:firstLineChars="227"/>
        <w:rPr>
          <w:rFonts w:ascii="宋体" w:hAnsi="宋体" w:cs="宋体"/>
          <w:color w:val="auto"/>
          <w:sz w:val="24"/>
          <w:highlight w:val="none"/>
        </w:rPr>
      </w:pPr>
      <w:r>
        <w:rPr>
          <w:rFonts w:hint="eastAsia" w:ascii="宋体" w:hAnsi="宋体" w:cs="宋体"/>
          <w:color w:val="auto"/>
          <w:sz w:val="24"/>
          <w:highlight w:val="none"/>
        </w:rPr>
        <w:t xml:space="preserve">12.2 </w:t>
      </w:r>
      <w:r>
        <w:rPr>
          <w:rFonts w:ascii="宋体" w:hAnsi="宋体" w:cs="宋体"/>
          <w:color w:val="auto"/>
          <w:sz w:val="24"/>
          <w:highlight w:val="none"/>
        </w:rPr>
        <w:t>供应商在磋商过程及成交后如有违反法律法规的情形，采购代理机构将如实上报政府采购监管部门。</w:t>
      </w:r>
    </w:p>
    <w:p>
      <w:pPr>
        <w:pStyle w:val="5"/>
        <w:bidi w:val="0"/>
        <w:rPr>
          <w:color w:val="auto"/>
          <w:highlight w:val="none"/>
        </w:rPr>
      </w:pPr>
      <w:r>
        <w:rPr>
          <w:rFonts w:hint="eastAsia"/>
          <w:color w:val="auto"/>
          <w:highlight w:val="none"/>
        </w:rPr>
        <w:t>13.响应有效期</w:t>
      </w:r>
      <w:bookmarkEnd w:id="79"/>
      <w:bookmarkEnd w:id="80"/>
      <w:bookmarkEnd w:id="81"/>
      <w:bookmarkEnd w:id="82"/>
    </w:p>
    <w:p>
      <w:pPr>
        <w:tabs>
          <w:tab w:val="left" w:pos="0"/>
        </w:tabs>
        <w:spacing w:line="480" w:lineRule="exact"/>
        <w:ind w:firstLine="544" w:firstLineChars="227"/>
        <w:rPr>
          <w:rFonts w:ascii="宋体" w:hAnsi="宋体" w:cs="宋体"/>
          <w:color w:val="auto"/>
          <w:sz w:val="24"/>
          <w:highlight w:val="none"/>
        </w:rPr>
      </w:pPr>
      <w:r>
        <w:rPr>
          <w:rFonts w:hint="eastAsia" w:ascii="宋体" w:hAnsi="宋体" w:cs="宋体"/>
          <w:color w:val="auto"/>
          <w:sz w:val="24"/>
          <w:highlight w:val="none"/>
        </w:rPr>
        <w:t>13.1 响应应在供应商须知资料表中规定时间内保持有效。响应有效期不满足要求的响应，其响应文件将被认定为无效。</w:t>
      </w:r>
    </w:p>
    <w:p>
      <w:pPr>
        <w:tabs>
          <w:tab w:val="left" w:pos="0"/>
        </w:tabs>
        <w:spacing w:line="480" w:lineRule="exact"/>
        <w:ind w:firstLine="544" w:firstLineChars="227"/>
        <w:rPr>
          <w:rFonts w:ascii="宋体" w:hAnsi="宋体" w:cs="宋体"/>
          <w:color w:val="auto"/>
          <w:sz w:val="24"/>
          <w:highlight w:val="none"/>
        </w:rPr>
      </w:pPr>
      <w:bookmarkStart w:id="83" w:name="_Toc515647773"/>
      <w:bookmarkStart w:id="84" w:name="_Toc17074"/>
      <w:bookmarkStart w:id="85" w:name="_Toc520356158"/>
      <w:bookmarkStart w:id="86" w:name="_Toc493"/>
      <w:r>
        <w:rPr>
          <w:rFonts w:hint="eastAsia" w:ascii="宋体" w:hAnsi="宋体" w:cs="宋体"/>
          <w:color w:val="auto"/>
          <w:sz w:val="24"/>
          <w:highlight w:val="none"/>
        </w:rPr>
        <w:t>13.2 因特殊原因，采购人或采购代理机构可以在原响应有效期截止之前，要求供应商延长响应文件的有效期。接受该要求的供应商将不会被要求和允许修正其响应，且本须知中有关磋商保证金的要求须在延长的有效期内继续有效。供应商可以拒绝延长响应有效期的要求，且不承担任何责任。上述要求和答复都应以书面形式提交。</w:t>
      </w:r>
    </w:p>
    <w:bookmarkEnd w:id="83"/>
    <w:bookmarkEnd w:id="84"/>
    <w:bookmarkEnd w:id="85"/>
    <w:bookmarkEnd w:id="86"/>
    <w:p>
      <w:pPr>
        <w:pStyle w:val="5"/>
        <w:bidi w:val="0"/>
        <w:rPr>
          <w:rFonts w:hint="eastAsia" w:cs="Times New Roman"/>
          <w:color w:val="auto"/>
          <w:highlight w:val="none"/>
        </w:rPr>
      </w:pPr>
      <w:bookmarkStart w:id="87" w:name="_Toc518923077"/>
      <w:bookmarkStart w:id="88" w:name="_Toc19087083"/>
      <w:r>
        <w:rPr>
          <w:rFonts w:hint="eastAsia" w:cs="Times New Roman"/>
          <w:color w:val="auto"/>
          <w:highlight w:val="none"/>
        </w:rPr>
        <w:t>14.响应文件的</w:t>
      </w:r>
      <w:bookmarkEnd w:id="87"/>
      <w:bookmarkEnd w:id="88"/>
      <w:r>
        <w:rPr>
          <w:rFonts w:hint="eastAsia" w:cs="Times New Roman"/>
          <w:color w:val="auto"/>
          <w:highlight w:val="none"/>
        </w:rPr>
        <w:t>签署及规定</w:t>
      </w:r>
    </w:p>
    <w:p>
      <w:pPr>
        <w:tabs>
          <w:tab w:val="left" w:pos="0"/>
        </w:tabs>
        <w:spacing w:line="480" w:lineRule="exact"/>
        <w:ind w:firstLine="544" w:firstLineChars="227"/>
        <w:rPr>
          <w:rFonts w:ascii="宋体" w:hAnsi="宋体" w:cs="宋体"/>
          <w:color w:val="auto"/>
          <w:sz w:val="24"/>
          <w:highlight w:val="none"/>
        </w:rPr>
      </w:pPr>
      <w:r>
        <w:rPr>
          <w:rFonts w:hint="eastAsia" w:ascii="宋体" w:hAnsi="宋体" w:cs="宋体"/>
          <w:color w:val="auto"/>
          <w:sz w:val="24"/>
          <w:highlight w:val="none"/>
        </w:rPr>
        <w:t>14.1 按商务、资信、技术及报价四部分装订成一册响应文件，每册文件正本一份，副本份数见供应商须知资料表。正本和副本的封面上应清楚地标记“正本”或“副本”的字样。当副本和正本不一致时，以正本为准。</w:t>
      </w:r>
    </w:p>
    <w:p>
      <w:pPr>
        <w:tabs>
          <w:tab w:val="left" w:pos="0"/>
        </w:tabs>
        <w:spacing w:line="480" w:lineRule="exact"/>
        <w:ind w:firstLine="544" w:firstLineChars="227"/>
        <w:rPr>
          <w:rFonts w:ascii="宋体" w:hAnsi="宋体" w:cs="宋体"/>
          <w:color w:val="auto"/>
          <w:sz w:val="24"/>
          <w:highlight w:val="none"/>
        </w:rPr>
      </w:pPr>
      <w:r>
        <w:rPr>
          <w:rFonts w:hint="eastAsia" w:ascii="宋体" w:hAnsi="宋体" w:cs="宋体"/>
          <w:color w:val="auto"/>
          <w:sz w:val="24"/>
          <w:highlight w:val="none"/>
        </w:rPr>
        <w:t>14.2 响应文件应用不褪色的材料书写或打印，并在规定处由供应商的法定代表人或其授权代表签字或盖单位章。授权代表签字的，响应文件应附法定代表人签署的授权委托书。所有要求签字的地方都应用不褪色的墨水或签字笔由本人亲笔手写签字（包括姓和名），不得用盖章（如签名章、签字章等）代替，也不得由他人代签。响应文件应尽量避免涂改、行间插字或删除。如果出现上述情况，改动之处应加盖单位章或由供应商的法定代表人或其授权代表签字确认。</w:t>
      </w:r>
    </w:p>
    <w:p>
      <w:pPr>
        <w:tabs>
          <w:tab w:val="left" w:pos="0"/>
        </w:tabs>
        <w:spacing w:line="480" w:lineRule="exact"/>
        <w:ind w:firstLine="544" w:firstLineChars="227"/>
        <w:rPr>
          <w:rFonts w:ascii="宋体" w:hAnsi="宋体" w:cs="宋体"/>
          <w:color w:val="auto"/>
          <w:sz w:val="24"/>
          <w:highlight w:val="none"/>
        </w:rPr>
      </w:pPr>
      <w:r>
        <w:rPr>
          <w:rFonts w:hint="eastAsia" w:ascii="宋体" w:hAnsi="宋体" w:cs="宋体"/>
          <w:color w:val="auto"/>
          <w:sz w:val="24"/>
          <w:highlight w:val="none"/>
        </w:rPr>
        <w:t>14.3 供应商在响应文件及相关文件的签订、履行、通知等事项书面文件中的单位盖章、印章、公章等处均仅指与当事人名称全称相一致的标准公章，不得使用其他形式（如带有“专用章”、“合同章”、“财务章”、“业务章”等字样）的印章；否则，磋商小组有权据此对其响应作无效报价处理。</w:t>
      </w:r>
    </w:p>
    <w:p>
      <w:pPr>
        <w:spacing w:line="480" w:lineRule="exact"/>
        <w:rPr>
          <w:rFonts w:ascii="宋体" w:hAnsi="宋体" w:cs="宋体"/>
          <w:color w:val="auto"/>
          <w:sz w:val="24"/>
          <w:highlight w:val="none"/>
          <w:lang w:val="en-GB"/>
        </w:rPr>
      </w:pPr>
    </w:p>
    <w:p>
      <w:pPr>
        <w:pStyle w:val="4"/>
        <w:spacing w:before="0" w:line="480" w:lineRule="exact"/>
        <w:ind w:left="565" w:leftChars="12" w:hanging="540"/>
        <w:rPr>
          <w:rFonts w:ascii="宋体" w:hAnsi="宋体" w:eastAsia="宋体" w:cs="宋体"/>
          <w:color w:val="auto"/>
          <w:sz w:val="28"/>
          <w:szCs w:val="28"/>
          <w:highlight w:val="none"/>
        </w:rPr>
      </w:pPr>
      <w:bookmarkStart w:id="89" w:name="_Toc16865"/>
      <w:bookmarkStart w:id="90" w:name="_Toc216582808"/>
      <w:bookmarkStart w:id="91" w:name="_Toc11179"/>
      <w:bookmarkStart w:id="92" w:name="_Toc68259617"/>
      <w:bookmarkStart w:id="93" w:name="_Toc18853"/>
      <w:bookmarkStart w:id="94" w:name="_Toc515647774"/>
      <w:bookmarkStart w:id="95" w:name="_Toc520356159"/>
      <w:r>
        <w:rPr>
          <w:rFonts w:hint="eastAsia" w:ascii="宋体" w:hAnsi="宋体" w:eastAsia="宋体" w:cs="宋体"/>
          <w:color w:val="auto"/>
          <w:sz w:val="28"/>
          <w:szCs w:val="28"/>
          <w:highlight w:val="none"/>
        </w:rPr>
        <w:t>四   响应文件的递交</w:t>
      </w:r>
      <w:bookmarkEnd w:id="89"/>
      <w:bookmarkEnd w:id="90"/>
      <w:bookmarkEnd w:id="91"/>
      <w:bookmarkEnd w:id="92"/>
      <w:bookmarkEnd w:id="93"/>
      <w:bookmarkEnd w:id="94"/>
      <w:bookmarkEnd w:id="95"/>
    </w:p>
    <w:p>
      <w:pPr>
        <w:pStyle w:val="5"/>
        <w:bidi w:val="0"/>
        <w:rPr>
          <w:color w:val="auto"/>
          <w:highlight w:val="none"/>
        </w:rPr>
      </w:pPr>
      <w:bookmarkStart w:id="96" w:name="_Toc520356160"/>
      <w:bookmarkStart w:id="97" w:name="_Toc32337"/>
      <w:bookmarkStart w:id="98" w:name="_Toc515647775"/>
      <w:bookmarkStart w:id="99" w:name="_Toc21645"/>
      <w:r>
        <w:rPr>
          <w:rFonts w:hint="eastAsia"/>
          <w:color w:val="auto"/>
          <w:highlight w:val="none"/>
        </w:rPr>
        <w:t>15.响应文件的密封和标记</w:t>
      </w:r>
      <w:bookmarkEnd w:id="96"/>
      <w:bookmarkEnd w:id="97"/>
      <w:bookmarkEnd w:id="98"/>
      <w:bookmarkEnd w:id="99"/>
    </w:p>
    <w:p>
      <w:pPr>
        <w:spacing w:line="480" w:lineRule="exact"/>
        <w:ind w:left="1" w:firstLine="283" w:firstLineChars="118"/>
        <w:rPr>
          <w:rFonts w:ascii="宋体" w:hAnsi="宋体" w:cs="宋体"/>
          <w:color w:val="auto"/>
          <w:sz w:val="24"/>
          <w:highlight w:val="none"/>
        </w:rPr>
      </w:pPr>
      <w:bookmarkStart w:id="100" w:name="_Toc520356161"/>
      <w:bookmarkStart w:id="101" w:name="_Toc515647776"/>
      <w:bookmarkStart w:id="102" w:name="_Toc9840"/>
      <w:bookmarkStart w:id="103" w:name="_Toc46238229"/>
      <w:bookmarkStart w:id="104" w:name="_Toc12751"/>
      <w:r>
        <w:rPr>
          <w:rFonts w:hint="eastAsia" w:ascii="宋体" w:hAnsi="宋体" w:cs="宋体"/>
          <w:color w:val="auto"/>
          <w:sz w:val="24"/>
          <w:highlight w:val="none"/>
        </w:rPr>
        <w:t xml:space="preserve">15.1供应商应将响应文件以正本、副本、报价一览表（一式三份）、电子版为单位分别密封，并在密封件上标明密封件内容、项目编号、项目名称、供应商名称、包号等。 </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15.2供应商将每部分响应文件装入信袋内加以密封后，并在封签处加盖公章或授权代表签字，如无公章或授权代表签字，响应文件将会被拒收。</w:t>
      </w:r>
    </w:p>
    <w:p>
      <w:pPr>
        <w:spacing w:line="480" w:lineRule="exact"/>
        <w:ind w:firstLine="480"/>
        <w:rPr>
          <w:rFonts w:hint="eastAsia" w:ascii="宋体" w:hAnsi="宋体" w:cs="宋体"/>
          <w:color w:val="auto"/>
          <w:sz w:val="24"/>
          <w:highlight w:val="none"/>
        </w:rPr>
      </w:pPr>
      <w:r>
        <w:rPr>
          <w:rFonts w:hint="eastAsia" w:ascii="宋体" w:hAnsi="宋体" w:cs="宋体"/>
          <w:color w:val="auto"/>
          <w:sz w:val="24"/>
          <w:highlight w:val="none"/>
        </w:rPr>
        <w:t>15.3 因供应商对其响应文件密封不当或签署不当而造成响应文件被拒收，由供应商自行负责。</w:t>
      </w:r>
    </w:p>
    <w:p>
      <w:pPr>
        <w:pStyle w:val="5"/>
        <w:spacing w:before="0" w:after="0" w:line="480" w:lineRule="exact"/>
        <w:rPr>
          <w:rFonts w:hAnsi="宋体" w:cs="宋体"/>
          <w:color w:val="auto"/>
          <w:highlight w:val="none"/>
        </w:rPr>
      </w:pPr>
      <w:r>
        <w:rPr>
          <w:rFonts w:hint="eastAsia" w:hAnsi="宋体" w:cs="宋体"/>
          <w:color w:val="auto"/>
          <w:highlight w:val="none"/>
        </w:rPr>
        <w:t>16.响应文件截止</w:t>
      </w:r>
      <w:bookmarkEnd w:id="100"/>
      <w:bookmarkEnd w:id="101"/>
      <w:bookmarkEnd w:id="102"/>
      <w:bookmarkEnd w:id="103"/>
      <w:bookmarkEnd w:id="104"/>
    </w:p>
    <w:p>
      <w:pPr>
        <w:spacing w:line="480" w:lineRule="exact"/>
        <w:ind w:firstLine="480"/>
        <w:rPr>
          <w:rFonts w:ascii="宋体" w:hAnsi="宋体" w:cs="宋体"/>
          <w:color w:val="auto"/>
          <w:sz w:val="24"/>
          <w:highlight w:val="none"/>
        </w:rPr>
      </w:pPr>
      <w:bookmarkStart w:id="105" w:name="_Toc520356162"/>
      <w:bookmarkStart w:id="106" w:name="_Toc518923081"/>
      <w:bookmarkStart w:id="107" w:name="_Toc46235089"/>
      <w:r>
        <w:rPr>
          <w:rFonts w:hint="eastAsia" w:ascii="宋体" w:hAnsi="宋体" w:cs="宋体"/>
          <w:color w:val="auto"/>
          <w:sz w:val="24"/>
          <w:highlight w:val="none"/>
        </w:rPr>
        <w:t>16.1 供应商递交响应文件的时间和地点：见供应商须知资料表。</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16.2</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采购人和采购代理机构将拒绝接收在提交响应文件截止时间后递交的响应文件。</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 xml:space="preserve">16.3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供应商所递交的响应文件不予退还。</w:t>
      </w:r>
    </w:p>
    <w:p>
      <w:pPr>
        <w:pStyle w:val="5"/>
        <w:spacing w:before="0" w:after="0" w:line="480" w:lineRule="exact"/>
        <w:rPr>
          <w:rFonts w:hint="eastAsia" w:hAnsi="宋体" w:eastAsia="宋体" w:cs="宋体"/>
          <w:color w:val="auto"/>
          <w:highlight w:val="none"/>
        </w:rPr>
      </w:pPr>
      <w:r>
        <w:rPr>
          <w:rFonts w:hint="eastAsia" w:hAnsi="宋体" w:eastAsia="宋体" w:cs="宋体"/>
          <w:color w:val="auto"/>
          <w:highlight w:val="none"/>
        </w:rPr>
        <w:t>17.响应文件的接收、修改与撤回</w:t>
      </w:r>
      <w:bookmarkEnd w:id="105"/>
      <w:bookmarkEnd w:id="106"/>
      <w:bookmarkEnd w:id="107"/>
    </w:p>
    <w:p>
      <w:pPr>
        <w:spacing w:line="480" w:lineRule="exact"/>
        <w:ind w:firstLine="480"/>
        <w:rPr>
          <w:rFonts w:ascii="宋体" w:hAnsi="宋体" w:cs="宋体"/>
          <w:b w:val="0"/>
          <w:bCs/>
          <w:color w:val="auto"/>
          <w:sz w:val="24"/>
          <w:highlight w:val="none"/>
        </w:rPr>
      </w:pPr>
      <w:r>
        <w:rPr>
          <w:rFonts w:hint="eastAsia" w:ascii="宋体" w:hAnsi="宋体" w:cs="宋体"/>
          <w:b w:val="0"/>
          <w:bCs/>
          <w:color w:val="auto"/>
          <w:sz w:val="24"/>
          <w:highlight w:val="none"/>
        </w:rPr>
        <w:t>17.1 供应商在磋商文件要求提交响应文件的截止时间前，可以修改或者撤回已提交的响应文件，并书面形式通知代理机构。</w:t>
      </w:r>
    </w:p>
    <w:p>
      <w:pPr>
        <w:spacing w:line="480" w:lineRule="exact"/>
        <w:ind w:firstLine="480"/>
        <w:rPr>
          <w:rFonts w:ascii="宋体" w:hAnsi="宋体" w:cs="宋体"/>
          <w:b w:val="0"/>
          <w:bCs/>
          <w:color w:val="auto"/>
          <w:sz w:val="24"/>
          <w:highlight w:val="none"/>
        </w:rPr>
      </w:pPr>
      <w:r>
        <w:rPr>
          <w:rFonts w:hint="eastAsia" w:ascii="宋体" w:hAnsi="宋体" w:cs="宋体"/>
          <w:b w:val="0"/>
          <w:bCs/>
          <w:color w:val="auto"/>
          <w:sz w:val="24"/>
          <w:highlight w:val="none"/>
        </w:rPr>
        <w:t>17.2 任何修改内容必须由供应商的法定代表人或其委托代理人签字，不得涂抹。经法定代表人或其委托代理人正式签署的修改文件组成响应文件的一部分，份数和密封要求同响应文件一致。</w:t>
      </w:r>
    </w:p>
    <w:p>
      <w:pPr>
        <w:spacing w:line="480" w:lineRule="exact"/>
        <w:ind w:firstLine="480"/>
        <w:rPr>
          <w:rFonts w:ascii="宋体" w:hAnsi="宋体" w:cs="宋体"/>
          <w:b w:val="0"/>
          <w:bCs/>
          <w:color w:val="auto"/>
          <w:sz w:val="24"/>
          <w:highlight w:val="none"/>
        </w:rPr>
      </w:pPr>
      <w:r>
        <w:rPr>
          <w:rFonts w:hint="eastAsia" w:ascii="宋体" w:hAnsi="宋体" w:cs="宋体"/>
          <w:b w:val="0"/>
          <w:bCs/>
          <w:color w:val="auto"/>
          <w:sz w:val="24"/>
          <w:highlight w:val="none"/>
        </w:rPr>
        <w:t>17.3 磋商有效期内不得撤回，否则其磋商保证金不予退还（若有）。</w:t>
      </w:r>
    </w:p>
    <w:p>
      <w:pPr>
        <w:spacing w:line="480" w:lineRule="exact"/>
        <w:rPr>
          <w:rFonts w:ascii="宋体" w:hAnsi="宋体" w:cs="宋体"/>
          <w:color w:val="auto"/>
          <w:sz w:val="24"/>
          <w:highlight w:val="none"/>
        </w:rPr>
      </w:pPr>
    </w:p>
    <w:p>
      <w:pPr>
        <w:pStyle w:val="4"/>
        <w:spacing w:before="0" w:line="480" w:lineRule="exact"/>
        <w:ind w:left="565" w:leftChars="12" w:hanging="540"/>
        <w:rPr>
          <w:rFonts w:ascii="宋体" w:hAnsi="宋体" w:eastAsia="宋体" w:cs="宋体"/>
          <w:color w:val="auto"/>
          <w:sz w:val="28"/>
          <w:szCs w:val="28"/>
          <w:highlight w:val="none"/>
        </w:rPr>
      </w:pPr>
      <w:bookmarkStart w:id="108" w:name="_Toc68259618"/>
      <w:bookmarkStart w:id="109" w:name="_Toc28398"/>
      <w:bookmarkStart w:id="110" w:name="_Toc216582809"/>
      <w:bookmarkStart w:id="111" w:name="_Toc520356163"/>
      <w:bookmarkStart w:id="112" w:name="_Toc515647778"/>
      <w:bookmarkStart w:id="113" w:name="_Toc19536"/>
      <w:bookmarkStart w:id="114" w:name="_Toc12436"/>
      <w:r>
        <w:rPr>
          <w:rFonts w:hint="eastAsia" w:ascii="宋体" w:hAnsi="宋体" w:eastAsia="宋体" w:cs="宋体"/>
          <w:color w:val="auto"/>
          <w:sz w:val="28"/>
          <w:szCs w:val="28"/>
          <w:highlight w:val="none"/>
        </w:rPr>
        <w:t>五   提交响应文件截止及磋商</w:t>
      </w:r>
      <w:bookmarkEnd w:id="108"/>
      <w:bookmarkEnd w:id="109"/>
      <w:bookmarkEnd w:id="110"/>
      <w:bookmarkEnd w:id="111"/>
      <w:bookmarkEnd w:id="112"/>
      <w:bookmarkEnd w:id="113"/>
      <w:bookmarkEnd w:id="114"/>
    </w:p>
    <w:p>
      <w:pPr>
        <w:pStyle w:val="5"/>
        <w:bidi w:val="0"/>
        <w:rPr>
          <w:rFonts w:hint="eastAsia"/>
          <w:color w:val="auto"/>
          <w:highlight w:val="none"/>
        </w:rPr>
      </w:pPr>
      <w:r>
        <w:rPr>
          <w:rFonts w:hint="eastAsia"/>
          <w:color w:val="auto"/>
          <w:highlight w:val="none"/>
          <w:lang w:val="en-US" w:eastAsia="zh-CN"/>
        </w:rPr>
        <w:t>18.</w:t>
      </w:r>
      <w:r>
        <w:rPr>
          <w:rFonts w:hint="eastAsia"/>
          <w:color w:val="auto"/>
          <w:highlight w:val="none"/>
        </w:rPr>
        <w:t>提交响应文件截止</w:t>
      </w:r>
    </w:p>
    <w:p>
      <w:pPr>
        <w:spacing w:line="480" w:lineRule="exact"/>
        <w:ind w:firstLine="480"/>
        <w:rPr>
          <w:rFonts w:hint="eastAsia" w:ascii="宋体" w:hAnsi="宋体" w:cs="宋体"/>
          <w:color w:val="auto"/>
          <w:sz w:val="24"/>
          <w:highlight w:val="none"/>
        </w:rPr>
      </w:pPr>
      <w:bookmarkStart w:id="115" w:name="_Toc520356165"/>
      <w:bookmarkStart w:id="116" w:name="_Toc19296"/>
      <w:bookmarkStart w:id="117" w:name="_Toc515647780"/>
      <w:bookmarkStart w:id="118" w:name="_Toc21372"/>
      <w:r>
        <w:rPr>
          <w:rFonts w:hint="eastAsia" w:ascii="宋体" w:hAnsi="宋体" w:cs="宋体"/>
          <w:color w:val="auto"/>
          <w:sz w:val="24"/>
          <w:highlight w:val="none"/>
        </w:rPr>
        <w:t>18.1 采购人或采购代理机构按照供应商须知资料表规定的时间和地点召开会议。届时请供应商派代表参加，参加会议的代表应签名报到以证明其出席，否则，责任自负。如在响应文件递交截止时间递交响应文件的供应商少于三家，采购代理机构有采取重新采购的权力，且不承担任何费用和责任。</w:t>
      </w:r>
    </w:p>
    <w:p>
      <w:pPr>
        <w:spacing w:line="480" w:lineRule="exact"/>
        <w:ind w:firstLine="480"/>
        <w:rPr>
          <w:rFonts w:hint="eastAsia" w:ascii="宋体" w:hAnsi="宋体" w:cs="宋体"/>
          <w:color w:val="auto"/>
          <w:sz w:val="24"/>
          <w:highlight w:val="none"/>
        </w:rPr>
      </w:pPr>
      <w:r>
        <w:rPr>
          <w:rFonts w:hint="eastAsia" w:ascii="宋体" w:hAnsi="宋体" w:cs="宋体"/>
          <w:color w:val="auto"/>
          <w:sz w:val="24"/>
          <w:highlight w:val="none"/>
        </w:rPr>
        <w:t>18.2  磋商截止时间后，不允许对响应文件做实质性修改，同时采购人和采购代理机构对所接收响应文件概不退回。</w:t>
      </w:r>
    </w:p>
    <w:p>
      <w:pPr>
        <w:pStyle w:val="5"/>
        <w:bidi w:val="0"/>
        <w:rPr>
          <w:rFonts w:hint="eastAsia"/>
          <w:color w:val="auto"/>
          <w:highlight w:val="none"/>
        </w:rPr>
      </w:pPr>
      <w:bookmarkStart w:id="119" w:name="_Toc411637993"/>
      <w:r>
        <w:rPr>
          <w:rFonts w:hint="eastAsia"/>
          <w:color w:val="auto"/>
          <w:highlight w:val="none"/>
        </w:rPr>
        <w:t>19. 磋商小组</w:t>
      </w:r>
      <w:bookmarkEnd w:id="119"/>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19.1 采购代理机构将按照《中华人民共和国政府采购法》及有关规定组建磋商小组。磋商小组由采购人代表及有关经济、技术等方面的专家</w:t>
      </w:r>
      <w:r>
        <w:rPr>
          <w:rFonts w:hint="eastAsia" w:ascii="宋体" w:hAnsi="宋体" w:cs="宋体"/>
          <w:b/>
          <w:bCs/>
          <w:color w:val="auto"/>
          <w:sz w:val="24"/>
          <w:highlight w:val="none"/>
          <w:u w:val="single"/>
        </w:rPr>
        <w:t>3</w:t>
      </w:r>
      <w:r>
        <w:rPr>
          <w:rFonts w:hint="eastAsia" w:ascii="宋体" w:hAnsi="宋体" w:cs="宋体"/>
          <w:color w:val="auto"/>
          <w:sz w:val="24"/>
          <w:highlight w:val="none"/>
        </w:rPr>
        <w:t>人组成。</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19.2 磋商小组具有依据磋商文件进行独立评审的权力，且不受外界任何因素的干扰。磋商小组成员需对评审结果独立写出评审意见，并承担责任。评委成员若拒绝在评审报告上签字且不陈述其不同意理由的，视为同意和接受。</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19.3 磋商小组的职责：</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（1）审查响应文件是否符合磋商文件要求；</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（2）要求供应商对响应文件有关事项</w:t>
      </w:r>
      <w:r>
        <w:rPr>
          <w:rFonts w:hint="eastAsia" w:ascii="宋体" w:hAnsi="宋体" w:cs="宋体"/>
          <w:color w:val="auto"/>
          <w:sz w:val="24"/>
          <w:highlight w:val="none"/>
          <w:lang w:eastAsia="zh-CN"/>
        </w:rPr>
        <w:t>作出解释</w:t>
      </w:r>
      <w:r>
        <w:rPr>
          <w:rFonts w:hint="eastAsia" w:ascii="宋体" w:hAnsi="宋体" w:cs="宋体"/>
          <w:color w:val="auto"/>
          <w:sz w:val="24"/>
          <w:highlight w:val="none"/>
        </w:rPr>
        <w:t>或者澄清；</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（3）按照磋商文件规定的评分标准进行评比和打分；</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（4）推荐成交候选供应商名单，或者受采购人委托按照事先确定的办法直接确定成交供应商；</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（5）向采购单位或者有关部门报告非法干预评审工作的行为。</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19.4 磋商小组的义务：</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（1）遵纪守法，客观、公正、廉洁地履行职责；</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（2）根据采购文件的规定独立进行评审，对个人的评审意见承担法律责任；</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（3）参与评审报告的起草；</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（4）配合采购人、采购代理机构答复供应商提出的质疑；</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（5）配合财政部门的投诉处理和监督检查工作。</w:t>
      </w:r>
    </w:p>
    <w:p>
      <w:pPr>
        <w:pStyle w:val="5"/>
        <w:bidi w:val="0"/>
        <w:rPr>
          <w:color w:val="auto"/>
          <w:highlight w:val="none"/>
        </w:rPr>
      </w:pPr>
      <w:r>
        <w:rPr>
          <w:rFonts w:hint="eastAsia"/>
          <w:color w:val="auto"/>
          <w:highlight w:val="none"/>
        </w:rPr>
        <w:t>20.</w:t>
      </w:r>
      <w:bookmarkEnd w:id="115"/>
      <w:r>
        <w:rPr>
          <w:rFonts w:hint="eastAsia"/>
          <w:color w:val="auto"/>
          <w:highlight w:val="none"/>
        </w:rPr>
        <w:t>资格审查</w:t>
      </w:r>
      <w:bookmarkEnd w:id="116"/>
      <w:bookmarkEnd w:id="117"/>
      <w:bookmarkEnd w:id="118"/>
    </w:p>
    <w:p>
      <w:pPr>
        <w:spacing w:line="480" w:lineRule="exact"/>
        <w:ind w:firstLine="480"/>
        <w:rPr>
          <w:rFonts w:ascii="宋体" w:hAnsi="宋体" w:cs="宋体"/>
          <w:color w:val="auto"/>
          <w:sz w:val="24"/>
          <w:highlight w:val="none"/>
        </w:rPr>
      </w:pPr>
      <w:bookmarkStart w:id="120" w:name="_Toc520356166"/>
      <w:bookmarkStart w:id="121" w:name="_Toc19949"/>
      <w:bookmarkStart w:id="122" w:name="_Toc28479"/>
      <w:bookmarkStart w:id="123" w:name="_Toc515647781"/>
      <w:r>
        <w:rPr>
          <w:rFonts w:hint="eastAsia" w:ascii="宋体" w:hAnsi="宋体" w:cs="宋体"/>
          <w:color w:val="auto"/>
          <w:sz w:val="24"/>
          <w:highlight w:val="none"/>
        </w:rPr>
        <w:t>20.1 磋商小组依据法律法规和竞争性磋商文件中规定的内容，对供应商的资格进行审查。未通过资格审查的供应商不进入磋商；通过资格审查的供应商不足3家的，不得磋商。</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20.2  采购人或采购代理机构将按供应商须知资料表查询供应商的信用记录。</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20.2.1 供应商在中国政府采购网（</w:t>
      </w:r>
      <w:r>
        <w:rPr>
          <w:color w:val="auto"/>
          <w:highlight w:val="none"/>
        </w:rPr>
        <w:fldChar w:fldCharType="begin"/>
      </w:r>
      <w:r>
        <w:rPr>
          <w:color w:val="auto"/>
          <w:highlight w:val="none"/>
        </w:rPr>
        <w:instrText xml:space="preserve"> HYPERLINK "http://www.ccgp.gov.cn" </w:instrText>
      </w:r>
      <w:r>
        <w:rPr>
          <w:color w:val="auto"/>
          <w:highlight w:val="none"/>
        </w:rPr>
        <w:fldChar w:fldCharType="separate"/>
      </w:r>
      <w:r>
        <w:rPr>
          <w:rFonts w:hint="eastAsia"/>
          <w:color w:val="auto"/>
          <w:highlight w:val="none"/>
        </w:rPr>
        <w:t>www.ccgp.gov.cn</w:t>
      </w:r>
      <w:r>
        <w:rPr>
          <w:rFonts w:hint="eastAsia"/>
          <w:color w:val="auto"/>
          <w:highlight w:val="none"/>
        </w:rPr>
        <w:fldChar w:fldCharType="end"/>
      </w:r>
      <w:r>
        <w:rPr>
          <w:rFonts w:hint="eastAsia" w:ascii="宋体" w:hAnsi="宋体" w:cs="宋体"/>
          <w:color w:val="auto"/>
          <w:sz w:val="24"/>
          <w:highlight w:val="none"/>
        </w:rPr>
        <w:t>）被列入政府采购严重违法失信行为记录名单，或在“信用中国”网站（</w:t>
      </w:r>
      <w:r>
        <w:rPr>
          <w:color w:val="auto"/>
          <w:highlight w:val="none"/>
        </w:rPr>
        <w:fldChar w:fldCharType="begin"/>
      </w:r>
      <w:r>
        <w:rPr>
          <w:color w:val="auto"/>
          <w:highlight w:val="none"/>
        </w:rPr>
        <w:instrText xml:space="preserve"> HYPERLINK "http://www.creditchina.gov.cn" </w:instrText>
      </w:r>
      <w:r>
        <w:rPr>
          <w:color w:val="auto"/>
          <w:highlight w:val="none"/>
        </w:rPr>
        <w:fldChar w:fldCharType="separate"/>
      </w:r>
      <w:r>
        <w:rPr>
          <w:rFonts w:hint="eastAsia"/>
          <w:color w:val="auto"/>
          <w:highlight w:val="none"/>
        </w:rPr>
        <w:t>www.creditchina.gov.cn</w:t>
      </w:r>
      <w:r>
        <w:rPr>
          <w:rFonts w:hint="eastAsia"/>
          <w:color w:val="auto"/>
          <w:highlight w:val="none"/>
        </w:rPr>
        <w:fldChar w:fldCharType="end"/>
      </w:r>
      <w:r>
        <w:rPr>
          <w:rFonts w:hint="eastAsia" w:ascii="宋体" w:hAnsi="宋体" w:cs="宋体"/>
          <w:color w:val="auto"/>
          <w:sz w:val="24"/>
          <w:highlight w:val="none"/>
        </w:rPr>
        <w:t>）</w:t>
      </w:r>
      <w:r>
        <w:rPr>
          <w:rFonts w:hint="eastAsia" w:ascii="宋体" w:hAnsi="宋体" w:cs="宋体"/>
          <w:color w:val="auto"/>
          <w:sz w:val="24"/>
          <w:highlight w:val="none"/>
          <w:lang w:val="en-US" w:eastAsia="zh-CN"/>
        </w:rPr>
        <w:t>或</w:t>
      </w:r>
      <w:r>
        <w:rPr>
          <w:rFonts w:hint="eastAsia" w:ascii="宋体" w:hAnsi="宋体" w:cs="宋体"/>
          <w:color w:val="auto"/>
          <w:sz w:val="24"/>
          <w:highlight w:val="none"/>
        </w:rPr>
        <w:t>“信用山东”网站（</w:t>
      </w:r>
      <w:r>
        <w:rPr>
          <w:color w:val="auto"/>
          <w:highlight w:val="none"/>
        </w:rPr>
        <w:fldChar w:fldCharType="begin"/>
      </w:r>
      <w:r>
        <w:rPr>
          <w:color w:val="auto"/>
          <w:highlight w:val="none"/>
        </w:rPr>
        <w:instrText xml:space="preserve"> HYPERLINK "http://www.creditsd.gov.cn" </w:instrText>
      </w:r>
      <w:r>
        <w:rPr>
          <w:color w:val="auto"/>
          <w:highlight w:val="none"/>
        </w:rPr>
        <w:fldChar w:fldCharType="separate"/>
      </w:r>
      <w:r>
        <w:rPr>
          <w:rFonts w:hint="eastAsia"/>
          <w:color w:val="auto"/>
          <w:highlight w:val="none"/>
        </w:rPr>
        <w:t>www.creditsd.gov.cn</w:t>
      </w:r>
      <w:r>
        <w:rPr>
          <w:rFonts w:hint="eastAsia"/>
          <w:color w:val="auto"/>
          <w:highlight w:val="none"/>
        </w:rPr>
        <w:fldChar w:fldCharType="end"/>
      </w:r>
      <w:r>
        <w:rPr>
          <w:rFonts w:hint="eastAsia" w:ascii="宋体" w:hAnsi="宋体" w:cs="宋体"/>
          <w:color w:val="auto"/>
          <w:sz w:val="24"/>
          <w:highlight w:val="none"/>
        </w:rPr>
        <w:t>）被列入失信被执行人、</w:t>
      </w:r>
      <w:r>
        <w:rPr>
          <w:rFonts w:hint="eastAsia" w:ascii="宋体" w:hAnsi="宋体" w:cs="宋体"/>
          <w:color w:val="auto"/>
          <w:sz w:val="24"/>
          <w:highlight w:val="none"/>
          <w:lang w:eastAsia="zh-CN"/>
        </w:rPr>
        <w:t>重大税收违法失信主体</w:t>
      </w:r>
      <w:r>
        <w:rPr>
          <w:rFonts w:hint="eastAsia" w:ascii="宋体" w:hAnsi="宋体" w:cs="宋体"/>
          <w:color w:val="auto"/>
          <w:sz w:val="24"/>
          <w:highlight w:val="none"/>
        </w:rPr>
        <w:t>，以及存在《中华人民共和国政府采购法实施条例》第十九条规定的行政处罚记录。</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以联合体形式进行响应的，联合体任何成员存在以上不良信用记录的，联合体其响应文件将被认定为无效</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20.2.2 采购人或采购代理机构将信用记录查询网页打印并存档备查。供应商信用记录以采购人或采购代理机构查询结果为准。供应商自行提供的与网站信息不一致的其他证明材料亦不作为资格审查的依据。</w:t>
      </w:r>
    </w:p>
    <w:p>
      <w:pPr>
        <w:spacing w:line="480" w:lineRule="exact"/>
        <w:ind w:firstLine="480"/>
        <w:rPr>
          <w:rFonts w:hint="eastAsia" w:ascii="宋体" w:hAnsi="宋体" w:cs="宋体"/>
          <w:color w:val="auto"/>
          <w:sz w:val="24"/>
          <w:highlight w:val="none"/>
        </w:rPr>
      </w:pPr>
      <w:r>
        <w:rPr>
          <w:rFonts w:hint="eastAsia" w:ascii="宋体" w:hAnsi="宋体" w:cs="宋体"/>
          <w:color w:val="auto"/>
          <w:sz w:val="24"/>
          <w:highlight w:val="none"/>
        </w:rPr>
        <w:t>在本竞争性磋商文件规定的查询时间之后，网站信息发生的任何变更均不再作为磋商依据。</w:t>
      </w:r>
    </w:p>
    <w:p>
      <w:pPr>
        <w:spacing w:line="440" w:lineRule="exact"/>
        <w:ind w:firstLine="480" w:firstLineChars="200"/>
        <w:rPr>
          <w:color w:val="auto"/>
          <w:highlight w:val="none"/>
        </w:rPr>
      </w:pPr>
      <w:r>
        <w:rPr>
          <w:rFonts w:hint="eastAsia" w:ascii="宋体" w:hAnsi="宋体" w:cs="宋体"/>
          <w:color w:val="auto"/>
          <w:sz w:val="24"/>
          <w:highlight w:val="none"/>
        </w:rPr>
        <w:t>2</w:t>
      </w:r>
      <w:r>
        <w:rPr>
          <w:rFonts w:hint="eastAsia" w:ascii="宋体" w:hAnsi="宋体" w:cs="宋体"/>
          <w:color w:val="auto"/>
          <w:sz w:val="24"/>
          <w:highlight w:val="none"/>
          <w:lang w:val="en-US" w:eastAsia="zh-CN"/>
        </w:rPr>
        <w:t>0</w:t>
      </w:r>
      <w:r>
        <w:rPr>
          <w:rFonts w:hint="eastAsia" w:ascii="宋体" w:hAnsi="宋体" w:cs="宋体"/>
          <w:color w:val="auto"/>
          <w:sz w:val="24"/>
          <w:highlight w:val="none"/>
        </w:rPr>
        <w:t xml:space="preserve">.3 </w:t>
      </w:r>
      <w:r>
        <w:rPr>
          <w:rFonts w:hint="eastAsia" w:ascii="宋体" w:hAnsi="宋体" w:cs="宋体"/>
          <w:b w:val="0"/>
          <w:bCs w:val="0"/>
          <w:color w:val="auto"/>
          <w:sz w:val="24"/>
          <w:highlight w:val="none"/>
        </w:rPr>
        <w:t>根据《政府采购促进中小企业发展管理办法》（财库〔2020〕46号）、《财政部司法部关于政府采购支持监狱企业发展有关问题的通知》（财库〔2014〕68号）和《三部门联合发布关于促进残疾人就业政府采购政策的通知》（</w:t>
      </w:r>
      <w:bookmarkStart w:id="124" w:name="sendNo"/>
      <w:r>
        <w:rPr>
          <w:rFonts w:hint="eastAsia" w:ascii="宋体" w:hAnsi="宋体" w:cs="宋体"/>
          <w:b w:val="0"/>
          <w:bCs w:val="0"/>
          <w:color w:val="auto"/>
          <w:sz w:val="24"/>
          <w:highlight w:val="none"/>
        </w:rPr>
        <w:t>财库〔</w:t>
      </w:r>
      <w:bookmarkEnd w:id="124"/>
      <w:r>
        <w:rPr>
          <w:rFonts w:hint="eastAsia" w:ascii="宋体" w:hAnsi="宋体" w:cs="宋体"/>
          <w:b w:val="0"/>
          <w:bCs w:val="0"/>
          <w:color w:val="auto"/>
          <w:sz w:val="24"/>
          <w:highlight w:val="none"/>
        </w:rPr>
        <w:t>2017〕141号）的规定，对满足中小微企业条件且在响应文件中提交了相关声明函</w:t>
      </w:r>
      <w:r>
        <w:rPr>
          <w:rFonts w:hint="eastAsia" w:ascii="宋体" w:hAnsi="宋体" w:cs="宋体"/>
          <w:b w:val="0"/>
          <w:bCs w:val="0"/>
          <w:color w:val="auto"/>
          <w:sz w:val="24"/>
          <w:highlight w:val="none"/>
          <w:lang w:val="en-US" w:eastAsia="zh-CN"/>
        </w:rPr>
        <w:t>的残疾人企业</w:t>
      </w:r>
      <w:r>
        <w:rPr>
          <w:rFonts w:hint="eastAsia" w:ascii="宋体" w:hAnsi="宋体" w:cs="宋体"/>
          <w:b w:val="0"/>
          <w:bCs w:val="0"/>
          <w:color w:val="auto"/>
          <w:sz w:val="24"/>
          <w:highlight w:val="none"/>
        </w:rPr>
        <w:t>或省级以上监狱管理局、戒毒管理局（含新疆生产建设兵团）出具的属于监狱企业的证明文件的供应商均视为符合本项目资格要求。</w:t>
      </w:r>
    </w:p>
    <w:p>
      <w:pPr>
        <w:pStyle w:val="5"/>
        <w:bidi w:val="0"/>
        <w:rPr>
          <w:color w:val="auto"/>
          <w:highlight w:val="none"/>
        </w:rPr>
      </w:pPr>
      <w:r>
        <w:rPr>
          <w:rFonts w:hint="eastAsia"/>
          <w:color w:val="auto"/>
          <w:highlight w:val="none"/>
        </w:rPr>
        <w:t>21.响应文件</w:t>
      </w:r>
      <w:bookmarkEnd w:id="120"/>
      <w:r>
        <w:rPr>
          <w:rFonts w:hint="eastAsia"/>
          <w:color w:val="auto"/>
          <w:highlight w:val="none"/>
        </w:rPr>
        <w:t>符合性审查与澄清</w:t>
      </w:r>
      <w:bookmarkEnd w:id="121"/>
      <w:bookmarkEnd w:id="122"/>
      <w:bookmarkEnd w:id="123"/>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21.1  符合性审查是指依据竞争性磋商文件的规定，从响应文件的有效性、完整性和响应程度对竞争性磋商文件的响应程度进行审查，以确定是否对竞争性磋商文件的实质性要求做出响应。</w:t>
      </w:r>
      <w:bookmarkStart w:id="125" w:name="_Hlt522424701"/>
      <w:bookmarkEnd w:id="125"/>
      <w:bookmarkStart w:id="126" w:name="_Toc520356167"/>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21.2  经磋商小组集体审核通过，对于不符合条件的供应商要说明其不符合要求的原因，由其法定代表人或授权代表签字确认，供应商代表拒不签字的，并不影响磋商小组所</w:t>
      </w:r>
      <w:r>
        <w:rPr>
          <w:rFonts w:hint="eastAsia" w:ascii="宋体" w:hAnsi="宋体" w:cs="宋体"/>
          <w:color w:val="auto"/>
          <w:sz w:val="24"/>
          <w:highlight w:val="none"/>
          <w:lang w:eastAsia="zh-CN"/>
        </w:rPr>
        <w:t>作出</w:t>
      </w:r>
      <w:r>
        <w:rPr>
          <w:rFonts w:hint="eastAsia" w:ascii="宋体" w:hAnsi="宋体" w:cs="宋体"/>
          <w:color w:val="auto"/>
          <w:sz w:val="24"/>
          <w:highlight w:val="none"/>
        </w:rPr>
        <w:t>的结论。</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21.3</w:t>
      </w:r>
      <w:r>
        <w:rPr>
          <w:rFonts w:hint="eastAsia" w:ascii="宋体" w:hAnsi="宋体" w:cs="宋体"/>
          <w:color w:val="auto"/>
          <w:sz w:val="24"/>
          <w:highlight w:val="none"/>
        </w:rPr>
        <w:tab/>
      </w:r>
      <w:r>
        <w:rPr>
          <w:rFonts w:hint="eastAsia" w:ascii="宋体" w:hAnsi="宋体" w:cs="宋体"/>
          <w:color w:val="auto"/>
          <w:sz w:val="24"/>
          <w:highlight w:val="none"/>
        </w:rPr>
        <w:t>响应文件的澄清</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21.3.1 在磋商期间，磋商小组将以书面方式要求供应商对其响应文件中含义不明确、对同类问题表述不一致或者有明显文字和计算错误的内容，以及磋商小组认为供应商的报价明显低于其他通过符合性检查供应商的报价，有可能影响履约的情况作必要的澄清、说明或补正。供应商的澄清、说明或补正应在磋商小组规定的时间内以书面方式进行，并不得超出响应文件范围或者改变响应文件的实质性内容。</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21.3.2 供应商的澄清、说明或补正将作为响应文件的一部分。</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21.3.3磋商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21.4  已提交响应文件的供应商，在提交最后报价之前，可以根据磋商情况退出磋商。</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21.5 磋商小组可以接受响应文件中不构成实质性偏离的不正规或不一致。</w:t>
      </w:r>
    </w:p>
    <w:p>
      <w:pPr>
        <w:pStyle w:val="5"/>
        <w:bidi w:val="0"/>
        <w:rPr>
          <w:color w:val="auto"/>
          <w:highlight w:val="none"/>
        </w:rPr>
      </w:pPr>
      <w:bookmarkStart w:id="127" w:name="_Toc515647783"/>
      <w:bookmarkStart w:id="128" w:name="_Toc6092"/>
      <w:bookmarkStart w:id="129" w:name="_Toc4950"/>
      <w:r>
        <w:rPr>
          <w:rFonts w:hint="eastAsia"/>
          <w:color w:val="auto"/>
          <w:highlight w:val="none"/>
        </w:rPr>
        <w:t>22.</w:t>
      </w:r>
      <w:bookmarkEnd w:id="127"/>
      <w:r>
        <w:rPr>
          <w:rFonts w:hint="eastAsia"/>
          <w:color w:val="auto"/>
          <w:highlight w:val="none"/>
        </w:rPr>
        <w:t>无效</w:t>
      </w:r>
      <w:bookmarkEnd w:id="128"/>
      <w:bookmarkEnd w:id="129"/>
      <w:r>
        <w:rPr>
          <w:rFonts w:hint="eastAsia"/>
          <w:color w:val="auto"/>
          <w:highlight w:val="none"/>
        </w:rPr>
        <w:t>响应</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22.1在比较与评价之前，根据本须知的规定，磋商小组要审查每份响应文件是否实质上响应了竞争性磋商文件的要求，未实质性响应磋商文件的响应文件按无效响应处理。</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22.2</w:t>
      </w:r>
      <w:r>
        <w:rPr>
          <w:rFonts w:hint="eastAsia" w:ascii="宋体" w:hAnsi="宋体" w:cs="宋体"/>
          <w:color w:val="auto"/>
          <w:sz w:val="24"/>
          <w:highlight w:val="none"/>
        </w:rPr>
        <w:tab/>
      </w:r>
      <w:r>
        <w:rPr>
          <w:rFonts w:hint="eastAsia" w:ascii="宋体" w:hAnsi="宋体" w:cs="宋体"/>
          <w:color w:val="auto"/>
          <w:sz w:val="24"/>
          <w:highlight w:val="none"/>
        </w:rPr>
        <w:t>如发现下列情况之一的，其响应将被认定为无效响应：</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（1）未按照竞争性磋商文件规定要求签署、盖章的；</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（2）未满足竞争性磋商文件商务和技术条款的实质性要求的；</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（3）违反竞争性磋商文件规定不符合政府采购政策资格要求的；</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（4）报价超过项目预算或最高限价的；</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（5）响应有效期不足的；</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（6）联合体响应文件未附联合体响应协议书的；</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（7）不符合竞争性磋商文件中有关分包规定的；</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（8）属于串通响应，或者依法被视为串通响应；</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（9）响应文件含有采购人不能接受的附加条件的；</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（10）属于竞争性磋商文件规定的其他无效响应情形的；</w:t>
      </w:r>
    </w:p>
    <w:p>
      <w:pPr>
        <w:spacing w:line="480" w:lineRule="exact"/>
        <w:ind w:firstLine="480"/>
        <w:rPr>
          <w:rFonts w:hint="eastAsia" w:ascii="宋体" w:hAnsi="宋体" w:cs="宋体"/>
          <w:color w:val="auto"/>
          <w:sz w:val="24"/>
          <w:highlight w:val="none"/>
        </w:rPr>
      </w:pPr>
      <w:r>
        <w:rPr>
          <w:rFonts w:hint="eastAsia" w:ascii="宋体" w:hAnsi="宋体" w:cs="宋体"/>
          <w:color w:val="auto"/>
          <w:sz w:val="24"/>
          <w:highlight w:val="none"/>
        </w:rPr>
        <w:t>（11）不符合法规和竞争性磋商文件中规定的其他实质性要求的。</w:t>
      </w:r>
    </w:p>
    <w:p>
      <w:pPr>
        <w:spacing w:line="480" w:lineRule="exact"/>
        <w:ind w:firstLine="480"/>
        <w:rPr>
          <w:rFonts w:hint="default" w:ascii="宋体" w:hAnsi="宋体" w:cs="宋体"/>
          <w:color w:val="auto"/>
          <w:sz w:val="24"/>
          <w:highlight w:val="none"/>
          <w:lang w:val="en-US" w:eastAsia="zh-CN"/>
        </w:rPr>
      </w:pP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12</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响应文件所提供的必要材料（含文字、图片、表格等），模糊不清晰、不能明确辨识的。</w:t>
      </w:r>
    </w:p>
    <w:p>
      <w:pPr>
        <w:pStyle w:val="37"/>
        <w:rPr>
          <w:color w:val="auto"/>
          <w:highlight w:val="none"/>
        </w:rPr>
      </w:pPr>
    </w:p>
    <w:p>
      <w:pPr>
        <w:pStyle w:val="5"/>
        <w:bidi w:val="0"/>
        <w:rPr>
          <w:color w:val="auto"/>
          <w:highlight w:val="none"/>
        </w:rPr>
      </w:pPr>
      <w:r>
        <w:rPr>
          <w:rFonts w:hint="eastAsia"/>
          <w:color w:val="auto"/>
          <w:highlight w:val="none"/>
        </w:rPr>
        <w:t>23.磋商</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23.1 磋商小组所有成员集中与供应商分别单独进行磋商。</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23.2  在磋商过程中，磋商小组可以根据磋商文件和磋商情况实质性变动采购需求中的技术、服务要求以及合同条款，但不得变动磋商文件中的其他内容。实质性变动的内容，须经采购人代表确认。</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23.3  对磋商文件作出的实质性变动是磋商文件的有效组成部分，磋商小组应当及时以书面形式同时通知所有参加磋商的供应商。</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23.4  供应商应当按照磋商文件的变动情况和磋商小组的要求重新提交响应文件，并由其法定代表人/负责人或委托代理人签字。供应商为自然人的，应当由本人签字并附身份证明。</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23.5  本项目共2轮报价。磋商文件能够详细列明采购标的的技术、服务要求的，磋商结束后，磋商小组应当要求所有实质性响应的供应商在规定时间内提交另一轮报价，该报价为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另一轮报价，该报价为最后报价。</w:t>
      </w:r>
      <w:r>
        <w:rPr>
          <w:rFonts w:hint="eastAsia" w:ascii="宋体" w:hAnsi="宋体" w:cs="宋体"/>
          <w:b/>
          <w:bCs/>
          <w:color w:val="auto"/>
          <w:sz w:val="24"/>
          <w:highlight w:val="none"/>
        </w:rPr>
        <w:t>分项报价按总价下浮比例同比例下调。</w:t>
      </w:r>
    </w:p>
    <w:p>
      <w:pPr>
        <w:spacing w:line="480" w:lineRule="exact"/>
        <w:ind w:firstLine="480"/>
        <w:rPr>
          <w:rFonts w:hint="eastAsia" w:ascii="宋体" w:hAnsi="宋体" w:cs="宋体"/>
          <w:color w:val="auto"/>
          <w:sz w:val="24"/>
          <w:highlight w:val="none"/>
        </w:rPr>
      </w:pPr>
      <w:r>
        <w:rPr>
          <w:rFonts w:hint="eastAsia" w:ascii="宋体" w:hAnsi="宋体" w:cs="宋体"/>
          <w:color w:val="auto"/>
          <w:sz w:val="24"/>
          <w:highlight w:val="none"/>
        </w:rPr>
        <w:t>23.6  最后报价是供应商响应文件的有效组成部分，供应商法定代表人/负责人或委托代理人对最后报价书面签字确认。</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23.7已提交响应文件的供应商，在提交最后报价之前，可以根据磋商情况退出磋商。该退出申请由供应商法定代表人/负责人或委托代理人书面签字确认。</w:t>
      </w:r>
    </w:p>
    <w:p>
      <w:pPr>
        <w:pStyle w:val="5"/>
        <w:bidi w:val="0"/>
        <w:rPr>
          <w:color w:val="auto"/>
          <w:highlight w:val="none"/>
        </w:rPr>
      </w:pPr>
      <w:bookmarkStart w:id="130" w:name="_Toc22941"/>
      <w:bookmarkStart w:id="131" w:name="_Toc13652"/>
      <w:bookmarkStart w:id="132" w:name="_Toc515647784"/>
      <w:r>
        <w:rPr>
          <w:rFonts w:hint="eastAsia"/>
          <w:color w:val="auto"/>
          <w:highlight w:val="none"/>
        </w:rPr>
        <w:t>24.</w:t>
      </w:r>
      <w:bookmarkEnd w:id="126"/>
      <w:bookmarkEnd w:id="130"/>
      <w:bookmarkEnd w:id="131"/>
      <w:bookmarkEnd w:id="132"/>
      <w:r>
        <w:rPr>
          <w:rFonts w:hint="eastAsia"/>
          <w:color w:val="auto"/>
          <w:highlight w:val="none"/>
        </w:rPr>
        <w:t>比较和评价</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24.1 经磋商确定最终采购需求和提交最后报价的供应商后，磋商小组将根据竞争性磋商文件确定的评审方法和标准，对其技术部分和商务部分作进一步的比较和评价。</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24.2 磋商严格按照竞争性磋商文件的要求和条件进行。详细评审标准见竞争性磋商文件第5章。</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综合评分法，是指响应文件满足竞争性磋商文件全部要求，且按照评审因素的量化指标评审得分最高的供应商为成交候选供应商的评审方法。</w:t>
      </w:r>
    </w:p>
    <w:p>
      <w:pPr>
        <w:pStyle w:val="5"/>
        <w:bidi w:val="0"/>
        <w:rPr>
          <w:color w:val="auto"/>
          <w:highlight w:val="none"/>
        </w:rPr>
      </w:pPr>
      <w:bookmarkStart w:id="133" w:name="_Toc520356168"/>
      <w:bookmarkStart w:id="134" w:name="_Toc20227"/>
      <w:bookmarkStart w:id="135" w:name="_Toc515647785"/>
      <w:bookmarkStart w:id="136" w:name="_Toc9378"/>
      <w:r>
        <w:rPr>
          <w:rFonts w:hint="eastAsia"/>
          <w:color w:val="auto"/>
          <w:highlight w:val="none"/>
        </w:rPr>
        <w:t>2</w:t>
      </w:r>
      <w:bookmarkEnd w:id="133"/>
      <w:r>
        <w:rPr>
          <w:rFonts w:hint="eastAsia"/>
          <w:color w:val="auto"/>
          <w:highlight w:val="none"/>
        </w:rPr>
        <w:t>5.</w:t>
      </w:r>
      <w:bookmarkEnd w:id="134"/>
      <w:bookmarkEnd w:id="135"/>
      <w:bookmarkEnd w:id="136"/>
      <w:r>
        <w:rPr>
          <w:rFonts w:hint="eastAsia"/>
          <w:color w:val="auto"/>
          <w:highlight w:val="none"/>
        </w:rPr>
        <w:t xml:space="preserve"> 采购项目终止</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出现下列情形之一的，采购人应当终止竞争性磋商采购活动，发布项目终止公告并说明原因，重新开展采购活动：</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（1）因情况变化，不再符合规定的竞争性磋商采购方式适用情形的；</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（2）出现影响采购公正的违法、违规行为的；</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（3）除《政府采购竞争性磋商采购方式管理暂行办法》第三条第四项规定的情形外，在采购过程中符合要求的供应商或者报价未超过采购预算的供应商不足3家的。</w:t>
      </w:r>
    </w:p>
    <w:p>
      <w:pPr>
        <w:pStyle w:val="5"/>
        <w:bidi w:val="0"/>
        <w:rPr>
          <w:color w:val="auto"/>
          <w:highlight w:val="none"/>
        </w:rPr>
      </w:pPr>
      <w:bookmarkStart w:id="137" w:name="_Toc31289"/>
      <w:bookmarkStart w:id="138" w:name="_Toc515647786"/>
      <w:bookmarkStart w:id="139" w:name="_Toc24972"/>
      <w:bookmarkStart w:id="140" w:name="_Toc520356169"/>
      <w:r>
        <w:rPr>
          <w:rFonts w:hint="eastAsia"/>
          <w:color w:val="auto"/>
          <w:highlight w:val="none"/>
        </w:rPr>
        <w:t>26.保密</w:t>
      </w:r>
      <w:bookmarkEnd w:id="137"/>
      <w:bookmarkEnd w:id="138"/>
      <w:bookmarkEnd w:id="139"/>
      <w:r>
        <w:rPr>
          <w:rFonts w:hint="eastAsia"/>
          <w:color w:val="auto"/>
          <w:highlight w:val="none"/>
        </w:rPr>
        <w:t>要求</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26.1 磋商将在严格保密的情况下进行。</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26.2 政府采购评审专家应当遵守磋商工作纪律，不得记录、复制或者带走任何评标资料，不得泄露磋商文件、磋商情况和磋商中获悉的商业秘密。</w:t>
      </w:r>
    </w:p>
    <w:p>
      <w:pPr>
        <w:pStyle w:val="4"/>
        <w:spacing w:before="0" w:line="480" w:lineRule="exact"/>
        <w:ind w:left="565" w:leftChars="12" w:hanging="540"/>
        <w:rPr>
          <w:rFonts w:ascii="宋体" w:hAnsi="宋体" w:eastAsia="宋体" w:cs="宋体"/>
          <w:color w:val="auto"/>
          <w:sz w:val="28"/>
          <w:szCs w:val="28"/>
          <w:highlight w:val="none"/>
        </w:rPr>
      </w:pPr>
      <w:bookmarkStart w:id="141" w:name="_Toc23904"/>
      <w:bookmarkStart w:id="142" w:name="_Toc68259619"/>
      <w:bookmarkStart w:id="143" w:name="_Toc27908"/>
      <w:bookmarkStart w:id="144" w:name="_Toc216582810"/>
      <w:bookmarkStart w:id="145" w:name="_Toc12143"/>
      <w:bookmarkStart w:id="146" w:name="_Toc515647787"/>
      <w:r>
        <w:rPr>
          <w:rFonts w:hint="eastAsia" w:ascii="宋体" w:hAnsi="宋体" w:eastAsia="宋体" w:cs="宋体"/>
          <w:color w:val="auto"/>
          <w:sz w:val="28"/>
          <w:szCs w:val="28"/>
          <w:highlight w:val="none"/>
        </w:rPr>
        <w:t xml:space="preserve">六   </w:t>
      </w:r>
      <w:bookmarkEnd w:id="140"/>
      <w:r>
        <w:rPr>
          <w:rFonts w:hint="eastAsia" w:ascii="宋体" w:hAnsi="宋体" w:eastAsia="宋体" w:cs="宋体"/>
          <w:color w:val="auto"/>
          <w:sz w:val="28"/>
          <w:szCs w:val="28"/>
          <w:highlight w:val="none"/>
        </w:rPr>
        <w:t>确定成交</w:t>
      </w:r>
      <w:bookmarkEnd w:id="141"/>
      <w:bookmarkEnd w:id="142"/>
      <w:bookmarkEnd w:id="143"/>
      <w:bookmarkEnd w:id="144"/>
      <w:bookmarkEnd w:id="145"/>
      <w:bookmarkEnd w:id="146"/>
    </w:p>
    <w:p>
      <w:pPr>
        <w:pStyle w:val="5"/>
        <w:bidi w:val="0"/>
        <w:rPr>
          <w:color w:val="auto"/>
          <w:highlight w:val="none"/>
        </w:rPr>
      </w:pPr>
      <w:bookmarkStart w:id="147" w:name="_Ref467307010"/>
      <w:bookmarkStart w:id="148" w:name="_Toc23617"/>
      <w:bookmarkStart w:id="149" w:name="_Toc23762"/>
      <w:bookmarkStart w:id="150" w:name="_Toc515647788"/>
      <w:bookmarkStart w:id="151" w:name="_Toc520356170"/>
      <w:r>
        <w:rPr>
          <w:rFonts w:hint="eastAsia"/>
          <w:color w:val="auto"/>
          <w:highlight w:val="none"/>
        </w:rPr>
        <w:t>27. 成交候选供应商的确定原则及标准</w:t>
      </w:r>
      <w:bookmarkEnd w:id="147"/>
      <w:bookmarkEnd w:id="148"/>
      <w:bookmarkEnd w:id="149"/>
      <w:bookmarkEnd w:id="150"/>
      <w:bookmarkEnd w:id="151"/>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除29条规定外，对实质上响应磋商（谈判）文件的供应商按下列方法进行排序，确定成交候选供应商。</w:t>
      </w:r>
    </w:p>
    <w:p>
      <w:pPr>
        <w:spacing w:line="480" w:lineRule="exact"/>
        <w:ind w:firstLine="480"/>
        <w:rPr>
          <w:rFonts w:ascii="宋体" w:hAnsi="宋体" w:cs="宋体"/>
          <w:color w:val="auto"/>
          <w:sz w:val="24"/>
          <w:highlight w:val="none"/>
        </w:rPr>
      </w:pPr>
      <w:r>
        <w:rPr>
          <w:rFonts w:hint="eastAsia" w:ascii="宋体" w:hAnsi="宋体" w:cs="宋体"/>
          <w:color w:val="auto"/>
          <w:sz w:val="24"/>
          <w:highlight w:val="none"/>
        </w:rPr>
        <w:t>磋商小组对实质上响应竞争性磋商文件的供应商按照竞争性磋商文件第5章规定的评审方法进行排序，确定3名以上成交候选供应商，并编写评审报告。评审得分相同的，按照最后报价由低到高的顺序推荐。评审得分且最后报价相同的，按照技术指标优劣顺序推荐。</w:t>
      </w:r>
    </w:p>
    <w:p>
      <w:pPr>
        <w:pStyle w:val="5"/>
        <w:bidi w:val="0"/>
        <w:rPr>
          <w:color w:val="auto"/>
          <w:highlight w:val="none"/>
        </w:rPr>
      </w:pPr>
      <w:bookmarkStart w:id="152" w:name="_Toc23951"/>
      <w:bookmarkStart w:id="153" w:name="_Toc9653"/>
      <w:bookmarkStart w:id="154" w:name="_Toc515647789"/>
      <w:r>
        <w:rPr>
          <w:rFonts w:hint="eastAsia"/>
          <w:color w:val="auto"/>
          <w:highlight w:val="none"/>
        </w:rPr>
        <w:t>28.确定成交候选供应商和成交供应商</w:t>
      </w:r>
      <w:bookmarkEnd w:id="152"/>
      <w:bookmarkEnd w:id="153"/>
      <w:bookmarkEnd w:id="154"/>
    </w:p>
    <w:p>
      <w:pPr>
        <w:spacing w:line="480" w:lineRule="exact"/>
        <w:rPr>
          <w:rFonts w:ascii="宋体" w:hAnsi="宋体" w:cs="宋体"/>
          <w:color w:val="auto"/>
          <w:sz w:val="24"/>
          <w:highlight w:val="none"/>
        </w:rPr>
      </w:pPr>
      <w:r>
        <w:rPr>
          <w:rFonts w:hint="eastAsia" w:ascii="宋体" w:hAnsi="宋体" w:cs="宋体"/>
          <w:color w:val="auto"/>
          <w:sz w:val="24"/>
          <w:highlight w:val="none"/>
        </w:rPr>
        <w:tab/>
      </w:r>
      <w:r>
        <w:rPr>
          <w:rFonts w:hint="eastAsia" w:ascii="宋体" w:hAnsi="宋体" w:cs="宋体"/>
          <w:color w:val="auto"/>
          <w:sz w:val="24"/>
          <w:highlight w:val="none"/>
        </w:rPr>
        <w:t>磋商小组将根据评标标准，按供应商须知资料表中规定数量推荐中标候选人或根据采购人的委托直接确定成交供应商。</w:t>
      </w:r>
      <w:bookmarkStart w:id="155" w:name="_Toc51176613"/>
    </w:p>
    <w:p>
      <w:pPr>
        <w:pStyle w:val="5"/>
        <w:bidi w:val="0"/>
        <w:rPr>
          <w:color w:val="auto"/>
          <w:highlight w:val="none"/>
        </w:rPr>
      </w:pPr>
      <w:r>
        <w:rPr>
          <w:rFonts w:hint="eastAsia"/>
          <w:color w:val="auto"/>
          <w:highlight w:val="none"/>
        </w:rPr>
        <w:t>29.采购任务取消</w:t>
      </w:r>
      <w:bookmarkEnd w:id="155"/>
    </w:p>
    <w:p>
      <w:pPr>
        <w:spacing w:line="48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因重大变故采购任务取消时，采购人有权拒绝任何供应商成交，对受影响的供应商不承担任何责任。</w:t>
      </w:r>
    </w:p>
    <w:p>
      <w:pPr>
        <w:pStyle w:val="5"/>
        <w:bidi w:val="0"/>
        <w:rPr>
          <w:color w:val="auto"/>
          <w:highlight w:val="none"/>
        </w:rPr>
      </w:pPr>
      <w:bookmarkStart w:id="156" w:name="_Toc520356174"/>
      <w:bookmarkStart w:id="157" w:name="_Toc518923095"/>
      <w:bookmarkStart w:id="158" w:name="_Toc19087101"/>
      <w:r>
        <w:rPr>
          <w:rFonts w:hint="eastAsia"/>
          <w:color w:val="auto"/>
          <w:highlight w:val="none"/>
        </w:rPr>
        <w:t>30.发出成交</w:t>
      </w:r>
      <w:bookmarkEnd w:id="156"/>
      <w:r>
        <w:rPr>
          <w:rFonts w:hint="eastAsia"/>
          <w:color w:val="auto"/>
          <w:highlight w:val="none"/>
        </w:rPr>
        <w:t>通知书</w:t>
      </w:r>
      <w:bookmarkEnd w:id="157"/>
      <w:bookmarkEnd w:id="158"/>
    </w:p>
    <w:p>
      <w:pPr>
        <w:spacing w:line="480" w:lineRule="exact"/>
        <w:rPr>
          <w:rFonts w:ascii="宋体" w:hAnsi="宋体" w:cs="宋体"/>
          <w:color w:val="auto"/>
          <w:sz w:val="24"/>
          <w:highlight w:val="none"/>
        </w:rPr>
      </w:pPr>
      <w:r>
        <w:rPr>
          <w:rFonts w:hint="eastAsia" w:ascii="宋体" w:hAnsi="宋体" w:cs="宋体"/>
          <w:color w:val="auto"/>
          <w:sz w:val="24"/>
          <w:highlight w:val="none"/>
        </w:rPr>
        <w:t xml:space="preserve">    在响应有效期内，成交供应商确定后，采购人或者采购代理机构按照规定应同时公告供应商未中标的原因，发布成交公告，在公告成交结果的同时，向成交供应商发出成交通知书，成交通知书是合同的组成部分。</w:t>
      </w:r>
    </w:p>
    <w:p>
      <w:pPr>
        <w:pStyle w:val="5"/>
        <w:bidi w:val="0"/>
        <w:rPr>
          <w:color w:val="auto"/>
          <w:highlight w:val="none"/>
        </w:rPr>
      </w:pPr>
      <w:bookmarkStart w:id="159" w:name="_Ref467307062"/>
      <w:bookmarkStart w:id="160" w:name="_Toc518923096"/>
      <w:bookmarkStart w:id="161" w:name="_Toc520356175"/>
      <w:bookmarkStart w:id="162" w:name="_Ref467306978"/>
      <w:bookmarkStart w:id="163" w:name="_Ref467307204"/>
      <w:bookmarkStart w:id="164" w:name="_Toc19087104"/>
      <w:bookmarkStart w:id="165" w:name="_Ref467306377"/>
      <w:r>
        <w:rPr>
          <w:rFonts w:hint="eastAsia"/>
          <w:color w:val="auto"/>
          <w:highlight w:val="none"/>
        </w:rPr>
        <w:t>31.签订合同</w:t>
      </w:r>
      <w:bookmarkEnd w:id="159"/>
      <w:bookmarkEnd w:id="160"/>
      <w:bookmarkEnd w:id="161"/>
      <w:bookmarkEnd w:id="162"/>
      <w:bookmarkEnd w:id="163"/>
      <w:bookmarkEnd w:id="164"/>
      <w:bookmarkEnd w:id="165"/>
    </w:p>
    <w:p>
      <w:pPr>
        <w:spacing w:line="480" w:lineRule="exact"/>
        <w:ind w:firstLine="424" w:firstLineChars="177"/>
        <w:rPr>
          <w:rFonts w:ascii="宋体" w:hAnsi="宋体" w:cs="宋体"/>
          <w:color w:val="auto"/>
          <w:sz w:val="24"/>
          <w:highlight w:val="none"/>
        </w:rPr>
      </w:pPr>
      <w:r>
        <w:rPr>
          <w:rFonts w:hint="eastAsia" w:ascii="宋体" w:hAnsi="宋体" w:cs="宋体"/>
          <w:color w:val="auto"/>
          <w:sz w:val="24"/>
          <w:highlight w:val="none"/>
        </w:rPr>
        <w:t>31.1 成交供应商应当自发出成交通知书之日起10个工作日内，与采购人签订合同。</w:t>
      </w:r>
    </w:p>
    <w:p>
      <w:pPr>
        <w:spacing w:line="480" w:lineRule="exact"/>
        <w:ind w:firstLine="424" w:firstLineChars="177"/>
        <w:rPr>
          <w:rFonts w:ascii="宋体" w:hAnsi="宋体" w:cs="宋体"/>
          <w:color w:val="auto"/>
          <w:sz w:val="24"/>
          <w:highlight w:val="none"/>
        </w:rPr>
      </w:pPr>
      <w:bookmarkStart w:id="166" w:name="_Toc520356176"/>
      <w:bookmarkStart w:id="167" w:name="_Ref467306425"/>
      <w:bookmarkStart w:id="168" w:name="_Ref467307090"/>
      <w:r>
        <w:rPr>
          <w:rFonts w:hint="eastAsia" w:ascii="宋体" w:hAnsi="宋体" w:cs="宋体"/>
          <w:color w:val="auto"/>
          <w:sz w:val="24"/>
          <w:highlight w:val="none"/>
        </w:rPr>
        <w:t>31.2 竞争性磋商文件、成交供应商的响应文件及其澄清文件等，均为签订合同的依据。</w:t>
      </w:r>
    </w:p>
    <w:p>
      <w:pPr>
        <w:spacing w:line="480" w:lineRule="exact"/>
        <w:ind w:firstLine="424" w:firstLineChars="177"/>
        <w:rPr>
          <w:rFonts w:ascii="宋体" w:hAnsi="宋体" w:cs="宋体"/>
          <w:color w:val="auto"/>
          <w:sz w:val="24"/>
          <w:highlight w:val="none"/>
        </w:rPr>
      </w:pPr>
      <w:r>
        <w:rPr>
          <w:rFonts w:hint="eastAsia" w:ascii="宋体" w:hAnsi="宋体" w:cs="宋体"/>
          <w:color w:val="auto"/>
          <w:sz w:val="24"/>
          <w:highlight w:val="none"/>
        </w:rPr>
        <w:t>31.3 如成交供应商拒绝与采购人签订合同的，采购人可以按照评审报告推荐的成交候选供应商名单排序，确定下一成交候选供应商为成交供应商，也可以重新开展政府采购活动。</w:t>
      </w:r>
    </w:p>
    <w:p>
      <w:pPr>
        <w:spacing w:line="480" w:lineRule="exact"/>
        <w:ind w:firstLine="424" w:firstLineChars="177"/>
        <w:rPr>
          <w:rFonts w:ascii="宋体" w:hAnsi="宋体" w:cs="宋体"/>
          <w:color w:val="auto"/>
          <w:sz w:val="24"/>
          <w:highlight w:val="none"/>
        </w:rPr>
      </w:pPr>
      <w:r>
        <w:rPr>
          <w:rFonts w:hint="eastAsia" w:ascii="宋体" w:hAnsi="宋体" w:cs="宋体"/>
          <w:color w:val="auto"/>
          <w:sz w:val="24"/>
          <w:highlight w:val="none"/>
        </w:rPr>
        <w:t>31.4 当出现法规规定的成交无效或成交结果无效情形时，采购人依规可与排名下一位的成交候选供应商另行签订合同，或依法重新开展采购活动。</w:t>
      </w:r>
    </w:p>
    <w:p>
      <w:pPr>
        <w:pStyle w:val="5"/>
        <w:bidi w:val="0"/>
        <w:rPr>
          <w:color w:val="auto"/>
          <w:highlight w:val="none"/>
        </w:rPr>
      </w:pPr>
      <w:bookmarkStart w:id="169" w:name="_Toc19087105"/>
      <w:bookmarkStart w:id="170" w:name="_Toc518923097"/>
      <w:r>
        <w:rPr>
          <w:rFonts w:hint="eastAsia"/>
          <w:color w:val="auto"/>
          <w:highlight w:val="none"/>
        </w:rPr>
        <w:t>32.履约保证金</w:t>
      </w:r>
      <w:bookmarkEnd w:id="166"/>
      <w:bookmarkEnd w:id="167"/>
      <w:bookmarkEnd w:id="168"/>
      <w:bookmarkEnd w:id="169"/>
      <w:bookmarkEnd w:id="170"/>
    </w:p>
    <w:p>
      <w:pPr>
        <w:spacing w:line="480" w:lineRule="exact"/>
        <w:ind w:firstLine="424" w:firstLineChars="177"/>
        <w:rPr>
          <w:rFonts w:hint="eastAsia" w:ascii="宋体" w:hAnsi="宋体" w:cs="宋体"/>
          <w:color w:val="auto"/>
          <w:sz w:val="24"/>
          <w:highlight w:val="none"/>
        </w:rPr>
      </w:pPr>
      <w:r>
        <w:rPr>
          <w:rFonts w:hint="eastAsia" w:ascii="宋体" w:hAnsi="宋体" w:cs="宋体"/>
          <w:color w:val="auto"/>
          <w:sz w:val="24"/>
          <w:highlight w:val="none"/>
        </w:rPr>
        <w:t>32.1 如果需要履约保证金，成交供应商应按照供应商须知资料表规定向采购人缴纳履约保证金。</w:t>
      </w:r>
    </w:p>
    <w:p>
      <w:pPr>
        <w:spacing w:line="480" w:lineRule="exact"/>
        <w:ind w:firstLine="424" w:firstLineChars="177"/>
        <w:rPr>
          <w:rFonts w:ascii="宋体" w:hAnsi="宋体" w:cs="宋体"/>
          <w:color w:val="auto"/>
          <w:sz w:val="24"/>
          <w:highlight w:val="none"/>
        </w:rPr>
      </w:pPr>
      <w:r>
        <w:rPr>
          <w:rFonts w:hint="eastAsia" w:ascii="宋体" w:hAnsi="宋体" w:cs="宋体"/>
          <w:color w:val="auto"/>
          <w:sz w:val="24"/>
          <w:highlight w:val="none"/>
        </w:rPr>
        <w:t>32.2 政府采购利用担保试点范围内的项目，除32.1规定的情形外，成交供应商也可以按照财政部门的规定，向采购人提供合格的履约担保函。</w:t>
      </w:r>
    </w:p>
    <w:p>
      <w:pPr>
        <w:spacing w:line="480" w:lineRule="exact"/>
        <w:ind w:firstLine="424" w:firstLineChars="177"/>
        <w:rPr>
          <w:rFonts w:ascii="宋体" w:hAnsi="宋体" w:cs="宋体"/>
          <w:color w:val="auto"/>
          <w:sz w:val="24"/>
          <w:highlight w:val="none"/>
        </w:rPr>
      </w:pPr>
      <w:r>
        <w:rPr>
          <w:rFonts w:hint="eastAsia" w:ascii="宋体" w:hAnsi="宋体" w:cs="宋体"/>
          <w:color w:val="auto"/>
          <w:sz w:val="24"/>
          <w:highlight w:val="none"/>
        </w:rPr>
        <w:t>32.3 如果成交供应商没有按照上述履约保证金的规定执行，将视为放弃成交资格，成交供应商的磋商保证金将不予退还（如有）。在此情况下，采购人可依规确定下一候选人为成交供应商，也可以重新开展采购活动。</w:t>
      </w:r>
    </w:p>
    <w:p>
      <w:pPr>
        <w:pStyle w:val="5"/>
        <w:bidi w:val="0"/>
        <w:rPr>
          <w:color w:val="auto"/>
          <w:highlight w:val="none"/>
        </w:rPr>
      </w:pPr>
      <w:bookmarkStart w:id="171" w:name="_Toc51176617"/>
      <w:bookmarkStart w:id="172" w:name="_Toc518923099"/>
      <w:bookmarkStart w:id="173" w:name="_Toc31411"/>
      <w:r>
        <w:rPr>
          <w:rFonts w:hint="eastAsia"/>
          <w:color w:val="auto"/>
          <w:highlight w:val="none"/>
        </w:rPr>
        <w:t>33.政府采购信用担保</w:t>
      </w:r>
      <w:bookmarkEnd w:id="171"/>
      <w:bookmarkEnd w:id="172"/>
      <w:bookmarkEnd w:id="173"/>
    </w:p>
    <w:p>
      <w:pPr>
        <w:spacing w:line="480" w:lineRule="exact"/>
        <w:ind w:firstLine="424" w:firstLineChars="177"/>
        <w:rPr>
          <w:rFonts w:ascii="宋体" w:hAnsi="宋体" w:cs="宋体"/>
          <w:color w:val="auto"/>
          <w:sz w:val="24"/>
          <w:highlight w:val="none"/>
        </w:rPr>
      </w:pPr>
      <w:r>
        <w:rPr>
          <w:rFonts w:hint="eastAsia" w:ascii="宋体" w:hAnsi="宋体" w:cs="宋体"/>
          <w:color w:val="auto"/>
          <w:sz w:val="24"/>
          <w:highlight w:val="none"/>
        </w:rPr>
        <w:t>33.1 本项目是否属于信用担保试点范围见供应商须知资料表。</w:t>
      </w:r>
    </w:p>
    <w:p>
      <w:pPr>
        <w:spacing w:line="480" w:lineRule="exact"/>
        <w:ind w:firstLine="424" w:firstLineChars="177"/>
        <w:rPr>
          <w:rFonts w:ascii="宋体" w:hAnsi="宋体" w:cs="宋体"/>
          <w:color w:val="auto"/>
          <w:sz w:val="24"/>
          <w:highlight w:val="none"/>
        </w:rPr>
      </w:pPr>
      <w:r>
        <w:rPr>
          <w:rFonts w:hint="eastAsia" w:ascii="宋体" w:hAnsi="宋体" w:cs="宋体"/>
          <w:color w:val="auto"/>
          <w:sz w:val="24"/>
          <w:highlight w:val="none"/>
        </w:rPr>
        <w:t>33.2 如属于政府采购信用担保试点范围内，中小型企业供应商可以自由按照财政部门的规定，采用磋商担保、履约担保和融资担保。</w:t>
      </w:r>
    </w:p>
    <w:p>
      <w:pPr>
        <w:spacing w:line="480" w:lineRule="exact"/>
        <w:ind w:firstLine="424" w:firstLineChars="177"/>
        <w:rPr>
          <w:rFonts w:ascii="宋体" w:hAnsi="宋体" w:cs="宋体"/>
          <w:color w:val="auto"/>
          <w:sz w:val="24"/>
          <w:highlight w:val="none"/>
        </w:rPr>
      </w:pPr>
      <w:r>
        <w:rPr>
          <w:rFonts w:hint="eastAsia" w:ascii="宋体" w:hAnsi="宋体" w:cs="宋体"/>
          <w:color w:val="auto"/>
          <w:sz w:val="24"/>
          <w:highlight w:val="none"/>
        </w:rPr>
        <w:t>33.2.1 供应商递交的磋商担保函和履约担保函应符合本磋商（谈判）文件的规定。</w:t>
      </w:r>
    </w:p>
    <w:p>
      <w:pPr>
        <w:spacing w:line="480" w:lineRule="exact"/>
        <w:ind w:firstLine="424" w:firstLineChars="177"/>
        <w:rPr>
          <w:rFonts w:ascii="宋体" w:hAnsi="宋体" w:cs="宋体"/>
          <w:color w:val="auto"/>
          <w:sz w:val="24"/>
          <w:highlight w:val="none"/>
        </w:rPr>
      </w:pPr>
      <w:r>
        <w:rPr>
          <w:rFonts w:hint="eastAsia" w:ascii="宋体" w:hAnsi="宋体" w:cs="宋体"/>
          <w:color w:val="auto"/>
          <w:sz w:val="24"/>
          <w:highlight w:val="none"/>
        </w:rPr>
        <w:t>33.2.2 成交供应商可以采取融资担保的形式为政府采购项目履约进行融资。</w:t>
      </w:r>
    </w:p>
    <w:p>
      <w:pPr>
        <w:pStyle w:val="5"/>
        <w:pageBreakBefore w:val="0"/>
        <w:widowControl w:val="0"/>
        <w:kinsoku/>
        <w:wordWrap/>
        <w:overflowPunct/>
        <w:topLinePunct w:val="0"/>
        <w:bidi w:val="0"/>
        <w:snapToGrid/>
        <w:spacing w:before="0" w:after="0" w:line="480" w:lineRule="exact"/>
        <w:textAlignment w:val="auto"/>
        <w:rPr>
          <w:rFonts w:hint="eastAsia" w:hAnsi="宋体"/>
          <w:color w:val="auto"/>
          <w:highlight w:val="none"/>
          <w:u w:val="none"/>
        </w:rPr>
      </w:pPr>
      <w:bookmarkStart w:id="174" w:name="_Toc20350"/>
      <w:bookmarkStart w:id="175" w:name="_Toc4136"/>
      <w:r>
        <w:rPr>
          <w:rFonts w:hint="eastAsia" w:hAnsi="宋体"/>
          <w:color w:val="auto"/>
          <w:highlight w:val="none"/>
          <w:u w:val="none"/>
        </w:rPr>
        <w:t>3</w:t>
      </w:r>
      <w:r>
        <w:rPr>
          <w:rFonts w:hint="eastAsia" w:hAnsi="宋体"/>
          <w:color w:val="auto"/>
          <w:highlight w:val="none"/>
          <w:u w:val="none"/>
          <w:lang w:val="en-US" w:eastAsia="zh-CN"/>
        </w:rPr>
        <w:t>4</w:t>
      </w:r>
      <w:r>
        <w:rPr>
          <w:rFonts w:hint="eastAsia" w:hAnsi="宋体"/>
          <w:color w:val="auto"/>
          <w:highlight w:val="none"/>
          <w:u w:val="none"/>
        </w:rPr>
        <w:t>.</w:t>
      </w:r>
      <w:bookmarkEnd w:id="174"/>
      <w:r>
        <w:rPr>
          <w:rFonts w:hint="eastAsia" w:ascii="宋体" w:hAnsi="宋体"/>
          <w:color w:val="auto"/>
          <w:sz w:val="24"/>
          <w:highlight w:val="none"/>
          <w:u w:val="none"/>
        </w:rPr>
        <w:t>政府采购合同融资</w:t>
      </w:r>
      <w:bookmarkEnd w:id="175"/>
    </w:p>
    <w:p>
      <w:pPr>
        <w:pageBreakBefore w:val="0"/>
        <w:widowControl w:val="0"/>
        <w:kinsoku/>
        <w:wordWrap/>
        <w:overflowPunct/>
        <w:topLinePunct w:val="0"/>
        <w:bidi w:val="0"/>
        <w:snapToGrid/>
        <w:spacing w:line="480" w:lineRule="exact"/>
        <w:ind w:firstLine="424" w:firstLineChars="177"/>
        <w:textAlignment w:val="auto"/>
        <w:rPr>
          <w:rFonts w:ascii="宋体" w:hAnsi="宋体"/>
          <w:color w:val="auto"/>
          <w:sz w:val="24"/>
          <w:highlight w:val="none"/>
        </w:rPr>
      </w:pPr>
      <w:r>
        <w:rPr>
          <w:rFonts w:hint="eastAsia" w:ascii="宋体" w:hAnsi="宋体"/>
          <w:color w:val="auto"/>
          <w:sz w:val="24"/>
          <w:highlight w:val="none"/>
        </w:rPr>
        <w:t>3</w:t>
      </w:r>
      <w:r>
        <w:rPr>
          <w:rFonts w:hint="eastAsia" w:ascii="宋体" w:hAnsi="宋体"/>
          <w:color w:val="auto"/>
          <w:sz w:val="24"/>
          <w:highlight w:val="none"/>
          <w:lang w:val="en-US" w:eastAsia="zh-CN"/>
        </w:rPr>
        <w:t>4</w:t>
      </w:r>
      <w:r>
        <w:rPr>
          <w:rFonts w:hint="eastAsia" w:ascii="宋体" w:hAnsi="宋体"/>
          <w:color w:val="auto"/>
          <w:sz w:val="24"/>
          <w:highlight w:val="none"/>
        </w:rPr>
        <w:t>.1 本</w:t>
      </w:r>
      <w:r>
        <w:rPr>
          <w:rFonts w:ascii="宋体" w:hAnsi="宋体"/>
          <w:color w:val="auto"/>
          <w:sz w:val="24"/>
          <w:highlight w:val="none"/>
        </w:rPr>
        <w:t>项目是否属于</w:t>
      </w:r>
      <w:r>
        <w:rPr>
          <w:rFonts w:hint="eastAsia" w:ascii="宋体" w:hAnsi="宋体"/>
          <w:color w:val="auto"/>
          <w:sz w:val="24"/>
          <w:highlight w:val="none"/>
        </w:rPr>
        <w:t>政府采购合同融资</w:t>
      </w:r>
      <w:r>
        <w:rPr>
          <w:rFonts w:ascii="宋体" w:hAnsi="宋体"/>
          <w:color w:val="auto"/>
          <w:sz w:val="24"/>
          <w:highlight w:val="none"/>
        </w:rPr>
        <w:t>范围</w:t>
      </w:r>
      <w:r>
        <w:rPr>
          <w:rFonts w:hint="eastAsia" w:ascii="宋体" w:hAnsi="宋体"/>
          <w:color w:val="auto"/>
          <w:sz w:val="24"/>
          <w:highlight w:val="none"/>
        </w:rPr>
        <w:t>见</w:t>
      </w:r>
      <w:r>
        <w:rPr>
          <w:rFonts w:hint="eastAsia" w:ascii="宋体" w:hAnsi="宋体"/>
          <w:color w:val="auto"/>
          <w:sz w:val="24"/>
          <w:highlight w:val="none"/>
          <w:u w:val="single"/>
          <w:lang w:val="en-US" w:eastAsia="zh-CN"/>
        </w:rPr>
        <w:t>供应商</w:t>
      </w:r>
      <w:r>
        <w:rPr>
          <w:rFonts w:hint="eastAsia" w:ascii="宋体" w:hAnsi="宋体"/>
          <w:color w:val="auto"/>
          <w:sz w:val="24"/>
          <w:highlight w:val="none"/>
          <w:u w:val="single"/>
        </w:rPr>
        <w:t>须知资料表</w:t>
      </w:r>
      <w:r>
        <w:rPr>
          <w:rFonts w:hint="eastAsia" w:ascii="宋体" w:hAnsi="宋体"/>
          <w:color w:val="auto"/>
          <w:sz w:val="24"/>
          <w:highlight w:val="none"/>
        </w:rPr>
        <w:t>。</w:t>
      </w:r>
    </w:p>
    <w:p>
      <w:pPr>
        <w:pageBreakBefore w:val="0"/>
        <w:widowControl w:val="0"/>
        <w:kinsoku/>
        <w:wordWrap/>
        <w:overflowPunct/>
        <w:topLinePunct w:val="0"/>
        <w:bidi w:val="0"/>
        <w:snapToGrid/>
        <w:spacing w:line="480" w:lineRule="exact"/>
        <w:ind w:firstLine="424" w:firstLineChars="177"/>
        <w:textAlignment w:val="auto"/>
        <w:rPr>
          <w:rFonts w:hint="eastAsia" w:ascii="宋体" w:hAnsi="宋体"/>
          <w:color w:val="auto"/>
          <w:sz w:val="24"/>
          <w:highlight w:val="none"/>
        </w:rPr>
      </w:pPr>
      <w:r>
        <w:rPr>
          <w:rFonts w:hint="eastAsia" w:ascii="宋体" w:hAnsi="宋体"/>
          <w:color w:val="auto"/>
          <w:sz w:val="24"/>
          <w:highlight w:val="none"/>
          <w:lang w:val="en-US" w:eastAsia="zh-CN"/>
        </w:rPr>
        <w:t>34.2</w:t>
      </w:r>
      <w:r>
        <w:rPr>
          <w:rFonts w:hint="eastAsia" w:ascii="宋体" w:hAnsi="宋体"/>
          <w:color w:val="auto"/>
          <w:sz w:val="24"/>
          <w:highlight w:val="none"/>
        </w:rPr>
        <w:t xml:space="preserve"> 融资流程</w:t>
      </w:r>
    </w:p>
    <w:p>
      <w:pPr>
        <w:pageBreakBefore w:val="0"/>
        <w:widowControl w:val="0"/>
        <w:kinsoku/>
        <w:wordWrap/>
        <w:overflowPunct/>
        <w:topLinePunct w:val="0"/>
        <w:bidi w:val="0"/>
        <w:snapToGrid/>
        <w:spacing w:line="480" w:lineRule="exact"/>
        <w:ind w:firstLine="424" w:firstLineChars="177"/>
        <w:textAlignment w:val="auto"/>
        <w:rPr>
          <w:rFonts w:hint="eastAsia" w:ascii="宋体" w:hAnsi="宋体"/>
          <w:color w:val="auto"/>
          <w:sz w:val="24"/>
          <w:highlight w:val="none"/>
        </w:rPr>
      </w:pPr>
      <w:r>
        <w:rPr>
          <w:rFonts w:hint="eastAsia" w:ascii="宋体" w:hAnsi="宋体"/>
          <w:color w:val="auto"/>
          <w:sz w:val="24"/>
          <w:highlight w:val="none"/>
        </w:rPr>
        <w:t>（一）登记融资需求。供应商只需在“山东省政府采购信息公开平台”注册登记即可使用该用户名及密码，通过“山东省政府采购信息公开平台” 一键联通进入“山东省政府采购合同融资与履约保函服务平台”，也可通过扫描二维码方式进入“山东省政府采购合同融资与履约保函服务平台”，根据自身资金需要，填写融资需求，申请融资服务。</w:t>
      </w:r>
    </w:p>
    <w:p>
      <w:pPr>
        <w:pageBreakBefore w:val="0"/>
        <w:widowControl w:val="0"/>
        <w:kinsoku/>
        <w:wordWrap/>
        <w:overflowPunct/>
        <w:topLinePunct w:val="0"/>
        <w:bidi w:val="0"/>
        <w:snapToGrid/>
        <w:spacing w:line="480" w:lineRule="exact"/>
        <w:ind w:firstLine="424" w:firstLineChars="177"/>
        <w:textAlignment w:val="auto"/>
        <w:rPr>
          <w:rFonts w:hint="eastAsia" w:ascii="宋体" w:hAnsi="宋体"/>
          <w:color w:val="auto"/>
          <w:sz w:val="24"/>
          <w:highlight w:val="none"/>
        </w:rPr>
      </w:pPr>
      <w:r>
        <w:rPr>
          <w:rFonts w:hint="eastAsia" w:ascii="宋体" w:hAnsi="宋体"/>
          <w:color w:val="auto"/>
          <w:sz w:val="24"/>
          <w:highlight w:val="none"/>
        </w:rPr>
        <w:t>（二）对接资金供需。供应商可以进入“融资超市”自主选择平台展示的金融产品，自主对接金融机构；也可以选择“撮合模式” 由平台合作机构提供融资专业服务。金融机构可以根据供应商的融资需求，主动对接供应商，平台同步将融资信息和信用报告与合作金融机构和政府性融资担保机构共享，由政府性融资担保机构提供担保。</w:t>
      </w:r>
    </w:p>
    <w:p>
      <w:pPr>
        <w:pageBreakBefore w:val="0"/>
        <w:widowControl w:val="0"/>
        <w:kinsoku/>
        <w:wordWrap/>
        <w:overflowPunct/>
        <w:topLinePunct w:val="0"/>
        <w:bidi w:val="0"/>
        <w:snapToGrid/>
        <w:spacing w:line="480" w:lineRule="exact"/>
        <w:ind w:firstLine="424" w:firstLineChars="177"/>
        <w:textAlignment w:val="auto"/>
        <w:rPr>
          <w:rFonts w:hint="eastAsia" w:ascii="宋体" w:hAnsi="宋体"/>
          <w:color w:val="auto"/>
          <w:sz w:val="24"/>
          <w:highlight w:val="none"/>
        </w:rPr>
      </w:pPr>
      <w:r>
        <w:rPr>
          <w:rFonts w:hint="eastAsia" w:ascii="宋体" w:hAnsi="宋体"/>
          <w:color w:val="auto"/>
          <w:sz w:val="24"/>
          <w:highlight w:val="none"/>
        </w:rPr>
        <w:t>（三）完成授信审批。金融机构提高贷前风险筛查效率，确保在供应商合同签订前，完成对目标客户贷款的授信审批。届时，</w:t>
      </w:r>
      <w:r>
        <w:rPr>
          <w:rFonts w:hint="eastAsia" w:ascii="宋体" w:hAnsi="宋体"/>
          <w:color w:val="auto"/>
          <w:sz w:val="24"/>
          <w:highlight w:val="none"/>
          <w:lang w:eastAsia="zh-CN"/>
        </w:rPr>
        <w:t>中标人</w:t>
      </w:r>
      <w:r>
        <w:rPr>
          <w:rFonts w:hint="eastAsia" w:ascii="宋体" w:hAnsi="宋体"/>
          <w:color w:val="auto"/>
          <w:sz w:val="24"/>
          <w:highlight w:val="none"/>
        </w:rPr>
        <w:t>将依据政府采购合同获取合同融资服务。</w:t>
      </w:r>
    </w:p>
    <w:p>
      <w:pPr>
        <w:pageBreakBefore w:val="0"/>
        <w:widowControl w:val="0"/>
        <w:kinsoku/>
        <w:wordWrap/>
        <w:overflowPunct/>
        <w:topLinePunct w:val="0"/>
        <w:bidi w:val="0"/>
        <w:snapToGrid/>
        <w:spacing w:line="480" w:lineRule="exact"/>
        <w:ind w:firstLine="424" w:firstLineChars="177"/>
        <w:textAlignment w:val="auto"/>
        <w:rPr>
          <w:rFonts w:hint="eastAsia" w:ascii="宋体" w:hAnsi="宋体"/>
          <w:color w:val="auto"/>
          <w:sz w:val="24"/>
          <w:highlight w:val="none"/>
        </w:rPr>
      </w:pPr>
      <w:r>
        <w:rPr>
          <w:rFonts w:hint="eastAsia" w:ascii="宋体" w:hAnsi="宋体"/>
          <w:color w:val="auto"/>
          <w:sz w:val="24"/>
          <w:highlight w:val="none"/>
        </w:rPr>
        <w:t>（四）锁定合同账号。对供应商以政府采购合同信用获得的融资项目，贷款金融机构应在“融资平台”对相应的政府采购合同进行确认并填报相关信息，平台将信息回传“山东省政府采购信息公开平台”。采购人对已进行融资抵押的政府采购合同，未经相关贷款银行同意不得随意变更合同中的银行账号。</w:t>
      </w:r>
    </w:p>
    <w:p>
      <w:pPr>
        <w:pageBreakBefore w:val="0"/>
        <w:widowControl w:val="0"/>
        <w:kinsoku/>
        <w:wordWrap/>
        <w:overflowPunct/>
        <w:topLinePunct w:val="0"/>
        <w:bidi w:val="0"/>
        <w:snapToGrid/>
        <w:spacing w:line="480" w:lineRule="exact"/>
        <w:ind w:firstLine="424" w:firstLineChars="177"/>
        <w:textAlignment w:val="auto"/>
        <w:rPr>
          <w:rFonts w:hint="eastAsia" w:ascii="宋体" w:hAnsi="宋体"/>
          <w:color w:val="auto"/>
          <w:sz w:val="24"/>
          <w:highlight w:val="none"/>
        </w:rPr>
      </w:pPr>
      <w:r>
        <w:rPr>
          <w:rFonts w:hint="eastAsia" w:ascii="宋体" w:hAnsi="宋体"/>
          <w:color w:val="auto"/>
          <w:sz w:val="24"/>
          <w:highlight w:val="none"/>
        </w:rPr>
        <w:t>（五）资金即时到账。金融机构提前办理完善供应商融资所需各项审批手续，待供应商与采购人签订政府采购合同后，随即向供应商账号发放贷款，确保供应商资金需求及时到位。</w:t>
      </w:r>
    </w:p>
    <w:p>
      <w:pPr>
        <w:pageBreakBefore w:val="0"/>
        <w:widowControl w:val="0"/>
        <w:kinsoku/>
        <w:wordWrap/>
        <w:overflowPunct/>
        <w:topLinePunct w:val="0"/>
        <w:bidi w:val="0"/>
        <w:snapToGrid/>
        <w:spacing w:line="480" w:lineRule="exact"/>
        <w:ind w:firstLine="424" w:firstLineChars="177"/>
        <w:textAlignment w:val="auto"/>
        <w:rPr>
          <w:rFonts w:hint="eastAsia" w:ascii="宋体" w:hAnsi="宋体"/>
          <w:color w:val="auto"/>
          <w:sz w:val="24"/>
          <w:highlight w:val="none"/>
        </w:rPr>
      </w:pPr>
      <w:r>
        <w:rPr>
          <w:rFonts w:hint="eastAsia" w:ascii="宋体" w:hAnsi="宋体"/>
          <w:color w:val="auto"/>
          <w:sz w:val="24"/>
          <w:highlight w:val="none"/>
          <w:lang w:val="en-US" w:eastAsia="zh-CN"/>
        </w:rPr>
        <w:t>34.3</w:t>
      </w:r>
      <w:r>
        <w:rPr>
          <w:rFonts w:hint="eastAsia" w:ascii="宋体" w:hAnsi="宋体"/>
          <w:color w:val="auto"/>
          <w:sz w:val="24"/>
          <w:highlight w:val="none"/>
        </w:rPr>
        <w:t>配合政府采购合同融资工作。采购人做好供应商通过政府采购合同融资的配合工作，协助供应商根据融资需要及时变更合同账号，对已进行融资抵押的政府合同锁定账号。</w:t>
      </w:r>
    </w:p>
    <w:p>
      <w:pPr>
        <w:pStyle w:val="5"/>
        <w:pageBreakBefore w:val="0"/>
        <w:widowControl w:val="0"/>
        <w:kinsoku/>
        <w:wordWrap/>
        <w:overflowPunct/>
        <w:topLinePunct w:val="0"/>
        <w:bidi w:val="0"/>
        <w:snapToGrid/>
        <w:spacing w:before="0" w:after="0" w:line="480" w:lineRule="exact"/>
        <w:textAlignment w:val="auto"/>
        <w:rPr>
          <w:rFonts w:hAnsi="宋体" w:cs="宋体"/>
          <w:color w:val="auto"/>
          <w:highlight w:val="none"/>
          <w:u w:val="none"/>
        </w:rPr>
      </w:pPr>
      <w:bookmarkStart w:id="176" w:name="_Toc518923098"/>
      <w:bookmarkStart w:id="177" w:name="_Toc19016170"/>
      <w:bookmarkStart w:id="178" w:name="_Toc19087106"/>
      <w:bookmarkStart w:id="179" w:name="_Toc26769"/>
      <w:bookmarkStart w:id="180" w:name="_Toc518923100"/>
      <w:r>
        <w:rPr>
          <w:rFonts w:hint="eastAsia" w:hAnsi="宋体" w:cs="宋体"/>
          <w:color w:val="auto"/>
          <w:highlight w:val="none"/>
          <w:u w:val="none"/>
        </w:rPr>
        <w:t>3</w:t>
      </w:r>
      <w:r>
        <w:rPr>
          <w:rFonts w:hint="eastAsia" w:hAnsi="宋体" w:cs="宋体"/>
          <w:color w:val="auto"/>
          <w:highlight w:val="none"/>
          <w:u w:val="none"/>
          <w:lang w:val="en-US" w:eastAsia="zh-CN"/>
        </w:rPr>
        <w:t>5</w:t>
      </w:r>
      <w:r>
        <w:rPr>
          <w:rFonts w:hint="eastAsia" w:hAnsi="宋体" w:cs="宋体"/>
          <w:color w:val="auto"/>
          <w:highlight w:val="none"/>
          <w:u w:val="none"/>
        </w:rPr>
        <w:t>.</w:t>
      </w:r>
      <w:bookmarkEnd w:id="176"/>
      <w:r>
        <w:rPr>
          <w:rFonts w:hint="eastAsia" w:hAnsi="宋体" w:cs="宋体"/>
          <w:color w:val="auto"/>
          <w:highlight w:val="none"/>
          <w:u w:val="none"/>
        </w:rPr>
        <w:t>预付款</w:t>
      </w:r>
      <w:bookmarkEnd w:id="177"/>
      <w:bookmarkEnd w:id="178"/>
      <w:bookmarkEnd w:id="179"/>
    </w:p>
    <w:p>
      <w:pPr>
        <w:pageBreakBefore w:val="0"/>
        <w:widowControl w:val="0"/>
        <w:kinsoku/>
        <w:wordWrap/>
        <w:overflowPunct/>
        <w:topLinePunct w:val="0"/>
        <w:bidi w:val="0"/>
        <w:snapToGrid/>
        <w:spacing w:line="480" w:lineRule="exact"/>
        <w:ind w:firstLine="420" w:firstLineChars="175"/>
        <w:textAlignment w:val="auto"/>
        <w:rPr>
          <w:rFonts w:ascii="宋体" w:hAnsi="宋体" w:cs="宋体"/>
          <w:color w:val="auto"/>
          <w:sz w:val="24"/>
          <w:highlight w:val="none"/>
        </w:rPr>
      </w:pPr>
      <w:r>
        <w:rPr>
          <w:rFonts w:hint="eastAsia" w:ascii="宋体" w:hAnsi="宋体" w:cs="宋体"/>
          <w:color w:val="auto"/>
          <w:sz w:val="24"/>
          <w:highlight w:val="none"/>
        </w:rPr>
        <w:t>3</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.1预付款是在指政府采购合同签订后、履行前，采购人向成交供应商预先支付部分合同款项，预付款比例按照</w:t>
      </w:r>
      <w:r>
        <w:rPr>
          <w:rFonts w:hint="eastAsia" w:ascii="宋体" w:hAnsi="宋体" w:cs="宋体"/>
          <w:color w:val="auto"/>
          <w:sz w:val="24"/>
          <w:highlight w:val="none"/>
          <w:u w:val="single"/>
        </w:rPr>
        <w:t>供应商须知资料表</w:t>
      </w:r>
      <w:r>
        <w:rPr>
          <w:rFonts w:hint="eastAsia" w:ascii="宋体" w:hAnsi="宋体" w:cs="宋体"/>
          <w:color w:val="auto"/>
          <w:sz w:val="24"/>
          <w:highlight w:val="none"/>
        </w:rPr>
        <w:t>规定执行。</w:t>
      </w:r>
    </w:p>
    <w:p>
      <w:pPr>
        <w:pageBreakBefore w:val="0"/>
        <w:widowControl w:val="0"/>
        <w:kinsoku/>
        <w:wordWrap/>
        <w:overflowPunct/>
        <w:topLinePunct w:val="0"/>
        <w:bidi w:val="0"/>
        <w:snapToGrid/>
        <w:spacing w:line="480" w:lineRule="exact"/>
        <w:ind w:firstLine="420" w:firstLineChars="175"/>
        <w:textAlignment w:val="auto"/>
        <w:rPr>
          <w:rFonts w:ascii="宋体" w:hAnsi="宋体" w:cs="宋体"/>
          <w:color w:val="auto"/>
          <w:sz w:val="24"/>
          <w:highlight w:val="none"/>
        </w:rPr>
      </w:pPr>
      <w:r>
        <w:rPr>
          <w:rFonts w:hint="eastAsia" w:ascii="宋体" w:hAnsi="宋体" w:cs="宋体"/>
          <w:color w:val="auto"/>
          <w:sz w:val="24"/>
          <w:highlight w:val="none"/>
        </w:rPr>
        <w:t>3</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.2本项目采购人不需要支付预付款的情形，见</w:t>
      </w:r>
      <w:r>
        <w:rPr>
          <w:rFonts w:hint="eastAsia" w:ascii="宋体" w:hAnsi="宋体" w:cs="宋体"/>
          <w:color w:val="auto"/>
          <w:sz w:val="24"/>
          <w:highlight w:val="none"/>
          <w:u w:val="single"/>
        </w:rPr>
        <w:t>供应商须知资料表</w:t>
      </w:r>
      <w:r>
        <w:rPr>
          <w:rFonts w:hint="eastAsia" w:ascii="宋体" w:hAnsi="宋体" w:cs="宋体"/>
          <w:color w:val="auto"/>
          <w:sz w:val="24"/>
          <w:highlight w:val="none"/>
        </w:rPr>
        <w:t>。</w:t>
      </w:r>
    </w:p>
    <w:p>
      <w:pPr>
        <w:pStyle w:val="5"/>
        <w:pageBreakBefore w:val="0"/>
        <w:widowControl w:val="0"/>
        <w:kinsoku/>
        <w:wordWrap/>
        <w:overflowPunct/>
        <w:topLinePunct w:val="0"/>
        <w:bidi w:val="0"/>
        <w:snapToGrid/>
        <w:spacing w:before="0" w:after="0" w:line="480" w:lineRule="exact"/>
        <w:textAlignment w:val="auto"/>
        <w:rPr>
          <w:rFonts w:hAnsi="宋体" w:cs="宋体"/>
          <w:color w:val="auto"/>
          <w:highlight w:val="none"/>
          <w:u w:val="none"/>
        </w:rPr>
      </w:pPr>
      <w:bookmarkStart w:id="181" w:name="_Toc794"/>
      <w:bookmarkStart w:id="182" w:name="_Toc19087107"/>
      <w:r>
        <w:rPr>
          <w:rFonts w:hint="eastAsia" w:hAnsi="宋体" w:cs="宋体"/>
          <w:color w:val="auto"/>
          <w:highlight w:val="none"/>
          <w:u w:val="none"/>
        </w:rPr>
        <w:t>3</w:t>
      </w:r>
      <w:r>
        <w:rPr>
          <w:rFonts w:hint="eastAsia" w:hAnsi="宋体" w:cs="宋体"/>
          <w:color w:val="auto"/>
          <w:highlight w:val="none"/>
          <w:u w:val="none"/>
          <w:lang w:val="en-US" w:eastAsia="zh-CN"/>
        </w:rPr>
        <w:t>6</w:t>
      </w:r>
      <w:r>
        <w:rPr>
          <w:rFonts w:hint="eastAsia" w:hAnsi="宋体" w:cs="宋体"/>
          <w:color w:val="auto"/>
          <w:highlight w:val="none"/>
          <w:u w:val="none"/>
        </w:rPr>
        <w:t>.廉洁自律规定</w:t>
      </w:r>
      <w:bookmarkEnd w:id="180"/>
      <w:bookmarkEnd w:id="181"/>
      <w:bookmarkEnd w:id="182"/>
    </w:p>
    <w:p>
      <w:pPr>
        <w:pageBreakBefore w:val="0"/>
        <w:widowControl w:val="0"/>
        <w:kinsoku/>
        <w:wordWrap/>
        <w:overflowPunct/>
        <w:topLinePunct w:val="0"/>
        <w:bidi w:val="0"/>
        <w:snapToGrid/>
        <w:spacing w:line="480" w:lineRule="exact"/>
        <w:ind w:firstLine="420" w:firstLineChars="175"/>
        <w:textAlignment w:val="auto"/>
        <w:rPr>
          <w:rFonts w:ascii="宋体" w:hAnsi="宋体" w:cs="宋体"/>
          <w:color w:val="auto"/>
          <w:sz w:val="24"/>
          <w:highlight w:val="none"/>
        </w:rPr>
      </w:pPr>
      <w:r>
        <w:rPr>
          <w:rFonts w:hint="eastAsia" w:ascii="宋体" w:hAnsi="宋体" w:cs="宋体"/>
          <w:color w:val="auto"/>
          <w:sz w:val="24"/>
          <w:highlight w:val="none"/>
        </w:rPr>
        <w:t>3</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.1 采购代理机构工作人员不得与采购人、供应商恶意串通操纵政府采购活动。</w:t>
      </w:r>
    </w:p>
    <w:p>
      <w:pPr>
        <w:pageBreakBefore w:val="0"/>
        <w:widowControl w:val="0"/>
        <w:kinsoku/>
        <w:wordWrap/>
        <w:overflowPunct/>
        <w:topLinePunct w:val="0"/>
        <w:bidi w:val="0"/>
        <w:snapToGrid/>
        <w:spacing w:line="480" w:lineRule="exact"/>
        <w:ind w:firstLine="420" w:firstLineChars="175"/>
        <w:textAlignment w:val="auto"/>
        <w:rPr>
          <w:rFonts w:ascii="宋体" w:hAnsi="宋体" w:cs="宋体"/>
          <w:color w:val="auto"/>
          <w:sz w:val="24"/>
          <w:highlight w:val="none"/>
        </w:rPr>
      </w:pPr>
      <w:r>
        <w:rPr>
          <w:rFonts w:hint="eastAsia" w:ascii="宋体" w:hAnsi="宋体" w:cs="宋体"/>
          <w:color w:val="auto"/>
          <w:sz w:val="24"/>
          <w:highlight w:val="none"/>
        </w:rPr>
        <w:t>3</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.2 采购代理机构工作人员不得接受采购人或者供应商组织的宴请、旅游、娱乐，不得收受礼品、现金、有价证券等，不得向采购人或者供应商报销应当由个人承担的费用。</w:t>
      </w:r>
    </w:p>
    <w:p>
      <w:pPr>
        <w:pageBreakBefore w:val="0"/>
        <w:widowControl w:val="0"/>
        <w:kinsoku/>
        <w:wordWrap/>
        <w:overflowPunct/>
        <w:topLinePunct w:val="0"/>
        <w:bidi w:val="0"/>
        <w:snapToGrid/>
        <w:spacing w:line="480" w:lineRule="exact"/>
        <w:ind w:firstLine="420" w:firstLineChars="175"/>
        <w:textAlignment w:val="auto"/>
        <w:rPr>
          <w:rFonts w:ascii="宋体" w:hAnsi="宋体" w:cs="宋体"/>
          <w:color w:val="auto"/>
          <w:sz w:val="24"/>
          <w:highlight w:val="none"/>
        </w:rPr>
      </w:pPr>
      <w:r>
        <w:rPr>
          <w:rFonts w:hint="eastAsia" w:ascii="宋体" w:hAnsi="宋体" w:cs="宋体"/>
          <w:color w:val="auto"/>
          <w:sz w:val="24"/>
          <w:highlight w:val="none"/>
        </w:rPr>
        <w:t>3</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.3 为强化采购代理机构内部监督机制，供应商可按</w:t>
      </w:r>
      <w:r>
        <w:rPr>
          <w:rFonts w:hint="eastAsia" w:ascii="宋体" w:hAnsi="宋体" w:cs="宋体"/>
          <w:color w:val="auto"/>
          <w:sz w:val="24"/>
          <w:highlight w:val="none"/>
          <w:u w:val="single"/>
        </w:rPr>
        <w:t>供应商须知资料表</w:t>
      </w:r>
      <w:r>
        <w:rPr>
          <w:rFonts w:hint="eastAsia" w:ascii="宋体" w:hAnsi="宋体" w:cs="宋体"/>
          <w:color w:val="auto"/>
          <w:sz w:val="24"/>
          <w:highlight w:val="none"/>
        </w:rPr>
        <w:t>中的监督电话和邮箱，反映采购代理机构的廉洁自律等问题。</w:t>
      </w:r>
    </w:p>
    <w:p>
      <w:pPr>
        <w:pStyle w:val="5"/>
        <w:pageBreakBefore w:val="0"/>
        <w:widowControl w:val="0"/>
        <w:kinsoku/>
        <w:wordWrap/>
        <w:overflowPunct/>
        <w:topLinePunct w:val="0"/>
        <w:bidi w:val="0"/>
        <w:snapToGrid/>
        <w:spacing w:before="0" w:after="0" w:line="480" w:lineRule="exact"/>
        <w:textAlignment w:val="auto"/>
        <w:rPr>
          <w:rFonts w:hAnsi="宋体" w:cs="宋体"/>
          <w:color w:val="auto"/>
          <w:highlight w:val="none"/>
          <w:u w:val="none"/>
        </w:rPr>
      </w:pPr>
      <w:bookmarkStart w:id="183" w:name="_Toc518923101"/>
      <w:bookmarkStart w:id="184" w:name="_Toc19087108"/>
      <w:bookmarkStart w:id="185" w:name="_Toc3817"/>
      <w:r>
        <w:rPr>
          <w:rFonts w:hint="eastAsia" w:hAnsi="宋体" w:cs="宋体"/>
          <w:color w:val="auto"/>
          <w:highlight w:val="none"/>
          <w:u w:val="none"/>
        </w:rPr>
        <w:t>3</w:t>
      </w:r>
      <w:r>
        <w:rPr>
          <w:rFonts w:hint="eastAsia" w:hAnsi="宋体" w:cs="宋体"/>
          <w:color w:val="auto"/>
          <w:highlight w:val="none"/>
          <w:u w:val="none"/>
          <w:lang w:val="en-US" w:eastAsia="zh-CN"/>
        </w:rPr>
        <w:t>7</w:t>
      </w:r>
      <w:r>
        <w:rPr>
          <w:rFonts w:hint="eastAsia" w:hAnsi="宋体" w:cs="宋体"/>
          <w:color w:val="auto"/>
          <w:highlight w:val="none"/>
          <w:u w:val="none"/>
        </w:rPr>
        <w:t>.人员回避</w:t>
      </w:r>
      <w:bookmarkEnd w:id="183"/>
      <w:bookmarkEnd w:id="184"/>
      <w:bookmarkEnd w:id="185"/>
    </w:p>
    <w:p>
      <w:pPr>
        <w:pageBreakBefore w:val="0"/>
        <w:widowControl w:val="0"/>
        <w:kinsoku/>
        <w:wordWrap/>
        <w:overflowPunct/>
        <w:topLinePunct w:val="0"/>
        <w:bidi w:val="0"/>
        <w:snapToGrid/>
        <w:spacing w:line="48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rPr>
        <w:t>潜在供应商认为竞争性磋商文件使自己的权益受到损害的，供应商认为采购人员、采购代理机构工作人员及其相关人员有法律法规所列与其他供应商有利害关系的，可以向采购人或采购代理机构书面提出回避申请，并说明理由。</w:t>
      </w:r>
    </w:p>
    <w:p>
      <w:pPr>
        <w:pStyle w:val="5"/>
        <w:pageBreakBefore w:val="0"/>
        <w:widowControl w:val="0"/>
        <w:kinsoku/>
        <w:wordWrap/>
        <w:overflowPunct/>
        <w:topLinePunct w:val="0"/>
        <w:bidi w:val="0"/>
        <w:snapToGrid/>
        <w:spacing w:before="0" w:after="0" w:line="480" w:lineRule="exact"/>
        <w:textAlignment w:val="auto"/>
        <w:rPr>
          <w:rFonts w:hAnsi="宋体" w:cs="宋体"/>
          <w:color w:val="auto"/>
          <w:highlight w:val="none"/>
          <w:u w:val="none"/>
        </w:rPr>
      </w:pPr>
      <w:bookmarkStart w:id="186" w:name="_Toc19087109"/>
      <w:bookmarkStart w:id="187" w:name="_Toc17708"/>
      <w:bookmarkStart w:id="188" w:name="_Toc518923102"/>
      <w:r>
        <w:rPr>
          <w:rFonts w:hint="eastAsia" w:hAnsi="宋体" w:cs="宋体"/>
          <w:color w:val="auto"/>
          <w:highlight w:val="none"/>
          <w:u w:val="none"/>
        </w:rPr>
        <w:t>3</w:t>
      </w:r>
      <w:r>
        <w:rPr>
          <w:rFonts w:hint="eastAsia" w:hAnsi="宋体" w:cs="宋体"/>
          <w:color w:val="auto"/>
          <w:highlight w:val="none"/>
          <w:u w:val="none"/>
          <w:lang w:val="en-US" w:eastAsia="zh-CN"/>
        </w:rPr>
        <w:t>8</w:t>
      </w:r>
      <w:r>
        <w:rPr>
          <w:rFonts w:hint="eastAsia" w:hAnsi="宋体" w:cs="宋体"/>
          <w:color w:val="auto"/>
          <w:highlight w:val="none"/>
          <w:u w:val="none"/>
        </w:rPr>
        <w:t>.质疑与接收</w:t>
      </w:r>
      <w:bookmarkEnd w:id="186"/>
      <w:bookmarkEnd w:id="187"/>
      <w:bookmarkEnd w:id="188"/>
    </w:p>
    <w:p>
      <w:pPr>
        <w:pageBreakBefore w:val="0"/>
        <w:widowControl w:val="0"/>
        <w:kinsoku/>
        <w:wordWrap/>
        <w:overflowPunct/>
        <w:topLinePunct w:val="0"/>
        <w:bidi w:val="0"/>
        <w:snapToGrid/>
        <w:spacing w:line="480" w:lineRule="exact"/>
        <w:ind w:firstLine="420" w:firstLineChars="175"/>
        <w:textAlignment w:val="auto"/>
        <w:rPr>
          <w:rFonts w:ascii="宋体" w:hAnsi="宋体" w:cs="宋体"/>
          <w:color w:val="auto"/>
          <w:sz w:val="24"/>
          <w:highlight w:val="none"/>
        </w:rPr>
      </w:pPr>
      <w:r>
        <w:rPr>
          <w:rFonts w:hint="eastAsia" w:ascii="宋体" w:hAnsi="宋体" w:cs="宋体"/>
          <w:color w:val="auto"/>
          <w:sz w:val="24"/>
          <w:highlight w:val="none"/>
        </w:rPr>
        <w:t>3</w:t>
      </w:r>
      <w:r>
        <w:rPr>
          <w:rFonts w:hint="eastAsia" w:ascii="宋体" w:hAnsi="宋体" w:cs="宋体"/>
          <w:color w:val="auto"/>
          <w:sz w:val="24"/>
          <w:highlight w:val="none"/>
          <w:lang w:val="en-US" w:eastAsia="zh-CN"/>
        </w:rPr>
        <w:t>8</w:t>
      </w:r>
      <w:r>
        <w:rPr>
          <w:rFonts w:hint="eastAsia" w:ascii="宋体" w:hAnsi="宋体" w:cs="宋体"/>
          <w:color w:val="auto"/>
          <w:sz w:val="24"/>
          <w:highlight w:val="none"/>
        </w:rPr>
        <w:t>.1供应商认为竞争性磋商文件、磋商过程和成交结果使自己的权益受到损害的，可以根据《中华人民共和国政府采购法》、《中华人民共和国政府采购法实施条例》和《政府采购质疑和投诉办法》的有关规定，依法向采购人或其委托的采购代理机构提出质疑。</w:t>
      </w:r>
    </w:p>
    <w:p>
      <w:pPr>
        <w:pageBreakBefore w:val="0"/>
        <w:widowControl w:val="0"/>
        <w:kinsoku/>
        <w:wordWrap/>
        <w:overflowPunct/>
        <w:topLinePunct w:val="0"/>
        <w:bidi w:val="0"/>
        <w:snapToGrid/>
        <w:spacing w:line="480" w:lineRule="exact"/>
        <w:ind w:firstLine="420" w:firstLineChars="175"/>
        <w:textAlignment w:val="auto"/>
        <w:rPr>
          <w:rFonts w:ascii="宋体" w:hAnsi="宋体" w:cs="宋体"/>
          <w:color w:val="auto"/>
          <w:sz w:val="24"/>
          <w:highlight w:val="none"/>
        </w:rPr>
      </w:pPr>
      <w:r>
        <w:rPr>
          <w:rFonts w:hint="eastAsia" w:ascii="宋体" w:hAnsi="宋体" w:cs="宋体"/>
          <w:color w:val="auto"/>
          <w:sz w:val="24"/>
          <w:highlight w:val="none"/>
        </w:rPr>
        <w:t>3</w:t>
      </w:r>
      <w:r>
        <w:rPr>
          <w:rFonts w:hint="eastAsia" w:ascii="宋体" w:hAnsi="宋体" w:cs="宋体"/>
          <w:color w:val="auto"/>
          <w:sz w:val="24"/>
          <w:highlight w:val="none"/>
          <w:lang w:val="en-US" w:eastAsia="zh-CN"/>
        </w:rPr>
        <w:t>8</w:t>
      </w:r>
      <w:r>
        <w:rPr>
          <w:rFonts w:hint="eastAsia" w:ascii="宋体" w:hAnsi="宋体" w:cs="宋体"/>
          <w:color w:val="auto"/>
          <w:sz w:val="24"/>
          <w:highlight w:val="none"/>
        </w:rPr>
        <w:t>.2  质疑供应商应按照财政部制定的《政府采购质疑函范本》格式（可从财政部官方网站下载）和《政府采购质疑和投诉办法》的要求，在法定质疑期内以书面形式提出质疑，针对同一采购程序环节的质疑应一次性提出。</w:t>
      </w:r>
    </w:p>
    <w:p>
      <w:pPr>
        <w:pageBreakBefore w:val="0"/>
        <w:widowControl w:val="0"/>
        <w:kinsoku/>
        <w:wordWrap/>
        <w:overflowPunct/>
        <w:topLinePunct w:val="0"/>
        <w:bidi w:val="0"/>
        <w:snapToGrid/>
        <w:spacing w:line="480" w:lineRule="exact"/>
        <w:ind w:firstLine="420" w:firstLineChars="175"/>
        <w:textAlignment w:val="auto"/>
        <w:rPr>
          <w:rFonts w:ascii="宋体" w:hAnsi="宋体" w:cs="宋体"/>
          <w:color w:val="auto"/>
          <w:sz w:val="24"/>
          <w:highlight w:val="none"/>
        </w:rPr>
      </w:pPr>
      <w:r>
        <w:rPr>
          <w:rFonts w:hint="eastAsia" w:ascii="宋体" w:hAnsi="宋体" w:cs="宋体"/>
          <w:color w:val="auto"/>
          <w:sz w:val="24"/>
          <w:highlight w:val="none"/>
        </w:rPr>
        <w:t>超出法定质疑期的、重复提出的、分次提出的或内容、形式不符合《政府采购质疑和投诉办法》的，质疑供应商将依法承担不利后果。</w:t>
      </w:r>
    </w:p>
    <w:p>
      <w:pPr>
        <w:pageBreakBefore w:val="0"/>
        <w:widowControl w:val="0"/>
        <w:kinsoku/>
        <w:wordWrap/>
        <w:overflowPunct/>
        <w:topLinePunct w:val="0"/>
        <w:bidi w:val="0"/>
        <w:snapToGrid/>
        <w:spacing w:line="480" w:lineRule="exact"/>
        <w:ind w:firstLine="420" w:firstLineChars="175"/>
        <w:textAlignment w:val="auto"/>
        <w:rPr>
          <w:rFonts w:ascii="宋体" w:hAnsi="宋体" w:cs="宋体"/>
          <w:color w:val="auto"/>
          <w:sz w:val="24"/>
          <w:highlight w:val="none"/>
          <w:u w:val="single"/>
        </w:rPr>
      </w:pPr>
      <w:r>
        <w:rPr>
          <w:rFonts w:hint="eastAsia" w:ascii="宋体" w:hAnsi="宋体" w:cs="宋体"/>
          <w:color w:val="auto"/>
          <w:sz w:val="24"/>
          <w:highlight w:val="none"/>
        </w:rPr>
        <w:t>3</w:t>
      </w:r>
      <w:r>
        <w:rPr>
          <w:rFonts w:hint="eastAsia" w:ascii="宋体" w:hAnsi="宋体" w:cs="宋体"/>
          <w:color w:val="auto"/>
          <w:sz w:val="24"/>
          <w:highlight w:val="none"/>
          <w:lang w:val="en-US" w:eastAsia="zh-CN"/>
        </w:rPr>
        <w:t>8</w:t>
      </w:r>
      <w:r>
        <w:rPr>
          <w:rFonts w:hint="eastAsia" w:ascii="宋体" w:hAnsi="宋体" w:cs="宋体"/>
          <w:color w:val="auto"/>
          <w:sz w:val="24"/>
          <w:highlight w:val="none"/>
        </w:rPr>
        <w:t>.3 采购人或采购代理机构质疑函接收部门、联系电话和通讯地址</w:t>
      </w:r>
      <w:r>
        <w:rPr>
          <w:rFonts w:hint="eastAsia" w:ascii="宋体" w:hAnsi="宋体" w:cs="宋体"/>
          <w:color w:val="auto"/>
          <w:sz w:val="24"/>
          <w:highlight w:val="none"/>
          <w:lang w:eastAsia="zh-CN"/>
        </w:rPr>
        <w:t>，</w:t>
      </w:r>
      <w:r>
        <w:rPr>
          <w:rFonts w:hint="eastAsia" w:ascii="宋体" w:hAnsi="宋体" w:cs="宋体"/>
          <w:color w:val="auto"/>
          <w:sz w:val="24"/>
          <w:highlight w:val="none"/>
        </w:rPr>
        <w:t xml:space="preserve"> 见</w:t>
      </w:r>
      <w:r>
        <w:rPr>
          <w:rFonts w:hint="eastAsia" w:ascii="宋体" w:hAnsi="宋体" w:cs="宋体"/>
          <w:color w:val="auto"/>
          <w:sz w:val="24"/>
          <w:highlight w:val="none"/>
          <w:u w:val="single"/>
        </w:rPr>
        <w:t>供应商须知资料表。</w:t>
      </w:r>
    </w:p>
    <w:p>
      <w:pPr>
        <w:pStyle w:val="5"/>
        <w:pageBreakBefore w:val="0"/>
        <w:widowControl w:val="0"/>
        <w:kinsoku/>
        <w:wordWrap/>
        <w:overflowPunct/>
        <w:topLinePunct w:val="0"/>
        <w:bidi w:val="0"/>
        <w:snapToGrid/>
        <w:spacing w:before="0" w:after="0" w:line="480" w:lineRule="exact"/>
        <w:textAlignment w:val="auto"/>
        <w:rPr>
          <w:rFonts w:hAnsi="宋体" w:cs="宋体"/>
          <w:color w:val="auto"/>
          <w:highlight w:val="none"/>
        </w:rPr>
      </w:pPr>
      <w:bookmarkStart w:id="189" w:name="_Toc51176622"/>
      <w:bookmarkStart w:id="190" w:name="_Toc4478"/>
      <w:r>
        <w:rPr>
          <w:rFonts w:hint="eastAsia" w:hAnsi="宋体" w:cs="宋体"/>
          <w:color w:val="auto"/>
          <w:highlight w:val="none"/>
        </w:rPr>
        <w:t>3</w:t>
      </w:r>
      <w:r>
        <w:rPr>
          <w:rFonts w:hint="eastAsia" w:hAnsi="宋体" w:cs="宋体"/>
          <w:color w:val="auto"/>
          <w:highlight w:val="none"/>
          <w:lang w:val="en-US" w:eastAsia="zh-CN"/>
        </w:rPr>
        <w:t>9</w:t>
      </w:r>
      <w:r>
        <w:rPr>
          <w:rFonts w:hint="eastAsia" w:hAnsi="宋体" w:cs="宋体"/>
          <w:color w:val="auto"/>
          <w:highlight w:val="none"/>
        </w:rPr>
        <w:t>.项目其他相关费用</w:t>
      </w:r>
      <w:bookmarkEnd w:id="189"/>
      <w:bookmarkEnd w:id="190"/>
    </w:p>
    <w:p>
      <w:pPr>
        <w:pageBreakBefore w:val="0"/>
        <w:widowControl w:val="0"/>
        <w:kinsoku/>
        <w:wordWrap/>
        <w:overflowPunct/>
        <w:topLinePunct w:val="0"/>
        <w:bidi w:val="0"/>
        <w:snapToGrid/>
        <w:spacing w:line="480" w:lineRule="exact"/>
        <w:textAlignment w:val="auto"/>
        <w:rPr>
          <w:rFonts w:ascii="宋体" w:hAnsi="宋体" w:cs="宋体"/>
          <w:color w:val="auto"/>
          <w:sz w:val="24"/>
          <w:highlight w:val="none"/>
        </w:rPr>
      </w:pPr>
      <w:bookmarkStart w:id="191" w:name="_Toc411637995"/>
      <w:r>
        <w:rPr>
          <w:rFonts w:hint="eastAsia" w:ascii="宋体" w:hAnsi="宋体" w:cs="宋体"/>
          <w:color w:val="auto"/>
          <w:sz w:val="24"/>
          <w:highlight w:val="none"/>
        </w:rPr>
        <w:t>3</w:t>
      </w:r>
      <w:r>
        <w:rPr>
          <w:rFonts w:hint="eastAsia" w:ascii="宋体" w:hAnsi="宋体" w:cs="宋体"/>
          <w:color w:val="auto"/>
          <w:sz w:val="24"/>
          <w:highlight w:val="none"/>
          <w:lang w:val="en-US" w:eastAsia="zh-CN"/>
        </w:rPr>
        <w:t>9</w:t>
      </w:r>
      <w:r>
        <w:rPr>
          <w:rFonts w:hint="eastAsia" w:ascii="宋体" w:hAnsi="宋体" w:cs="宋体"/>
          <w:color w:val="auto"/>
          <w:sz w:val="24"/>
          <w:highlight w:val="none"/>
        </w:rPr>
        <w:t>.1 成交服务费</w:t>
      </w:r>
      <w:bookmarkEnd w:id="191"/>
    </w:p>
    <w:p>
      <w:pPr>
        <w:pageBreakBefore w:val="0"/>
        <w:widowControl w:val="0"/>
        <w:kinsoku/>
        <w:wordWrap/>
        <w:overflowPunct/>
        <w:topLinePunct w:val="0"/>
        <w:bidi w:val="0"/>
        <w:snapToGrid/>
        <w:spacing w:line="480" w:lineRule="exact"/>
        <w:ind w:left="630" w:leftChars="300"/>
        <w:textAlignment w:val="auto"/>
        <w:rPr>
          <w:rFonts w:ascii="宋体" w:hAnsi="宋体" w:cs="宋体"/>
          <w:color w:val="auto"/>
          <w:sz w:val="24"/>
          <w:highlight w:val="none"/>
        </w:rPr>
      </w:pPr>
      <w:r>
        <w:rPr>
          <w:rFonts w:hint="eastAsia" w:ascii="宋体" w:hAnsi="宋体" w:cs="宋体"/>
          <w:color w:val="auto"/>
          <w:sz w:val="24"/>
          <w:highlight w:val="none"/>
        </w:rPr>
        <w:t>成交服务费收取标准：</w:t>
      </w:r>
      <w:r>
        <w:rPr>
          <w:rFonts w:hint="eastAsia" w:ascii="宋体" w:hAnsi="宋体" w:cs="宋体"/>
          <w:color w:val="auto"/>
          <w:sz w:val="24"/>
          <w:highlight w:val="none"/>
          <w:u w:val="single"/>
        </w:rPr>
        <w:t>见供应商须知资料表。</w:t>
      </w:r>
    </w:p>
    <w:p>
      <w:pPr>
        <w:pageBreakBefore w:val="0"/>
        <w:widowControl w:val="0"/>
        <w:kinsoku/>
        <w:wordWrap/>
        <w:overflowPunct/>
        <w:topLinePunct w:val="0"/>
        <w:bidi w:val="0"/>
        <w:snapToGrid/>
        <w:spacing w:line="480" w:lineRule="exact"/>
        <w:textAlignment w:val="auto"/>
        <w:rPr>
          <w:rFonts w:ascii="宋体" w:hAnsi="宋体" w:cs="宋体"/>
          <w:color w:val="auto"/>
          <w:sz w:val="24"/>
          <w:highlight w:val="none"/>
        </w:rPr>
      </w:pPr>
      <w:bookmarkStart w:id="192" w:name="_Toc411637996"/>
      <w:r>
        <w:rPr>
          <w:rFonts w:hint="eastAsia" w:ascii="宋体" w:hAnsi="宋体" w:cs="宋体"/>
          <w:color w:val="auto"/>
          <w:sz w:val="24"/>
          <w:highlight w:val="none"/>
        </w:rPr>
        <w:t>3</w:t>
      </w:r>
      <w:r>
        <w:rPr>
          <w:rFonts w:hint="eastAsia" w:ascii="宋体" w:hAnsi="宋体" w:cs="宋体"/>
          <w:color w:val="auto"/>
          <w:sz w:val="24"/>
          <w:highlight w:val="none"/>
          <w:lang w:val="en-US" w:eastAsia="zh-CN"/>
        </w:rPr>
        <w:t>9</w:t>
      </w:r>
      <w:r>
        <w:rPr>
          <w:rFonts w:hint="eastAsia" w:ascii="宋体" w:hAnsi="宋体" w:cs="宋体"/>
          <w:color w:val="auto"/>
          <w:sz w:val="24"/>
          <w:highlight w:val="none"/>
        </w:rPr>
        <w:t xml:space="preserve">.2 </w:t>
      </w:r>
      <w:bookmarkEnd w:id="192"/>
      <w:r>
        <w:rPr>
          <w:rFonts w:hint="eastAsia" w:ascii="宋体" w:hAnsi="宋体" w:cs="宋体"/>
          <w:color w:val="auto"/>
          <w:sz w:val="24"/>
          <w:highlight w:val="none"/>
        </w:rPr>
        <w:t xml:space="preserve"> 政府采购专家评审费</w:t>
      </w:r>
    </w:p>
    <w:p>
      <w:pPr>
        <w:pageBreakBefore w:val="0"/>
        <w:widowControl w:val="0"/>
        <w:kinsoku/>
        <w:wordWrap/>
        <w:overflowPunct/>
        <w:topLinePunct w:val="0"/>
        <w:bidi w:val="0"/>
        <w:snapToGrid/>
        <w:spacing w:line="480" w:lineRule="exact"/>
        <w:ind w:firstLine="600" w:firstLineChars="250"/>
        <w:textAlignment w:val="auto"/>
        <w:rPr>
          <w:rFonts w:ascii="宋体" w:hAnsi="宋体" w:cs="宋体"/>
          <w:color w:val="auto"/>
          <w:sz w:val="24"/>
          <w:highlight w:val="none"/>
        </w:rPr>
      </w:pPr>
      <w:r>
        <w:rPr>
          <w:rFonts w:hint="eastAsia" w:ascii="宋体" w:hAnsi="宋体" w:cs="宋体"/>
          <w:color w:val="auto"/>
          <w:sz w:val="24"/>
          <w:highlight w:val="none"/>
        </w:rPr>
        <w:t>由采购人承担，按照山东省有关规定的标准执行。</w:t>
      </w:r>
    </w:p>
    <w:p>
      <w:pPr>
        <w:pStyle w:val="5"/>
        <w:pageBreakBefore w:val="0"/>
        <w:widowControl w:val="0"/>
        <w:kinsoku/>
        <w:wordWrap/>
        <w:overflowPunct/>
        <w:topLinePunct w:val="0"/>
        <w:bidi w:val="0"/>
        <w:snapToGrid/>
        <w:spacing w:before="0" w:after="0" w:line="480" w:lineRule="exact"/>
        <w:textAlignment w:val="auto"/>
        <w:rPr>
          <w:rFonts w:hAnsi="宋体" w:cs="宋体"/>
          <w:color w:val="auto"/>
          <w:szCs w:val="28"/>
          <w:highlight w:val="none"/>
        </w:rPr>
      </w:pPr>
      <w:bookmarkStart w:id="193" w:name="_Toc51176623"/>
      <w:bookmarkStart w:id="194" w:name="_Toc10917"/>
      <w:r>
        <w:rPr>
          <w:rFonts w:hint="eastAsia" w:hAnsi="宋体" w:cs="宋体"/>
          <w:color w:val="auto"/>
          <w:szCs w:val="28"/>
          <w:highlight w:val="none"/>
          <w:lang w:val="en-US" w:eastAsia="zh-CN"/>
        </w:rPr>
        <w:t>40</w:t>
      </w:r>
      <w:r>
        <w:rPr>
          <w:rFonts w:hint="eastAsia" w:hAnsi="宋体" w:cs="宋体"/>
          <w:color w:val="auto"/>
          <w:highlight w:val="none"/>
        </w:rPr>
        <w:t>.</w:t>
      </w:r>
      <w:r>
        <w:rPr>
          <w:rFonts w:hint="eastAsia" w:hAnsi="宋体" w:cs="宋体"/>
          <w:color w:val="auto"/>
          <w:szCs w:val="28"/>
          <w:highlight w:val="none"/>
        </w:rPr>
        <w:t>磋商文件解释权</w:t>
      </w:r>
      <w:bookmarkEnd w:id="193"/>
      <w:bookmarkEnd w:id="194"/>
    </w:p>
    <w:p>
      <w:pPr>
        <w:pageBreakBefore w:val="0"/>
        <w:widowControl w:val="0"/>
        <w:kinsoku/>
        <w:wordWrap/>
        <w:overflowPunct/>
        <w:topLinePunct w:val="0"/>
        <w:bidi w:val="0"/>
        <w:snapToGrid/>
        <w:spacing w:line="480" w:lineRule="exact"/>
        <w:ind w:firstLine="480" w:firstLineChars="200"/>
        <w:textAlignment w:val="auto"/>
        <w:rPr>
          <w:rFonts w:ascii="宋体" w:hAnsi="宋体" w:cs="宋体"/>
          <w:color w:val="auto"/>
          <w:sz w:val="24"/>
          <w:highlight w:val="none"/>
          <w:lang w:val="en-GB"/>
        </w:rPr>
      </w:pPr>
      <w:r>
        <w:rPr>
          <w:rFonts w:hint="eastAsia" w:ascii="宋体" w:hAnsi="宋体" w:cs="宋体"/>
          <w:color w:val="auto"/>
          <w:sz w:val="24"/>
          <w:highlight w:val="none"/>
          <w:u w:val="single"/>
          <w:lang w:val="en-GB"/>
        </w:rPr>
        <w:t>见</w:t>
      </w:r>
      <w:r>
        <w:rPr>
          <w:rFonts w:hint="eastAsia" w:ascii="宋体" w:hAnsi="宋体" w:cs="宋体"/>
          <w:color w:val="auto"/>
          <w:sz w:val="24"/>
          <w:highlight w:val="none"/>
          <w:u w:val="single"/>
        </w:rPr>
        <w:t>供应商</w:t>
      </w:r>
      <w:r>
        <w:rPr>
          <w:rFonts w:hint="eastAsia" w:ascii="宋体" w:hAnsi="宋体" w:cs="宋体"/>
          <w:color w:val="auto"/>
          <w:sz w:val="24"/>
          <w:highlight w:val="none"/>
          <w:u w:val="single"/>
          <w:lang w:val="en-GB"/>
        </w:rPr>
        <w:t>须知资料表</w:t>
      </w:r>
      <w:r>
        <w:rPr>
          <w:rFonts w:hint="eastAsia" w:ascii="宋体" w:hAnsi="宋体" w:cs="宋体"/>
          <w:color w:val="auto"/>
          <w:sz w:val="24"/>
          <w:highlight w:val="none"/>
          <w:lang w:val="en-GB"/>
        </w:rPr>
        <w:t>。</w:t>
      </w:r>
    </w:p>
    <w:p>
      <w:pPr>
        <w:rPr>
          <w:rFonts w:hint="eastAsia" w:ascii="宋体" w:hAnsi="宋体" w:cs="宋体"/>
          <w:b/>
          <w:color w:val="auto"/>
          <w:sz w:val="52"/>
          <w:szCs w:val="52"/>
          <w:highlight w:val="none"/>
        </w:rPr>
      </w:pPr>
      <w:r>
        <w:rPr>
          <w:rFonts w:hint="eastAsia" w:ascii="宋体" w:hAnsi="宋体" w:cs="宋体"/>
          <w:b/>
          <w:color w:val="auto"/>
          <w:sz w:val="52"/>
          <w:szCs w:val="52"/>
          <w:highlight w:val="none"/>
        </w:rPr>
        <w:br w:type="page"/>
      </w:r>
    </w:p>
    <w:p>
      <w:pPr>
        <w:pStyle w:val="6"/>
        <w:rPr>
          <w:rFonts w:hint="eastAsia"/>
          <w:color w:val="auto"/>
          <w:highlight w:val="none"/>
        </w:rPr>
      </w:pPr>
    </w:p>
    <w:p>
      <w:pPr>
        <w:rPr>
          <w:rFonts w:hint="eastAsia"/>
          <w:color w:val="auto"/>
          <w:highlight w:val="none"/>
        </w:rPr>
      </w:pPr>
    </w:p>
    <w:p>
      <w:pPr>
        <w:pStyle w:val="46"/>
        <w:rPr>
          <w:color w:val="auto"/>
          <w:highlight w:val="none"/>
        </w:rPr>
      </w:pPr>
    </w:p>
    <w:p>
      <w:pPr>
        <w:widowControl/>
        <w:spacing w:line="480" w:lineRule="exact"/>
        <w:jc w:val="left"/>
        <w:rPr>
          <w:rFonts w:ascii="宋体" w:hAnsi="宋体" w:cs="宋体"/>
          <w:b/>
          <w:color w:val="auto"/>
          <w:sz w:val="52"/>
          <w:szCs w:val="52"/>
          <w:highlight w:val="none"/>
        </w:rPr>
      </w:pPr>
    </w:p>
    <w:p>
      <w:pPr>
        <w:spacing w:line="240" w:lineRule="atLeast"/>
        <w:ind w:left="1080" w:leftChars="257" w:hanging="540"/>
        <w:jc w:val="center"/>
        <w:rPr>
          <w:rFonts w:ascii="宋体" w:hAnsi="宋体" w:cs="宋体"/>
          <w:b/>
          <w:color w:val="auto"/>
          <w:sz w:val="52"/>
          <w:szCs w:val="52"/>
          <w:highlight w:val="none"/>
        </w:rPr>
      </w:pPr>
    </w:p>
    <w:p>
      <w:pPr>
        <w:spacing w:line="240" w:lineRule="atLeast"/>
        <w:ind w:left="1080" w:leftChars="257" w:hanging="540"/>
        <w:jc w:val="center"/>
        <w:rPr>
          <w:rFonts w:ascii="宋体" w:hAnsi="宋体" w:cs="宋体"/>
          <w:b/>
          <w:bCs/>
          <w:color w:val="auto"/>
          <w:sz w:val="70"/>
          <w:szCs w:val="52"/>
          <w:highlight w:val="none"/>
        </w:rPr>
      </w:pPr>
      <w:r>
        <w:rPr>
          <w:rFonts w:hint="eastAsia" w:ascii="宋体" w:hAnsi="宋体" w:cs="宋体"/>
          <w:b/>
          <w:bCs/>
          <w:color w:val="auto"/>
          <w:sz w:val="70"/>
          <w:szCs w:val="52"/>
          <w:highlight w:val="none"/>
        </w:rPr>
        <w:t>政府采购竞争性磋商文件</w:t>
      </w:r>
    </w:p>
    <w:p>
      <w:pPr>
        <w:spacing w:line="240" w:lineRule="atLeast"/>
        <w:ind w:left="1080" w:leftChars="257" w:hanging="540"/>
        <w:jc w:val="center"/>
        <w:rPr>
          <w:rFonts w:ascii="宋体" w:hAnsi="宋体" w:cs="宋体"/>
          <w:bCs/>
          <w:color w:val="auto"/>
          <w:sz w:val="32"/>
          <w:szCs w:val="32"/>
          <w:highlight w:val="none"/>
        </w:rPr>
      </w:pPr>
    </w:p>
    <w:p>
      <w:pPr>
        <w:spacing w:line="240" w:lineRule="atLeast"/>
        <w:ind w:left="1080" w:leftChars="257" w:hanging="540"/>
        <w:jc w:val="center"/>
        <w:rPr>
          <w:rFonts w:ascii="宋体" w:hAnsi="宋体" w:cs="宋体"/>
          <w:b/>
          <w:color w:val="auto"/>
          <w:sz w:val="32"/>
          <w:szCs w:val="32"/>
          <w:highlight w:val="none"/>
        </w:rPr>
      </w:pPr>
    </w:p>
    <w:p>
      <w:pPr>
        <w:spacing w:line="240" w:lineRule="atLeast"/>
        <w:ind w:left="1080" w:leftChars="257" w:hanging="540"/>
        <w:rPr>
          <w:rFonts w:ascii="宋体" w:hAnsi="宋体" w:cs="宋体"/>
          <w:b/>
          <w:color w:val="auto"/>
          <w:sz w:val="28"/>
          <w:highlight w:val="none"/>
        </w:rPr>
      </w:pPr>
    </w:p>
    <w:p>
      <w:pPr>
        <w:spacing w:line="240" w:lineRule="atLeast"/>
        <w:ind w:left="1080" w:leftChars="257" w:hanging="540"/>
        <w:jc w:val="center"/>
        <w:rPr>
          <w:rFonts w:ascii="宋体" w:hAnsi="宋体" w:cs="宋体"/>
          <w:b/>
          <w:color w:val="auto"/>
          <w:sz w:val="36"/>
          <w:szCs w:val="36"/>
          <w:highlight w:val="none"/>
        </w:rPr>
      </w:pPr>
      <w:r>
        <w:rPr>
          <w:rFonts w:hint="eastAsia" w:ascii="宋体" w:hAnsi="宋体" w:cs="宋体"/>
          <w:b/>
          <w:color w:val="auto"/>
          <w:sz w:val="36"/>
          <w:szCs w:val="36"/>
          <w:highlight w:val="none"/>
        </w:rPr>
        <w:t>第二册</w:t>
      </w:r>
    </w:p>
    <w:p>
      <w:pPr>
        <w:spacing w:line="240" w:lineRule="atLeast"/>
        <w:ind w:left="1080" w:leftChars="257" w:hanging="540"/>
        <w:jc w:val="center"/>
        <w:rPr>
          <w:rFonts w:ascii="宋体" w:hAnsi="宋体" w:cs="宋体"/>
          <w:b/>
          <w:color w:val="auto"/>
          <w:sz w:val="52"/>
          <w:highlight w:val="none"/>
        </w:rPr>
      </w:pPr>
    </w:p>
    <w:p>
      <w:pPr>
        <w:spacing w:line="360" w:lineRule="auto"/>
        <w:ind w:firstLine="301" w:firstLineChars="100"/>
        <w:jc w:val="left"/>
        <w:rPr>
          <w:rFonts w:hint="eastAsia" w:ascii="宋体" w:hAnsi="宋体" w:eastAsia="宋体" w:cs="宋体"/>
          <w:b/>
          <w:color w:val="auto"/>
          <w:sz w:val="30"/>
          <w:szCs w:val="30"/>
          <w:highlight w:val="none"/>
          <w:lang w:eastAsia="zh-CN"/>
        </w:rPr>
      </w:pPr>
      <w:r>
        <w:rPr>
          <w:rFonts w:hint="eastAsia" w:ascii="宋体" w:hAnsi="宋体" w:cs="宋体"/>
          <w:b/>
          <w:color w:val="auto"/>
          <w:sz w:val="30"/>
          <w:szCs w:val="30"/>
          <w:highlight w:val="none"/>
        </w:rPr>
        <w:t>项目编号：</w:t>
      </w:r>
      <w:r>
        <w:rPr>
          <w:rFonts w:hint="eastAsia" w:ascii="宋体" w:hAnsi="宋体" w:cs="宋体"/>
          <w:b/>
          <w:color w:val="auto"/>
          <w:sz w:val="30"/>
          <w:szCs w:val="30"/>
          <w:highlight w:val="none"/>
          <w:lang w:eastAsia="zh-CN"/>
        </w:rPr>
        <w:t>SDGP370000000202402001848</w:t>
      </w:r>
    </w:p>
    <w:p>
      <w:pPr>
        <w:spacing w:line="360" w:lineRule="auto"/>
        <w:ind w:left="1703" w:leftChars="94" w:hanging="1506" w:hangingChars="500"/>
        <w:jc w:val="left"/>
        <w:rPr>
          <w:rFonts w:hint="eastAsia" w:ascii="宋体" w:hAnsi="宋体" w:eastAsia="宋体" w:cs="宋体"/>
          <w:b/>
          <w:color w:val="auto"/>
          <w:spacing w:val="0"/>
          <w:sz w:val="30"/>
          <w:szCs w:val="30"/>
          <w:highlight w:val="none"/>
          <w:lang w:eastAsia="zh-CN"/>
        </w:rPr>
      </w:pPr>
      <w:r>
        <w:rPr>
          <w:rFonts w:hint="eastAsia" w:ascii="宋体" w:hAnsi="宋体" w:cs="宋体"/>
          <w:b/>
          <w:color w:val="auto"/>
          <w:spacing w:val="0"/>
          <w:sz w:val="30"/>
          <w:szCs w:val="30"/>
          <w:highlight w:val="none"/>
        </w:rPr>
        <w:t>项目名称</w:t>
      </w:r>
      <w:r>
        <w:rPr>
          <w:rFonts w:hint="eastAsia" w:ascii="宋体" w:hAnsi="宋体" w:cs="宋体"/>
          <w:b/>
          <w:color w:val="auto"/>
          <w:spacing w:val="0"/>
          <w:sz w:val="30"/>
          <w:szCs w:val="30"/>
          <w:highlight w:val="none"/>
          <w:lang w:eastAsia="zh-CN"/>
        </w:rPr>
        <w:t>：临沂大学2024年毕业证学位证印刷品采购项目</w:t>
      </w:r>
    </w:p>
    <w:p>
      <w:pPr>
        <w:spacing w:line="240" w:lineRule="atLeast"/>
        <w:ind w:left="1080" w:leftChars="257" w:hanging="540"/>
        <w:jc w:val="center"/>
        <w:rPr>
          <w:rFonts w:ascii="宋体" w:hAnsi="宋体" w:cs="宋体"/>
          <w:b/>
          <w:color w:val="auto"/>
          <w:sz w:val="52"/>
          <w:highlight w:val="none"/>
        </w:rPr>
      </w:pPr>
    </w:p>
    <w:p>
      <w:pPr>
        <w:spacing w:line="240" w:lineRule="atLeast"/>
        <w:ind w:left="1080" w:leftChars="257" w:hanging="540"/>
        <w:jc w:val="center"/>
        <w:rPr>
          <w:rFonts w:hint="eastAsia" w:ascii="宋体" w:hAnsi="宋体" w:cs="宋体"/>
          <w:b/>
          <w:color w:val="auto"/>
          <w:sz w:val="52"/>
          <w:highlight w:val="none"/>
        </w:rPr>
      </w:pPr>
    </w:p>
    <w:p>
      <w:pPr>
        <w:pStyle w:val="46"/>
        <w:rPr>
          <w:rFonts w:hint="eastAsia"/>
          <w:color w:val="auto"/>
          <w:highlight w:val="none"/>
        </w:rPr>
      </w:pPr>
    </w:p>
    <w:p>
      <w:pPr>
        <w:pStyle w:val="46"/>
        <w:rPr>
          <w:rFonts w:hint="eastAsia"/>
          <w:color w:val="auto"/>
          <w:highlight w:val="none"/>
        </w:rPr>
      </w:pPr>
    </w:p>
    <w:p>
      <w:pPr>
        <w:pStyle w:val="46"/>
        <w:rPr>
          <w:rFonts w:hint="eastAsia"/>
          <w:color w:val="auto"/>
          <w:highlight w:val="none"/>
        </w:rPr>
      </w:pPr>
    </w:p>
    <w:p>
      <w:pPr>
        <w:pStyle w:val="46"/>
        <w:rPr>
          <w:rFonts w:hint="eastAsia"/>
          <w:color w:val="auto"/>
          <w:highlight w:val="none"/>
        </w:rPr>
      </w:pPr>
    </w:p>
    <w:p>
      <w:pPr>
        <w:pStyle w:val="46"/>
        <w:rPr>
          <w:color w:val="auto"/>
          <w:highlight w:val="none"/>
        </w:rPr>
      </w:pPr>
    </w:p>
    <w:p>
      <w:pPr>
        <w:spacing w:line="240" w:lineRule="atLeast"/>
        <w:ind w:left="1080" w:leftChars="257" w:hanging="540"/>
        <w:jc w:val="center"/>
        <w:rPr>
          <w:rFonts w:ascii="宋体" w:hAnsi="宋体" w:cs="宋体"/>
          <w:b/>
          <w:color w:val="auto"/>
          <w:sz w:val="52"/>
          <w:highlight w:val="none"/>
        </w:rPr>
      </w:pPr>
    </w:p>
    <w:p>
      <w:pPr>
        <w:spacing w:line="360" w:lineRule="auto"/>
        <w:ind w:left="645" w:leftChars="307" w:firstLine="346" w:firstLineChars="115"/>
        <w:jc w:val="left"/>
        <w:rPr>
          <w:rFonts w:ascii="宋体" w:hAnsi="宋体" w:cs="宋体"/>
          <w:b/>
          <w:color w:val="auto"/>
          <w:sz w:val="30"/>
          <w:szCs w:val="30"/>
          <w:highlight w:val="none"/>
        </w:rPr>
      </w:pPr>
      <w:r>
        <w:rPr>
          <w:rFonts w:hint="eastAsia" w:ascii="宋体" w:hAnsi="宋体" w:cs="宋体"/>
          <w:b/>
          <w:color w:val="auto"/>
          <w:sz w:val="30"/>
          <w:szCs w:val="30"/>
          <w:highlight w:val="none"/>
        </w:rPr>
        <w:t xml:space="preserve">采 </w:t>
      </w:r>
      <w:r>
        <w:rPr>
          <w:rFonts w:hint="eastAsia" w:ascii="宋体" w:hAnsi="宋体" w:cs="宋体"/>
          <w:b/>
          <w:color w:val="auto"/>
          <w:sz w:val="30"/>
          <w:szCs w:val="30"/>
          <w:highlight w:val="none"/>
          <w:lang w:val="en-US" w:eastAsia="zh-CN"/>
        </w:rPr>
        <w:t xml:space="preserve"> </w:t>
      </w:r>
      <w:r>
        <w:rPr>
          <w:rFonts w:hint="eastAsia" w:ascii="宋体" w:hAnsi="宋体" w:cs="宋体"/>
          <w:b/>
          <w:color w:val="auto"/>
          <w:sz w:val="30"/>
          <w:szCs w:val="30"/>
          <w:highlight w:val="none"/>
        </w:rPr>
        <w:t xml:space="preserve">  购  人</w:t>
      </w:r>
      <w:r>
        <w:rPr>
          <w:rFonts w:hint="eastAsia" w:ascii="宋体" w:hAnsi="宋体" w:cs="宋体"/>
          <w:b/>
          <w:color w:val="auto"/>
          <w:sz w:val="30"/>
          <w:szCs w:val="30"/>
          <w:highlight w:val="none"/>
          <w:lang w:eastAsia="zh-CN"/>
        </w:rPr>
        <w:t>：</w:t>
      </w:r>
      <w:r>
        <w:rPr>
          <w:rFonts w:hint="eastAsia" w:ascii="宋体" w:hAnsi="宋体" w:cs="宋体"/>
          <w:b/>
          <w:color w:val="auto"/>
          <w:sz w:val="30"/>
          <w:szCs w:val="30"/>
          <w:highlight w:val="none"/>
        </w:rPr>
        <w:t>临沂大学</w:t>
      </w:r>
    </w:p>
    <w:p>
      <w:pPr>
        <w:spacing w:line="360" w:lineRule="auto"/>
        <w:ind w:left="645" w:leftChars="307" w:firstLine="346" w:firstLineChars="115"/>
        <w:jc w:val="left"/>
        <w:rPr>
          <w:rFonts w:ascii="宋体" w:hAnsi="宋体" w:cs="宋体"/>
          <w:b/>
          <w:color w:val="auto"/>
          <w:sz w:val="30"/>
          <w:szCs w:val="30"/>
          <w:highlight w:val="none"/>
        </w:rPr>
      </w:pPr>
      <w:r>
        <w:rPr>
          <w:rFonts w:hint="eastAsia" w:ascii="宋体" w:hAnsi="宋体" w:cs="宋体"/>
          <w:b/>
          <w:color w:val="auto"/>
          <w:sz w:val="30"/>
          <w:szCs w:val="30"/>
          <w:highlight w:val="none"/>
        </w:rPr>
        <w:t>采购代理机构</w:t>
      </w:r>
      <w:r>
        <w:rPr>
          <w:rFonts w:hint="eastAsia" w:ascii="宋体" w:hAnsi="宋体" w:cs="宋体"/>
          <w:b/>
          <w:color w:val="auto"/>
          <w:sz w:val="30"/>
          <w:szCs w:val="30"/>
          <w:highlight w:val="none"/>
          <w:lang w:eastAsia="zh-CN"/>
        </w:rPr>
        <w:t>：</w:t>
      </w:r>
      <w:r>
        <w:rPr>
          <w:rFonts w:hint="eastAsia" w:ascii="宋体" w:hAnsi="宋体" w:cs="宋体"/>
          <w:b/>
          <w:color w:val="auto"/>
          <w:sz w:val="30"/>
          <w:szCs w:val="30"/>
          <w:highlight w:val="none"/>
        </w:rPr>
        <w:t xml:space="preserve">临沂市沂蒙国际招标有限公司 </w:t>
      </w:r>
    </w:p>
    <w:p>
      <w:pPr>
        <w:spacing w:line="240" w:lineRule="atLeast"/>
        <w:ind w:left="1080" w:leftChars="257" w:hanging="540"/>
        <w:rPr>
          <w:rFonts w:ascii="宋体" w:hAnsi="宋体" w:cs="宋体"/>
          <w:b/>
          <w:color w:val="auto"/>
          <w:szCs w:val="21"/>
          <w:highlight w:val="none"/>
        </w:rPr>
      </w:pPr>
    </w:p>
    <w:p>
      <w:pPr>
        <w:spacing w:line="240" w:lineRule="atLeast"/>
        <w:ind w:left="1080" w:leftChars="257" w:hanging="540"/>
        <w:rPr>
          <w:rFonts w:ascii="宋体" w:hAnsi="宋体" w:cs="宋体"/>
          <w:b/>
          <w:color w:val="auto"/>
          <w:szCs w:val="21"/>
          <w:highlight w:val="none"/>
        </w:rPr>
      </w:pPr>
    </w:p>
    <w:p>
      <w:pPr>
        <w:spacing w:line="240" w:lineRule="atLeast"/>
        <w:ind w:left="1077" w:leftChars="513" w:firstLine="298" w:firstLineChars="99"/>
        <w:rPr>
          <w:rFonts w:hint="eastAsia" w:ascii="宋体" w:hAnsi="宋体" w:eastAsia="宋体" w:cs="宋体"/>
          <w:b/>
          <w:color w:val="auto"/>
          <w:szCs w:val="21"/>
          <w:highlight w:val="none"/>
          <w:lang w:eastAsia="zh-CN"/>
        </w:rPr>
      </w:pPr>
      <w:r>
        <w:rPr>
          <w:rFonts w:hint="eastAsia" w:ascii="宋体" w:hAnsi="宋体" w:cs="宋体"/>
          <w:b/>
          <w:bCs/>
          <w:color w:val="auto"/>
          <w:sz w:val="30"/>
          <w:szCs w:val="30"/>
          <w:highlight w:val="none"/>
        </w:rPr>
        <w:t>发 出 日 期：</w:t>
      </w:r>
      <w:r>
        <w:rPr>
          <w:rFonts w:hint="eastAsia" w:ascii="宋体" w:hAnsi="宋体" w:cs="宋体"/>
          <w:b/>
          <w:bCs/>
          <w:color w:val="auto"/>
          <w:sz w:val="30"/>
          <w:szCs w:val="30"/>
          <w:highlight w:val="none"/>
          <w:lang w:eastAsia="zh-CN"/>
        </w:rPr>
        <w:t>二〇二四年</w:t>
      </w:r>
      <w:r>
        <w:rPr>
          <w:rFonts w:hint="eastAsia" w:ascii="宋体" w:hAnsi="宋体" w:cs="宋体"/>
          <w:b/>
          <w:bCs/>
          <w:color w:val="auto"/>
          <w:sz w:val="30"/>
          <w:szCs w:val="30"/>
          <w:highlight w:val="none"/>
          <w:lang w:val="en-US" w:eastAsia="zh-CN"/>
        </w:rPr>
        <w:t>五</w:t>
      </w:r>
      <w:r>
        <w:rPr>
          <w:rFonts w:hint="eastAsia" w:ascii="宋体" w:hAnsi="宋体" w:cs="宋体"/>
          <w:b/>
          <w:bCs/>
          <w:color w:val="auto"/>
          <w:sz w:val="30"/>
          <w:szCs w:val="30"/>
          <w:highlight w:val="none"/>
          <w:lang w:eastAsia="zh-CN"/>
        </w:rPr>
        <w:t>月</w:t>
      </w:r>
      <w:r>
        <w:rPr>
          <w:rFonts w:hint="eastAsia" w:ascii="宋体" w:hAnsi="宋体" w:cs="宋体"/>
          <w:b/>
          <w:bCs/>
          <w:color w:val="auto"/>
          <w:sz w:val="30"/>
          <w:szCs w:val="30"/>
          <w:highlight w:val="none"/>
          <w:lang w:val="en-US" w:eastAsia="zh-CN"/>
        </w:rPr>
        <w:t>七</w:t>
      </w:r>
      <w:r>
        <w:rPr>
          <w:rFonts w:hint="eastAsia" w:ascii="宋体" w:hAnsi="宋体" w:cs="宋体"/>
          <w:b/>
          <w:bCs/>
          <w:color w:val="auto"/>
          <w:sz w:val="30"/>
          <w:szCs w:val="30"/>
          <w:highlight w:val="none"/>
          <w:lang w:eastAsia="zh-CN"/>
        </w:rPr>
        <w:t>日</w:t>
      </w:r>
    </w:p>
    <w:p>
      <w:pPr>
        <w:spacing w:line="480" w:lineRule="exact"/>
        <w:ind w:left="1079" w:leftChars="257" w:hanging="539"/>
        <w:jc w:val="center"/>
        <w:rPr>
          <w:rFonts w:ascii="宋体" w:hAnsi="宋体" w:cs="宋体"/>
          <w:b/>
          <w:color w:val="auto"/>
          <w:sz w:val="52"/>
          <w:highlight w:val="none"/>
        </w:rPr>
      </w:pPr>
      <w:r>
        <w:rPr>
          <w:rFonts w:hint="eastAsia" w:ascii="宋体" w:hAnsi="宋体" w:cs="宋体"/>
          <w:b/>
          <w:color w:val="auto"/>
          <w:sz w:val="52"/>
          <w:highlight w:val="none"/>
        </w:rPr>
        <w:br w:type="page"/>
      </w:r>
    </w:p>
    <w:p>
      <w:pPr>
        <w:pStyle w:val="3"/>
        <w:tabs>
          <w:tab w:val="left" w:pos="0"/>
        </w:tabs>
        <w:spacing w:before="0" w:after="240" w:afterLines="100" w:line="480" w:lineRule="exact"/>
        <w:ind w:left="425"/>
        <w:rPr>
          <w:rFonts w:hAnsi="宋体" w:cs="宋体"/>
          <w:color w:val="auto"/>
          <w:highlight w:val="none"/>
        </w:rPr>
      </w:pPr>
      <w:bookmarkStart w:id="195" w:name="_Toc57"/>
      <w:bookmarkStart w:id="196" w:name="_Toc68259622"/>
      <w:r>
        <w:rPr>
          <w:rFonts w:hint="eastAsia" w:hAnsi="宋体" w:cs="宋体"/>
          <w:color w:val="auto"/>
          <w:highlight w:val="none"/>
        </w:rPr>
        <w:t xml:space="preserve">第2章  </w:t>
      </w:r>
      <w:bookmarkStart w:id="197" w:name="_Toc4766813"/>
      <w:r>
        <w:rPr>
          <w:rFonts w:hint="eastAsia" w:hAnsi="宋体" w:cs="宋体"/>
          <w:color w:val="auto"/>
          <w:highlight w:val="none"/>
        </w:rPr>
        <w:t>采购邀请</w:t>
      </w:r>
      <w:bookmarkEnd w:id="195"/>
      <w:bookmarkEnd w:id="196"/>
      <w:bookmarkEnd w:id="197"/>
    </w:p>
    <w:p>
      <w:pPr>
        <w:spacing w:line="480" w:lineRule="exact"/>
        <w:ind w:firstLine="600" w:firstLineChars="250"/>
        <w:rPr>
          <w:rFonts w:ascii="宋体" w:hAnsi="宋体" w:cs="宋体"/>
          <w:color w:val="auto"/>
          <w:sz w:val="24"/>
          <w:highlight w:val="none"/>
        </w:rPr>
      </w:pPr>
      <w:r>
        <w:rPr>
          <w:rFonts w:hint="eastAsia" w:ascii="宋体" w:hAnsi="宋体" w:cs="宋体"/>
          <w:color w:val="auto"/>
          <w:sz w:val="24"/>
          <w:highlight w:val="none"/>
        </w:rPr>
        <w:t>临沂市沂蒙国际招标有限公司受临沂大学委托，对下述内容进行国内竞争性磋商。现邀请合格的供应商前来响应。</w:t>
      </w:r>
    </w:p>
    <w:p>
      <w:pPr>
        <w:spacing w:line="500" w:lineRule="exact"/>
        <w:rPr>
          <w:rFonts w:hint="eastAsia" w:ascii="宋体" w:hAnsi="宋体" w:cs="宋体"/>
          <w:color w:val="auto"/>
          <w:sz w:val="24"/>
          <w:highlight w:val="none"/>
        </w:rPr>
      </w:pPr>
      <w:bookmarkStart w:id="198" w:name="cgrphone"/>
      <w:bookmarkEnd w:id="198"/>
      <w:bookmarkStart w:id="199" w:name="_Toc35393621"/>
      <w:bookmarkStart w:id="200" w:name="_Toc28359002"/>
      <w:bookmarkStart w:id="201" w:name="_Toc28359079"/>
      <w:bookmarkStart w:id="202" w:name="_Toc35393790"/>
      <w:bookmarkStart w:id="203" w:name="_Hlk24379207"/>
      <w:bookmarkStart w:id="204" w:name="_Toc68259623"/>
      <w:bookmarkStart w:id="205" w:name="_Toc512937850"/>
      <w:r>
        <w:rPr>
          <w:rFonts w:hint="eastAsia" w:ascii="宋体" w:hAnsi="宋体" w:cs="宋体"/>
          <w:color w:val="auto"/>
          <w:sz w:val="24"/>
          <w:highlight w:val="none"/>
        </w:rPr>
        <w:t>一、项目基本情况</w:t>
      </w:r>
      <w:bookmarkEnd w:id="199"/>
      <w:bookmarkEnd w:id="200"/>
      <w:bookmarkEnd w:id="201"/>
      <w:bookmarkEnd w:id="202"/>
    </w:p>
    <w:p>
      <w:pPr>
        <w:spacing w:line="500" w:lineRule="exact"/>
        <w:ind w:firstLine="420" w:firstLineChars="175"/>
        <w:rPr>
          <w:rFonts w:hint="eastAsia" w:ascii="宋体" w:hAnsi="宋体" w:cs="宋体"/>
          <w:color w:val="auto"/>
          <w:sz w:val="24"/>
          <w:highlight w:val="none"/>
        </w:rPr>
      </w:pPr>
      <w:r>
        <w:rPr>
          <w:rFonts w:hint="eastAsia" w:ascii="宋体" w:hAnsi="宋体" w:cs="宋体"/>
          <w:color w:val="auto"/>
          <w:sz w:val="24"/>
          <w:highlight w:val="none"/>
        </w:rPr>
        <w:t>项目编号：</w:t>
      </w:r>
      <w:r>
        <w:rPr>
          <w:rFonts w:hint="eastAsia" w:ascii="宋体" w:hAnsi="宋体" w:cs="宋体"/>
          <w:color w:val="auto"/>
          <w:sz w:val="24"/>
          <w:highlight w:val="none"/>
          <w:lang w:eastAsia="zh-CN"/>
        </w:rPr>
        <w:t>SDGP370000000202402001848</w:t>
      </w:r>
      <w:r>
        <w:rPr>
          <w:rFonts w:hint="eastAsia" w:ascii="宋体" w:hAnsi="宋体" w:cs="宋体"/>
          <w:color w:val="auto"/>
          <w:sz w:val="24"/>
          <w:highlight w:val="none"/>
        </w:rPr>
        <w:t> </w:t>
      </w:r>
    </w:p>
    <w:p>
      <w:pPr>
        <w:spacing w:line="500" w:lineRule="exact"/>
        <w:ind w:firstLine="420" w:firstLineChars="175"/>
        <w:rPr>
          <w:rFonts w:hint="eastAsia" w:ascii="宋体" w:hAnsi="宋体" w:cs="宋体"/>
          <w:color w:val="auto"/>
          <w:sz w:val="24"/>
          <w:highlight w:val="none"/>
        </w:rPr>
      </w:pPr>
      <w:r>
        <w:rPr>
          <w:rFonts w:hint="eastAsia" w:ascii="宋体" w:hAnsi="宋体" w:cs="宋体"/>
          <w:color w:val="auto"/>
          <w:sz w:val="24"/>
          <w:highlight w:val="none"/>
        </w:rPr>
        <w:t>项目名称：</w:t>
      </w:r>
      <w:r>
        <w:rPr>
          <w:rFonts w:hint="eastAsia" w:ascii="宋体" w:hAnsi="宋体" w:cs="宋体"/>
          <w:color w:val="auto"/>
          <w:sz w:val="24"/>
          <w:highlight w:val="none"/>
          <w:lang w:eastAsia="zh-CN"/>
        </w:rPr>
        <w:t>临沂大学2024年毕业证学位证印刷品采购项目</w:t>
      </w:r>
    </w:p>
    <w:bookmarkEnd w:id="203"/>
    <w:p>
      <w:pPr>
        <w:spacing w:line="500" w:lineRule="exact"/>
        <w:ind w:firstLine="420" w:firstLineChars="175"/>
        <w:rPr>
          <w:rFonts w:hint="eastAsia" w:ascii="宋体" w:hAnsi="宋体" w:cs="宋体"/>
          <w:color w:val="auto"/>
          <w:sz w:val="24"/>
          <w:highlight w:val="none"/>
        </w:rPr>
      </w:pPr>
      <w:r>
        <w:rPr>
          <w:rFonts w:hint="eastAsia" w:ascii="宋体" w:hAnsi="宋体" w:cs="宋体"/>
          <w:color w:val="auto"/>
          <w:sz w:val="24"/>
          <w:highlight w:val="none"/>
        </w:rPr>
        <w:t>预算金额：</w:t>
      </w:r>
      <w:r>
        <w:rPr>
          <w:rFonts w:hint="eastAsia" w:ascii="宋体" w:hAnsi="宋体" w:cs="宋体"/>
          <w:color w:val="auto"/>
          <w:sz w:val="24"/>
          <w:highlight w:val="none"/>
          <w:lang w:val="en-US" w:eastAsia="zh-CN"/>
        </w:rPr>
        <w:t>63</w:t>
      </w:r>
      <w:r>
        <w:rPr>
          <w:rFonts w:hint="eastAsia" w:ascii="宋体" w:hAnsi="宋体" w:cs="宋体"/>
          <w:color w:val="auto"/>
          <w:sz w:val="24"/>
          <w:highlight w:val="none"/>
        </w:rPr>
        <w:t>万元</w:t>
      </w:r>
    </w:p>
    <w:p>
      <w:pPr>
        <w:spacing w:line="500" w:lineRule="exact"/>
        <w:ind w:firstLine="420" w:firstLineChars="175"/>
        <w:rPr>
          <w:rFonts w:hint="eastAsia" w:ascii="宋体" w:hAnsi="宋体" w:cs="宋体"/>
          <w:color w:val="auto"/>
          <w:sz w:val="24"/>
          <w:highlight w:val="none"/>
        </w:rPr>
      </w:pPr>
      <w:r>
        <w:rPr>
          <w:rFonts w:hint="eastAsia" w:ascii="宋体" w:hAnsi="宋体" w:cs="宋体"/>
          <w:color w:val="auto"/>
          <w:sz w:val="24"/>
          <w:highlight w:val="none"/>
        </w:rPr>
        <w:t>最高限价（如有）：</w:t>
      </w:r>
      <w:r>
        <w:rPr>
          <w:rFonts w:hint="eastAsia" w:ascii="宋体" w:hAnsi="宋体" w:cs="宋体"/>
          <w:color w:val="auto"/>
          <w:sz w:val="24"/>
          <w:highlight w:val="none"/>
          <w:lang w:val="en-US" w:eastAsia="zh-CN"/>
        </w:rPr>
        <w:t>63</w:t>
      </w:r>
      <w:r>
        <w:rPr>
          <w:rFonts w:hint="eastAsia" w:ascii="宋体" w:hAnsi="宋体" w:cs="宋体"/>
          <w:color w:val="auto"/>
          <w:sz w:val="24"/>
          <w:highlight w:val="none"/>
        </w:rPr>
        <w:t>万元</w:t>
      </w:r>
    </w:p>
    <w:p>
      <w:pPr>
        <w:spacing w:line="500" w:lineRule="exact"/>
        <w:ind w:firstLine="420" w:firstLineChars="175"/>
        <w:rPr>
          <w:rFonts w:hint="eastAsia" w:ascii="宋体" w:hAnsi="宋体" w:cs="宋体"/>
          <w:color w:val="auto"/>
          <w:sz w:val="24"/>
          <w:highlight w:val="none"/>
        </w:rPr>
      </w:pPr>
      <w:r>
        <w:rPr>
          <w:rFonts w:hint="eastAsia" w:ascii="宋体" w:hAnsi="宋体" w:cs="宋体"/>
          <w:color w:val="auto"/>
          <w:sz w:val="24"/>
          <w:highlight w:val="none"/>
        </w:rPr>
        <w:t>采购需求：</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9"/>
        <w:gridCol w:w="2730"/>
        <w:gridCol w:w="825"/>
        <w:gridCol w:w="2400"/>
        <w:gridCol w:w="1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769" w:type="dxa"/>
            <w:noWrap w:val="0"/>
            <w:vAlign w:val="center"/>
          </w:tcPr>
          <w:p>
            <w:pPr>
              <w:keepNext w:val="0"/>
              <w:keepLines w:val="0"/>
              <w:pageBreakBefore w:val="0"/>
              <w:widowControl w:val="0"/>
              <w:kinsoku/>
              <w:wordWrap/>
              <w:overflowPunct/>
              <w:topLinePunct w:val="0"/>
              <w:autoSpaceDE/>
              <w:autoSpaceDN/>
              <w:bidi w:val="0"/>
              <w:adjustRightInd/>
              <w:snapToGrid/>
              <w:spacing w:line="460" w:lineRule="exact"/>
              <w:ind w:left="-1"/>
              <w:jc w:val="center"/>
              <w:textAlignment w:val="auto"/>
              <w:rPr>
                <w:rFonts w:hint="eastAsia" w:ascii="宋体" w:hAnsi="宋体" w:cs="宋体"/>
                <w:color w:val="auto"/>
                <w:sz w:val="24"/>
                <w:highlight w:val="none"/>
              </w:rPr>
            </w:pPr>
            <w:r>
              <w:rPr>
                <w:rFonts w:hint="eastAsia" w:ascii="宋体" w:hAnsi="宋体" w:cs="宋体"/>
                <w:color w:val="auto"/>
                <w:sz w:val="24"/>
                <w:highlight w:val="none"/>
              </w:rPr>
              <w:t>标包</w:t>
            </w:r>
          </w:p>
        </w:tc>
        <w:tc>
          <w:tcPr>
            <w:tcW w:w="2730" w:type="dxa"/>
            <w:noWrap w:val="0"/>
            <w:vAlign w:val="center"/>
          </w:tcPr>
          <w:p>
            <w:pPr>
              <w:keepNext w:val="0"/>
              <w:keepLines w:val="0"/>
              <w:pageBreakBefore w:val="0"/>
              <w:widowControl w:val="0"/>
              <w:kinsoku/>
              <w:wordWrap/>
              <w:overflowPunct/>
              <w:topLinePunct w:val="0"/>
              <w:autoSpaceDE/>
              <w:autoSpaceDN/>
              <w:bidi w:val="0"/>
              <w:adjustRightInd/>
              <w:snapToGrid/>
              <w:spacing w:line="460" w:lineRule="exact"/>
              <w:ind w:left="-1"/>
              <w:jc w:val="center"/>
              <w:textAlignment w:val="auto"/>
              <w:rPr>
                <w:rFonts w:hint="eastAsia" w:ascii="宋体" w:hAnsi="宋体" w:cs="宋体"/>
                <w:color w:val="auto"/>
                <w:sz w:val="24"/>
                <w:highlight w:val="none"/>
              </w:rPr>
            </w:pPr>
            <w:r>
              <w:rPr>
                <w:rFonts w:hint="eastAsia" w:ascii="宋体" w:hAnsi="宋体" w:cs="宋体"/>
                <w:color w:val="auto"/>
                <w:sz w:val="24"/>
                <w:highlight w:val="none"/>
              </w:rPr>
              <w:t>服务名称</w:t>
            </w:r>
          </w:p>
        </w:tc>
        <w:tc>
          <w:tcPr>
            <w:tcW w:w="825" w:type="dxa"/>
            <w:noWrap w:val="0"/>
            <w:vAlign w:val="center"/>
          </w:tcPr>
          <w:p>
            <w:pPr>
              <w:keepNext w:val="0"/>
              <w:keepLines w:val="0"/>
              <w:pageBreakBefore w:val="0"/>
              <w:widowControl w:val="0"/>
              <w:kinsoku/>
              <w:wordWrap/>
              <w:overflowPunct/>
              <w:topLinePunct w:val="0"/>
              <w:autoSpaceDE/>
              <w:autoSpaceDN/>
              <w:bidi w:val="0"/>
              <w:adjustRightInd/>
              <w:snapToGrid/>
              <w:spacing w:line="460" w:lineRule="exact"/>
              <w:ind w:left="-1"/>
              <w:jc w:val="center"/>
              <w:textAlignment w:val="auto"/>
              <w:rPr>
                <w:rFonts w:hint="eastAsia" w:ascii="宋体" w:hAnsi="宋体" w:cs="宋体"/>
                <w:color w:val="auto"/>
                <w:sz w:val="24"/>
                <w:highlight w:val="none"/>
              </w:rPr>
            </w:pPr>
            <w:r>
              <w:rPr>
                <w:rFonts w:hint="eastAsia" w:ascii="宋体" w:hAnsi="宋体" w:cs="宋体"/>
                <w:color w:val="auto"/>
                <w:sz w:val="24"/>
                <w:highlight w:val="none"/>
              </w:rPr>
              <w:t>数量</w:t>
            </w:r>
          </w:p>
        </w:tc>
        <w:tc>
          <w:tcPr>
            <w:tcW w:w="2400" w:type="dxa"/>
            <w:noWrap w:val="0"/>
            <w:vAlign w:val="center"/>
          </w:tcPr>
          <w:p>
            <w:pPr>
              <w:keepNext w:val="0"/>
              <w:keepLines w:val="0"/>
              <w:pageBreakBefore w:val="0"/>
              <w:widowControl w:val="0"/>
              <w:kinsoku/>
              <w:wordWrap/>
              <w:overflowPunct/>
              <w:topLinePunct w:val="0"/>
              <w:autoSpaceDE/>
              <w:autoSpaceDN/>
              <w:bidi w:val="0"/>
              <w:adjustRightInd/>
              <w:snapToGrid/>
              <w:spacing w:line="460" w:lineRule="exact"/>
              <w:ind w:left="-1"/>
              <w:jc w:val="center"/>
              <w:textAlignment w:val="auto"/>
              <w:rPr>
                <w:rFonts w:hint="eastAsia" w:ascii="宋体" w:hAnsi="宋体" w:cs="宋体"/>
                <w:color w:val="auto"/>
                <w:sz w:val="24"/>
                <w:highlight w:val="none"/>
              </w:rPr>
            </w:pPr>
            <w:r>
              <w:rPr>
                <w:rFonts w:hint="eastAsia" w:ascii="宋体" w:hAnsi="宋体" w:cs="宋体"/>
                <w:color w:val="auto"/>
                <w:sz w:val="24"/>
                <w:highlight w:val="none"/>
              </w:rPr>
              <w:t>服务要求</w:t>
            </w:r>
          </w:p>
        </w:tc>
        <w:tc>
          <w:tcPr>
            <w:tcW w:w="1804" w:type="dxa"/>
            <w:noWrap w:val="0"/>
            <w:vAlign w:val="center"/>
          </w:tcPr>
          <w:p>
            <w:pPr>
              <w:keepNext w:val="0"/>
              <w:keepLines w:val="0"/>
              <w:pageBreakBefore w:val="0"/>
              <w:widowControl w:val="0"/>
              <w:kinsoku/>
              <w:wordWrap/>
              <w:overflowPunct/>
              <w:topLinePunct w:val="0"/>
              <w:autoSpaceDE/>
              <w:autoSpaceDN/>
              <w:bidi w:val="0"/>
              <w:adjustRightInd/>
              <w:snapToGrid/>
              <w:spacing w:line="460" w:lineRule="exact"/>
              <w:ind w:left="-1"/>
              <w:jc w:val="center"/>
              <w:textAlignment w:val="auto"/>
              <w:rPr>
                <w:rFonts w:hint="eastAsia" w:ascii="宋体" w:hAnsi="宋体" w:cs="宋体"/>
                <w:color w:val="auto"/>
                <w:sz w:val="24"/>
                <w:highlight w:val="none"/>
              </w:rPr>
            </w:pPr>
            <w:r>
              <w:rPr>
                <w:rFonts w:hint="default" w:ascii="宋体" w:hAnsi="宋体" w:cs="宋体"/>
                <w:color w:val="auto"/>
                <w:sz w:val="24"/>
                <w:highlight w:val="none"/>
                <w:lang w:val="en-US" w:eastAsia="zh-CN"/>
              </w:rPr>
              <w:t>本包预算金额（单位：万元）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69" w:type="dxa"/>
            <w:noWrap w:val="0"/>
            <w:vAlign w:val="center"/>
          </w:tcPr>
          <w:p>
            <w:pPr>
              <w:keepNext w:val="0"/>
              <w:keepLines w:val="0"/>
              <w:pageBreakBefore w:val="0"/>
              <w:widowControl w:val="0"/>
              <w:kinsoku/>
              <w:wordWrap/>
              <w:overflowPunct/>
              <w:topLinePunct w:val="0"/>
              <w:autoSpaceDE/>
              <w:autoSpaceDN/>
              <w:bidi w:val="0"/>
              <w:adjustRightInd/>
              <w:snapToGrid/>
              <w:spacing w:line="460" w:lineRule="exact"/>
              <w:ind w:left="-1" w:leftChars="0"/>
              <w:jc w:val="center"/>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A</w:t>
            </w:r>
          </w:p>
        </w:tc>
        <w:tc>
          <w:tcPr>
            <w:tcW w:w="2730" w:type="dxa"/>
            <w:noWrap w:val="0"/>
            <w:vAlign w:val="center"/>
          </w:tcPr>
          <w:p>
            <w:pPr>
              <w:keepNext w:val="0"/>
              <w:keepLines w:val="0"/>
              <w:pageBreakBefore w:val="0"/>
              <w:widowControl w:val="0"/>
              <w:kinsoku/>
              <w:wordWrap/>
              <w:overflowPunct/>
              <w:topLinePunct w:val="0"/>
              <w:autoSpaceDE/>
              <w:autoSpaceDN/>
              <w:bidi w:val="0"/>
              <w:adjustRightInd/>
              <w:snapToGrid/>
              <w:spacing w:line="460" w:lineRule="exact"/>
              <w:ind w:left="-1" w:leftChars="0"/>
              <w:jc w:val="center"/>
              <w:textAlignment w:val="auto"/>
              <w:rPr>
                <w:rFonts w:hint="eastAsia" w:ascii="宋体" w:hAnsi="宋体" w:cs="宋体"/>
                <w:color w:val="auto"/>
                <w:sz w:val="24"/>
                <w:highlight w:val="none"/>
              </w:rPr>
            </w:pPr>
            <w:r>
              <w:rPr>
                <w:rFonts w:hint="eastAsia" w:ascii="宋体" w:hAnsi="宋体" w:cs="宋体"/>
                <w:color w:val="auto"/>
                <w:sz w:val="24"/>
                <w:highlight w:val="none"/>
                <w:lang w:eastAsia="zh-CN"/>
              </w:rPr>
              <w:t>临沂大学2024年毕业证学位证印刷品采购项目</w:t>
            </w:r>
          </w:p>
        </w:tc>
        <w:tc>
          <w:tcPr>
            <w:tcW w:w="825" w:type="dxa"/>
            <w:noWrap w:val="0"/>
            <w:vAlign w:val="center"/>
          </w:tcPr>
          <w:p>
            <w:pPr>
              <w:keepNext w:val="0"/>
              <w:keepLines w:val="0"/>
              <w:pageBreakBefore w:val="0"/>
              <w:widowControl w:val="0"/>
              <w:kinsoku/>
              <w:wordWrap/>
              <w:overflowPunct/>
              <w:topLinePunct w:val="0"/>
              <w:autoSpaceDE/>
              <w:autoSpaceDN/>
              <w:bidi w:val="0"/>
              <w:adjustRightInd/>
              <w:snapToGrid/>
              <w:spacing w:line="460" w:lineRule="exact"/>
              <w:ind w:left="-1" w:leftChars="0"/>
              <w:jc w:val="center"/>
              <w:textAlignment w:val="auto"/>
              <w:rPr>
                <w:rFonts w:hint="eastAsia" w:ascii="宋体" w:hAnsi="宋体" w:cs="宋体"/>
                <w:color w:val="auto"/>
                <w:sz w:val="24"/>
                <w:highlight w:val="none"/>
              </w:rPr>
            </w:pPr>
            <w:r>
              <w:rPr>
                <w:rFonts w:hint="eastAsia" w:ascii="宋体" w:hAnsi="宋体" w:cs="宋体"/>
                <w:color w:val="auto"/>
                <w:sz w:val="24"/>
                <w:highlight w:val="none"/>
              </w:rPr>
              <w:t>1</w:t>
            </w:r>
          </w:p>
        </w:tc>
        <w:tc>
          <w:tcPr>
            <w:tcW w:w="2400" w:type="dxa"/>
            <w:noWrap w:val="0"/>
            <w:vAlign w:val="center"/>
          </w:tcPr>
          <w:p>
            <w:pPr>
              <w:keepNext w:val="0"/>
              <w:keepLines w:val="0"/>
              <w:pageBreakBefore w:val="0"/>
              <w:widowControl w:val="0"/>
              <w:kinsoku/>
              <w:wordWrap/>
              <w:overflowPunct/>
              <w:topLinePunct w:val="0"/>
              <w:autoSpaceDE/>
              <w:autoSpaceDN/>
              <w:bidi w:val="0"/>
              <w:adjustRightInd/>
              <w:snapToGrid/>
              <w:spacing w:line="460" w:lineRule="exact"/>
              <w:ind w:firstLine="240" w:firstLineChars="100"/>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临沂大学2024年毕业证学位证印刷品采购项目，具体</w:t>
            </w:r>
            <w:r>
              <w:rPr>
                <w:rFonts w:hint="eastAsia" w:ascii="宋体" w:hAnsi="宋体" w:cs="宋体"/>
                <w:color w:val="auto"/>
                <w:sz w:val="24"/>
                <w:highlight w:val="none"/>
              </w:rPr>
              <w:t>详见磋商文件</w:t>
            </w:r>
            <w:r>
              <w:rPr>
                <w:rFonts w:hint="eastAsia" w:ascii="宋体" w:hAnsi="宋体" w:cs="宋体"/>
                <w:color w:val="auto"/>
                <w:sz w:val="24"/>
                <w:highlight w:val="none"/>
                <w:lang w:eastAsia="zh-CN"/>
              </w:rPr>
              <w:t>。</w:t>
            </w:r>
          </w:p>
        </w:tc>
        <w:tc>
          <w:tcPr>
            <w:tcW w:w="1804" w:type="dxa"/>
            <w:noWrap w:val="0"/>
            <w:vAlign w:val="center"/>
          </w:tcPr>
          <w:p>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63</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auto"/>
          <w:sz w:val="24"/>
          <w:highlight w:val="none"/>
        </w:rPr>
      </w:pPr>
      <w:r>
        <w:rPr>
          <w:rFonts w:hint="eastAsia" w:ascii="宋体" w:hAnsi="宋体" w:cs="宋体"/>
          <w:color w:val="auto"/>
          <w:sz w:val="24"/>
          <w:highlight w:val="none"/>
        </w:rPr>
        <w:t>合同履行期限：详见磋商文件。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auto"/>
          <w:sz w:val="24"/>
          <w:highlight w:val="none"/>
        </w:rPr>
      </w:pPr>
      <w:bookmarkStart w:id="206" w:name="_Toc35393622"/>
      <w:bookmarkStart w:id="207" w:name="_Toc35393791"/>
      <w:bookmarkStart w:id="208" w:name="_Toc28359003"/>
      <w:bookmarkStart w:id="209" w:name="_Toc28359080"/>
      <w:bookmarkStart w:id="210" w:name="_Toc35393634"/>
      <w:bookmarkStart w:id="211" w:name="_Toc35393803"/>
      <w:bookmarkStart w:id="212" w:name="_Toc28359017"/>
      <w:bookmarkStart w:id="213" w:name="_Toc28359094"/>
      <w:r>
        <w:rPr>
          <w:rFonts w:hint="eastAsia" w:ascii="宋体" w:hAnsi="宋体" w:cs="宋体"/>
          <w:color w:val="auto"/>
          <w:sz w:val="24"/>
          <w:highlight w:val="none"/>
        </w:rPr>
        <w:t>二、申请人的资格要求：</w:t>
      </w:r>
      <w:bookmarkEnd w:id="206"/>
      <w:bookmarkEnd w:id="207"/>
      <w:bookmarkEnd w:id="208"/>
      <w:bookmarkEnd w:id="209"/>
    </w:p>
    <w:p>
      <w:pPr>
        <w:keepNext w:val="0"/>
        <w:keepLines w:val="0"/>
        <w:pageBreakBefore w:val="0"/>
        <w:widowControl w:val="0"/>
        <w:kinsoku/>
        <w:wordWrap/>
        <w:overflowPunct/>
        <w:topLinePunct w:val="0"/>
        <w:autoSpaceDE/>
        <w:autoSpaceDN/>
        <w:bidi w:val="0"/>
        <w:adjustRightInd/>
        <w:snapToGrid/>
        <w:spacing w:line="360" w:lineRule="auto"/>
        <w:ind w:firstLine="420" w:firstLineChars="175"/>
        <w:textAlignment w:val="auto"/>
        <w:rPr>
          <w:rFonts w:hint="eastAsia" w:ascii="宋体" w:hAnsi="宋体" w:cs="宋体"/>
          <w:color w:val="auto"/>
          <w:sz w:val="24"/>
          <w:highlight w:val="none"/>
        </w:rPr>
      </w:pPr>
      <w:r>
        <w:rPr>
          <w:rFonts w:hint="eastAsia" w:ascii="宋体" w:hAnsi="宋体" w:cs="宋体"/>
          <w:color w:val="auto"/>
          <w:sz w:val="24"/>
          <w:highlight w:val="none"/>
        </w:rPr>
        <w:t>1.满足《中华人民共和国政府采购法》第二十二条规定；</w:t>
      </w:r>
      <w:bookmarkStart w:id="339" w:name="_GoBack"/>
      <w:bookmarkEnd w:id="339"/>
    </w:p>
    <w:p>
      <w:pPr>
        <w:keepNext w:val="0"/>
        <w:keepLines w:val="0"/>
        <w:pageBreakBefore w:val="0"/>
        <w:widowControl w:val="0"/>
        <w:kinsoku/>
        <w:wordWrap/>
        <w:overflowPunct/>
        <w:topLinePunct w:val="0"/>
        <w:autoSpaceDE/>
        <w:autoSpaceDN/>
        <w:bidi w:val="0"/>
        <w:adjustRightInd/>
        <w:snapToGrid/>
        <w:spacing w:line="360" w:lineRule="auto"/>
        <w:ind w:firstLine="420" w:firstLineChars="175"/>
        <w:textAlignment w:val="auto"/>
        <w:rPr>
          <w:rFonts w:hint="eastAsia" w:ascii="宋体" w:hAnsi="宋体" w:cs="宋体"/>
          <w:color w:val="auto"/>
          <w:sz w:val="24"/>
          <w:highlight w:val="none"/>
        </w:rPr>
      </w:pPr>
      <w:bookmarkStart w:id="214" w:name="_Toc28359004"/>
      <w:bookmarkStart w:id="215" w:name="_Toc28359081"/>
      <w:r>
        <w:rPr>
          <w:rFonts w:hint="eastAsia" w:ascii="宋体" w:hAnsi="宋体" w:cs="宋体"/>
          <w:color w:val="auto"/>
          <w:sz w:val="24"/>
          <w:highlight w:val="none"/>
        </w:rPr>
        <w:t>2.落实政府采购政策需满足的资格要求：</w:t>
      </w:r>
      <w:r>
        <w:rPr>
          <w:rFonts w:hint="eastAsia" w:ascii="宋体" w:hAnsi="宋体" w:cs="宋体"/>
          <w:color w:val="auto"/>
          <w:sz w:val="24"/>
          <w:highlight w:val="none"/>
          <w:lang w:val="en-US" w:eastAsia="zh-CN"/>
        </w:rPr>
        <w:t>本项目专门面向中小企业采购</w:t>
      </w:r>
      <w:r>
        <w:rPr>
          <w:rFonts w:hint="eastAsia" w:ascii="宋体" w:hAnsi="宋体" w:cs="宋体"/>
          <w:color w:val="auto"/>
          <w:sz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175"/>
        <w:textAlignment w:val="auto"/>
        <w:rPr>
          <w:rFonts w:hint="eastAsia" w:eastAsia="宋体"/>
          <w:color w:val="auto"/>
          <w:highlight w:val="none"/>
          <w:lang w:eastAsia="zh-CN"/>
        </w:rPr>
      </w:pPr>
      <w:r>
        <w:rPr>
          <w:rFonts w:hint="eastAsia" w:ascii="宋体" w:hAnsi="宋体" w:cs="宋体"/>
          <w:color w:val="auto"/>
          <w:sz w:val="24"/>
          <w:highlight w:val="none"/>
        </w:rPr>
        <w:t>3.本项目的特定资格要求：</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1</w:t>
      </w:r>
      <w:r>
        <w:rPr>
          <w:rFonts w:hint="eastAsia" w:ascii="宋体" w:hAnsi="宋体" w:cs="宋体"/>
          <w:color w:val="auto"/>
          <w:sz w:val="24"/>
          <w:highlight w:val="none"/>
          <w:lang w:eastAsia="zh-CN"/>
        </w:rPr>
        <w:t>）</w:t>
      </w:r>
      <w:r>
        <w:rPr>
          <w:rFonts w:hint="eastAsia" w:ascii="宋体" w:hAnsi="宋体" w:cs="宋体"/>
          <w:color w:val="auto"/>
          <w:sz w:val="24"/>
          <w:highlight w:val="none"/>
        </w:rPr>
        <w:t>在“信用中国”（www.creditchina.gov.cn）、中国政府采购网（www.ccgp.gov.cn）等网站中被列入失信被执行人、</w:t>
      </w:r>
      <w:r>
        <w:rPr>
          <w:rFonts w:hint="eastAsia" w:ascii="宋体" w:hAnsi="宋体" w:cs="宋体"/>
          <w:color w:val="auto"/>
          <w:sz w:val="24"/>
          <w:highlight w:val="none"/>
          <w:lang w:eastAsia="zh-CN"/>
        </w:rPr>
        <w:t>重大税收违法失信主体</w:t>
      </w:r>
      <w:r>
        <w:rPr>
          <w:rFonts w:hint="eastAsia" w:ascii="宋体" w:hAnsi="宋体" w:cs="宋体"/>
          <w:color w:val="auto"/>
          <w:sz w:val="24"/>
          <w:highlight w:val="none"/>
        </w:rPr>
        <w:t>、政府采购严重违法失信行为记录名单的供应商，不得参加本次政府采购活动</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w:t>
      </w:r>
      <w:r>
        <w:rPr>
          <w:rFonts w:hint="eastAsia" w:ascii="宋体" w:cs="宋体"/>
          <w:color w:val="auto"/>
          <w:sz w:val="24"/>
          <w:highlight w:val="none"/>
        </w:rPr>
        <w:t>供应商应具有有效的《印刷经营许可证》</w:t>
      </w:r>
      <w:r>
        <w:rPr>
          <w:rFonts w:hint="eastAsia" w:ascii="宋体" w:cs="宋体"/>
          <w:color w:val="auto"/>
          <w:sz w:val="24"/>
          <w:highlight w:val="none"/>
          <w:lang w:eastAsia="zh-CN"/>
        </w:rPr>
        <w:t>、《国家秘密载体印制资质证书》</w:t>
      </w:r>
      <w:r>
        <w:rPr>
          <w:rFonts w:hint="eastAsia" w:ascii="宋体" w:hAnsi="宋体" w:cs="宋体"/>
          <w:color w:val="auto"/>
          <w:sz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auto"/>
          <w:sz w:val="24"/>
          <w:highlight w:val="none"/>
        </w:rPr>
      </w:pPr>
      <w:bookmarkStart w:id="216" w:name="_Toc35393623"/>
      <w:bookmarkStart w:id="217" w:name="_Toc35393792"/>
      <w:r>
        <w:rPr>
          <w:rFonts w:hint="eastAsia" w:ascii="宋体" w:hAnsi="宋体" w:cs="宋体"/>
          <w:color w:val="auto"/>
          <w:sz w:val="24"/>
          <w:highlight w:val="none"/>
        </w:rPr>
        <w:t>三、获取采购文件</w:t>
      </w:r>
      <w:bookmarkEnd w:id="214"/>
      <w:bookmarkEnd w:id="215"/>
      <w:bookmarkEnd w:id="216"/>
      <w:bookmarkEnd w:id="217"/>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1.时间：202</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日8时30分至202</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11</w:t>
      </w:r>
      <w:r>
        <w:rPr>
          <w:rFonts w:hint="eastAsia" w:ascii="宋体" w:hAnsi="宋体" w:cs="宋体"/>
          <w:color w:val="auto"/>
          <w:sz w:val="24"/>
          <w:highlight w:val="none"/>
        </w:rPr>
        <w:t>日17时00分（报名截止时间）（北京时间，法定节假日除外）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2.地点：临沂市北城新区北京路与沭河路交汇向北100米路西红日大厦20楼临沂市沂蒙国际招标有限公司；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3.方式：凡有意参加本次政府采购的单位，须在山东省政府采购信息公开平台（http://www.ccgp-shandong.gov.cn）注册并进行投标备案，备案后请及时致电代理机构购买竞争性磋商文件及确认投标备案（联系电话：0539-7578911，邮箱ymgjzb@163.com，开户名：临沂市沂蒙国际招标有限公司，开户行：建设银行临沂分行营业部，账号：37001828301050001489）。因自身行为导致未成功获取磋商文件及补充（答疑、澄清）文件、未能够在中国山东政府采购网投标备案，后果自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4.售价：</w:t>
      </w:r>
      <w:r>
        <w:rPr>
          <w:rFonts w:hint="eastAsia" w:ascii="宋体" w:hAnsi="宋体" w:cs="宋体"/>
          <w:color w:val="auto"/>
          <w:sz w:val="24"/>
          <w:highlight w:val="none"/>
          <w:lang w:val="en-US" w:eastAsia="zh-CN"/>
        </w:rPr>
        <w:t>¥</w:t>
      </w:r>
      <w:r>
        <w:rPr>
          <w:rFonts w:hint="eastAsia" w:ascii="宋体" w:hAnsi="宋体" w:cs="宋体"/>
          <w:color w:val="auto"/>
          <w:sz w:val="24"/>
          <w:highlight w:val="none"/>
        </w:rPr>
        <w:t>200元</w:t>
      </w:r>
      <w:r>
        <w:rPr>
          <w:rFonts w:hint="eastAsia" w:ascii="宋体" w:hAnsi="宋体" w:cs="宋体"/>
          <w:color w:val="auto"/>
          <w:sz w:val="24"/>
          <w:highlight w:val="none"/>
          <w:lang w:val="en-US" w:eastAsia="zh-CN"/>
        </w:rPr>
        <w:t>/份，</w:t>
      </w:r>
      <w:r>
        <w:rPr>
          <w:rFonts w:hint="eastAsia" w:ascii="宋体" w:hAnsi="宋体" w:cs="宋体"/>
          <w:color w:val="auto"/>
          <w:sz w:val="24"/>
          <w:highlight w:val="none"/>
        </w:rPr>
        <w:t>售后不退。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auto"/>
          <w:sz w:val="24"/>
          <w:highlight w:val="none"/>
        </w:rPr>
      </w:pPr>
      <w:bookmarkStart w:id="218" w:name="_Toc28359082"/>
      <w:bookmarkStart w:id="219" w:name="_Toc28359005"/>
      <w:bookmarkStart w:id="220" w:name="_Toc35393793"/>
      <w:bookmarkStart w:id="221" w:name="_Toc35393624"/>
      <w:r>
        <w:rPr>
          <w:rFonts w:hint="eastAsia" w:ascii="宋体" w:hAnsi="宋体" w:cs="宋体"/>
          <w:color w:val="auto"/>
          <w:sz w:val="24"/>
          <w:highlight w:val="none"/>
        </w:rPr>
        <w:t>四、提交响应文件</w:t>
      </w:r>
      <w:bookmarkEnd w:id="218"/>
      <w:bookmarkEnd w:id="219"/>
      <w:r>
        <w:rPr>
          <w:rFonts w:hint="eastAsia" w:ascii="宋体" w:hAnsi="宋体" w:cs="宋体"/>
          <w:color w:val="auto"/>
          <w:sz w:val="24"/>
          <w:highlight w:val="none"/>
        </w:rPr>
        <w:t>截止时间和地点</w:t>
      </w:r>
      <w:bookmarkEnd w:id="220"/>
      <w:bookmarkEnd w:id="221"/>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1.时间：</w:t>
      </w:r>
      <w:r>
        <w:rPr>
          <w:rFonts w:hint="eastAsia" w:ascii="宋体" w:hAnsi="宋体" w:cs="宋体"/>
          <w:color w:val="auto"/>
          <w:sz w:val="24"/>
          <w:highlight w:val="none"/>
          <w:lang w:eastAsia="zh-CN"/>
        </w:rPr>
        <w:t>202</w:t>
      </w:r>
      <w:r>
        <w:rPr>
          <w:rFonts w:hint="eastAsia" w:ascii="宋体" w:hAnsi="宋体" w:cs="宋体"/>
          <w:color w:val="auto"/>
          <w:sz w:val="24"/>
          <w:highlight w:val="none"/>
          <w:lang w:val="en-US" w:eastAsia="zh-CN"/>
        </w:rPr>
        <w:t>4</w:t>
      </w:r>
      <w:r>
        <w:rPr>
          <w:rFonts w:hint="eastAsia" w:ascii="宋体" w:hAnsi="宋体" w:cs="宋体"/>
          <w:color w:val="auto"/>
          <w:sz w:val="24"/>
          <w:highlight w:val="none"/>
          <w:lang w:eastAsia="zh-CN"/>
        </w:rPr>
        <w:t>年</w:t>
      </w:r>
      <w:r>
        <w:rPr>
          <w:rFonts w:hint="eastAsia" w:ascii="宋体" w:hAnsi="宋体" w:cs="宋体"/>
          <w:color w:val="auto"/>
          <w:sz w:val="24"/>
          <w:highlight w:val="none"/>
          <w:lang w:val="en-US" w:eastAsia="zh-CN"/>
        </w:rPr>
        <w:t>5</w:t>
      </w:r>
      <w:r>
        <w:rPr>
          <w:rFonts w:hint="eastAsia" w:ascii="宋体" w:hAnsi="宋体" w:cs="宋体"/>
          <w:color w:val="auto"/>
          <w:sz w:val="24"/>
          <w:highlight w:val="none"/>
          <w:lang w:eastAsia="zh-CN"/>
        </w:rPr>
        <w:t>月</w:t>
      </w:r>
      <w:r>
        <w:rPr>
          <w:rFonts w:hint="eastAsia" w:ascii="宋体" w:hAnsi="宋体" w:cs="宋体"/>
          <w:color w:val="auto"/>
          <w:sz w:val="24"/>
          <w:highlight w:val="none"/>
          <w:lang w:val="en-US" w:eastAsia="zh-CN"/>
        </w:rPr>
        <w:t>17</w:t>
      </w:r>
      <w:r>
        <w:rPr>
          <w:rFonts w:hint="eastAsia" w:ascii="宋体" w:hAnsi="宋体" w:cs="宋体"/>
          <w:color w:val="auto"/>
          <w:sz w:val="24"/>
          <w:highlight w:val="none"/>
          <w:lang w:eastAsia="zh-CN"/>
        </w:rPr>
        <w:t>日</w:t>
      </w:r>
      <w:r>
        <w:rPr>
          <w:rFonts w:hint="eastAsia" w:ascii="宋体" w:hAnsi="宋体" w:cs="宋体"/>
          <w:color w:val="auto"/>
          <w:sz w:val="24"/>
          <w:highlight w:val="none"/>
          <w:lang w:val="en-US" w:eastAsia="zh-CN"/>
        </w:rPr>
        <w:t>09</w:t>
      </w:r>
      <w:r>
        <w:rPr>
          <w:rFonts w:hint="eastAsia" w:ascii="宋体" w:hAnsi="宋体" w:cs="宋体"/>
          <w:color w:val="auto"/>
          <w:sz w:val="24"/>
          <w:highlight w:val="none"/>
          <w:lang w:eastAsia="zh-CN"/>
        </w:rPr>
        <w:t>时</w:t>
      </w:r>
      <w:r>
        <w:rPr>
          <w:rFonts w:hint="eastAsia" w:ascii="宋体" w:hAnsi="宋体" w:cs="宋体"/>
          <w:color w:val="auto"/>
          <w:sz w:val="24"/>
          <w:highlight w:val="none"/>
          <w:lang w:val="en-US" w:eastAsia="zh-CN"/>
        </w:rPr>
        <w:t>30</w:t>
      </w:r>
      <w:r>
        <w:rPr>
          <w:rFonts w:hint="eastAsia" w:ascii="宋体" w:hAnsi="宋体" w:cs="宋体"/>
          <w:color w:val="auto"/>
          <w:sz w:val="24"/>
          <w:highlight w:val="none"/>
          <w:lang w:eastAsia="zh-CN"/>
        </w:rPr>
        <w:t>分</w:t>
      </w:r>
      <w:r>
        <w:rPr>
          <w:rFonts w:hint="eastAsia" w:ascii="宋体" w:hAnsi="宋体" w:cs="宋体"/>
          <w:color w:val="auto"/>
          <w:sz w:val="24"/>
          <w:highlight w:val="none"/>
        </w:rPr>
        <w:t>（北京时间）；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2.地点：</w:t>
      </w:r>
      <w:r>
        <w:rPr>
          <w:rFonts w:hint="eastAsia" w:ascii="宋体" w:hAnsi="宋体" w:cs="宋体"/>
          <w:color w:val="auto"/>
          <w:sz w:val="24"/>
          <w:highlight w:val="none"/>
          <w:lang w:val="zh-CN"/>
        </w:rPr>
        <w:t>临沂市北城新区北京路与沭河路交汇向北100米路西红日大厦20楼临沂市沂蒙国际招标有限公司开标室。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auto"/>
          <w:sz w:val="24"/>
          <w:highlight w:val="none"/>
        </w:rPr>
      </w:pPr>
      <w:bookmarkStart w:id="222" w:name="_Toc28359016"/>
      <w:bookmarkStart w:id="223" w:name="_Toc35393633"/>
      <w:bookmarkStart w:id="224" w:name="_Toc35393802"/>
      <w:bookmarkStart w:id="225" w:name="_Toc28359093"/>
      <w:r>
        <w:rPr>
          <w:rFonts w:hint="eastAsia" w:ascii="宋体" w:hAnsi="宋体" w:cs="宋体"/>
          <w:color w:val="auto"/>
          <w:sz w:val="24"/>
          <w:highlight w:val="none"/>
        </w:rPr>
        <w:t>五、开启</w:t>
      </w:r>
      <w:bookmarkEnd w:id="222"/>
      <w:bookmarkEnd w:id="223"/>
      <w:bookmarkEnd w:id="224"/>
      <w:bookmarkEnd w:id="225"/>
      <w:r>
        <w:rPr>
          <w:rFonts w:hint="eastAsia" w:ascii="宋体" w:hAnsi="宋体" w:cs="宋体"/>
          <w:color w:val="auto"/>
          <w:sz w:val="24"/>
          <w:highlight w:val="non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1.时间：</w:t>
      </w:r>
      <w:r>
        <w:rPr>
          <w:rFonts w:hint="eastAsia" w:ascii="宋体" w:hAnsi="宋体" w:cs="宋体"/>
          <w:color w:val="auto"/>
          <w:sz w:val="24"/>
          <w:highlight w:val="none"/>
          <w:lang w:eastAsia="zh-CN"/>
        </w:rPr>
        <w:t>202</w:t>
      </w:r>
      <w:r>
        <w:rPr>
          <w:rFonts w:hint="eastAsia" w:ascii="宋体" w:hAnsi="宋体" w:cs="宋体"/>
          <w:color w:val="auto"/>
          <w:sz w:val="24"/>
          <w:highlight w:val="none"/>
          <w:lang w:val="en-US" w:eastAsia="zh-CN"/>
        </w:rPr>
        <w:t>4</w:t>
      </w:r>
      <w:r>
        <w:rPr>
          <w:rFonts w:hint="eastAsia" w:ascii="宋体" w:hAnsi="宋体" w:cs="宋体"/>
          <w:color w:val="auto"/>
          <w:sz w:val="24"/>
          <w:highlight w:val="none"/>
          <w:lang w:eastAsia="zh-CN"/>
        </w:rPr>
        <w:t>年</w:t>
      </w:r>
      <w:r>
        <w:rPr>
          <w:rFonts w:hint="eastAsia" w:ascii="宋体" w:hAnsi="宋体" w:cs="宋体"/>
          <w:color w:val="auto"/>
          <w:sz w:val="24"/>
          <w:highlight w:val="none"/>
          <w:lang w:val="en-US" w:eastAsia="zh-CN"/>
        </w:rPr>
        <w:t>5</w:t>
      </w:r>
      <w:r>
        <w:rPr>
          <w:rFonts w:hint="eastAsia" w:ascii="宋体" w:hAnsi="宋体" w:cs="宋体"/>
          <w:color w:val="auto"/>
          <w:sz w:val="24"/>
          <w:highlight w:val="none"/>
          <w:lang w:eastAsia="zh-CN"/>
        </w:rPr>
        <w:t>月</w:t>
      </w:r>
      <w:r>
        <w:rPr>
          <w:rFonts w:hint="eastAsia" w:ascii="宋体" w:hAnsi="宋体" w:cs="宋体"/>
          <w:color w:val="auto"/>
          <w:sz w:val="24"/>
          <w:highlight w:val="none"/>
          <w:lang w:val="en-US" w:eastAsia="zh-CN"/>
        </w:rPr>
        <w:t>17</w:t>
      </w:r>
      <w:r>
        <w:rPr>
          <w:rFonts w:hint="eastAsia" w:ascii="宋体" w:hAnsi="宋体" w:cs="宋体"/>
          <w:color w:val="auto"/>
          <w:sz w:val="24"/>
          <w:highlight w:val="none"/>
          <w:lang w:eastAsia="zh-CN"/>
        </w:rPr>
        <w:t>日</w:t>
      </w:r>
      <w:r>
        <w:rPr>
          <w:rFonts w:hint="eastAsia" w:ascii="宋体" w:hAnsi="宋体" w:cs="宋体"/>
          <w:color w:val="auto"/>
          <w:sz w:val="24"/>
          <w:highlight w:val="none"/>
          <w:lang w:val="en-US" w:eastAsia="zh-CN"/>
        </w:rPr>
        <w:t>09</w:t>
      </w:r>
      <w:r>
        <w:rPr>
          <w:rFonts w:hint="eastAsia" w:ascii="宋体" w:hAnsi="宋体" w:cs="宋体"/>
          <w:color w:val="auto"/>
          <w:sz w:val="24"/>
          <w:highlight w:val="none"/>
          <w:lang w:eastAsia="zh-CN"/>
        </w:rPr>
        <w:t>时</w:t>
      </w:r>
      <w:r>
        <w:rPr>
          <w:rFonts w:hint="eastAsia" w:ascii="宋体" w:hAnsi="宋体" w:cs="宋体"/>
          <w:color w:val="auto"/>
          <w:sz w:val="24"/>
          <w:highlight w:val="none"/>
          <w:lang w:val="en-US" w:eastAsia="zh-CN"/>
        </w:rPr>
        <w:t>30</w:t>
      </w:r>
      <w:r>
        <w:rPr>
          <w:rFonts w:hint="eastAsia" w:ascii="宋体" w:hAnsi="宋体" w:cs="宋体"/>
          <w:color w:val="auto"/>
          <w:sz w:val="24"/>
          <w:highlight w:val="none"/>
          <w:lang w:eastAsia="zh-CN"/>
        </w:rPr>
        <w:t>分</w:t>
      </w:r>
      <w:r>
        <w:rPr>
          <w:rFonts w:hint="eastAsia" w:ascii="宋体" w:hAnsi="宋体" w:cs="宋体"/>
          <w:color w:val="auto"/>
          <w:sz w:val="24"/>
          <w:highlight w:val="none"/>
        </w:rPr>
        <w:t>（北京时间）；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2.地点：</w:t>
      </w:r>
      <w:r>
        <w:rPr>
          <w:rFonts w:hint="eastAsia" w:ascii="宋体" w:hAnsi="宋体" w:cs="宋体"/>
          <w:color w:val="auto"/>
          <w:sz w:val="24"/>
          <w:highlight w:val="none"/>
          <w:lang w:val="zh-CN"/>
        </w:rPr>
        <w:t>临沂市北城新区北京路与沭河路交汇向北100米路西红日大厦20楼临沂市沂蒙国际招标有限公司开标室。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auto"/>
          <w:sz w:val="24"/>
          <w:highlight w:val="none"/>
        </w:rPr>
      </w:pPr>
      <w:r>
        <w:rPr>
          <w:rFonts w:hint="eastAsia" w:ascii="宋体" w:hAnsi="宋体" w:cs="宋体"/>
          <w:color w:val="auto"/>
          <w:sz w:val="24"/>
          <w:highlight w:val="none"/>
        </w:rPr>
        <w:t>六、公告期限</w:t>
      </w:r>
      <w:bookmarkEnd w:id="210"/>
      <w:bookmarkEnd w:id="211"/>
      <w:bookmarkEnd w:id="212"/>
      <w:bookmarkEnd w:id="213"/>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自本公告发布之日起5个工作日。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auto"/>
          <w:sz w:val="24"/>
          <w:highlight w:val="none"/>
        </w:rPr>
      </w:pPr>
      <w:bookmarkStart w:id="226" w:name="_Toc35393804"/>
      <w:bookmarkStart w:id="227" w:name="_Toc35393635"/>
      <w:r>
        <w:rPr>
          <w:rFonts w:hint="eastAsia" w:ascii="宋体" w:hAnsi="宋体" w:cs="宋体"/>
          <w:color w:val="auto"/>
          <w:sz w:val="24"/>
          <w:highlight w:val="none"/>
        </w:rPr>
        <w:t>七、其他补充事宜</w:t>
      </w:r>
      <w:bookmarkEnd w:id="226"/>
      <w:bookmarkEnd w:id="227"/>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lang w:val="en-US" w:eastAsia="zh-CN"/>
        </w:rPr>
      </w:pPr>
      <w:bookmarkStart w:id="228" w:name="_Toc35393636"/>
      <w:bookmarkStart w:id="229" w:name="_Toc28359018"/>
      <w:bookmarkStart w:id="230" w:name="_Toc28359095"/>
      <w:bookmarkStart w:id="231" w:name="_Toc35393805"/>
      <w:r>
        <w:rPr>
          <w:rFonts w:hint="eastAsia" w:ascii="宋体" w:hAnsi="宋体" w:cs="宋体"/>
          <w:color w:val="auto"/>
          <w:sz w:val="24"/>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auto"/>
          <w:sz w:val="24"/>
          <w:highlight w:val="none"/>
        </w:rPr>
      </w:pPr>
      <w:r>
        <w:rPr>
          <w:rFonts w:hint="eastAsia" w:ascii="宋体" w:hAnsi="宋体" w:cs="宋体"/>
          <w:color w:val="auto"/>
          <w:sz w:val="24"/>
          <w:highlight w:val="none"/>
        </w:rPr>
        <w:t>八、凡对本次采购提出询问，请按以下方式联系</w:t>
      </w:r>
      <w:bookmarkEnd w:id="228"/>
      <w:bookmarkEnd w:id="229"/>
      <w:bookmarkEnd w:id="230"/>
      <w:bookmarkEnd w:id="231"/>
      <w:r>
        <w:rPr>
          <w:rFonts w:hint="eastAsia" w:ascii="宋体" w:hAnsi="宋体" w:cs="宋体"/>
          <w:color w:val="auto"/>
          <w:sz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1.采购人：临沂大学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联系地址：山东省临沂市双岭路中段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cs="宋体"/>
          <w:color w:val="auto"/>
          <w:sz w:val="24"/>
          <w:highlight w:val="none"/>
        </w:rPr>
        <w:t>联系方式：0539-725875</w:t>
      </w:r>
      <w:r>
        <w:rPr>
          <w:rFonts w:hint="eastAsia" w:ascii="宋体" w:hAnsi="宋体" w:cs="宋体"/>
          <w:color w:val="auto"/>
          <w:sz w:val="24"/>
          <w:highlight w:val="none"/>
          <w:lang w:val="en-US" w:eastAsia="zh-CN"/>
        </w:rPr>
        <w:t>6</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2.采购代理机构：临沂市沂蒙国际招标有限公司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地址：山东省临沂市兰山区柳青街道北京路与沭河路交汇北50米红日大厦20楼2008室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color w:val="auto"/>
          <w:highlight w:val="none"/>
        </w:rPr>
      </w:pPr>
      <w:r>
        <w:rPr>
          <w:rFonts w:hint="eastAsia" w:ascii="宋体" w:hAnsi="宋体" w:cs="宋体"/>
          <w:color w:val="auto"/>
          <w:sz w:val="24"/>
          <w:highlight w:val="none"/>
        </w:rPr>
        <w:t>联系方式：0539-7578911</w:t>
      </w:r>
    </w:p>
    <w:p>
      <w:pPr>
        <w:rPr>
          <w:rFonts w:hAnsi="宋体" w:cs="宋体"/>
          <w:color w:val="auto"/>
          <w:szCs w:val="32"/>
          <w:highlight w:val="none"/>
        </w:rPr>
      </w:pPr>
      <w:r>
        <w:rPr>
          <w:rFonts w:hint="eastAsia" w:hAnsi="宋体" w:cs="宋体"/>
          <w:color w:val="auto"/>
          <w:szCs w:val="32"/>
          <w:highlight w:val="none"/>
        </w:rPr>
        <w:br w:type="page"/>
      </w:r>
    </w:p>
    <w:p>
      <w:pPr>
        <w:pStyle w:val="3"/>
        <w:tabs>
          <w:tab w:val="left" w:pos="0"/>
        </w:tabs>
        <w:spacing w:before="0" w:after="0" w:line="480" w:lineRule="exact"/>
        <w:ind w:firstLine="2088" w:firstLineChars="650"/>
        <w:jc w:val="both"/>
        <w:rPr>
          <w:rFonts w:hAnsi="宋体" w:cs="宋体"/>
          <w:color w:val="auto"/>
          <w:szCs w:val="32"/>
          <w:highlight w:val="none"/>
        </w:rPr>
      </w:pPr>
      <w:bookmarkStart w:id="232" w:name="_Toc22616"/>
      <w:r>
        <w:rPr>
          <w:rFonts w:hint="eastAsia" w:hAnsi="宋体" w:cs="宋体"/>
          <w:color w:val="auto"/>
          <w:szCs w:val="32"/>
          <w:highlight w:val="none"/>
        </w:rPr>
        <w:t>第3章</w:t>
      </w:r>
      <w:bookmarkStart w:id="233" w:name="_Toc31583"/>
      <w:bookmarkStart w:id="234" w:name="_Toc4766814"/>
      <w:bookmarkStart w:id="235" w:name="_Toc216582823"/>
      <w:bookmarkStart w:id="236" w:name="_Toc515647830"/>
      <w:bookmarkStart w:id="237" w:name="_Toc507399903"/>
      <w:bookmarkStart w:id="238" w:name="_Toc10488"/>
      <w:r>
        <w:rPr>
          <w:rFonts w:hint="eastAsia" w:hAnsi="宋体" w:cs="宋体"/>
          <w:color w:val="auto"/>
          <w:szCs w:val="32"/>
          <w:highlight w:val="none"/>
        </w:rPr>
        <w:t xml:space="preserve"> </w:t>
      </w:r>
      <w:r>
        <w:rPr>
          <w:rFonts w:hint="eastAsia" w:hAnsi="宋体" w:cs="宋体"/>
          <w:color w:val="auto"/>
          <w:highlight w:val="none"/>
        </w:rPr>
        <w:t>供应商须知</w:t>
      </w:r>
      <w:r>
        <w:rPr>
          <w:rFonts w:hint="eastAsia" w:hAnsi="宋体" w:cs="宋体"/>
          <w:color w:val="auto"/>
          <w:szCs w:val="32"/>
          <w:highlight w:val="none"/>
        </w:rPr>
        <w:t>资料表</w:t>
      </w:r>
      <w:bookmarkEnd w:id="204"/>
      <w:bookmarkEnd w:id="232"/>
      <w:bookmarkEnd w:id="233"/>
      <w:bookmarkEnd w:id="234"/>
      <w:bookmarkEnd w:id="235"/>
      <w:bookmarkEnd w:id="236"/>
      <w:bookmarkEnd w:id="237"/>
      <w:bookmarkEnd w:id="238"/>
    </w:p>
    <w:p>
      <w:pPr>
        <w:spacing w:line="480" w:lineRule="exact"/>
        <w:ind w:firstLine="360" w:firstLineChars="150"/>
        <w:rPr>
          <w:rFonts w:ascii="宋体" w:hAnsi="宋体" w:cs="宋体"/>
          <w:color w:val="auto"/>
          <w:sz w:val="24"/>
          <w:highlight w:val="none"/>
        </w:rPr>
      </w:pPr>
      <w:r>
        <w:rPr>
          <w:rFonts w:hint="eastAsia" w:ascii="宋体" w:hAnsi="宋体" w:cs="宋体"/>
          <w:color w:val="auto"/>
          <w:sz w:val="24"/>
          <w:highlight w:val="none"/>
        </w:rPr>
        <w:t>本表是本磋商项目的具体资料，是对供应商须知的具体补充和修改，如有矛盾，应</w:t>
      </w:r>
      <w:r>
        <w:rPr>
          <w:rFonts w:hint="eastAsia" w:ascii="宋体" w:hAnsi="宋体" w:cs="宋体"/>
          <w:b/>
          <w:color w:val="auto"/>
          <w:sz w:val="24"/>
          <w:highlight w:val="none"/>
        </w:rPr>
        <w:t>以本资料表为准</w:t>
      </w:r>
      <w:r>
        <w:rPr>
          <w:rFonts w:hint="eastAsia" w:ascii="宋体" w:hAnsi="宋体" w:cs="宋体"/>
          <w:color w:val="auto"/>
          <w:sz w:val="24"/>
          <w:highlight w:val="none"/>
        </w:rPr>
        <w:t>。</w:t>
      </w:r>
    </w:p>
    <w:tbl>
      <w:tblPr>
        <w:tblStyle w:val="29"/>
        <w:tblW w:w="949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021"/>
        <w:gridCol w:w="847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1021" w:type="dxa"/>
            <w:tcBorders>
              <w:top w:val="single" w:color="auto" w:sz="12" w:space="0"/>
              <w:left w:val="single" w:color="auto" w:sz="12" w:space="0"/>
              <w:bottom w:val="single" w:color="auto" w:sz="6" w:space="0"/>
              <w:right w:val="single" w:color="auto" w:sz="6" w:space="0"/>
            </w:tcBorders>
            <w:noWrap w:val="0"/>
            <w:vAlign w:val="center"/>
          </w:tcPr>
          <w:p>
            <w:pPr>
              <w:spacing w:line="500" w:lineRule="exact"/>
              <w:jc w:val="center"/>
              <w:rPr>
                <w:rFonts w:ascii="宋体" w:hAnsi="宋体" w:cs="宋体"/>
                <w:color w:val="auto"/>
                <w:sz w:val="24"/>
                <w:highlight w:val="none"/>
              </w:rPr>
            </w:pPr>
            <w:r>
              <w:rPr>
                <w:rFonts w:hint="eastAsia" w:ascii="宋体" w:hAnsi="宋体" w:cs="宋体"/>
                <w:color w:val="auto"/>
                <w:sz w:val="24"/>
                <w:highlight w:val="none"/>
              </w:rPr>
              <w:t>条款号</w:t>
            </w:r>
          </w:p>
        </w:tc>
        <w:tc>
          <w:tcPr>
            <w:tcW w:w="8477" w:type="dxa"/>
            <w:tcBorders>
              <w:top w:val="single" w:color="auto" w:sz="12" w:space="0"/>
              <w:left w:val="single" w:color="auto" w:sz="6" w:space="0"/>
              <w:bottom w:val="single" w:color="auto" w:sz="6" w:space="0"/>
              <w:right w:val="single" w:color="auto" w:sz="12" w:space="0"/>
            </w:tcBorders>
            <w:noWrap w:val="0"/>
            <w:vAlign w:val="center"/>
          </w:tcPr>
          <w:p>
            <w:pPr>
              <w:spacing w:line="500" w:lineRule="exact"/>
              <w:ind w:left="-31" w:leftChars="-15" w:firstLine="112" w:firstLineChars="47"/>
              <w:jc w:val="center"/>
              <w:rPr>
                <w:rFonts w:ascii="宋体" w:hAnsi="宋体" w:cs="宋体"/>
                <w:color w:val="auto"/>
                <w:sz w:val="24"/>
                <w:highlight w:val="none"/>
              </w:rPr>
            </w:pPr>
            <w:r>
              <w:rPr>
                <w:rFonts w:hint="eastAsia" w:ascii="宋体" w:hAnsi="宋体" w:cs="宋体"/>
                <w:color w:val="auto"/>
                <w:sz w:val="24"/>
                <w:highlight w:val="none"/>
              </w:rPr>
              <w:t>内      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10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rPr>
                <w:rFonts w:ascii="宋体" w:hAnsi="宋体" w:cs="宋体"/>
                <w:color w:val="auto"/>
                <w:sz w:val="24"/>
                <w:highlight w:val="none"/>
              </w:rPr>
            </w:pPr>
            <w:r>
              <w:rPr>
                <w:rFonts w:hint="eastAsia" w:ascii="宋体" w:hAnsi="宋体" w:cs="宋体"/>
                <w:color w:val="auto"/>
                <w:sz w:val="24"/>
                <w:highlight w:val="none"/>
              </w:rPr>
              <w:t>1.1</w:t>
            </w:r>
          </w:p>
        </w:tc>
        <w:tc>
          <w:tcPr>
            <w:tcW w:w="8477"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rPr>
                <w:rFonts w:ascii="宋体" w:hAnsi="宋体" w:cs="宋体"/>
                <w:color w:val="auto"/>
                <w:sz w:val="24"/>
                <w:highlight w:val="none"/>
              </w:rPr>
            </w:pPr>
            <w:r>
              <w:rPr>
                <w:rFonts w:hint="eastAsia" w:ascii="宋体" w:hAnsi="宋体" w:cs="宋体"/>
                <w:color w:val="auto"/>
                <w:sz w:val="24"/>
                <w:highlight w:val="none"/>
              </w:rPr>
              <w:t>采购人：临沂大学</w:t>
            </w:r>
          </w:p>
          <w:p>
            <w:pPr>
              <w:spacing w:line="500" w:lineRule="exact"/>
              <w:rPr>
                <w:rFonts w:ascii="宋体" w:hAnsi="宋体" w:cs="宋体"/>
                <w:color w:val="auto"/>
                <w:sz w:val="24"/>
                <w:highlight w:val="none"/>
              </w:rPr>
            </w:pPr>
            <w:r>
              <w:rPr>
                <w:rFonts w:hint="eastAsia" w:ascii="宋体" w:hAnsi="宋体" w:cs="宋体"/>
                <w:color w:val="auto"/>
                <w:sz w:val="24"/>
                <w:highlight w:val="none"/>
              </w:rPr>
              <w:t>地    址：山东省临沂市双岭路中段</w:t>
            </w:r>
            <w:r>
              <w:rPr>
                <w:rFonts w:hint="eastAsia" w:ascii="宋体" w:hAnsi="宋体" w:cs="宋体"/>
                <w:color w:val="auto"/>
                <w:sz w:val="24"/>
                <w:highlight w:val="none"/>
                <w:lang w:eastAsia="zh-CN"/>
              </w:rPr>
              <w:t>（</w:t>
            </w:r>
            <w:r>
              <w:rPr>
                <w:rFonts w:hint="eastAsia" w:ascii="宋体" w:hAnsi="宋体" w:cs="宋体"/>
                <w:color w:val="auto"/>
                <w:sz w:val="24"/>
                <w:highlight w:val="none"/>
              </w:rPr>
              <w:t>临沂大学</w:t>
            </w:r>
            <w:r>
              <w:rPr>
                <w:rFonts w:hint="eastAsia" w:ascii="宋体" w:hAnsi="宋体" w:cs="宋体"/>
                <w:color w:val="auto"/>
                <w:sz w:val="24"/>
                <w:highlight w:val="none"/>
                <w:lang w:eastAsia="zh-CN"/>
              </w:rPr>
              <w:t>）</w:t>
            </w:r>
          </w:p>
          <w:p>
            <w:pPr>
              <w:spacing w:line="500" w:lineRule="exact"/>
              <w:rPr>
                <w:rFonts w:ascii="宋体" w:hAnsi="宋体" w:cs="宋体"/>
                <w:color w:val="auto"/>
                <w:sz w:val="24"/>
                <w:highlight w:val="none"/>
              </w:rPr>
            </w:pPr>
            <w:r>
              <w:rPr>
                <w:rFonts w:hint="eastAsia" w:ascii="宋体" w:hAnsi="宋体" w:cs="宋体"/>
                <w:color w:val="auto"/>
                <w:sz w:val="24"/>
                <w:highlight w:val="none"/>
              </w:rPr>
              <w:t>联系方式：0539-725875</w:t>
            </w:r>
            <w:r>
              <w:rPr>
                <w:rFonts w:hint="eastAsia" w:ascii="宋体" w:hAnsi="宋体" w:cs="宋体"/>
                <w:color w:val="auto"/>
                <w:sz w:val="24"/>
                <w:highlight w:val="none"/>
                <w:lang w:val="en-US" w:eastAsia="zh-CN"/>
              </w:rPr>
              <w:t>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10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rPr>
                <w:rFonts w:ascii="宋体" w:hAnsi="宋体" w:cs="宋体"/>
                <w:color w:val="auto"/>
                <w:sz w:val="24"/>
                <w:highlight w:val="none"/>
              </w:rPr>
            </w:pPr>
            <w:r>
              <w:rPr>
                <w:rFonts w:hint="eastAsia" w:ascii="宋体" w:hAnsi="宋体" w:cs="宋体"/>
                <w:color w:val="auto"/>
                <w:sz w:val="24"/>
                <w:highlight w:val="none"/>
              </w:rPr>
              <w:t>1.2</w:t>
            </w:r>
          </w:p>
        </w:tc>
        <w:tc>
          <w:tcPr>
            <w:tcW w:w="8477"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rPr>
                <w:rFonts w:ascii="宋体" w:hAnsi="宋体" w:cs="宋体"/>
                <w:color w:val="auto"/>
                <w:sz w:val="24"/>
                <w:highlight w:val="none"/>
              </w:rPr>
            </w:pPr>
            <w:r>
              <w:rPr>
                <w:rFonts w:hint="eastAsia" w:ascii="宋体" w:hAnsi="宋体" w:cs="宋体"/>
                <w:color w:val="auto"/>
                <w:sz w:val="24"/>
                <w:highlight w:val="none"/>
              </w:rPr>
              <w:t>采购代理机构：临沂市沂蒙国际招标有限公司</w:t>
            </w:r>
          </w:p>
          <w:p>
            <w:pPr>
              <w:spacing w:line="500" w:lineRule="exact"/>
              <w:ind w:left="-31" w:leftChars="-15"/>
              <w:rPr>
                <w:rFonts w:ascii="宋体" w:hAnsi="宋体" w:cs="宋体"/>
                <w:color w:val="auto"/>
                <w:sz w:val="24"/>
                <w:highlight w:val="none"/>
              </w:rPr>
            </w:pPr>
            <w:r>
              <w:rPr>
                <w:rFonts w:hint="eastAsia" w:ascii="宋体" w:hAnsi="宋体" w:cs="宋体"/>
                <w:color w:val="auto"/>
                <w:sz w:val="24"/>
                <w:highlight w:val="none"/>
              </w:rPr>
              <w:t>地址：山东省临沂市兰山区柳青街道北京路与沭河路交汇北50米红日大厦20楼2008室</w:t>
            </w:r>
          </w:p>
          <w:p>
            <w:pPr>
              <w:spacing w:line="500" w:lineRule="exact"/>
              <w:rPr>
                <w:rFonts w:ascii="宋体" w:hAnsi="宋体" w:cs="宋体"/>
                <w:color w:val="auto"/>
                <w:sz w:val="24"/>
                <w:highlight w:val="none"/>
              </w:rPr>
            </w:pPr>
            <w:r>
              <w:rPr>
                <w:rFonts w:hint="eastAsia" w:ascii="宋体" w:hAnsi="宋体" w:cs="宋体"/>
                <w:color w:val="auto"/>
                <w:sz w:val="24"/>
                <w:highlight w:val="none"/>
              </w:rPr>
              <w:t>联系方式：0539-7578911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10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rPr>
                <w:rFonts w:ascii="宋体" w:hAnsi="宋体" w:cs="宋体"/>
                <w:color w:val="auto"/>
                <w:sz w:val="24"/>
                <w:highlight w:val="none"/>
              </w:rPr>
            </w:pPr>
            <w:r>
              <w:rPr>
                <w:rFonts w:hint="eastAsia" w:ascii="宋体" w:hAnsi="宋体" w:cs="宋体"/>
                <w:color w:val="auto"/>
                <w:sz w:val="24"/>
                <w:highlight w:val="none"/>
              </w:rPr>
              <w:t>1.3.4</w:t>
            </w:r>
          </w:p>
        </w:tc>
        <w:tc>
          <w:tcPr>
            <w:tcW w:w="8477"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ind w:left="-31" w:leftChars="-15" w:firstLine="112" w:firstLineChars="47"/>
              <w:rPr>
                <w:rFonts w:hint="eastAsia" w:ascii="宋体" w:hAnsi="宋体" w:eastAsia="宋体" w:cs="宋体"/>
                <w:color w:val="auto"/>
                <w:sz w:val="24"/>
                <w:highlight w:val="none"/>
                <w:lang w:eastAsia="zh-CN"/>
              </w:rPr>
            </w:pPr>
            <w:r>
              <w:rPr>
                <w:rFonts w:hint="eastAsia" w:ascii="宋体" w:hAnsi="宋体" w:cs="宋体"/>
                <w:color w:val="auto"/>
                <w:sz w:val="24"/>
                <w:highlight w:val="none"/>
              </w:rPr>
              <w:t>合格供应商的特定资格要求：见磋商公告</w:t>
            </w:r>
            <w:r>
              <w:rPr>
                <w:rFonts w:hint="eastAsia" w:ascii="宋体" w:hAnsi="宋体" w:cs="宋体"/>
                <w:color w:val="auto"/>
                <w:sz w:val="24"/>
                <w:highlight w:val="none"/>
                <w:lang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10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rPr>
                <w:rFonts w:ascii="宋体" w:hAnsi="宋体" w:cs="宋体"/>
                <w:color w:val="auto"/>
                <w:sz w:val="24"/>
                <w:highlight w:val="none"/>
              </w:rPr>
            </w:pPr>
            <w:r>
              <w:rPr>
                <w:rFonts w:hint="eastAsia" w:ascii="宋体" w:hAnsi="宋体" w:cs="宋体"/>
                <w:color w:val="auto"/>
                <w:sz w:val="24"/>
                <w:highlight w:val="none"/>
              </w:rPr>
              <w:t>1.3.5</w:t>
            </w:r>
          </w:p>
        </w:tc>
        <w:tc>
          <w:tcPr>
            <w:tcW w:w="8477"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ind w:left="-31" w:leftChars="-15" w:firstLine="112" w:firstLineChars="47"/>
              <w:rPr>
                <w:rFonts w:ascii="宋体" w:hAnsi="宋体" w:cs="宋体"/>
                <w:color w:val="auto"/>
                <w:sz w:val="24"/>
                <w:highlight w:val="none"/>
              </w:rPr>
            </w:pPr>
            <w:r>
              <w:rPr>
                <w:rFonts w:hint="eastAsia" w:ascii="宋体" w:hAnsi="宋体" w:cs="宋体"/>
                <w:color w:val="auto"/>
                <w:sz w:val="24"/>
                <w:highlight w:val="none"/>
              </w:rPr>
              <w:t>是否为专门面向中小企业采购：（是</w:t>
            </w:r>
            <w:r>
              <w:rPr>
                <w:rFonts w:hint="eastAsia" w:ascii="仿宋" w:hAnsi="仿宋" w:eastAsia="仿宋" w:cs="宋体"/>
                <w:color w:val="auto"/>
                <w:sz w:val="24"/>
                <w:highlight w:val="none"/>
              </w:rPr>
              <w:sym w:font="Wingdings 2" w:char="0052"/>
            </w:r>
            <w:r>
              <w:rPr>
                <w:rFonts w:hint="eastAsia" w:ascii="宋体" w:hAnsi="宋体" w:cs="宋体"/>
                <w:color w:val="auto"/>
                <w:sz w:val="24"/>
                <w:highlight w:val="none"/>
              </w:rPr>
              <w:t xml:space="preserve">   否</w:t>
            </w:r>
            <w:r>
              <w:rPr>
                <w:rFonts w:hint="eastAsia" w:ascii="宋体" w:hAnsi="宋体" w:cs="宋体"/>
                <w:color w:val="auto"/>
                <w:sz w:val="24"/>
                <w:highlight w:val="none"/>
              </w:rPr>
              <w:sym w:font="Wingdings 2" w:char="00A3"/>
            </w:r>
            <w:r>
              <w:rPr>
                <w:rFonts w:hint="eastAsia" w:ascii="宋体" w:hAnsi="宋体" w:cs="宋体"/>
                <w:color w:val="auto"/>
                <w:sz w:val="24"/>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6" w:hRule="atLeast"/>
          <w:jc w:val="center"/>
        </w:trPr>
        <w:tc>
          <w:tcPr>
            <w:tcW w:w="10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rPr>
                <w:rFonts w:ascii="宋体" w:hAnsi="宋体" w:cs="宋体"/>
                <w:color w:val="auto"/>
                <w:sz w:val="24"/>
                <w:highlight w:val="none"/>
              </w:rPr>
            </w:pPr>
            <w:r>
              <w:rPr>
                <w:rFonts w:hint="eastAsia" w:ascii="宋体" w:hAnsi="宋体" w:cs="宋体"/>
                <w:color w:val="auto"/>
                <w:sz w:val="24"/>
                <w:highlight w:val="none"/>
              </w:rPr>
              <w:t>1.4</w:t>
            </w:r>
          </w:p>
        </w:tc>
        <w:tc>
          <w:tcPr>
            <w:tcW w:w="8477"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ind w:left="-31" w:leftChars="-15" w:firstLine="112" w:firstLineChars="47"/>
              <w:rPr>
                <w:rFonts w:ascii="宋体" w:hAnsi="宋体" w:cs="宋体"/>
                <w:color w:val="auto"/>
                <w:sz w:val="24"/>
                <w:highlight w:val="none"/>
              </w:rPr>
            </w:pPr>
            <w:r>
              <w:rPr>
                <w:rFonts w:hint="eastAsia" w:ascii="宋体" w:hAnsi="宋体" w:cs="宋体"/>
                <w:color w:val="auto"/>
                <w:sz w:val="24"/>
                <w:highlight w:val="none"/>
              </w:rPr>
              <w:t>是否允许联合体投标：（是</w:t>
            </w:r>
            <w:r>
              <w:rPr>
                <w:rFonts w:hint="eastAsia" w:ascii="仿宋" w:hAnsi="仿宋" w:eastAsia="仿宋" w:cs="宋体"/>
                <w:color w:val="auto"/>
                <w:sz w:val="24"/>
                <w:highlight w:val="none"/>
              </w:rPr>
              <w:sym w:font="Wingdings 2" w:char="00A3"/>
            </w:r>
            <w:r>
              <w:rPr>
                <w:rFonts w:hint="eastAsia" w:ascii="宋体" w:hAnsi="宋体" w:cs="宋体"/>
                <w:color w:val="auto"/>
                <w:sz w:val="24"/>
                <w:highlight w:val="none"/>
              </w:rPr>
              <w:t xml:space="preserve">    否</w:t>
            </w:r>
            <w:r>
              <w:rPr>
                <w:rFonts w:hint="eastAsia" w:ascii="宋体" w:hAnsi="宋体" w:cs="宋体"/>
                <w:color w:val="auto"/>
                <w:sz w:val="24"/>
                <w:highlight w:val="none"/>
              </w:rPr>
              <w:sym w:font="Wingdings 2" w:char="0052"/>
            </w:r>
            <w:r>
              <w:rPr>
                <w:rFonts w:hint="eastAsia" w:ascii="宋体" w:hAnsi="宋体" w:cs="宋体"/>
                <w:color w:val="auto"/>
                <w:sz w:val="24"/>
                <w:highlight w:val="none"/>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10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2</w:t>
            </w:r>
          </w:p>
        </w:tc>
        <w:tc>
          <w:tcPr>
            <w:tcW w:w="8477"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ind w:left="-31" w:leftChars="-15" w:firstLine="112" w:firstLineChars="47"/>
              <w:rPr>
                <w:rFonts w:ascii="宋体" w:hAnsi="宋体" w:cs="宋体"/>
                <w:color w:val="auto"/>
                <w:sz w:val="24"/>
                <w:highlight w:val="none"/>
              </w:rPr>
            </w:pPr>
            <w:r>
              <w:rPr>
                <w:rFonts w:hint="eastAsia" w:ascii="宋体" w:hAnsi="宋体" w:cs="宋体"/>
                <w:color w:val="auto"/>
                <w:sz w:val="24"/>
                <w:highlight w:val="none"/>
              </w:rPr>
              <w:t>联合体的其他资格要求：不适用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10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3</w:t>
            </w:r>
          </w:p>
        </w:tc>
        <w:tc>
          <w:tcPr>
            <w:tcW w:w="8477"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ind w:left="-31" w:leftChars="-15" w:firstLine="112" w:firstLineChars="47"/>
              <w:rPr>
                <w:rFonts w:ascii="宋体" w:hAnsi="宋体" w:cs="宋体"/>
                <w:color w:val="auto"/>
                <w:sz w:val="24"/>
                <w:highlight w:val="none"/>
              </w:rPr>
            </w:pPr>
            <w:r>
              <w:rPr>
                <w:rFonts w:hint="eastAsia" w:ascii="宋体" w:hAnsi="宋体" w:cs="宋体"/>
                <w:color w:val="auto"/>
                <w:sz w:val="24"/>
                <w:highlight w:val="none"/>
              </w:rPr>
              <w:t>本分包最高限价：见磋商公告预算金额；</w:t>
            </w:r>
          </w:p>
          <w:p>
            <w:pPr>
              <w:spacing w:line="500" w:lineRule="exact"/>
              <w:ind w:left="-31" w:leftChars="-15" w:firstLine="112" w:firstLineChars="47"/>
              <w:rPr>
                <w:rFonts w:ascii="宋体" w:hAnsi="宋体" w:cs="宋体"/>
                <w:color w:val="auto"/>
                <w:sz w:val="24"/>
                <w:highlight w:val="none"/>
              </w:rPr>
            </w:pPr>
            <w:r>
              <w:rPr>
                <w:rFonts w:hint="eastAsia" w:ascii="宋体" w:hAnsi="宋体" w:cs="宋体"/>
                <w:color w:val="auto"/>
                <w:sz w:val="24"/>
                <w:highlight w:val="none"/>
              </w:rPr>
              <w:t>本项目预算属于以下情形：</w:t>
            </w:r>
          </w:p>
          <w:p>
            <w:pPr>
              <w:spacing w:line="500" w:lineRule="exact"/>
              <w:ind w:left="-31" w:leftChars="-15" w:firstLine="112" w:firstLineChars="47"/>
              <w:rPr>
                <w:rFonts w:ascii="宋体" w:hAnsi="宋体" w:cs="宋体"/>
                <w:color w:val="auto"/>
                <w:sz w:val="24"/>
                <w:highlight w:val="none"/>
              </w:rPr>
            </w:pPr>
            <w:r>
              <w:rPr>
                <w:rFonts w:hint="eastAsia" w:ascii="宋体" w:hAnsi="宋体" w:cs="宋体"/>
                <w:color w:val="auto"/>
                <w:sz w:val="24"/>
                <w:highlight w:val="none"/>
                <w:lang w:eastAsia="zh-CN"/>
              </w:rPr>
              <w:t>（</w:t>
            </w:r>
            <w:r>
              <w:rPr>
                <w:rFonts w:hint="eastAsia" w:ascii="宋体" w:hAnsi="宋体" w:cs="宋体"/>
                <w:color w:val="auto"/>
                <w:sz w:val="24"/>
                <w:highlight w:val="none"/>
              </w:rPr>
              <w:t>1</w:t>
            </w:r>
            <w:r>
              <w:rPr>
                <w:rFonts w:hint="eastAsia" w:ascii="宋体" w:hAnsi="宋体" w:cs="宋体"/>
                <w:color w:val="auto"/>
                <w:sz w:val="24"/>
                <w:highlight w:val="none"/>
                <w:lang w:eastAsia="zh-CN"/>
              </w:rPr>
              <w:t>）</w:t>
            </w:r>
            <w:r>
              <w:rPr>
                <w:rFonts w:hint="eastAsia" w:ascii="宋体" w:hAnsi="宋体" w:cs="宋体"/>
                <w:color w:val="auto"/>
                <w:sz w:val="24"/>
                <w:highlight w:val="none"/>
              </w:rPr>
              <w:t>项目为非预采购项目</w:t>
            </w:r>
            <w:r>
              <w:rPr>
                <w:rFonts w:hint="eastAsia" w:ascii="仿宋" w:hAnsi="仿宋" w:eastAsia="仿宋" w:cs="宋体"/>
                <w:color w:val="auto"/>
                <w:sz w:val="24"/>
                <w:highlight w:val="none"/>
              </w:rPr>
              <w:sym w:font="Wingdings 2" w:char="0052"/>
            </w:r>
            <w:r>
              <w:rPr>
                <w:rFonts w:hint="eastAsia" w:ascii="宋体" w:hAnsi="宋体" w:cs="宋体"/>
                <w:color w:val="auto"/>
                <w:sz w:val="24"/>
                <w:highlight w:val="none"/>
              </w:rPr>
              <w:t xml:space="preserve">     预采购项目</w:t>
            </w:r>
            <w:r>
              <w:rPr>
                <w:rFonts w:hint="eastAsia" w:ascii="宋体" w:hAnsi="宋体" w:cs="宋体"/>
                <w:color w:val="auto"/>
                <w:sz w:val="24"/>
                <w:highlight w:val="none"/>
              </w:rPr>
              <w:sym w:font="Wingdings 2" w:char="00A3"/>
            </w:r>
          </w:p>
          <w:p>
            <w:pPr>
              <w:spacing w:line="500" w:lineRule="exact"/>
              <w:ind w:left="-31" w:leftChars="-15" w:firstLine="112" w:firstLineChars="47"/>
              <w:rPr>
                <w:rFonts w:ascii="宋体" w:hAnsi="宋体" w:cs="宋体"/>
                <w:color w:val="auto"/>
                <w:sz w:val="24"/>
                <w:highlight w:val="none"/>
              </w:rPr>
            </w:pPr>
            <w:r>
              <w:rPr>
                <w:rFonts w:hint="eastAsia" w:ascii="宋体" w:hAnsi="宋体" w:cs="宋体"/>
                <w:color w:val="auto"/>
                <w:sz w:val="24"/>
                <w:highlight w:val="none"/>
                <w:lang w:eastAsia="zh-CN"/>
              </w:rPr>
              <w:t>（</w:t>
            </w:r>
            <w:r>
              <w:rPr>
                <w:rFonts w:hint="eastAsia" w:ascii="宋体" w:hAnsi="宋体" w:cs="宋体"/>
                <w:color w:val="auto"/>
                <w:sz w:val="24"/>
                <w:highlight w:val="none"/>
              </w:rPr>
              <w:t>2</w:t>
            </w:r>
            <w:r>
              <w:rPr>
                <w:rFonts w:hint="eastAsia" w:ascii="宋体" w:hAnsi="宋体" w:cs="宋体"/>
                <w:color w:val="auto"/>
                <w:sz w:val="24"/>
                <w:highlight w:val="none"/>
                <w:lang w:eastAsia="zh-CN"/>
              </w:rPr>
              <w:t>）</w:t>
            </w:r>
            <w:r>
              <w:rPr>
                <w:rFonts w:hint="eastAsia" w:ascii="宋体" w:hAnsi="宋体" w:cs="宋体"/>
                <w:color w:val="auto"/>
                <w:sz w:val="24"/>
                <w:highlight w:val="none"/>
              </w:rPr>
              <w:t>项目为非预采购项目，预算见磋商公告。</w:t>
            </w:r>
          </w:p>
          <w:p>
            <w:pPr>
              <w:spacing w:line="500" w:lineRule="exact"/>
              <w:ind w:left="-31" w:leftChars="-15" w:firstLine="112" w:firstLineChars="47"/>
              <w:rPr>
                <w:rFonts w:ascii="宋体" w:hAnsi="宋体" w:cs="宋体"/>
                <w:color w:val="auto"/>
                <w:sz w:val="24"/>
                <w:highlight w:val="none"/>
              </w:rPr>
            </w:pPr>
            <w:r>
              <w:rPr>
                <w:rFonts w:hint="eastAsia" w:ascii="宋体" w:hAnsi="宋体" w:cs="宋体"/>
                <w:color w:val="auto"/>
                <w:sz w:val="24"/>
                <w:highlight w:val="none"/>
                <w:lang w:eastAsia="zh-CN"/>
              </w:rPr>
              <w:t>（</w:t>
            </w:r>
            <w:r>
              <w:rPr>
                <w:rFonts w:hint="eastAsia" w:ascii="宋体" w:hAnsi="宋体" w:cs="宋体"/>
                <w:color w:val="auto"/>
                <w:sz w:val="24"/>
                <w:highlight w:val="none"/>
              </w:rPr>
              <w:t>3</w:t>
            </w:r>
            <w:r>
              <w:rPr>
                <w:rFonts w:hint="eastAsia" w:ascii="宋体" w:hAnsi="宋体" w:cs="宋体"/>
                <w:color w:val="auto"/>
                <w:sz w:val="24"/>
                <w:highlight w:val="none"/>
                <w:lang w:eastAsia="zh-CN"/>
              </w:rPr>
              <w:t>）</w:t>
            </w:r>
            <w:r>
              <w:rPr>
                <w:rFonts w:hint="eastAsia" w:ascii="宋体" w:hAnsi="宋体" w:cs="宋体"/>
                <w:color w:val="auto"/>
                <w:sz w:val="24"/>
                <w:highlight w:val="none"/>
              </w:rPr>
              <w:t>项目为跨年度预采购项目，概算总金额/元，采购年限为/年，当年安排数/元。</w:t>
            </w:r>
          </w:p>
          <w:p>
            <w:pPr>
              <w:spacing w:line="500" w:lineRule="exact"/>
              <w:ind w:left="-31" w:leftChars="-15" w:firstLine="112" w:firstLineChars="47"/>
              <w:rPr>
                <w:rFonts w:ascii="宋体" w:hAnsi="宋体" w:cs="宋体"/>
                <w:color w:val="auto"/>
                <w:sz w:val="24"/>
                <w:highlight w:val="none"/>
              </w:rPr>
            </w:pPr>
            <w:r>
              <w:rPr>
                <w:rFonts w:hint="eastAsia" w:ascii="宋体" w:hAnsi="宋体" w:cs="宋体"/>
                <w:color w:val="auto"/>
                <w:sz w:val="24"/>
                <w:highlight w:val="none"/>
              </w:rPr>
              <w:t>根据《转发财政部关于做好政府采购信息公开工作的通知》（鲁财采【2015】33号）文件规定，预采购项目有取消和终止采购的可能。</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10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4</w:t>
            </w:r>
          </w:p>
        </w:tc>
        <w:tc>
          <w:tcPr>
            <w:tcW w:w="8477"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ind w:left="-31" w:leftChars="-15" w:firstLine="112" w:firstLineChars="47"/>
              <w:rPr>
                <w:rFonts w:ascii="宋体" w:hAnsi="宋体" w:cs="宋体"/>
                <w:color w:val="auto"/>
                <w:sz w:val="24"/>
                <w:highlight w:val="none"/>
              </w:rPr>
            </w:pPr>
            <w:r>
              <w:rPr>
                <w:rFonts w:hint="eastAsia" w:ascii="宋体" w:hAnsi="宋体" w:cs="宋体"/>
                <w:color w:val="auto"/>
                <w:sz w:val="24"/>
                <w:highlight w:val="none"/>
              </w:rPr>
              <w:t>是否现场踏勘：（是</w:t>
            </w:r>
            <w:r>
              <w:rPr>
                <w:rFonts w:hint="eastAsia" w:ascii="仿宋" w:hAnsi="仿宋" w:eastAsia="仿宋" w:cs="宋体"/>
                <w:color w:val="auto"/>
                <w:sz w:val="24"/>
                <w:highlight w:val="none"/>
              </w:rPr>
              <w:t>□</w:t>
            </w:r>
            <w:r>
              <w:rPr>
                <w:rFonts w:hint="eastAsia" w:ascii="宋体" w:hAnsi="宋体" w:cs="宋体"/>
                <w:color w:val="auto"/>
                <w:sz w:val="24"/>
                <w:highlight w:val="none"/>
              </w:rPr>
              <w:t xml:space="preserve">   否</w:t>
            </w:r>
            <w:r>
              <w:rPr>
                <w:rFonts w:hint="eastAsia" w:ascii="宋体" w:hAnsi="宋体" w:cs="宋体"/>
                <w:color w:val="auto"/>
                <w:sz w:val="24"/>
                <w:highlight w:val="none"/>
              </w:rPr>
              <w:sym w:font="Wingdings 2" w:char="F052"/>
            </w:r>
            <w:r>
              <w:rPr>
                <w:rFonts w:hint="eastAsia" w:ascii="宋体" w:hAnsi="宋体" w:cs="宋体"/>
                <w:color w:val="auto"/>
                <w:sz w:val="24"/>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10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5</w:t>
            </w:r>
          </w:p>
        </w:tc>
        <w:tc>
          <w:tcPr>
            <w:tcW w:w="8477"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ind w:left="-31" w:leftChars="-15" w:firstLine="112" w:firstLineChars="47"/>
              <w:rPr>
                <w:rFonts w:ascii="宋体" w:hAnsi="宋体" w:cs="宋体"/>
                <w:color w:val="auto"/>
                <w:sz w:val="24"/>
                <w:highlight w:val="none"/>
              </w:rPr>
            </w:pPr>
            <w:r>
              <w:rPr>
                <w:rFonts w:hint="eastAsia" w:ascii="宋体" w:hAnsi="宋体" w:cs="宋体"/>
                <w:color w:val="auto"/>
                <w:sz w:val="24"/>
                <w:highlight w:val="none"/>
              </w:rPr>
              <w:t>是否兼投不兼中：（是</w:t>
            </w:r>
            <w:r>
              <w:rPr>
                <w:rFonts w:hint="eastAsia" w:ascii="仿宋" w:hAnsi="仿宋" w:eastAsia="仿宋" w:cs="宋体"/>
                <w:color w:val="auto"/>
                <w:sz w:val="24"/>
                <w:highlight w:val="none"/>
              </w:rPr>
              <w:t>□</w:t>
            </w:r>
            <w:r>
              <w:rPr>
                <w:rFonts w:hint="eastAsia" w:ascii="宋体" w:hAnsi="宋体" w:cs="宋体"/>
                <w:color w:val="auto"/>
                <w:sz w:val="24"/>
                <w:highlight w:val="none"/>
              </w:rPr>
              <w:t xml:space="preserve">    否</w:t>
            </w:r>
            <w:r>
              <w:rPr>
                <w:rFonts w:hint="eastAsia" w:ascii="仿宋" w:hAnsi="仿宋" w:eastAsia="仿宋" w:cs="宋体"/>
                <w:color w:val="auto"/>
                <w:sz w:val="24"/>
                <w:highlight w:val="none"/>
              </w:rPr>
              <w:sym w:font="Wingdings 2" w:char="0052"/>
            </w:r>
            <w:r>
              <w:rPr>
                <w:rFonts w:hint="eastAsia" w:ascii="宋体" w:hAnsi="宋体" w:cs="宋体"/>
                <w:color w:val="auto"/>
                <w:sz w:val="24"/>
                <w:highlight w:val="none"/>
              </w:rPr>
              <w:t xml:space="preserve"> ）</w:t>
            </w:r>
          </w:p>
          <w:p>
            <w:pPr>
              <w:spacing w:line="500" w:lineRule="exact"/>
              <w:ind w:left="-31" w:leftChars="-15" w:firstLine="112" w:firstLineChars="47"/>
              <w:rPr>
                <w:rFonts w:ascii="宋体" w:hAnsi="宋体" w:cs="宋体"/>
                <w:color w:val="auto"/>
                <w:sz w:val="24"/>
                <w:highlight w:val="none"/>
                <w:u w:val="single"/>
              </w:rPr>
            </w:pPr>
            <w:r>
              <w:rPr>
                <w:rFonts w:hint="eastAsia" w:ascii="宋体" w:hAnsi="宋体" w:cs="宋体"/>
                <w:color w:val="auto"/>
                <w:sz w:val="24"/>
                <w:highlight w:val="none"/>
              </w:rPr>
              <w:t>兼投不兼中描述：无</w:t>
            </w:r>
            <w:r>
              <w:rPr>
                <w:rFonts w:ascii="宋体" w:hAnsi="宋体" w:cs="宋体"/>
                <w:color w:val="auto"/>
                <w:sz w:val="24"/>
                <w:highlight w:val="none"/>
              </w:rPr>
              <w:t>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10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6</w:t>
            </w:r>
          </w:p>
        </w:tc>
        <w:tc>
          <w:tcPr>
            <w:tcW w:w="8477"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ind w:left="-31" w:leftChars="-15" w:firstLine="112" w:firstLineChars="47"/>
              <w:rPr>
                <w:rFonts w:ascii="宋体" w:hAnsi="宋体" w:cs="宋体"/>
                <w:color w:val="auto"/>
                <w:sz w:val="24"/>
                <w:highlight w:val="none"/>
              </w:rPr>
            </w:pPr>
            <w:r>
              <w:rPr>
                <w:rFonts w:hint="eastAsia" w:ascii="宋体" w:hAnsi="宋体" w:cs="宋体"/>
                <w:color w:val="auto"/>
                <w:sz w:val="24"/>
                <w:highlight w:val="none"/>
              </w:rPr>
              <w:t>本项目是否采用电子投标：（是</w:t>
            </w:r>
            <w:r>
              <w:rPr>
                <w:rFonts w:hint="eastAsia" w:ascii="仿宋" w:hAnsi="仿宋" w:eastAsia="仿宋" w:cs="宋体"/>
                <w:color w:val="auto"/>
                <w:sz w:val="24"/>
                <w:highlight w:val="none"/>
              </w:rPr>
              <w:t>□</w:t>
            </w:r>
            <w:r>
              <w:rPr>
                <w:rFonts w:hint="eastAsia" w:ascii="宋体" w:hAnsi="宋体" w:cs="宋体"/>
                <w:color w:val="auto"/>
                <w:sz w:val="24"/>
                <w:highlight w:val="none"/>
              </w:rPr>
              <w:t xml:space="preserve">   否</w:t>
            </w:r>
            <w:r>
              <w:rPr>
                <w:rFonts w:hint="eastAsia" w:ascii="宋体" w:hAnsi="宋体" w:cs="宋体"/>
                <w:color w:val="auto"/>
                <w:sz w:val="24"/>
                <w:highlight w:val="none"/>
              </w:rPr>
              <w:sym w:font="Wingdings 2" w:char="F052"/>
            </w:r>
            <w:r>
              <w:rPr>
                <w:rFonts w:hint="eastAsia" w:ascii="宋体" w:hAnsi="宋体" w:cs="宋体"/>
                <w:color w:val="auto"/>
                <w:sz w:val="24"/>
                <w:highlight w:val="none"/>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10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rPr>
                <w:rFonts w:hint="eastAsia" w:ascii="宋体" w:hAnsi="宋体" w:cs="宋体"/>
                <w:color w:val="auto"/>
                <w:sz w:val="24"/>
                <w:highlight w:val="none"/>
              </w:rPr>
            </w:pPr>
            <w:r>
              <w:rPr>
                <w:rFonts w:hint="eastAsia" w:ascii="宋体" w:hAnsi="宋体" w:cs="宋体"/>
                <w:color w:val="auto"/>
                <w:sz w:val="24"/>
                <w:highlight w:val="none"/>
              </w:rPr>
              <w:t>7</w:t>
            </w:r>
          </w:p>
        </w:tc>
        <w:tc>
          <w:tcPr>
            <w:tcW w:w="8477"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rPr>
                <w:rFonts w:ascii="宋体" w:hAnsi="宋体" w:cs="宋体"/>
                <w:color w:val="auto"/>
                <w:sz w:val="24"/>
                <w:highlight w:val="none"/>
              </w:rPr>
            </w:pPr>
            <w:r>
              <w:rPr>
                <w:rFonts w:hint="eastAsia" w:ascii="宋体" w:hAnsi="宋体" w:cs="宋体"/>
                <w:color w:val="auto"/>
                <w:sz w:val="24"/>
                <w:highlight w:val="none"/>
              </w:rPr>
              <w:t>报价要求：</w:t>
            </w:r>
            <w:r>
              <w:rPr>
                <w:rFonts w:ascii="宋体" w:hAnsi="宋体"/>
                <w:color w:val="auto"/>
                <w:sz w:val="24"/>
                <w:szCs w:val="24"/>
                <w:highlight w:val="none"/>
              </w:rPr>
              <w:t>报价人在报价表中所报总价包括</w:t>
            </w:r>
            <w:r>
              <w:rPr>
                <w:rFonts w:hint="eastAsia" w:ascii="宋体" w:hAnsi="宋体"/>
                <w:color w:val="auto"/>
                <w:sz w:val="24"/>
                <w:szCs w:val="24"/>
                <w:highlight w:val="none"/>
              </w:rPr>
              <w:t>完成服务所需的</w:t>
            </w:r>
            <w:r>
              <w:rPr>
                <w:rFonts w:ascii="宋体" w:hAnsi="宋体"/>
                <w:color w:val="auto"/>
                <w:sz w:val="24"/>
                <w:szCs w:val="24"/>
                <w:highlight w:val="none"/>
              </w:rPr>
              <w:t>全部费用。</w:t>
            </w:r>
            <w:r>
              <w:rPr>
                <w:rFonts w:hint="eastAsia" w:ascii="宋体" w:hAnsi="宋体"/>
                <w:color w:val="auto"/>
                <w:sz w:val="24"/>
                <w:szCs w:val="24"/>
                <w:highlight w:val="none"/>
              </w:rPr>
              <w:t>报价须包括排版、印刷、运输过程中产生的人员、材料、包装、各种税费、税金、售后服务费用等所有费用，供应商须实现采购人所有服务要求，若有磋商文件中未涉及到的货物或服务，供应商报价时自行考虑并详细列明清单，采购人不再额外支付由此产生的一切费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10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rPr>
                <w:rFonts w:hint="eastAsia" w:ascii="宋体" w:hAnsi="宋体" w:cs="宋体"/>
                <w:color w:val="auto"/>
                <w:sz w:val="24"/>
                <w:highlight w:val="none"/>
              </w:rPr>
            </w:pPr>
            <w:r>
              <w:rPr>
                <w:rFonts w:hint="eastAsia" w:ascii="宋体" w:hAnsi="宋体" w:cs="宋体"/>
                <w:color w:val="auto"/>
                <w:sz w:val="24"/>
                <w:highlight w:val="none"/>
              </w:rPr>
              <w:t>8</w:t>
            </w:r>
          </w:p>
        </w:tc>
        <w:tc>
          <w:tcPr>
            <w:tcW w:w="8477" w:type="dxa"/>
            <w:tcBorders>
              <w:top w:val="single" w:color="auto" w:sz="6" w:space="0"/>
              <w:left w:val="single" w:color="auto" w:sz="6" w:space="0"/>
              <w:bottom w:val="single" w:color="auto" w:sz="6" w:space="0"/>
              <w:right w:val="single" w:color="auto" w:sz="12"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left="-31" w:leftChars="-15" w:firstLine="112" w:firstLineChars="47"/>
              <w:textAlignment w:val="auto"/>
              <w:rPr>
                <w:rFonts w:ascii="宋体" w:hAnsi="宋体" w:cs="宋体"/>
                <w:color w:val="auto"/>
                <w:sz w:val="24"/>
                <w:highlight w:val="none"/>
              </w:rPr>
            </w:pPr>
            <w:r>
              <w:rPr>
                <w:rFonts w:hint="eastAsia" w:ascii="宋体" w:hAnsi="宋体" w:cs="宋体"/>
                <w:color w:val="auto"/>
                <w:sz w:val="24"/>
                <w:highlight w:val="none"/>
              </w:rPr>
              <w:t>是否</w:t>
            </w:r>
            <w:r>
              <w:rPr>
                <w:rFonts w:hint="eastAsia" w:ascii="宋体" w:hAnsi="宋体" w:cs="宋体"/>
                <w:color w:val="auto"/>
                <w:sz w:val="24"/>
                <w:highlight w:val="none"/>
                <w:lang w:val="en-US" w:eastAsia="zh-CN"/>
              </w:rPr>
              <w:t>提供样品</w:t>
            </w:r>
            <w:r>
              <w:rPr>
                <w:rFonts w:hint="eastAsia" w:ascii="宋体" w:hAnsi="宋体" w:cs="宋体"/>
                <w:color w:val="auto"/>
                <w:sz w:val="24"/>
                <w:highlight w:val="none"/>
              </w:rPr>
              <w:t>： 是</w:t>
            </w:r>
            <w:r>
              <w:rPr>
                <w:rFonts w:hint="eastAsia" w:ascii="宋体" w:hAnsi="宋体" w:cs="宋体"/>
                <w:color w:val="auto"/>
                <w:sz w:val="24"/>
                <w:highlight w:val="none"/>
              </w:rPr>
              <w:sym w:font="Wingdings 2" w:char="0052"/>
            </w:r>
            <w:r>
              <w:rPr>
                <w:rFonts w:hint="eastAsia" w:ascii="宋体" w:hAnsi="宋体" w:cs="宋体"/>
                <w:color w:val="auto"/>
                <w:sz w:val="24"/>
                <w:highlight w:val="none"/>
              </w:rPr>
              <w:t xml:space="preserve">  否</w:t>
            </w:r>
            <w:r>
              <w:rPr>
                <w:rFonts w:hint="eastAsia" w:ascii="宋体" w:hAnsi="宋体" w:cs="宋体"/>
                <w:color w:val="auto"/>
                <w:sz w:val="24"/>
                <w:highlight w:val="none"/>
              </w:rPr>
              <w:sym w:font="Wingdings 2" w:char="00A3"/>
            </w:r>
          </w:p>
          <w:p>
            <w:pPr>
              <w:keepNext w:val="0"/>
              <w:keepLines w:val="0"/>
              <w:pageBreakBefore w:val="0"/>
              <w:widowControl w:val="0"/>
              <w:kinsoku/>
              <w:wordWrap/>
              <w:overflowPunct/>
              <w:topLinePunct w:val="0"/>
              <w:autoSpaceDE/>
              <w:autoSpaceDN/>
              <w:bidi w:val="0"/>
              <w:adjustRightInd/>
              <w:snapToGrid/>
              <w:spacing w:line="500" w:lineRule="exact"/>
              <w:ind w:left="-31" w:leftChars="-15" w:firstLine="112" w:firstLineChars="47"/>
              <w:textAlignment w:val="auto"/>
              <w:rPr>
                <w:rFonts w:hint="default" w:ascii="宋体" w:hAnsi="宋体" w:eastAsia="宋体" w:cs="宋体"/>
                <w:color w:val="auto"/>
                <w:kern w:val="2"/>
                <w:sz w:val="24"/>
                <w:szCs w:val="24"/>
                <w:highlight w:val="none"/>
                <w:lang w:val="en-US" w:eastAsia="zh-CN" w:bidi="ar-SA"/>
              </w:rPr>
            </w:pPr>
            <w:r>
              <w:rPr>
                <w:rFonts w:hint="eastAsia" w:ascii="宋体" w:hAnsi="宋体" w:cs="宋体"/>
                <w:color w:val="auto"/>
                <w:sz w:val="24"/>
                <w:highlight w:val="none"/>
                <w:lang w:val="en-US" w:eastAsia="zh-CN"/>
              </w:rPr>
              <w:t>样品</w:t>
            </w:r>
            <w:r>
              <w:rPr>
                <w:rFonts w:hint="eastAsia" w:ascii="宋体" w:hAnsi="宋体" w:cs="宋体"/>
                <w:color w:val="auto"/>
                <w:sz w:val="24"/>
                <w:highlight w:val="none"/>
              </w:rPr>
              <w:t>内容：</w:t>
            </w:r>
            <w:r>
              <w:rPr>
                <w:rFonts w:hint="eastAsia" w:ascii="宋体" w:hAnsi="宋体" w:cs="宋体"/>
                <w:color w:val="auto"/>
                <w:sz w:val="24"/>
                <w:highlight w:val="none"/>
                <w:lang w:val="en-US" w:eastAsia="zh-CN"/>
              </w:rPr>
              <w:t>详见第4章采购需求一览表及技术规格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10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rPr>
                <w:rFonts w:ascii="宋体" w:hAnsi="宋体" w:cs="宋体"/>
                <w:color w:val="auto"/>
                <w:sz w:val="24"/>
                <w:highlight w:val="none"/>
              </w:rPr>
            </w:pPr>
            <w:r>
              <w:rPr>
                <w:rFonts w:hint="eastAsia" w:ascii="宋体" w:hAnsi="宋体" w:cs="宋体"/>
                <w:color w:val="auto"/>
                <w:sz w:val="24"/>
                <w:highlight w:val="none"/>
              </w:rPr>
              <w:t>9</w:t>
            </w:r>
          </w:p>
        </w:tc>
        <w:tc>
          <w:tcPr>
            <w:tcW w:w="8477"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ind w:left="-31" w:leftChars="-15" w:firstLine="112" w:firstLineChars="47"/>
              <w:rPr>
                <w:rFonts w:ascii="宋体" w:hAnsi="宋体" w:cs="宋体"/>
                <w:color w:val="auto"/>
                <w:sz w:val="24"/>
                <w:highlight w:val="none"/>
              </w:rPr>
            </w:pPr>
            <w:r>
              <w:rPr>
                <w:rFonts w:hint="eastAsia" w:ascii="宋体" w:hAnsi="宋体" w:cs="宋体"/>
                <w:color w:val="auto"/>
                <w:sz w:val="24"/>
                <w:highlight w:val="none"/>
              </w:rPr>
              <w:t>保证金形式：□保函  □电汇  □支票</w:t>
            </w:r>
          </w:p>
          <w:p>
            <w:pPr>
              <w:spacing w:line="500" w:lineRule="exact"/>
              <w:ind w:left="-31" w:leftChars="-15" w:firstLine="112" w:firstLineChars="47"/>
              <w:rPr>
                <w:rFonts w:ascii="宋体" w:hAnsi="宋体" w:cs="宋体"/>
                <w:color w:val="auto"/>
                <w:sz w:val="24"/>
                <w:highlight w:val="none"/>
              </w:rPr>
            </w:pPr>
            <w:r>
              <w:rPr>
                <w:rFonts w:hint="eastAsia" w:ascii="宋体" w:hAnsi="宋体" w:cs="宋体"/>
                <w:color w:val="auto"/>
                <w:sz w:val="24"/>
                <w:highlight w:val="none"/>
              </w:rPr>
              <w:t>保证金数额：0万元</w:t>
            </w:r>
          </w:p>
          <w:p>
            <w:pPr>
              <w:spacing w:line="500" w:lineRule="exact"/>
              <w:ind w:left="-31" w:leftChars="-15" w:firstLine="112" w:firstLineChars="47"/>
              <w:rPr>
                <w:rFonts w:ascii="宋体" w:hAnsi="宋体" w:cs="宋体"/>
                <w:color w:val="auto"/>
                <w:sz w:val="24"/>
                <w:highlight w:val="none"/>
              </w:rPr>
            </w:pPr>
            <w:r>
              <w:rPr>
                <w:rFonts w:hint="eastAsia" w:ascii="宋体" w:hAnsi="宋体" w:cs="宋体"/>
                <w:color w:val="auto"/>
                <w:sz w:val="24"/>
                <w:highlight w:val="none"/>
              </w:rPr>
              <w:t>保证金收款人：/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10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rPr>
                <w:rFonts w:ascii="宋体" w:hAnsi="宋体" w:cs="宋体"/>
                <w:color w:val="auto"/>
                <w:sz w:val="24"/>
                <w:highlight w:val="none"/>
              </w:rPr>
            </w:pPr>
            <w:r>
              <w:rPr>
                <w:rFonts w:hint="eastAsia" w:ascii="宋体" w:hAnsi="宋体" w:cs="宋体"/>
                <w:color w:val="auto"/>
                <w:sz w:val="24"/>
                <w:highlight w:val="none"/>
              </w:rPr>
              <w:t>10</w:t>
            </w:r>
          </w:p>
        </w:tc>
        <w:tc>
          <w:tcPr>
            <w:tcW w:w="8477"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rPr>
                <w:rFonts w:ascii="宋体" w:hAnsi="宋体" w:cs="宋体"/>
                <w:b/>
                <w:color w:val="auto"/>
                <w:sz w:val="24"/>
                <w:highlight w:val="none"/>
              </w:rPr>
            </w:pPr>
            <w:r>
              <w:rPr>
                <w:rFonts w:hint="eastAsia" w:ascii="宋体" w:hAnsi="宋体" w:cs="宋体"/>
                <w:b/>
                <w:color w:val="auto"/>
                <w:sz w:val="24"/>
                <w:highlight w:val="none"/>
              </w:rPr>
              <w:t>响应文件份数：四份（一份正本、三份副本），</w:t>
            </w:r>
            <w:r>
              <w:rPr>
                <w:rFonts w:hint="eastAsia" w:ascii="宋体" w:hAnsi="宋体"/>
                <w:b/>
                <w:color w:val="auto"/>
                <w:sz w:val="24"/>
                <w:highlight w:val="none"/>
              </w:rPr>
              <w:t>各供应商须提供完整响应文件电子版一份（word格式，U盘或光盘存储）密封后随响应文件一起提交。</w:t>
            </w:r>
          </w:p>
          <w:p>
            <w:pPr>
              <w:spacing w:line="500" w:lineRule="exact"/>
              <w:ind w:left="-31" w:leftChars="-15" w:firstLine="112" w:firstLineChars="47"/>
              <w:rPr>
                <w:rFonts w:ascii="宋体" w:hAnsi="宋体" w:cs="宋体"/>
                <w:color w:val="auto"/>
                <w:sz w:val="24"/>
                <w:highlight w:val="none"/>
              </w:rPr>
            </w:pPr>
            <w:r>
              <w:rPr>
                <w:rFonts w:hint="eastAsia" w:ascii="宋体" w:hAnsi="宋体" w:cs="宋体"/>
                <w:color w:val="auto"/>
                <w:sz w:val="24"/>
                <w:highlight w:val="none"/>
              </w:rPr>
              <w:t>响应有效期：90日历日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10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rPr>
                <w:rFonts w:ascii="宋体" w:hAnsi="宋体" w:cs="宋体"/>
                <w:color w:val="auto"/>
                <w:sz w:val="24"/>
                <w:highlight w:val="none"/>
              </w:rPr>
            </w:pPr>
            <w:r>
              <w:rPr>
                <w:rFonts w:hint="eastAsia" w:ascii="宋体" w:hAnsi="宋体" w:cs="宋体"/>
                <w:color w:val="auto"/>
                <w:sz w:val="24"/>
                <w:highlight w:val="none"/>
              </w:rPr>
              <w:t>11</w:t>
            </w:r>
          </w:p>
        </w:tc>
        <w:tc>
          <w:tcPr>
            <w:tcW w:w="8477"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ind w:left="-31" w:leftChars="-15" w:firstLine="112" w:firstLineChars="47"/>
              <w:rPr>
                <w:rFonts w:ascii="宋体" w:hAnsi="宋体" w:cs="宋体"/>
                <w:color w:val="auto"/>
                <w:sz w:val="24"/>
                <w:highlight w:val="none"/>
              </w:rPr>
            </w:pPr>
            <w:r>
              <w:rPr>
                <w:rFonts w:hint="eastAsia" w:ascii="宋体" w:hAnsi="宋体" w:cs="宋体"/>
                <w:color w:val="auto"/>
                <w:sz w:val="24"/>
                <w:highlight w:val="none"/>
              </w:rPr>
              <w:t>响应文件提交截止时间：</w:t>
            </w:r>
            <w:r>
              <w:rPr>
                <w:rFonts w:hint="eastAsia" w:ascii="宋体" w:hAnsi="宋体"/>
                <w:color w:val="auto"/>
                <w:sz w:val="24"/>
                <w:highlight w:val="none"/>
              </w:rPr>
              <w:t>见磋商公告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10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rPr>
                <w:rFonts w:ascii="宋体" w:hAnsi="宋体" w:cs="宋体"/>
                <w:color w:val="auto"/>
                <w:sz w:val="24"/>
                <w:highlight w:val="none"/>
              </w:rPr>
            </w:pPr>
            <w:r>
              <w:rPr>
                <w:rFonts w:hint="eastAsia" w:ascii="宋体" w:hAnsi="宋体" w:cs="宋体"/>
                <w:color w:val="auto"/>
                <w:sz w:val="24"/>
                <w:highlight w:val="none"/>
              </w:rPr>
              <w:t>12</w:t>
            </w:r>
          </w:p>
        </w:tc>
        <w:tc>
          <w:tcPr>
            <w:tcW w:w="8477"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ind w:left="-31" w:leftChars="-15" w:firstLine="112" w:firstLineChars="47"/>
              <w:rPr>
                <w:rFonts w:ascii="宋体" w:hAnsi="宋体" w:cs="宋体"/>
                <w:color w:val="auto"/>
                <w:sz w:val="24"/>
                <w:highlight w:val="none"/>
              </w:rPr>
            </w:pPr>
            <w:r>
              <w:rPr>
                <w:rFonts w:hint="eastAsia" w:ascii="宋体" w:hAnsi="宋体" w:cs="宋体"/>
                <w:color w:val="auto"/>
                <w:sz w:val="24"/>
                <w:highlight w:val="none"/>
              </w:rPr>
              <w:t>开启响应文件时间：</w:t>
            </w:r>
            <w:r>
              <w:rPr>
                <w:rFonts w:hint="eastAsia" w:ascii="宋体" w:hAnsi="宋体"/>
                <w:color w:val="auto"/>
                <w:sz w:val="24"/>
                <w:highlight w:val="none"/>
              </w:rPr>
              <w:t>见磋商公告</w:t>
            </w:r>
          </w:p>
          <w:p>
            <w:pPr>
              <w:spacing w:line="500" w:lineRule="exact"/>
              <w:ind w:left="-31" w:leftChars="-15" w:firstLine="112" w:firstLineChars="47"/>
              <w:rPr>
                <w:rFonts w:ascii="宋体" w:hAnsi="宋体" w:cs="宋体"/>
                <w:color w:val="auto"/>
                <w:sz w:val="24"/>
                <w:highlight w:val="none"/>
              </w:rPr>
            </w:pPr>
            <w:r>
              <w:rPr>
                <w:rFonts w:hint="eastAsia" w:ascii="宋体" w:hAnsi="宋体" w:cs="宋体"/>
                <w:color w:val="auto"/>
                <w:sz w:val="24"/>
                <w:highlight w:val="none"/>
              </w:rPr>
              <w:t>开启地点：</w:t>
            </w:r>
            <w:r>
              <w:rPr>
                <w:rFonts w:hint="eastAsia" w:ascii="宋体" w:hAnsi="宋体"/>
                <w:color w:val="auto"/>
                <w:sz w:val="24"/>
                <w:highlight w:val="none"/>
              </w:rPr>
              <w:t>见磋商公告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10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rPr>
                <w:rFonts w:ascii="宋体" w:hAnsi="宋体" w:cs="宋体"/>
                <w:color w:val="auto"/>
                <w:sz w:val="24"/>
                <w:highlight w:val="none"/>
              </w:rPr>
            </w:pPr>
            <w:r>
              <w:rPr>
                <w:rFonts w:hint="eastAsia" w:ascii="宋体" w:hAnsi="宋体" w:cs="宋体"/>
                <w:color w:val="auto"/>
                <w:sz w:val="24"/>
                <w:highlight w:val="none"/>
              </w:rPr>
              <w:t>13</w:t>
            </w:r>
          </w:p>
        </w:tc>
        <w:tc>
          <w:tcPr>
            <w:tcW w:w="8477"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ind w:left="-31" w:leftChars="-15" w:firstLine="112" w:firstLineChars="47"/>
              <w:rPr>
                <w:rFonts w:ascii="宋体" w:hAnsi="宋体" w:cs="宋体"/>
                <w:color w:val="auto"/>
                <w:sz w:val="24"/>
                <w:highlight w:val="none"/>
              </w:rPr>
            </w:pPr>
            <w:r>
              <w:rPr>
                <w:rFonts w:hint="eastAsia" w:ascii="宋体" w:hAnsi="宋体" w:cs="宋体"/>
                <w:color w:val="auto"/>
                <w:sz w:val="24"/>
                <w:highlight w:val="none"/>
              </w:rPr>
              <w:t>推荐成交候选供应商的数量：不少于3家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10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rPr>
                <w:rFonts w:ascii="宋体" w:hAnsi="宋体" w:cs="宋体"/>
                <w:color w:val="auto"/>
                <w:sz w:val="24"/>
                <w:highlight w:val="none"/>
              </w:rPr>
            </w:pPr>
            <w:r>
              <w:rPr>
                <w:rFonts w:hint="eastAsia" w:ascii="宋体" w:hAnsi="宋体" w:cs="宋体"/>
                <w:color w:val="auto"/>
                <w:sz w:val="24"/>
                <w:highlight w:val="none"/>
              </w:rPr>
              <w:t>14</w:t>
            </w:r>
          </w:p>
        </w:tc>
        <w:tc>
          <w:tcPr>
            <w:tcW w:w="8477"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ind w:left="-31" w:leftChars="-15" w:firstLine="112" w:firstLineChars="47"/>
              <w:rPr>
                <w:rFonts w:ascii="宋体" w:hAnsi="宋体" w:cs="宋体"/>
                <w:color w:val="auto"/>
                <w:sz w:val="24"/>
                <w:highlight w:val="none"/>
              </w:rPr>
            </w:pPr>
            <w:r>
              <w:rPr>
                <w:rFonts w:hint="eastAsia" w:ascii="宋体" w:hAnsi="宋体" w:cs="宋体"/>
                <w:color w:val="auto"/>
                <w:sz w:val="24"/>
                <w:highlight w:val="none"/>
              </w:rPr>
              <w:t>采购人是否委托磋商小组直接确定成交供应商：是</w:t>
            </w:r>
            <w:r>
              <w:rPr>
                <w:rFonts w:hint="eastAsia" w:ascii="宋体" w:hAnsi="宋体" w:cs="宋体"/>
                <w:color w:val="auto"/>
                <w:sz w:val="24"/>
                <w:highlight w:val="none"/>
              </w:rPr>
              <w:sym w:font="Wingdings 2" w:char="F052"/>
            </w:r>
            <w:r>
              <w:rPr>
                <w:rFonts w:hint="eastAsia" w:ascii="宋体" w:hAnsi="宋体" w:cs="宋体"/>
                <w:color w:val="auto"/>
                <w:sz w:val="24"/>
                <w:highlight w:val="none"/>
              </w:rPr>
              <w:t xml:space="preserve"> 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10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rPr>
                <w:rFonts w:ascii="宋体" w:hAnsi="宋体" w:cs="宋体"/>
                <w:color w:val="auto"/>
                <w:sz w:val="24"/>
                <w:highlight w:val="none"/>
              </w:rPr>
            </w:pPr>
            <w:r>
              <w:rPr>
                <w:rFonts w:hint="eastAsia" w:ascii="宋体" w:hAnsi="宋体" w:cs="宋体"/>
                <w:color w:val="auto"/>
                <w:sz w:val="24"/>
                <w:highlight w:val="none"/>
              </w:rPr>
              <w:t>15</w:t>
            </w:r>
          </w:p>
        </w:tc>
        <w:tc>
          <w:tcPr>
            <w:tcW w:w="8477"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rPr>
                <w:rFonts w:ascii="宋体" w:hAnsi="宋体" w:cs="宋体"/>
                <w:color w:val="auto"/>
                <w:sz w:val="24"/>
                <w:highlight w:val="none"/>
              </w:rPr>
            </w:pPr>
            <w:r>
              <w:rPr>
                <w:rFonts w:hint="eastAsia" w:ascii="宋体" w:hAnsi="宋体" w:cs="宋体"/>
                <w:color w:val="auto"/>
                <w:sz w:val="24"/>
                <w:highlight w:val="none"/>
              </w:rPr>
              <w:t>履约保证金金额：</w:t>
            </w:r>
            <w:r>
              <w:rPr>
                <w:rFonts w:hint="eastAsia" w:ascii="宋体" w:hAnsi="宋体" w:cs="宋体"/>
                <w:color w:val="auto"/>
                <w:sz w:val="24"/>
                <w:highlight w:val="none"/>
                <w:lang w:val="en-US" w:eastAsia="zh-CN"/>
              </w:rPr>
              <w:t>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10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rPr>
                <w:rFonts w:ascii="宋体" w:hAnsi="宋体" w:cs="宋体"/>
                <w:color w:val="auto"/>
                <w:sz w:val="24"/>
                <w:highlight w:val="none"/>
              </w:rPr>
            </w:pPr>
            <w:r>
              <w:rPr>
                <w:rFonts w:hint="eastAsia" w:ascii="宋体" w:hAnsi="宋体" w:cs="宋体"/>
                <w:color w:val="auto"/>
                <w:sz w:val="24"/>
                <w:highlight w:val="none"/>
              </w:rPr>
              <w:t>16</w:t>
            </w:r>
          </w:p>
        </w:tc>
        <w:tc>
          <w:tcPr>
            <w:tcW w:w="8477" w:type="dxa"/>
            <w:tcBorders>
              <w:top w:val="single" w:color="auto" w:sz="6" w:space="0"/>
              <w:left w:val="single" w:color="auto" w:sz="6" w:space="0"/>
              <w:bottom w:val="single" w:color="auto" w:sz="6" w:space="0"/>
              <w:right w:val="single" w:color="auto" w:sz="12" w:space="0"/>
            </w:tcBorders>
            <w:noWrap w:val="0"/>
            <w:vAlign w:val="center"/>
          </w:tcPr>
          <w:p>
            <w:pPr>
              <w:spacing w:line="480" w:lineRule="exact"/>
              <w:rPr>
                <w:rFonts w:hint="eastAsia" w:ascii="宋体" w:hAnsi="宋体" w:cs="宋体"/>
                <w:color w:val="auto"/>
                <w:sz w:val="24"/>
                <w:highlight w:val="none"/>
              </w:rPr>
            </w:pPr>
            <w:r>
              <w:rPr>
                <w:rFonts w:hint="eastAsia" w:ascii="宋体" w:hAnsi="宋体" w:cs="宋体"/>
                <w:color w:val="auto"/>
                <w:sz w:val="24"/>
                <w:highlight w:val="none"/>
              </w:rPr>
              <w:t>本项目是否属于信用担保试点范围：（是</w:t>
            </w:r>
            <w:r>
              <w:rPr>
                <w:rFonts w:hint="eastAsia" w:ascii="仿宋" w:hAnsi="仿宋" w:eastAsia="仿宋" w:cs="宋体"/>
                <w:color w:val="auto"/>
                <w:sz w:val="24"/>
                <w:highlight w:val="none"/>
              </w:rPr>
              <w:sym w:font="Wingdings 2" w:char="0052"/>
            </w:r>
            <w:r>
              <w:rPr>
                <w:rFonts w:hint="eastAsia" w:ascii="仿宋" w:hAnsi="仿宋" w:eastAsia="仿宋" w:cs="宋体"/>
                <w:color w:val="auto"/>
                <w:sz w:val="24"/>
                <w:highlight w:val="none"/>
                <w:lang w:val="en-US" w:eastAsia="zh-CN"/>
              </w:rPr>
              <w:t xml:space="preserve">  </w:t>
            </w:r>
            <w:r>
              <w:rPr>
                <w:rFonts w:hint="eastAsia" w:ascii="宋体" w:hAnsi="宋体" w:cs="宋体"/>
                <w:color w:val="auto"/>
                <w:sz w:val="24"/>
                <w:highlight w:val="none"/>
              </w:rPr>
              <w:t>否</w:t>
            </w:r>
            <w:r>
              <w:rPr>
                <w:rFonts w:hint="eastAsia" w:ascii="宋体" w:hAnsi="宋体" w:cs="宋体"/>
                <w:color w:val="auto"/>
                <w:sz w:val="24"/>
                <w:highlight w:val="none"/>
              </w:rPr>
              <w:sym w:font="Wingdings 2" w:char="00A3"/>
            </w:r>
            <w:r>
              <w:rPr>
                <w:rFonts w:hint="eastAsia" w:ascii="宋体" w:hAnsi="宋体" w:cs="宋体"/>
                <w:color w:val="auto"/>
                <w:sz w:val="24"/>
                <w:highlight w:val="none"/>
              </w:rPr>
              <w:t>）</w:t>
            </w:r>
          </w:p>
          <w:p>
            <w:pPr>
              <w:spacing w:line="480" w:lineRule="exact"/>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本项目是否可以办理政府采购融资贷款：是</w:t>
            </w:r>
          </w:p>
          <w:p>
            <w:pPr>
              <w:spacing w:line="500" w:lineRule="exact"/>
              <w:ind w:left="-31" w:leftChars="-15" w:firstLine="112" w:firstLineChars="47"/>
              <w:rPr>
                <w:rFonts w:ascii="宋体" w:hAnsi="宋体" w:cs="宋体"/>
                <w:color w:val="auto"/>
                <w:sz w:val="24"/>
                <w:highlight w:val="none"/>
              </w:rPr>
            </w:pPr>
            <w:r>
              <w:rPr>
                <w:rFonts w:hint="eastAsia" w:ascii="宋体" w:hAnsi="宋体" w:eastAsia="宋体" w:cs="宋体"/>
                <w:b w:val="0"/>
                <w:bCs w:val="0"/>
                <w:color w:val="auto"/>
                <w:sz w:val="24"/>
                <w:highlight w:val="none"/>
                <w:lang w:val="en-US" w:eastAsia="zh-CN"/>
              </w:rPr>
              <w:t>供应商如需了解详细办理程序请登录“http://www.ccgp-shandong-rz.cn/”</w:t>
            </w:r>
            <w:r>
              <w:rPr>
                <w:rFonts w:hint="eastAsia" w:ascii="宋体" w:hAnsi="宋体" w:eastAsia="宋体" w:cs="宋体"/>
                <w:color w:val="auto"/>
                <w:sz w:val="24"/>
                <w:highlight w:val="no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10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rPr>
                <w:rFonts w:ascii="宋体" w:hAnsi="宋体" w:cs="宋体"/>
                <w:color w:val="auto"/>
                <w:sz w:val="24"/>
                <w:highlight w:val="none"/>
              </w:rPr>
            </w:pPr>
            <w:r>
              <w:rPr>
                <w:rFonts w:hint="eastAsia" w:ascii="宋体" w:hAnsi="宋体" w:cs="宋体"/>
                <w:color w:val="auto"/>
                <w:sz w:val="24"/>
                <w:highlight w:val="none"/>
              </w:rPr>
              <w:t>17</w:t>
            </w:r>
          </w:p>
        </w:tc>
        <w:tc>
          <w:tcPr>
            <w:tcW w:w="8477"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ind w:left="-31" w:leftChars="-15" w:firstLine="112" w:firstLineChars="47"/>
              <w:rPr>
                <w:rFonts w:hint="eastAsia" w:ascii="宋体" w:hAnsi="宋体" w:eastAsia="宋体" w:cs="宋体"/>
                <w:color w:val="auto"/>
                <w:sz w:val="24"/>
                <w:highlight w:val="none"/>
                <w:lang w:eastAsia="zh-CN"/>
              </w:rPr>
            </w:pPr>
            <w:r>
              <w:rPr>
                <w:rFonts w:hint="eastAsia" w:ascii="宋体" w:hAnsi="宋体" w:cs="宋体"/>
                <w:color w:val="auto"/>
                <w:sz w:val="24"/>
                <w:highlight w:val="none"/>
              </w:rPr>
              <w:t>预付款比例为：</w:t>
            </w:r>
            <w:r>
              <w:rPr>
                <w:rFonts w:hint="eastAsia" w:ascii="宋体" w:hAnsi="宋体" w:cs="宋体"/>
                <w:color w:val="auto"/>
                <w:sz w:val="24"/>
                <w:highlight w:val="none"/>
                <w:lang w:val="en-US" w:eastAsia="zh-CN"/>
              </w:rPr>
              <w:t>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10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rPr>
                <w:rFonts w:ascii="宋体" w:hAnsi="宋体" w:cs="宋体"/>
                <w:color w:val="auto"/>
                <w:sz w:val="24"/>
                <w:highlight w:val="none"/>
              </w:rPr>
            </w:pPr>
            <w:r>
              <w:rPr>
                <w:rFonts w:hint="eastAsia" w:ascii="宋体" w:hAnsi="宋体" w:cs="宋体"/>
                <w:color w:val="auto"/>
                <w:sz w:val="24"/>
                <w:highlight w:val="none"/>
              </w:rPr>
              <w:t>18</w:t>
            </w:r>
          </w:p>
        </w:tc>
        <w:tc>
          <w:tcPr>
            <w:tcW w:w="8477"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ind w:left="-31" w:leftChars="-15" w:firstLine="112" w:firstLineChars="47"/>
              <w:rPr>
                <w:rFonts w:ascii="宋体" w:hAnsi="宋体" w:cs="宋体"/>
                <w:color w:val="auto"/>
                <w:sz w:val="24"/>
                <w:highlight w:val="none"/>
              </w:rPr>
            </w:pPr>
            <w:r>
              <w:rPr>
                <w:rFonts w:hint="eastAsia" w:ascii="宋体" w:hAnsi="宋体" w:cs="宋体"/>
                <w:color w:val="auto"/>
                <w:sz w:val="24"/>
                <w:highlight w:val="none"/>
              </w:rPr>
              <w:t>质疑函接收部门、联系电话和通讯地址：</w:t>
            </w:r>
          </w:p>
          <w:p>
            <w:pPr>
              <w:spacing w:line="500" w:lineRule="exact"/>
              <w:ind w:left="-31" w:leftChars="-15" w:firstLine="112" w:firstLineChars="47"/>
              <w:rPr>
                <w:rFonts w:ascii="宋体" w:hAnsi="宋体" w:cs="宋体"/>
                <w:color w:val="auto"/>
                <w:sz w:val="24"/>
                <w:highlight w:val="none"/>
              </w:rPr>
            </w:pPr>
            <w:r>
              <w:rPr>
                <w:rFonts w:hint="eastAsia" w:ascii="宋体" w:hAnsi="宋体" w:cs="宋体"/>
                <w:color w:val="auto"/>
                <w:sz w:val="24"/>
                <w:highlight w:val="none"/>
              </w:rPr>
              <w:t>联系部门：临沂市沂蒙国际招标有限公司</w:t>
            </w:r>
          </w:p>
          <w:p>
            <w:pPr>
              <w:spacing w:line="500" w:lineRule="exact"/>
              <w:ind w:left="-31" w:leftChars="-15" w:firstLine="112" w:firstLineChars="47"/>
              <w:rPr>
                <w:rFonts w:ascii="宋体" w:hAnsi="宋体" w:cs="宋体"/>
                <w:color w:val="auto"/>
                <w:sz w:val="24"/>
                <w:highlight w:val="none"/>
              </w:rPr>
            </w:pPr>
            <w:r>
              <w:rPr>
                <w:rFonts w:hint="eastAsia" w:ascii="宋体" w:hAnsi="宋体" w:cs="宋体"/>
                <w:color w:val="auto"/>
                <w:sz w:val="24"/>
                <w:highlight w:val="none"/>
              </w:rPr>
              <w:t>地址：山东省临沂市兰山区柳青街道北京路与沭河路交汇北50米红日大厦20楼2008室</w:t>
            </w:r>
          </w:p>
          <w:p>
            <w:pPr>
              <w:spacing w:line="500" w:lineRule="exact"/>
              <w:ind w:left="-31" w:leftChars="-15" w:firstLine="112" w:firstLineChars="47"/>
              <w:rPr>
                <w:rFonts w:ascii="宋体" w:hAnsi="宋体" w:cs="宋体"/>
                <w:color w:val="auto"/>
                <w:sz w:val="24"/>
                <w:highlight w:val="none"/>
              </w:rPr>
            </w:pPr>
            <w:r>
              <w:rPr>
                <w:rFonts w:hint="eastAsia" w:ascii="宋体" w:hAnsi="宋体" w:cs="宋体"/>
                <w:color w:val="auto"/>
                <w:sz w:val="24"/>
                <w:highlight w:val="none"/>
              </w:rPr>
              <w:t>联系方式：0539-7578911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10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rPr>
                <w:rFonts w:ascii="宋体" w:hAnsi="宋体" w:cs="宋体"/>
                <w:color w:val="auto"/>
                <w:sz w:val="24"/>
                <w:highlight w:val="none"/>
              </w:rPr>
            </w:pPr>
            <w:r>
              <w:rPr>
                <w:rFonts w:hint="eastAsia" w:ascii="宋体" w:hAnsi="宋体" w:cs="宋体"/>
                <w:color w:val="auto"/>
                <w:sz w:val="24"/>
                <w:highlight w:val="none"/>
              </w:rPr>
              <w:t>19</w:t>
            </w:r>
          </w:p>
        </w:tc>
        <w:tc>
          <w:tcPr>
            <w:tcW w:w="8477"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rPr>
                <w:rFonts w:ascii="宋体" w:hAnsi="宋体"/>
                <w:color w:val="auto"/>
                <w:sz w:val="24"/>
                <w:highlight w:val="none"/>
              </w:rPr>
            </w:pPr>
            <w:r>
              <w:rPr>
                <w:rFonts w:hint="eastAsia" w:ascii="宋体" w:hAnsi="宋体" w:cs="宋体"/>
                <w:color w:val="auto"/>
                <w:sz w:val="24"/>
                <w:highlight w:val="none"/>
              </w:rPr>
              <w:t>成交服务费：按成交金额1.2%收取</w:t>
            </w:r>
            <w:r>
              <w:rPr>
                <w:rFonts w:hint="eastAsia" w:ascii="宋体" w:hAnsi="宋体" w:eastAsia="宋体" w:cs="Times New Roman"/>
                <w:color w:val="auto"/>
                <w:sz w:val="24"/>
                <w:highlight w:val="none"/>
              </w:rPr>
              <w:t>，</w:t>
            </w:r>
            <w:r>
              <w:rPr>
                <w:rFonts w:hint="eastAsia" w:ascii="宋体" w:hAnsi="宋体"/>
                <w:color w:val="auto"/>
                <w:sz w:val="24"/>
                <w:highlight w:val="none"/>
              </w:rPr>
              <w:t>由成交供应商支付，在领取成交通知书前支付给代理采购人</w:t>
            </w:r>
          </w:p>
          <w:p>
            <w:pPr>
              <w:spacing w:line="500" w:lineRule="exact"/>
              <w:rPr>
                <w:rFonts w:ascii="宋体" w:hAnsi="宋体" w:cs="宋体"/>
                <w:color w:val="auto"/>
                <w:sz w:val="24"/>
                <w:highlight w:val="none"/>
              </w:rPr>
            </w:pPr>
            <w:r>
              <w:rPr>
                <w:rFonts w:hint="eastAsia" w:ascii="宋体" w:hAnsi="宋体" w:cs="宋体"/>
                <w:color w:val="auto"/>
                <w:sz w:val="24"/>
                <w:highlight w:val="none"/>
              </w:rPr>
              <w:t>支付形式：转账或电汇</w:t>
            </w:r>
          </w:p>
          <w:p>
            <w:pPr>
              <w:spacing w:line="500" w:lineRule="exact"/>
              <w:ind w:left="900" w:hanging="900" w:hangingChars="375"/>
              <w:rPr>
                <w:rFonts w:ascii="宋体" w:hAnsi="宋体"/>
                <w:color w:val="auto"/>
                <w:sz w:val="24"/>
                <w:highlight w:val="none"/>
              </w:rPr>
            </w:pPr>
            <w:r>
              <w:rPr>
                <w:rFonts w:hint="eastAsia" w:ascii="宋体" w:hAnsi="宋体"/>
                <w:color w:val="auto"/>
                <w:sz w:val="24"/>
                <w:highlight w:val="none"/>
              </w:rPr>
              <w:t>收款信息：</w:t>
            </w:r>
          </w:p>
          <w:p>
            <w:pPr>
              <w:spacing w:line="500" w:lineRule="exact"/>
              <w:ind w:left="900" w:hanging="900" w:hangingChars="375"/>
              <w:rPr>
                <w:rFonts w:ascii="宋体" w:hAnsi="宋体"/>
                <w:color w:val="auto"/>
                <w:sz w:val="24"/>
                <w:highlight w:val="none"/>
              </w:rPr>
            </w:pPr>
            <w:r>
              <w:rPr>
                <w:rFonts w:hint="eastAsia" w:ascii="宋体" w:hAnsi="宋体"/>
                <w:color w:val="auto"/>
                <w:sz w:val="24"/>
                <w:highlight w:val="none"/>
              </w:rPr>
              <w:t>开 户 名：临沂市沂蒙国际招标有限公司</w:t>
            </w:r>
          </w:p>
          <w:p>
            <w:pPr>
              <w:spacing w:line="500" w:lineRule="exact"/>
              <w:ind w:left="900" w:hanging="900" w:hangingChars="375"/>
              <w:rPr>
                <w:rFonts w:hint="eastAsia" w:ascii="宋体" w:hAnsi="宋体"/>
                <w:color w:val="auto"/>
                <w:sz w:val="24"/>
                <w:highlight w:val="none"/>
              </w:rPr>
            </w:pPr>
            <w:r>
              <w:rPr>
                <w:rFonts w:hint="eastAsia" w:ascii="宋体" w:hAnsi="宋体"/>
                <w:color w:val="auto"/>
                <w:sz w:val="24"/>
                <w:highlight w:val="none"/>
              </w:rPr>
              <w:t>开 户 行：建设银行临沂分行营业部</w:t>
            </w:r>
          </w:p>
          <w:p>
            <w:pPr>
              <w:spacing w:line="500" w:lineRule="exact"/>
              <w:ind w:left="900" w:hanging="900" w:hangingChars="375"/>
              <w:rPr>
                <w:rFonts w:ascii="宋体" w:hAnsi="宋体"/>
                <w:color w:val="auto"/>
                <w:sz w:val="24"/>
                <w:highlight w:val="none"/>
              </w:rPr>
            </w:pPr>
            <w:r>
              <w:rPr>
                <w:rFonts w:hint="eastAsia" w:ascii="宋体" w:hAnsi="宋体"/>
                <w:color w:val="auto"/>
                <w:sz w:val="24"/>
                <w:highlight w:val="none"/>
              </w:rPr>
              <w:t>账    号：37001828301050001489</w:t>
            </w:r>
          </w:p>
          <w:p>
            <w:pPr>
              <w:spacing w:line="500" w:lineRule="exact"/>
              <w:rPr>
                <w:rFonts w:ascii="宋体" w:hAnsi="宋体" w:cs="宋体"/>
                <w:color w:val="auto"/>
                <w:sz w:val="24"/>
                <w:highlight w:val="none"/>
              </w:rPr>
            </w:pPr>
            <w:r>
              <w:rPr>
                <w:rFonts w:hint="eastAsia" w:ascii="宋体" w:hAnsi="宋体"/>
                <w:color w:val="auto"/>
                <w:sz w:val="24"/>
                <w:highlight w:val="none"/>
              </w:rPr>
              <w:t>支付时间：领取</w:t>
            </w:r>
            <w:r>
              <w:rPr>
                <w:rFonts w:hint="eastAsia" w:ascii="宋体" w:hAnsi="宋体"/>
                <w:color w:val="auto"/>
                <w:sz w:val="24"/>
                <w:highlight w:val="none"/>
                <w:lang w:eastAsia="zh-CN"/>
              </w:rPr>
              <w:t>成交通知</w:t>
            </w:r>
            <w:r>
              <w:rPr>
                <w:rFonts w:ascii="宋体" w:hAnsi="宋体"/>
                <w:color w:val="auto"/>
                <w:sz w:val="24"/>
                <w:highlight w:val="none"/>
              </w:rPr>
              <w:t>书前。</w:t>
            </w:r>
          </w:p>
          <w:p>
            <w:pPr>
              <w:spacing w:line="500" w:lineRule="exact"/>
              <w:rPr>
                <w:rFonts w:ascii="宋体" w:hAnsi="宋体" w:cs="宋体"/>
                <w:color w:val="auto"/>
                <w:sz w:val="24"/>
                <w:highlight w:val="none"/>
              </w:rPr>
            </w:pPr>
            <w:r>
              <w:rPr>
                <w:rFonts w:hint="eastAsia" w:ascii="宋体" w:hAnsi="宋体" w:cs="宋体"/>
                <w:color w:val="auto"/>
                <w:sz w:val="24"/>
                <w:highlight w:val="none"/>
              </w:rPr>
              <w:t>支付时间：确定成交结果后5个工作日内。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9498" w:type="dxa"/>
            <w:gridSpan w:val="2"/>
            <w:noWrap w:val="0"/>
            <w:vAlign w:val="center"/>
          </w:tcPr>
          <w:p>
            <w:pPr>
              <w:spacing w:line="500" w:lineRule="exact"/>
              <w:ind w:left="-31" w:leftChars="-15" w:firstLine="112" w:firstLineChars="47"/>
              <w:jc w:val="center"/>
              <w:rPr>
                <w:rFonts w:ascii="宋体" w:hAnsi="宋体" w:cs="宋体"/>
                <w:color w:val="auto"/>
                <w:sz w:val="24"/>
                <w:highlight w:val="none"/>
              </w:rPr>
            </w:pPr>
            <w:r>
              <w:rPr>
                <w:rFonts w:hint="eastAsia" w:ascii="宋体" w:hAnsi="宋体" w:cs="宋体"/>
                <w:color w:val="auto"/>
                <w:sz w:val="24"/>
                <w:highlight w:val="none"/>
              </w:rPr>
              <w:t>适用于本供应商须知的额外增加的变动：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1021" w:type="dxa"/>
            <w:noWrap w:val="0"/>
            <w:vAlign w:val="center"/>
          </w:tcPr>
          <w:p>
            <w:pPr>
              <w:spacing w:line="500" w:lineRule="exact"/>
              <w:jc w:val="center"/>
              <w:rPr>
                <w:rFonts w:ascii="宋体" w:hAnsi="宋体" w:cs="宋体"/>
                <w:color w:val="auto"/>
                <w:sz w:val="24"/>
                <w:highlight w:val="none"/>
              </w:rPr>
            </w:pPr>
            <w:r>
              <w:rPr>
                <w:rFonts w:hint="eastAsia" w:ascii="宋体" w:hAnsi="宋体" w:cs="宋体"/>
                <w:color w:val="auto"/>
                <w:sz w:val="24"/>
                <w:highlight w:val="none"/>
              </w:rPr>
              <w:t>1</w:t>
            </w:r>
          </w:p>
        </w:tc>
        <w:tc>
          <w:tcPr>
            <w:tcW w:w="8477" w:type="dxa"/>
            <w:noWrap w:val="0"/>
            <w:vAlign w:val="center"/>
          </w:tcPr>
          <w:p>
            <w:pPr>
              <w:spacing w:line="500" w:lineRule="exact"/>
              <w:ind w:left="-31" w:leftChars="-15" w:firstLine="112" w:firstLineChars="47"/>
              <w:rPr>
                <w:rFonts w:ascii="宋体" w:hAnsi="宋体" w:cs="宋体"/>
                <w:color w:val="auto"/>
                <w:sz w:val="24"/>
                <w:highlight w:val="none"/>
              </w:rPr>
            </w:pPr>
            <w:r>
              <w:rPr>
                <w:rFonts w:hint="eastAsia" w:ascii="宋体" w:hAnsi="宋体" w:cs="宋体"/>
                <w:color w:val="auto"/>
                <w:sz w:val="24"/>
                <w:highlight w:val="none"/>
              </w:rPr>
              <w:t>法律法规对相应服务规定的条件：详见磋商公告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1021" w:type="dxa"/>
            <w:noWrap w:val="0"/>
            <w:vAlign w:val="center"/>
          </w:tcPr>
          <w:p>
            <w:pPr>
              <w:spacing w:line="500" w:lineRule="exact"/>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2</w:t>
            </w:r>
          </w:p>
        </w:tc>
        <w:tc>
          <w:tcPr>
            <w:tcW w:w="8477" w:type="dxa"/>
            <w:noWrap w:val="0"/>
            <w:vAlign w:val="center"/>
          </w:tcPr>
          <w:p>
            <w:pPr>
              <w:spacing w:line="500" w:lineRule="exact"/>
              <w:ind w:left="-31" w:leftChars="-15" w:firstLine="112" w:firstLineChars="47"/>
              <w:rPr>
                <w:rFonts w:ascii="宋体" w:hAnsi="宋体" w:cs="宋体"/>
                <w:color w:val="auto"/>
                <w:sz w:val="24"/>
                <w:highlight w:val="none"/>
              </w:rPr>
            </w:pPr>
            <w:r>
              <w:rPr>
                <w:rFonts w:hint="eastAsia" w:ascii="宋体" w:hAnsi="宋体" w:cs="宋体"/>
                <w:color w:val="auto"/>
                <w:sz w:val="24"/>
                <w:highlight w:val="none"/>
              </w:rPr>
              <w:t>是否允许供应商将项目非主体、非关键性工作交由他人完成：是□  否</w:t>
            </w:r>
            <w:r>
              <w:rPr>
                <w:rFonts w:hint="eastAsia" w:ascii="宋体" w:hAnsi="宋体" w:cs="宋体"/>
                <w:color w:val="auto"/>
                <w:sz w:val="24"/>
                <w:highlight w:val="none"/>
              </w:rPr>
              <w:sym w:font="Wingdings 2" w:char="F052"/>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9498" w:type="dxa"/>
            <w:gridSpan w:val="2"/>
            <w:noWrap w:val="0"/>
            <w:vAlign w:val="center"/>
          </w:tcPr>
          <w:p>
            <w:pPr>
              <w:spacing w:line="500" w:lineRule="exact"/>
              <w:ind w:left="-31" w:leftChars="-15" w:firstLine="112" w:firstLineChars="47"/>
              <w:jc w:val="center"/>
              <w:rPr>
                <w:rFonts w:ascii="宋体" w:hAnsi="宋体" w:cs="宋体"/>
                <w:color w:val="auto"/>
                <w:sz w:val="24"/>
                <w:highlight w:val="none"/>
              </w:rPr>
            </w:pPr>
            <w:r>
              <w:rPr>
                <w:rFonts w:hint="eastAsia" w:ascii="宋体" w:hAnsi="宋体" w:cs="宋体"/>
                <w:color w:val="auto"/>
                <w:sz w:val="24"/>
                <w:highlight w:val="none"/>
              </w:rPr>
              <w:t>合同条款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1021" w:type="dxa"/>
            <w:noWrap w:val="0"/>
            <w:vAlign w:val="center"/>
          </w:tcPr>
          <w:p>
            <w:pPr>
              <w:spacing w:line="500" w:lineRule="exact"/>
              <w:jc w:val="center"/>
              <w:rPr>
                <w:rFonts w:ascii="宋体" w:hAnsi="宋体" w:cs="宋体"/>
                <w:color w:val="auto"/>
                <w:sz w:val="24"/>
                <w:highlight w:val="none"/>
              </w:rPr>
            </w:pPr>
            <w:r>
              <w:rPr>
                <w:rFonts w:hint="eastAsia" w:ascii="宋体" w:hAnsi="宋体" w:cs="宋体"/>
                <w:color w:val="auto"/>
                <w:sz w:val="24"/>
                <w:highlight w:val="none"/>
              </w:rPr>
              <w:t>1</w:t>
            </w:r>
          </w:p>
        </w:tc>
        <w:tc>
          <w:tcPr>
            <w:tcW w:w="8477" w:type="dxa"/>
            <w:noWrap w:val="0"/>
            <w:vAlign w:val="center"/>
          </w:tcPr>
          <w:p>
            <w:pPr>
              <w:spacing w:line="500" w:lineRule="exact"/>
              <w:ind w:left="-31" w:leftChars="-15" w:firstLine="112" w:firstLineChars="47"/>
              <w:rPr>
                <w:rFonts w:ascii="宋体" w:hAnsi="宋体" w:cs="宋体"/>
                <w:color w:val="auto"/>
                <w:sz w:val="24"/>
                <w:highlight w:val="none"/>
              </w:rPr>
            </w:pPr>
            <w:r>
              <w:rPr>
                <w:rFonts w:hint="eastAsia" w:ascii="宋体" w:hAnsi="宋体" w:cs="宋体"/>
                <w:color w:val="auto"/>
                <w:sz w:val="24"/>
                <w:highlight w:val="none"/>
              </w:rPr>
              <w:t>付款途径：采购人支付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1021" w:type="dxa"/>
            <w:noWrap w:val="0"/>
            <w:vAlign w:val="center"/>
          </w:tcPr>
          <w:p>
            <w:pPr>
              <w:spacing w:line="500" w:lineRule="exact"/>
              <w:jc w:val="center"/>
              <w:rPr>
                <w:rFonts w:ascii="宋体" w:hAnsi="宋体" w:cs="宋体"/>
                <w:color w:val="auto"/>
                <w:sz w:val="24"/>
                <w:highlight w:val="none"/>
              </w:rPr>
            </w:pPr>
            <w:r>
              <w:rPr>
                <w:rFonts w:hint="eastAsia" w:ascii="宋体" w:hAnsi="宋体" w:cs="宋体"/>
                <w:color w:val="auto"/>
                <w:sz w:val="24"/>
                <w:highlight w:val="none"/>
              </w:rPr>
              <w:t>2</w:t>
            </w:r>
          </w:p>
        </w:tc>
        <w:tc>
          <w:tcPr>
            <w:tcW w:w="8477" w:type="dxa"/>
            <w:noWrap w:val="0"/>
            <w:vAlign w:val="center"/>
          </w:tcPr>
          <w:p>
            <w:pPr>
              <w:spacing w:line="500" w:lineRule="exact"/>
              <w:rPr>
                <w:rFonts w:ascii="宋体" w:hAnsi="宋体" w:cs="宋体"/>
                <w:color w:val="auto"/>
                <w:sz w:val="24"/>
                <w:highlight w:val="none"/>
              </w:rPr>
            </w:pPr>
            <w:r>
              <w:rPr>
                <w:rFonts w:hint="eastAsia" w:ascii="宋体" w:hAnsi="宋体" w:cs="宋体"/>
                <w:color w:val="auto"/>
                <w:sz w:val="24"/>
                <w:highlight w:val="none"/>
              </w:rPr>
              <w:t>付款方式：</w:t>
            </w:r>
            <w:r>
              <w:rPr>
                <w:rFonts w:hint="eastAsia" w:ascii="宋体" w:hAnsi="宋体" w:cs="宋体"/>
                <w:color w:val="auto"/>
                <w:sz w:val="24"/>
                <w:highlight w:val="none"/>
              </w:rPr>
              <w:t>合同签订并生效，项目实施完成经验收合格且审计后</w:t>
            </w:r>
            <w:r>
              <w:rPr>
                <w:rFonts w:hint="eastAsia" w:ascii="宋体" w:hAnsi="宋体" w:cs="宋体"/>
                <w:color w:val="auto"/>
                <w:sz w:val="24"/>
                <w:highlight w:val="none"/>
                <w:lang w:eastAsia="zh-CN"/>
              </w:rPr>
              <w:t>（</w:t>
            </w:r>
            <w:r>
              <w:rPr>
                <w:rFonts w:hint="eastAsia" w:ascii="宋体" w:hAnsi="宋体" w:cs="宋体"/>
                <w:color w:val="auto"/>
                <w:sz w:val="24"/>
                <w:highlight w:val="none"/>
              </w:rPr>
              <w:t>审计费用按鲁价费发</w:t>
            </w:r>
            <w:r>
              <w:rPr>
                <w:rFonts w:hint="eastAsia" w:ascii="宋体" w:hAnsi="宋体" w:cs="宋体"/>
                <w:color w:val="auto"/>
                <w:sz w:val="24"/>
                <w:highlight w:val="none"/>
                <w:lang w:eastAsia="zh-CN"/>
              </w:rPr>
              <w:t>〔</w:t>
            </w:r>
            <w:r>
              <w:rPr>
                <w:rFonts w:hint="eastAsia" w:ascii="宋体" w:hAnsi="宋体" w:cs="宋体"/>
                <w:color w:val="auto"/>
                <w:sz w:val="24"/>
                <w:highlight w:val="none"/>
              </w:rPr>
              <w:t>2004</w:t>
            </w:r>
            <w:r>
              <w:rPr>
                <w:rFonts w:hint="eastAsia" w:ascii="宋体" w:hAnsi="宋体" w:cs="宋体"/>
                <w:color w:val="auto"/>
                <w:sz w:val="24"/>
                <w:highlight w:val="none"/>
                <w:lang w:eastAsia="zh-CN"/>
              </w:rPr>
              <w:t>〕</w:t>
            </w:r>
            <w:r>
              <w:rPr>
                <w:rFonts w:hint="eastAsia" w:ascii="宋体" w:hAnsi="宋体" w:cs="宋体"/>
                <w:color w:val="auto"/>
                <w:sz w:val="24"/>
                <w:highlight w:val="none"/>
              </w:rPr>
              <w:t>239号文执行，由成交人承担</w:t>
            </w:r>
            <w:r>
              <w:rPr>
                <w:rFonts w:hint="eastAsia" w:ascii="宋体" w:hAnsi="宋体" w:cs="宋体"/>
                <w:color w:val="auto"/>
                <w:sz w:val="24"/>
                <w:highlight w:val="none"/>
                <w:lang w:eastAsia="zh-CN"/>
              </w:rPr>
              <w:t>）</w:t>
            </w:r>
            <w:r>
              <w:rPr>
                <w:rFonts w:hint="eastAsia" w:ascii="宋体" w:hAnsi="宋体" w:cs="宋体"/>
                <w:color w:val="auto"/>
                <w:sz w:val="24"/>
                <w:highlight w:val="none"/>
              </w:rPr>
              <w:t>，采购人向成交人一次性全额支付审定额货款。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1021" w:type="dxa"/>
            <w:noWrap w:val="0"/>
            <w:vAlign w:val="center"/>
          </w:tcPr>
          <w:p>
            <w:pPr>
              <w:spacing w:line="500" w:lineRule="exact"/>
              <w:jc w:val="center"/>
              <w:rPr>
                <w:rFonts w:ascii="宋体" w:hAnsi="宋体" w:cs="宋体"/>
                <w:color w:val="auto"/>
                <w:sz w:val="24"/>
                <w:highlight w:val="none"/>
              </w:rPr>
            </w:pPr>
            <w:r>
              <w:rPr>
                <w:rFonts w:hint="eastAsia" w:ascii="宋体" w:hAnsi="宋体" w:cs="宋体"/>
                <w:color w:val="auto"/>
                <w:sz w:val="24"/>
                <w:highlight w:val="none"/>
              </w:rPr>
              <w:t>3</w:t>
            </w:r>
          </w:p>
        </w:tc>
        <w:tc>
          <w:tcPr>
            <w:tcW w:w="8477" w:type="dxa"/>
            <w:noWrap w:val="0"/>
            <w:vAlign w:val="center"/>
          </w:tcPr>
          <w:p>
            <w:pPr>
              <w:pStyle w:val="73"/>
              <w:keepNext w:val="0"/>
              <w:keepLines w:val="0"/>
              <w:pageBreakBefore w:val="0"/>
              <w:widowControl w:val="0"/>
              <w:tabs>
                <w:tab w:val="left" w:pos="1704"/>
              </w:tabs>
              <w:kinsoku/>
              <w:wordWrap/>
              <w:overflowPunct/>
              <w:topLinePunct w:val="0"/>
              <w:autoSpaceDE/>
              <w:autoSpaceDN/>
              <w:bidi w:val="0"/>
              <w:adjustRightInd/>
              <w:snapToGrid/>
              <w:spacing w:line="480" w:lineRule="exact"/>
              <w:ind w:left="0" w:leftChars="0" w:right="0" w:firstLine="0" w:firstLineChars="0"/>
              <w:jc w:val="left"/>
              <w:textAlignment w:val="auto"/>
              <w:rPr>
                <w:rFonts w:hint="eastAsia" w:ascii="宋体" w:hAnsi="宋体" w:eastAsia="宋体" w:cs="宋体"/>
                <w:color w:val="auto"/>
                <w:sz w:val="24"/>
                <w:highlight w:val="none"/>
                <w:lang w:eastAsia="zh-CN"/>
              </w:rPr>
            </w:pPr>
            <w:r>
              <w:rPr>
                <w:rFonts w:hint="eastAsia" w:ascii="宋体" w:hAnsi="宋体" w:cs="宋体"/>
                <w:color w:val="auto"/>
                <w:sz w:val="24"/>
                <w:highlight w:val="none"/>
              </w:rPr>
              <w:t>服务</w:t>
            </w:r>
            <w:r>
              <w:rPr>
                <w:rFonts w:hint="eastAsia" w:cs="宋体"/>
                <w:color w:val="auto"/>
                <w:sz w:val="24"/>
                <w:highlight w:val="none"/>
                <w:lang w:val="en-US" w:eastAsia="zh-CN"/>
              </w:rPr>
              <w:t>周期要求</w:t>
            </w:r>
            <w:r>
              <w:rPr>
                <w:rFonts w:hint="eastAsia" w:ascii="宋体" w:hAnsi="宋体" w:cs="宋体"/>
                <w:color w:val="auto"/>
                <w:sz w:val="24"/>
                <w:highlight w:val="none"/>
              </w:rPr>
              <w:t>：</w:t>
            </w:r>
            <w:r>
              <w:rPr>
                <w:rFonts w:hint="eastAsia" w:ascii="宋体" w:hAnsi="宋体" w:cs="宋体"/>
                <w:color w:val="auto"/>
                <w:sz w:val="24"/>
                <w:highlight w:val="none"/>
              </w:rPr>
              <w:t>成交生效起</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日内供货完毕。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1021" w:type="dxa"/>
            <w:noWrap w:val="0"/>
            <w:vAlign w:val="center"/>
          </w:tcPr>
          <w:p>
            <w:pPr>
              <w:spacing w:line="500" w:lineRule="exact"/>
              <w:jc w:val="center"/>
              <w:rPr>
                <w:rFonts w:ascii="宋体" w:hAnsi="宋体" w:cs="宋体"/>
                <w:color w:val="auto"/>
                <w:sz w:val="24"/>
                <w:highlight w:val="none"/>
              </w:rPr>
            </w:pPr>
            <w:r>
              <w:rPr>
                <w:rFonts w:hint="eastAsia" w:ascii="宋体" w:hAnsi="宋体" w:cs="宋体"/>
                <w:color w:val="auto"/>
                <w:sz w:val="24"/>
                <w:highlight w:val="none"/>
              </w:rPr>
              <w:t>4</w:t>
            </w:r>
          </w:p>
        </w:tc>
        <w:tc>
          <w:tcPr>
            <w:tcW w:w="8477" w:type="dxa"/>
            <w:noWrap w:val="0"/>
            <w:vAlign w:val="center"/>
          </w:tcPr>
          <w:p>
            <w:pPr>
              <w:spacing w:line="500" w:lineRule="exact"/>
              <w:ind w:left="-31" w:leftChars="-15" w:firstLine="112" w:firstLineChars="47"/>
              <w:rPr>
                <w:rFonts w:ascii="宋体" w:hAnsi="宋体" w:cs="宋体"/>
                <w:color w:val="auto"/>
                <w:sz w:val="24"/>
                <w:highlight w:val="none"/>
              </w:rPr>
            </w:pPr>
            <w:r>
              <w:rPr>
                <w:rFonts w:hint="eastAsia" w:ascii="宋体" w:hAnsi="宋体" w:cs="宋体"/>
                <w:color w:val="auto"/>
                <w:sz w:val="24"/>
                <w:highlight w:val="none"/>
              </w:rPr>
              <w:t>交付地点：临沂大学指定地点。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1021" w:type="dxa"/>
            <w:noWrap w:val="0"/>
            <w:vAlign w:val="center"/>
          </w:tcPr>
          <w:p>
            <w:pPr>
              <w:spacing w:line="500" w:lineRule="exact"/>
              <w:jc w:val="center"/>
              <w:rPr>
                <w:rFonts w:hint="eastAsia" w:ascii="宋体" w:hAnsi="宋体" w:cs="宋体"/>
                <w:color w:val="auto"/>
                <w:sz w:val="24"/>
                <w:highlight w:val="none"/>
              </w:rPr>
            </w:pPr>
            <w:r>
              <w:rPr>
                <w:rFonts w:hint="eastAsia" w:ascii="宋体" w:hAnsi="宋体" w:cs="宋体"/>
                <w:color w:val="auto"/>
                <w:sz w:val="24"/>
                <w:highlight w:val="none"/>
              </w:rPr>
              <w:t>5</w:t>
            </w:r>
          </w:p>
        </w:tc>
        <w:tc>
          <w:tcPr>
            <w:tcW w:w="8477" w:type="dxa"/>
            <w:noWrap w:val="0"/>
            <w:vAlign w:val="center"/>
          </w:tcPr>
          <w:p>
            <w:pPr>
              <w:spacing w:line="500" w:lineRule="exact"/>
              <w:ind w:left="-31" w:leftChars="-15" w:firstLine="112" w:firstLineChars="47"/>
              <w:rPr>
                <w:rFonts w:ascii="宋体" w:hAnsi="宋体" w:cs="宋体"/>
                <w:color w:val="auto"/>
                <w:sz w:val="24"/>
                <w:highlight w:val="none"/>
              </w:rPr>
            </w:pPr>
            <w:r>
              <w:rPr>
                <w:rFonts w:hint="eastAsia" w:ascii="宋体" w:hAnsi="宋体" w:cs="宋体"/>
                <w:color w:val="auto"/>
                <w:sz w:val="24"/>
                <w:highlight w:val="none"/>
              </w:rPr>
              <w:t>争议的解决：提交采购人所在地人民法院。</w:t>
            </w:r>
          </w:p>
        </w:tc>
      </w:tr>
    </w:tbl>
    <w:p>
      <w:pPr>
        <w:spacing w:line="480" w:lineRule="exact"/>
        <w:rPr>
          <w:rFonts w:ascii="宋体" w:hAnsi="宋体" w:cs="宋体"/>
          <w:color w:val="auto"/>
          <w:sz w:val="24"/>
          <w:highlight w:val="none"/>
        </w:rPr>
        <w:sectPr>
          <w:headerReference r:id="rId7" w:type="default"/>
          <w:footerReference r:id="rId9" w:type="default"/>
          <w:headerReference r:id="rId8" w:type="even"/>
          <w:footerReference r:id="rId10" w:type="even"/>
          <w:pgSz w:w="11906" w:h="16838"/>
          <w:pgMar w:top="1440" w:right="1797" w:bottom="1440" w:left="1797" w:header="851" w:footer="992" w:gutter="0"/>
          <w:pgBorders>
            <w:top w:val="none" w:sz="0" w:space="0"/>
            <w:left w:val="none" w:sz="0" w:space="0"/>
            <w:bottom w:val="none" w:sz="0" w:space="0"/>
            <w:right w:val="none" w:sz="0" w:space="0"/>
          </w:pgBorders>
          <w:cols w:space="720" w:num="1"/>
          <w:docGrid w:linePitch="312" w:charSpace="0"/>
        </w:sectPr>
      </w:pPr>
    </w:p>
    <w:bookmarkEnd w:id="205"/>
    <w:p>
      <w:pPr>
        <w:pStyle w:val="3"/>
        <w:tabs>
          <w:tab w:val="left" w:pos="0"/>
        </w:tabs>
        <w:spacing w:before="0" w:after="0" w:line="480" w:lineRule="exact"/>
        <w:ind w:firstLine="2088" w:firstLineChars="650"/>
        <w:jc w:val="both"/>
        <w:rPr>
          <w:rFonts w:hint="eastAsia" w:ascii="宋体" w:hAnsi="宋体" w:eastAsia="宋体" w:cs="宋体"/>
          <w:color w:val="auto"/>
          <w:szCs w:val="32"/>
          <w:highlight w:val="none"/>
        </w:rPr>
      </w:pPr>
      <w:bookmarkStart w:id="239" w:name="_Toc512937852"/>
      <w:r>
        <w:rPr>
          <w:rFonts w:hint="eastAsia" w:ascii="宋体" w:hAnsi="宋体" w:eastAsia="宋体" w:cs="宋体"/>
          <w:color w:val="auto"/>
          <w:highlight w:val="none"/>
          <w:lang w:val="en-US" w:eastAsia="zh-CN"/>
        </w:rPr>
        <w:t xml:space="preserve">第4章 </w:t>
      </w:r>
      <w:r>
        <w:rPr>
          <w:rFonts w:hint="eastAsia" w:ascii="宋体" w:hAnsi="宋体" w:eastAsia="宋体" w:cs="宋体"/>
          <w:color w:val="auto"/>
          <w:highlight w:val="none"/>
        </w:rPr>
        <w:t>货物需求一览表及技术规格</w:t>
      </w:r>
    </w:p>
    <w:bookmarkEnd w:id="239"/>
    <w:p>
      <w:pPr>
        <w:spacing w:line="500" w:lineRule="exact"/>
        <w:rPr>
          <w:rFonts w:hint="eastAsia" w:ascii="宋体" w:hAnsi="宋体"/>
          <w:b/>
          <w:color w:val="auto"/>
          <w:sz w:val="28"/>
          <w:szCs w:val="28"/>
          <w:highlight w:val="none"/>
        </w:rPr>
      </w:pPr>
      <w:bookmarkStart w:id="240" w:name="_Toc216582826"/>
      <w:bookmarkStart w:id="241" w:name="_Toc218935355"/>
      <w:bookmarkStart w:id="242" w:name="_Toc219175639"/>
      <w:r>
        <w:rPr>
          <w:rFonts w:hint="eastAsia" w:ascii="宋体" w:hAnsi="宋体"/>
          <w:b/>
          <w:color w:val="auto"/>
          <w:sz w:val="28"/>
          <w:szCs w:val="28"/>
          <w:highlight w:val="none"/>
          <w:lang w:val="en-US" w:eastAsia="zh-CN"/>
        </w:rPr>
        <w:t>一、</w:t>
      </w:r>
      <w:r>
        <w:rPr>
          <w:rFonts w:hint="eastAsia" w:ascii="宋体" w:hAnsi="宋体"/>
          <w:b/>
          <w:color w:val="auto"/>
          <w:sz w:val="28"/>
          <w:szCs w:val="28"/>
          <w:highlight w:val="none"/>
        </w:rPr>
        <w:t>项目采购清单</w:t>
      </w:r>
    </w:p>
    <w:tbl>
      <w:tblPr>
        <w:tblStyle w:val="29"/>
        <w:tblpPr w:leftFromText="180" w:rightFromText="180" w:vertAnchor="text" w:tblpX="-458" w:tblpY="1"/>
        <w:tblOverlap w:val="never"/>
        <w:tblW w:w="5619"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0" w:type="dxa"/>
          <w:bottom w:w="0" w:type="dxa"/>
          <w:right w:w="0" w:type="dxa"/>
        </w:tblCellMar>
      </w:tblPr>
      <w:tblGrid>
        <w:gridCol w:w="706"/>
        <w:gridCol w:w="1235"/>
        <w:gridCol w:w="5310"/>
        <w:gridCol w:w="951"/>
        <w:gridCol w:w="11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667" w:hRule="atLeast"/>
        </w:trPr>
        <w:tc>
          <w:tcPr>
            <w:tcW w:w="377" w:type="pct"/>
            <w:tcBorders>
              <w:tl2br w:val="nil"/>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660" w:type="pct"/>
            <w:shd w:val="clear" w:color="auto" w:fill="auto"/>
            <w:vAlign w:val="center"/>
          </w:tcPr>
          <w:p>
            <w:pPr>
              <w:keepNext w:val="0"/>
              <w:keepLines w:val="0"/>
              <w:pageBreakBefore w:val="0"/>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名称</w:t>
            </w:r>
          </w:p>
        </w:tc>
        <w:tc>
          <w:tcPr>
            <w:tcW w:w="2837" w:type="pct"/>
            <w:shd w:val="clear" w:color="auto" w:fill="auto"/>
            <w:vAlign w:val="center"/>
          </w:tcPr>
          <w:p>
            <w:pPr>
              <w:keepNext w:val="0"/>
              <w:keepLines w:val="0"/>
              <w:pageBreakBefore w:val="0"/>
              <w:kinsoku/>
              <w:wordWrap/>
              <w:overflowPunct/>
              <w:topLinePunct w:val="0"/>
              <w:autoSpaceDE/>
              <w:autoSpaceDN/>
              <w:bidi w:val="0"/>
              <w:adjustRightInd w:val="0"/>
              <w:snapToGrid w:val="0"/>
              <w:spacing w:line="500" w:lineRule="exact"/>
              <w:ind w:left="218" w:leftChars="104" w:firstLine="0" w:firstLineChars="0"/>
              <w:jc w:val="center"/>
              <w:textAlignment w:val="auto"/>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印刷技术要求及用料要求（尺寸、材质、页数、封面与内页印刷要求、印刷数量）</w:t>
            </w:r>
          </w:p>
        </w:tc>
        <w:tc>
          <w:tcPr>
            <w:tcW w:w="508" w:type="pct"/>
            <w:shd w:val="clear" w:color="auto" w:fill="auto"/>
            <w:vAlign w:val="center"/>
          </w:tcPr>
          <w:p>
            <w:pPr>
              <w:keepNext w:val="0"/>
              <w:keepLines w:val="0"/>
              <w:pageBreakBefore w:val="0"/>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数量</w:t>
            </w:r>
          </w:p>
        </w:tc>
        <w:tc>
          <w:tcPr>
            <w:tcW w:w="614" w:type="pct"/>
            <w:shd w:val="clear" w:color="auto" w:fill="auto"/>
            <w:vAlign w:val="center"/>
          </w:tcPr>
          <w:p>
            <w:pPr>
              <w:keepNext w:val="0"/>
              <w:keepLines w:val="0"/>
              <w:pageBreakBefore w:val="0"/>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1572" w:hRule="atLeast"/>
        </w:trPr>
        <w:tc>
          <w:tcPr>
            <w:tcW w:w="377" w:type="pct"/>
            <w:shd w:val="clear" w:color="auto" w:fill="auto"/>
            <w:vAlign w:val="center"/>
          </w:tcPr>
          <w:p>
            <w:pPr>
              <w:keepNext w:val="0"/>
              <w:keepLines w:val="0"/>
              <w:pageBreakBefore w:val="0"/>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660" w:type="pct"/>
            <w:shd w:val="clear" w:color="auto" w:fill="auto"/>
            <w:vAlign w:val="center"/>
          </w:tcPr>
          <w:p>
            <w:pPr>
              <w:keepNext w:val="0"/>
              <w:keepLines w:val="0"/>
              <w:pageBreakBefore w:val="0"/>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全日制本专科生毕业证书</w:t>
            </w:r>
          </w:p>
        </w:tc>
        <w:tc>
          <w:tcPr>
            <w:tcW w:w="2837" w:type="pct"/>
            <w:shd w:val="clear" w:color="auto" w:fill="auto"/>
            <w:vAlign w:val="center"/>
          </w:tcPr>
          <w:p>
            <w:pPr>
              <w:keepNext w:val="0"/>
              <w:keepLines w:val="0"/>
              <w:pageBreakBefore w:val="0"/>
              <w:kinsoku/>
              <w:wordWrap/>
              <w:overflowPunct/>
              <w:topLinePunct w:val="0"/>
              <w:autoSpaceDE/>
              <w:autoSpaceDN/>
              <w:bidi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（提供最终成品样品及用材样品）</w:t>
            </w:r>
          </w:p>
          <w:p>
            <w:pPr>
              <w:keepNext w:val="0"/>
              <w:keepLines w:val="0"/>
              <w:pageBreakBefore w:val="0"/>
              <w:kinsoku/>
              <w:wordWrap/>
              <w:overflowPunct/>
              <w:topLinePunct w:val="0"/>
              <w:autoSpaceDE/>
              <w:autoSpaceDN/>
              <w:bidi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内容、版式、尺寸与教育部现行式样一致，纸张、油墨、工艺材质、防伪技术不低于教育部相应要求。</w:t>
            </w:r>
          </w:p>
          <w:p>
            <w:pPr>
              <w:keepNext w:val="0"/>
              <w:keepLines w:val="0"/>
              <w:pageBreakBefore w:val="0"/>
              <w:numPr>
                <w:ilvl w:val="0"/>
                <w:numId w:val="0"/>
              </w:numPr>
              <w:kinsoku/>
              <w:wordWrap/>
              <w:overflowPunct/>
              <w:topLinePunct w:val="0"/>
              <w:autoSpaceDE/>
              <w:autoSpaceDN/>
              <w:bidi w:val="0"/>
              <w:adjustRightInd w:val="0"/>
              <w:snapToGrid w:val="0"/>
              <w:spacing w:line="500" w:lineRule="exact"/>
              <w:ind w:leftChars="104"/>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1.尺寸 235mm</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长</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*165mm</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宽</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，专用 150 克防伪水印纸。</w:t>
            </w:r>
          </w:p>
          <w:p>
            <w:pPr>
              <w:keepNext w:val="0"/>
              <w:keepLines w:val="0"/>
              <w:pageBreakBefore w:val="0"/>
              <w:numPr>
                <w:ilvl w:val="0"/>
                <w:numId w:val="0"/>
              </w:numPr>
              <w:kinsoku/>
              <w:wordWrap/>
              <w:overflowPunct/>
              <w:topLinePunct w:val="0"/>
              <w:autoSpaceDE/>
              <w:autoSpaceDN/>
              <w:bidi w:val="0"/>
              <w:adjustRightInd w:val="0"/>
              <w:snapToGrid w:val="0"/>
              <w:spacing w:line="500" w:lineRule="exact"/>
              <w:ind w:leftChars="104"/>
              <w:textAlignment w:val="auto"/>
              <w:rPr>
                <w:rFonts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采用无色荧光油墨印刷技术，在防伪荧光灯照射下可以清晰的看到红蓝色防伪丝，并且红色的“毕业证书”字样会发红光，在毕业证书字样下方可以清晰的看到“普通高等学历证书”的绿色拼音荧光字样。</w:t>
            </w:r>
          </w:p>
          <w:p>
            <w:pPr>
              <w:keepNext w:val="0"/>
              <w:keepLines w:val="0"/>
              <w:pageBreakBefore w:val="0"/>
              <w:kinsoku/>
              <w:wordWrap/>
              <w:overflowPunct/>
              <w:topLinePunct w:val="0"/>
              <w:autoSpaceDE/>
              <w:autoSpaceDN/>
              <w:bidi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3.证书上打印学生学籍学业基本信息及照片，照片覆膜，色彩与学信网上学历照片一致。</w:t>
            </w:r>
          </w:p>
        </w:tc>
        <w:tc>
          <w:tcPr>
            <w:tcW w:w="508" w:type="pct"/>
            <w:shd w:val="clear" w:color="auto" w:fill="auto"/>
            <w:vAlign w:val="center"/>
          </w:tcPr>
          <w:p>
            <w:pPr>
              <w:keepNext w:val="0"/>
              <w:keepLines w:val="0"/>
              <w:pageBreakBefore w:val="0"/>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16900</w:t>
            </w:r>
          </w:p>
        </w:tc>
        <w:tc>
          <w:tcPr>
            <w:tcW w:w="614" w:type="pct"/>
            <w:shd w:val="clear" w:color="auto" w:fill="auto"/>
            <w:vAlign w:val="center"/>
          </w:tcPr>
          <w:p>
            <w:pPr>
              <w:keepNext w:val="0"/>
              <w:keepLines w:val="0"/>
              <w:pageBreakBefore w:val="0"/>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90" w:hRule="atLeast"/>
        </w:trPr>
        <w:tc>
          <w:tcPr>
            <w:tcW w:w="377" w:type="pct"/>
            <w:shd w:val="clear" w:color="auto" w:fill="auto"/>
            <w:vAlign w:val="center"/>
          </w:tcPr>
          <w:p>
            <w:pPr>
              <w:keepNext w:val="0"/>
              <w:keepLines w:val="0"/>
              <w:pageBreakBefore w:val="0"/>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660" w:type="pct"/>
            <w:shd w:val="clear" w:color="auto" w:fill="auto"/>
            <w:vAlign w:val="center"/>
          </w:tcPr>
          <w:p>
            <w:pPr>
              <w:keepNext w:val="0"/>
              <w:keepLines w:val="0"/>
              <w:pageBreakBefore w:val="0"/>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全日制本专科生毕业证书封套</w:t>
            </w:r>
          </w:p>
        </w:tc>
        <w:tc>
          <w:tcPr>
            <w:tcW w:w="2837" w:type="pct"/>
            <w:shd w:val="clear" w:color="auto" w:fill="auto"/>
            <w:vAlign w:val="center"/>
          </w:tcPr>
          <w:p>
            <w:pPr>
              <w:keepNext w:val="0"/>
              <w:keepLines w:val="0"/>
              <w:pageBreakBefore w:val="0"/>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（提供最终成品样品及用材样品）</w:t>
            </w:r>
          </w:p>
          <w:p>
            <w:pPr>
              <w:keepNext w:val="0"/>
              <w:keepLines w:val="0"/>
              <w:pageBreakBefore w:val="0"/>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1.规格（对折后）：247mm</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长</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*174mm</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宽</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w:t>
            </w:r>
          </w:p>
          <w:p>
            <w:pPr>
              <w:keepNext w:val="0"/>
              <w:keepLines w:val="0"/>
              <w:pageBreakBefore w:val="0"/>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2.面料：雅利泰荔枝纹充皮纸。</w:t>
            </w:r>
          </w:p>
          <w:p>
            <w:pPr>
              <w:keepNext w:val="0"/>
              <w:keepLines w:val="0"/>
              <w:pageBreakBefore w:val="0"/>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3.内部硬纸板：采用优质环保的 2.4MM 全纸浆高光板。</w:t>
            </w:r>
          </w:p>
          <w:p>
            <w:pPr>
              <w:keepNext w:val="0"/>
              <w:keepLines w:val="0"/>
              <w:pageBreakBefore w:val="0"/>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4.内衬海绵：净比重为大于等于 30 的高弹性软泡</w:t>
            </w:r>
            <w:r>
              <w:rPr>
                <w:rFonts w:hint="eastAsia" w:ascii="宋体" w:hAnsi="宋体" w:cs="宋体"/>
                <w:color w:val="auto"/>
                <w:sz w:val="24"/>
                <w:szCs w:val="24"/>
                <w:highlight w:val="none"/>
                <w:lang w:eastAsia="zh-CN"/>
              </w:rPr>
              <w:t>海绵</w:t>
            </w:r>
            <w:r>
              <w:rPr>
                <w:rFonts w:hint="eastAsia" w:ascii="宋体" w:hAnsi="宋体" w:eastAsia="宋体" w:cs="宋体"/>
                <w:color w:val="auto"/>
                <w:sz w:val="24"/>
                <w:szCs w:val="24"/>
                <w:highlight w:val="none"/>
              </w:rPr>
              <w:t>，2.8mm 厚。</w:t>
            </w:r>
          </w:p>
          <w:p>
            <w:pPr>
              <w:keepNext w:val="0"/>
              <w:keepLines w:val="0"/>
              <w:pageBreakBefore w:val="0"/>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5.打开方式：上下对折。</w:t>
            </w:r>
          </w:p>
          <w:p>
            <w:pPr>
              <w:keepNext w:val="0"/>
              <w:keepLines w:val="0"/>
              <w:pageBreakBefore w:val="0"/>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6.封皮面烫金，印有临沂大学校徽、校名及“毕业证书”字样。</w:t>
            </w:r>
          </w:p>
          <w:p>
            <w:pPr>
              <w:keepNext w:val="0"/>
              <w:keepLines w:val="0"/>
              <w:pageBreakBefore w:val="0"/>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7.证书内衬采用120g冰白玫瑰花纸包1.2mm厚纯木浆纸板，使用油胶双面胶带固定，采用金边象牙白丝带张贴四角，用于固定证书。证书垫上方覆18丝真品磨砂膜，以保护证书。</w:t>
            </w:r>
          </w:p>
          <w:p>
            <w:pPr>
              <w:keepNext w:val="0"/>
              <w:keepLines w:val="0"/>
              <w:pageBreakBefore w:val="0"/>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8.证书封二采用150g珠光纸四色印刷，印有学校风景图及校训字样，要求印刷清晰不糊版。</w:t>
            </w:r>
          </w:p>
        </w:tc>
        <w:tc>
          <w:tcPr>
            <w:tcW w:w="508" w:type="pct"/>
            <w:shd w:val="clear" w:color="auto" w:fill="auto"/>
            <w:vAlign w:val="center"/>
          </w:tcPr>
          <w:p>
            <w:pPr>
              <w:keepNext w:val="0"/>
              <w:keepLines w:val="0"/>
              <w:pageBreakBefore w:val="0"/>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14180</w:t>
            </w:r>
          </w:p>
        </w:tc>
        <w:tc>
          <w:tcPr>
            <w:tcW w:w="614" w:type="pct"/>
            <w:shd w:val="clear" w:color="auto" w:fill="auto"/>
            <w:vAlign w:val="center"/>
          </w:tcPr>
          <w:p>
            <w:pPr>
              <w:keepNext w:val="0"/>
              <w:keepLines w:val="0"/>
              <w:pageBreakBefore w:val="0"/>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（含辅修专业证书封套180个）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7" w:hRule="atLeast"/>
        </w:trPr>
        <w:tc>
          <w:tcPr>
            <w:tcW w:w="377" w:type="pct"/>
            <w:shd w:val="clear" w:color="auto" w:fill="auto"/>
            <w:vAlign w:val="center"/>
          </w:tcPr>
          <w:p>
            <w:pPr>
              <w:keepNext w:val="0"/>
              <w:keepLines w:val="0"/>
              <w:pageBreakBefore w:val="0"/>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660" w:type="pct"/>
            <w:shd w:val="clear" w:color="auto" w:fill="auto"/>
            <w:vAlign w:val="center"/>
          </w:tcPr>
          <w:p>
            <w:pPr>
              <w:keepNext w:val="0"/>
              <w:keepLines w:val="0"/>
              <w:pageBreakBefore w:val="0"/>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全日制本科生学士学位证书</w:t>
            </w:r>
          </w:p>
        </w:tc>
        <w:tc>
          <w:tcPr>
            <w:tcW w:w="2837" w:type="pct"/>
            <w:shd w:val="clear" w:color="auto" w:fill="auto"/>
            <w:vAlign w:val="center"/>
          </w:tcPr>
          <w:p>
            <w:pPr>
              <w:keepNext w:val="0"/>
              <w:keepLines w:val="0"/>
              <w:pageBreakBefore w:val="0"/>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（提供最终成品样品及用材样品）</w:t>
            </w:r>
          </w:p>
          <w:p>
            <w:pPr>
              <w:keepNext w:val="0"/>
              <w:keepLines w:val="0"/>
              <w:pageBreakBefore w:val="0"/>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1.尺寸：297mm</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长</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*210mm</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宽</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w:t>
            </w:r>
          </w:p>
          <w:p>
            <w:pPr>
              <w:keepNext w:val="0"/>
              <w:keepLines w:val="0"/>
              <w:pageBreakBefore w:val="0"/>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2.专用 150 克防伪水印纸，同时采用无色荧光油墨印刷技术，在防伪荧光灯照射下可以清晰的看到绿色防伪丝，并且校名“临沂大学”四个大字左侧可见清晰的校徽图案。</w:t>
            </w:r>
          </w:p>
          <w:p>
            <w:pPr>
              <w:keepNext w:val="0"/>
              <w:keepLines w:val="0"/>
              <w:pageBreakBefore w:val="0"/>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3.证书上打印学生学籍学业基本信息及照片，照片覆膜，色彩与学信网上学历照片一致。</w:t>
            </w:r>
          </w:p>
        </w:tc>
        <w:tc>
          <w:tcPr>
            <w:tcW w:w="508" w:type="pct"/>
            <w:shd w:val="clear" w:color="auto" w:fill="auto"/>
            <w:vAlign w:val="center"/>
          </w:tcPr>
          <w:p>
            <w:pPr>
              <w:keepNext w:val="0"/>
              <w:keepLines w:val="0"/>
              <w:pageBreakBefore w:val="0"/>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12000</w:t>
            </w:r>
          </w:p>
        </w:tc>
        <w:tc>
          <w:tcPr>
            <w:tcW w:w="614" w:type="pct"/>
            <w:shd w:val="clear" w:color="auto" w:fill="auto"/>
            <w:vAlign w:val="center"/>
          </w:tcPr>
          <w:p>
            <w:pPr>
              <w:keepNext w:val="0"/>
              <w:keepLines w:val="0"/>
              <w:pageBreakBefore w:val="0"/>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886" w:hRule="atLeast"/>
        </w:trPr>
        <w:tc>
          <w:tcPr>
            <w:tcW w:w="377" w:type="pct"/>
            <w:shd w:val="clear" w:color="auto" w:fill="auto"/>
            <w:vAlign w:val="center"/>
          </w:tcPr>
          <w:p>
            <w:pPr>
              <w:keepNext w:val="0"/>
              <w:keepLines w:val="0"/>
              <w:pageBreakBefore w:val="0"/>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660" w:type="pct"/>
            <w:shd w:val="clear" w:color="auto" w:fill="auto"/>
            <w:vAlign w:val="center"/>
          </w:tcPr>
          <w:p>
            <w:pPr>
              <w:keepNext w:val="0"/>
              <w:keepLines w:val="0"/>
              <w:pageBreakBefore w:val="0"/>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全日制本科生学士学位证书封套</w:t>
            </w:r>
          </w:p>
        </w:tc>
        <w:tc>
          <w:tcPr>
            <w:tcW w:w="2837" w:type="pct"/>
            <w:shd w:val="clear" w:color="auto" w:fill="auto"/>
            <w:vAlign w:val="center"/>
          </w:tcPr>
          <w:p>
            <w:pPr>
              <w:keepNext w:val="0"/>
              <w:keepLines w:val="0"/>
              <w:pageBreakBefore w:val="0"/>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（提供最终成品样品及用材样品）</w:t>
            </w:r>
          </w:p>
          <w:p>
            <w:pPr>
              <w:keepNext w:val="0"/>
              <w:keepLines w:val="0"/>
              <w:pageBreakBefore w:val="0"/>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1.规格（对折后）：306mm</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长</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*224mm</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宽</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w:t>
            </w:r>
          </w:p>
          <w:p>
            <w:pPr>
              <w:keepNext w:val="0"/>
              <w:keepLines w:val="0"/>
              <w:pageBreakBefore w:val="0"/>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2.面料：国产优质环保 PVC 装帧纸墨绿磨砂。无毒无异味，不发霉不开胶。无毒无异味，不发霉不开胶。</w:t>
            </w:r>
          </w:p>
          <w:p>
            <w:pPr>
              <w:keepNext w:val="0"/>
              <w:keepLines w:val="0"/>
              <w:pageBreakBefore w:val="0"/>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3.内部硬纸板：采用采用优质环保的 2.4MM 全纸浆高光板。</w:t>
            </w:r>
          </w:p>
          <w:p>
            <w:pPr>
              <w:keepNext w:val="0"/>
              <w:keepLines w:val="0"/>
              <w:pageBreakBefore w:val="0"/>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4.打开方式：上下对折。</w:t>
            </w:r>
          </w:p>
          <w:p>
            <w:pPr>
              <w:keepNext w:val="0"/>
              <w:keepLines w:val="0"/>
              <w:pageBreakBefore w:val="0"/>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5.封皮面烫金，印有校徽、校名及学士学位证书字样。</w:t>
            </w:r>
          </w:p>
          <w:p>
            <w:pPr>
              <w:keepNext w:val="0"/>
              <w:keepLines w:val="0"/>
              <w:pageBreakBefore w:val="0"/>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6.内衬采用韩松皮纹纸，四角包红色丝绸带，内衬上方覆18丝透明膜，以保护证书内芯。</w:t>
            </w:r>
          </w:p>
          <w:p>
            <w:pPr>
              <w:keepNext w:val="0"/>
              <w:keepLines w:val="0"/>
              <w:pageBreakBefore w:val="0"/>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7.证书封二采用150g珠光纸四色印刷，印有学校风景图及校训字样，要求印刷清晰不糊版。</w:t>
            </w:r>
          </w:p>
        </w:tc>
        <w:tc>
          <w:tcPr>
            <w:tcW w:w="508" w:type="pct"/>
            <w:shd w:val="clear" w:color="auto" w:fill="auto"/>
            <w:vAlign w:val="center"/>
          </w:tcPr>
          <w:p>
            <w:pPr>
              <w:keepNext w:val="0"/>
              <w:keepLines w:val="0"/>
              <w:pageBreakBefore w:val="0"/>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11000</w:t>
            </w:r>
          </w:p>
        </w:tc>
        <w:tc>
          <w:tcPr>
            <w:tcW w:w="614" w:type="pct"/>
            <w:shd w:val="clear" w:color="auto" w:fill="auto"/>
            <w:vAlign w:val="center"/>
          </w:tcPr>
          <w:p>
            <w:pPr>
              <w:keepNext w:val="0"/>
              <w:keepLines w:val="0"/>
              <w:pageBreakBefore w:val="0"/>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5" w:hRule="atLeast"/>
        </w:trPr>
        <w:tc>
          <w:tcPr>
            <w:tcW w:w="377" w:type="pct"/>
            <w:shd w:val="clear" w:color="auto" w:fill="auto"/>
            <w:vAlign w:val="center"/>
          </w:tcPr>
          <w:p>
            <w:pPr>
              <w:keepNext w:val="0"/>
              <w:keepLines w:val="0"/>
              <w:pageBreakBefore w:val="0"/>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660" w:type="pct"/>
            <w:shd w:val="clear" w:color="auto" w:fill="auto"/>
            <w:vAlign w:val="center"/>
          </w:tcPr>
          <w:p>
            <w:pPr>
              <w:keepNext w:val="0"/>
              <w:keepLines w:val="0"/>
              <w:pageBreakBefore w:val="0"/>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师范生教师职业能力证书</w:t>
            </w:r>
          </w:p>
        </w:tc>
        <w:tc>
          <w:tcPr>
            <w:tcW w:w="2837" w:type="pct"/>
            <w:shd w:val="clear" w:color="auto" w:fill="auto"/>
            <w:vAlign w:val="center"/>
          </w:tcPr>
          <w:p>
            <w:pPr>
              <w:keepNext w:val="0"/>
              <w:keepLines w:val="0"/>
              <w:pageBreakBefore w:val="0"/>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（提供最终成品样品及用材样品）</w:t>
            </w:r>
          </w:p>
          <w:p>
            <w:pPr>
              <w:keepNext w:val="0"/>
              <w:keepLines w:val="0"/>
              <w:pageBreakBefore w:val="0"/>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1.参照《教育部办公厅关于做好 2021 届教育类研究生和公费师范生免试认定中小学教师资格改革工作的通知》（教师厅函〔2021〕2 号）版式制作，尺寸：297mm</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长</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*210mm</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宽</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w:t>
            </w:r>
          </w:p>
          <w:p>
            <w:pPr>
              <w:keepNext w:val="0"/>
              <w:keepLines w:val="0"/>
              <w:pageBreakBefore w:val="0"/>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2.采用专用 150 克防伪水印纸，采用多点多色防伪丝。</w:t>
            </w:r>
          </w:p>
          <w:p>
            <w:pPr>
              <w:keepNext w:val="0"/>
              <w:keepLines w:val="0"/>
              <w:pageBreakBefore w:val="0"/>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3.证书上打印学生认定教师资格基本信息及照片，照片覆膜，色彩与学信网上学历照片一致。</w:t>
            </w:r>
          </w:p>
        </w:tc>
        <w:tc>
          <w:tcPr>
            <w:tcW w:w="508" w:type="pct"/>
            <w:shd w:val="clear" w:color="auto" w:fill="auto"/>
            <w:vAlign w:val="center"/>
          </w:tcPr>
          <w:p>
            <w:pPr>
              <w:keepNext w:val="0"/>
              <w:keepLines w:val="0"/>
              <w:pageBreakBefore w:val="0"/>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1500</w:t>
            </w:r>
          </w:p>
        </w:tc>
        <w:tc>
          <w:tcPr>
            <w:tcW w:w="614" w:type="pct"/>
            <w:shd w:val="clear" w:color="auto" w:fill="auto"/>
            <w:vAlign w:val="center"/>
          </w:tcPr>
          <w:p>
            <w:pPr>
              <w:keepNext w:val="0"/>
              <w:keepLines w:val="0"/>
              <w:pageBreakBefore w:val="0"/>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405" w:hRule="atLeast"/>
        </w:trPr>
        <w:tc>
          <w:tcPr>
            <w:tcW w:w="377" w:type="pct"/>
            <w:shd w:val="clear" w:color="auto" w:fill="auto"/>
            <w:vAlign w:val="center"/>
          </w:tcPr>
          <w:p>
            <w:pPr>
              <w:keepNext w:val="0"/>
              <w:keepLines w:val="0"/>
              <w:pageBreakBefore w:val="0"/>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660" w:type="pct"/>
            <w:shd w:val="clear" w:color="auto" w:fill="auto"/>
            <w:vAlign w:val="center"/>
          </w:tcPr>
          <w:p>
            <w:pPr>
              <w:keepNext w:val="0"/>
              <w:keepLines w:val="0"/>
              <w:pageBreakBefore w:val="0"/>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师范教师职业能力证书封套</w:t>
            </w:r>
          </w:p>
        </w:tc>
        <w:tc>
          <w:tcPr>
            <w:tcW w:w="2837" w:type="pct"/>
            <w:shd w:val="clear" w:color="auto" w:fill="auto"/>
            <w:vAlign w:val="center"/>
          </w:tcPr>
          <w:p>
            <w:pPr>
              <w:keepNext w:val="0"/>
              <w:keepLines w:val="0"/>
              <w:pageBreakBefore w:val="0"/>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（提供最终成品样品及用材样品）</w:t>
            </w:r>
          </w:p>
          <w:p>
            <w:pPr>
              <w:keepNext w:val="0"/>
              <w:keepLines w:val="0"/>
              <w:pageBreakBefore w:val="0"/>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1.规格（对折后）：306mm</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长</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*224mm</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宽</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w:t>
            </w:r>
          </w:p>
          <w:p>
            <w:pPr>
              <w:keepNext w:val="0"/>
              <w:keepLines w:val="0"/>
              <w:pageBreakBefore w:val="0"/>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2.面料：国产优质环保 PVC 装帧纸红色磨砂。</w:t>
            </w:r>
          </w:p>
          <w:p>
            <w:pPr>
              <w:keepNext w:val="0"/>
              <w:keepLines w:val="0"/>
              <w:pageBreakBefore w:val="0"/>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3.内部硬纸板：采用优质环保的 2.4MM 全纸浆高光板。</w:t>
            </w:r>
          </w:p>
          <w:p>
            <w:pPr>
              <w:keepNext w:val="0"/>
              <w:keepLines w:val="0"/>
              <w:pageBreakBefore w:val="0"/>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4.打开方式：上下对折。</w:t>
            </w:r>
          </w:p>
          <w:p>
            <w:pPr>
              <w:keepNext w:val="0"/>
              <w:keepLines w:val="0"/>
              <w:pageBreakBefore w:val="0"/>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5.封皮面烫金，印有校徽、校名及“师范生教师职业能力证书”字样。</w:t>
            </w:r>
          </w:p>
          <w:p>
            <w:pPr>
              <w:keepNext w:val="0"/>
              <w:keepLines w:val="0"/>
              <w:pageBreakBefore w:val="0"/>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6.内衬采用韩松皮纹纸，四角包红色丝绸带，内衬上方覆18丝透明膜，以保护证书内芯。</w:t>
            </w:r>
          </w:p>
          <w:p>
            <w:pPr>
              <w:keepNext w:val="0"/>
              <w:keepLines w:val="0"/>
              <w:pageBreakBefore w:val="0"/>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7.胶水采用优质环保动物蛋白胶，保证-20°C-+60°C 的条件下不开胶。</w:t>
            </w:r>
          </w:p>
        </w:tc>
        <w:tc>
          <w:tcPr>
            <w:tcW w:w="508" w:type="pct"/>
            <w:shd w:val="clear" w:color="auto" w:fill="auto"/>
            <w:vAlign w:val="center"/>
          </w:tcPr>
          <w:p>
            <w:pPr>
              <w:keepNext w:val="0"/>
              <w:keepLines w:val="0"/>
              <w:pageBreakBefore w:val="0"/>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1200</w:t>
            </w:r>
          </w:p>
        </w:tc>
        <w:tc>
          <w:tcPr>
            <w:tcW w:w="614" w:type="pct"/>
            <w:shd w:val="clear" w:color="auto" w:fill="auto"/>
            <w:vAlign w:val="center"/>
          </w:tcPr>
          <w:p>
            <w:pPr>
              <w:keepNext w:val="0"/>
              <w:keepLines w:val="0"/>
              <w:pageBreakBefore w:val="0"/>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705" w:hRule="atLeast"/>
        </w:trPr>
        <w:tc>
          <w:tcPr>
            <w:tcW w:w="377"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660"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成人教育毕业证书</w:t>
            </w:r>
          </w:p>
        </w:tc>
        <w:tc>
          <w:tcPr>
            <w:tcW w:w="2837"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（提供最终成品样品及用材样品）</w:t>
            </w:r>
          </w:p>
          <w:p>
            <w:pPr>
              <w:keepNext w:val="0"/>
              <w:keepLines w:val="0"/>
              <w:pageBreakBefore w:val="0"/>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内容、版式、尺寸与教育部现行式样一致，纸张、油墨、工艺材质、防伪技术不低于教育部相应要求。</w:t>
            </w:r>
          </w:p>
          <w:p>
            <w:pPr>
              <w:keepNext w:val="0"/>
              <w:keepLines w:val="0"/>
              <w:pageBreakBefore w:val="0"/>
              <w:tabs>
                <w:tab w:val="left" w:pos="312"/>
              </w:tabs>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1.尺寸 235mm</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长</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*165mm</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宽</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，专用 150 克防伪水印纸。</w:t>
            </w:r>
          </w:p>
          <w:p>
            <w:pPr>
              <w:keepNext w:val="0"/>
              <w:keepLines w:val="0"/>
              <w:pageBreakBefore w:val="0"/>
              <w:tabs>
                <w:tab w:val="left" w:pos="312"/>
              </w:tabs>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2.采用无色荧光油墨印刷技术，在防伪荧光灯照射下可以清晰的看到红蓝色防伪丝，并且红色的“毕业证书”字样会发红光，在毕业证书字样下方可以清晰的看到“成人高等学历证书”的绿色拼音荧光字样。</w:t>
            </w:r>
          </w:p>
          <w:p>
            <w:pPr>
              <w:keepNext w:val="0"/>
              <w:keepLines w:val="0"/>
              <w:pageBreakBefore w:val="0"/>
              <w:tabs>
                <w:tab w:val="left" w:pos="312"/>
              </w:tabs>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3.证书上打印学生学籍学业基本信息及照片，照片覆膜，色彩与学信网上学历照片一致。</w:t>
            </w:r>
          </w:p>
        </w:tc>
        <w:tc>
          <w:tcPr>
            <w:tcW w:w="508"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16500</w:t>
            </w:r>
          </w:p>
        </w:tc>
        <w:tc>
          <w:tcPr>
            <w:tcW w:w="614"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bCs/>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4" w:hRule="atLeast"/>
        </w:trPr>
        <w:tc>
          <w:tcPr>
            <w:tcW w:w="377"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bCs/>
                <w:color w:val="auto"/>
                <w:sz w:val="24"/>
                <w:szCs w:val="24"/>
                <w:highlight w:val="none"/>
              </w:rPr>
            </w:pPr>
            <w:r>
              <w:rPr>
                <w:rFonts w:hint="eastAsia" w:ascii="宋体" w:hAnsi="宋体" w:eastAsia="宋体" w:cs="宋体"/>
                <w:color w:val="auto"/>
                <w:sz w:val="24"/>
                <w:szCs w:val="24"/>
                <w:highlight w:val="none"/>
              </w:rPr>
              <w:t>8</w:t>
            </w:r>
          </w:p>
        </w:tc>
        <w:tc>
          <w:tcPr>
            <w:tcW w:w="660"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bCs/>
                <w:color w:val="auto"/>
                <w:sz w:val="24"/>
                <w:szCs w:val="24"/>
                <w:highlight w:val="none"/>
              </w:rPr>
            </w:pPr>
            <w:r>
              <w:rPr>
                <w:rFonts w:hint="eastAsia" w:ascii="宋体" w:hAnsi="宋体" w:eastAsia="宋体" w:cs="宋体"/>
                <w:color w:val="auto"/>
                <w:sz w:val="24"/>
                <w:szCs w:val="24"/>
                <w:highlight w:val="none"/>
              </w:rPr>
              <w:t>成人教育毕业证书封套</w:t>
            </w:r>
          </w:p>
        </w:tc>
        <w:tc>
          <w:tcPr>
            <w:tcW w:w="2837"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bCs/>
                <w:color w:val="auto"/>
                <w:sz w:val="24"/>
                <w:szCs w:val="24"/>
                <w:highlight w:val="none"/>
              </w:rPr>
            </w:pPr>
            <w:r>
              <w:rPr>
                <w:rFonts w:hint="eastAsia" w:ascii="宋体" w:hAnsi="宋体" w:eastAsia="宋体" w:cs="宋体"/>
                <w:color w:val="auto"/>
                <w:sz w:val="24"/>
                <w:szCs w:val="24"/>
                <w:highlight w:val="none"/>
              </w:rPr>
              <w:t>（提供最终成品样品及用材样品）</w:t>
            </w:r>
          </w:p>
          <w:p>
            <w:pPr>
              <w:keepNext w:val="0"/>
              <w:keepLines w:val="0"/>
              <w:pageBreakBefore w:val="0"/>
              <w:widowControl/>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1.规格（对折后）：247mm</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长</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*174mm</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宽</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w:t>
            </w:r>
          </w:p>
          <w:p>
            <w:pPr>
              <w:keepNext w:val="0"/>
              <w:keepLines w:val="0"/>
              <w:pageBreakBefore w:val="0"/>
              <w:widowControl/>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2.面料：雅利泰荔枝纹充皮纸。纹理清晰，手感柔和，不</w:t>
            </w:r>
            <w:r>
              <w:rPr>
                <w:rFonts w:hint="eastAsia" w:ascii="宋体" w:hAnsi="宋体" w:cs="宋体"/>
                <w:color w:val="auto"/>
                <w:sz w:val="24"/>
                <w:szCs w:val="24"/>
                <w:highlight w:val="none"/>
                <w:lang w:eastAsia="zh-CN"/>
              </w:rPr>
              <w:t>褪色</w:t>
            </w:r>
            <w:r>
              <w:rPr>
                <w:rFonts w:hint="eastAsia" w:ascii="宋体" w:hAnsi="宋体" w:eastAsia="宋体" w:cs="宋体"/>
                <w:color w:val="auto"/>
                <w:sz w:val="24"/>
                <w:szCs w:val="24"/>
                <w:highlight w:val="none"/>
              </w:rPr>
              <w:t>。纹理清晰，手感柔和，不</w:t>
            </w:r>
            <w:r>
              <w:rPr>
                <w:rFonts w:hint="eastAsia" w:ascii="宋体" w:hAnsi="宋体" w:cs="宋体"/>
                <w:color w:val="auto"/>
                <w:sz w:val="24"/>
                <w:szCs w:val="24"/>
                <w:highlight w:val="none"/>
                <w:lang w:eastAsia="zh-CN"/>
              </w:rPr>
              <w:t>褪色</w:t>
            </w:r>
            <w:r>
              <w:rPr>
                <w:rFonts w:hint="eastAsia" w:ascii="宋体" w:hAnsi="宋体" w:eastAsia="宋体" w:cs="宋体"/>
                <w:color w:val="auto"/>
                <w:sz w:val="24"/>
                <w:szCs w:val="24"/>
                <w:highlight w:val="none"/>
              </w:rPr>
              <w:t>。</w:t>
            </w:r>
          </w:p>
          <w:p>
            <w:pPr>
              <w:keepNext w:val="0"/>
              <w:keepLines w:val="0"/>
              <w:pageBreakBefore w:val="0"/>
              <w:widowControl/>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3.内部硬纸板：采用优质环保的2.4MM全纸浆高光板。</w:t>
            </w:r>
          </w:p>
          <w:p>
            <w:pPr>
              <w:keepNext w:val="0"/>
              <w:keepLines w:val="0"/>
              <w:pageBreakBefore w:val="0"/>
              <w:widowControl/>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4.内衬海绵：净比重为大于等于30的高弹性软、低泡</w:t>
            </w:r>
            <w:r>
              <w:rPr>
                <w:rFonts w:hint="eastAsia" w:ascii="宋体" w:hAnsi="宋体" w:cs="宋体"/>
                <w:color w:val="auto"/>
                <w:sz w:val="24"/>
                <w:szCs w:val="24"/>
                <w:highlight w:val="none"/>
                <w:lang w:eastAsia="zh-CN"/>
              </w:rPr>
              <w:t>海绵</w:t>
            </w:r>
            <w:r>
              <w:rPr>
                <w:rFonts w:hint="eastAsia" w:ascii="宋体" w:hAnsi="宋体" w:eastAsia="宋体" w:cs="宋体"/>
                <w:color w:val="auto"/>
                <w:sz w:val="24"/>
                <w:szCs w:val="24"/>
                <w:highlight w:val="none"/>
              </w:rPr>
              <w:t>，2.8mm厚。</w:t>
            </w:r>
          </w:p>
          <w:p>
            <w:pPr>
              <w:keepNext w:val="0"/>
              <w:keepLines w:val="0"/>
              <w:pageBreakBefore w:val="0"/>
              <w:widowControl/>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5.打开方式：上下对折。</w:t>
            </w:r>
          </w:p>
          <w:p>
            <w:pPr>
              <w:keepNext w:val="0"/>
              <w:keepLines w:val="0"/>
              <w:pageBreakBefore w:val="0"/>
              <w:widowControl/>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6.封皮面烫金，印有校徽、校名及毕业证书字样。</w:t>
            </w:r>
          </w:p>
          <w:p>
            <w:pPr>
              <w:keepNext w:val="0"/>
              <w:keepLines w:val="0"/>
              <w:pageBreakBefore w:val="0"/>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7.证书内衬采用120g冰白玫瑰花纸包1.2mm厚纯木浆纸板，使用油胶双面胶带固定，采用金边象牙白丝带张贴四角，用于固定证书。证书垫上方覆18丝真品磨砂膜，以保护证书。</w:t>
            </w:r>
          </w:p>
          <w:p>
            <w:pPr>
              <w:keepNext w:val="0"/>
              <w:keepLines w:val="0"/>
              <w:pageBreakBefore w:val="0"/>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bCs/>
                <w:color w:val="auto"/>
                <w:sz w:val="24"/>
                <w:szCs w:val="24"/>
                <w:highlight w:val="none"/>
              </w:rPr>
            </w:pPr>
            <w:r>
              <w:rPr>
                <w:rFonts w:hint="eastAsia" w:ascii="宋体" w:hAnsi="宋体" w:eastAsia="宋体" w:cs="宋体"/>
                <w:color w:val="auto"/>
                <w:sz w:val="24"/>
                <w:szCs w:val="24"/>
                <w:highlight w:val="none"/>
              </w:rPr>
              <w:t>8.证书封二采用150g珠光纸四色印刷，印有学校风景图及校训字样，要求印刷清晰不糊版。</w:t>
            </w:r>
          </w:p>
        </w:tc>
        <w:tc>
          <w:tcPr>
            <w:tcW w:w="508"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bCs/>
                <w:color w:val="auto"/>
                <w:sz w:val="24"/>
                <w:szCs w:val="24"/>
                <w:highlight w:val="none"/>
              </w:rPr>
            </w:pPr>
            <w:r>
              <w:rPr>
                <w:rFonts w:hint="eastAsia" w:ascii="宋体" w:hAnsi="宋体" w:eastAsia="宋体" w:cs="宋体"/>
                <w:color w:val="auto"/>
                <w:sz w:val="24"/>
                <w:szCs w:val="24"/>
                <w:highlight w:val="none"/>
              </w:rPr>
              <w:t>16000</w:t>
            </w:r>
          </w:p>
        </w:tc>
        <w:tc>
          <w:tcPr>
            <w:tcW w:w="614"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bCs/>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555" w:hRule="atLeast"/>
        </w:trPr>
        <w:tc>
          <w:tcPr>
            <w:tcW w:w="377"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bCs/>
                <w:color w:val="auto"/>
                <w:sz w:val="24"/>
                <w:szCs w:val="24"/>
                <w:highlight w:val="none"/>
              </w:rPr>
            </w:pPr>
            <w:r>
              <w:rPr>
                <w:rFonts w:hint="eastAsia" w:ascii="宋体" w:hAnsi="宋体" w:eastAsia="宋体" w:cs="宋体"/>
                <w:color w:val="auto"/>
                <w:sz w:val="24"/>
                <w:szCs w:val="24"/>
                <w:highlight w:val="none"/>
              </w:rPr>
              <w:t>9</w:t>
            </w:r>
          </w:p>
        </w:tc>
        <w:tc>
          <w:tcPr>
            <w:tcW w:w="660"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bCs/>
                <w:color w:val="auto"/>
                <w:sz w:val="24"/>
                <w:szCs w:val="24"/>
                <w:highlight w:val="none"/>
              </w:rPr>
            </w:pPr>
            <w:r>
              <w:rPr>
                <w:rFonts w:hint="eastAsia" w:ascii="宋体" w:hAnsi="宋体" w:eastAsia="宋体" w:cs="宋体"/>
                <w:color w:val="auto"/>
                <w:sz w:val="24"/>
                <w:szCs w:val="24"/>
                <w:highlight w:val="none"/>
              </w:rPr>
              <w:t>成人教育学士学位证书</w:t>
            </w:r>
          </w:p>
        </w:tc>
        <w:tc>
          <w:tcPr>
            <w:tcW w:w="2837"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（提供最终成品样品及用材样品）</w:t>
            </w:r>
          </w:p>
          <w:p>
            <w:pPr>
              <w:keepNext w:val="0"/>
              <w:keepLines w:val="0"/>
              <w:pageBreakBefore w:val="0"/>
              <w:widowControl/>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1.尺寸：297mm</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长</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*210mm</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宽</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w:t>
            </w:r>
          </w:p>
          <w:p>
            <w:pPr>
              <w:keepNext w:val="0"/>
              <w:keepLines w:val="0"/>
              <w:pageBreakBefore w:val="0"/>
              <w:widowControl/>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2.专用150克防伪水印纸，同时采用无色荧光油墨印刷技术，在防伪荧光灯照射下可以清晰的看到绿色防伪丝，并且校名“临沂大学”四个大字左侧可见清晰的校徽图案。</w:t>
            </w:r>
          </w:p>
          <w:p>
            <w:pPr>
              <w:keepNext w:val="0"/>
              <w:keepLines w:val="0"/>
              <w:pageBreakBefore w:val="0"/>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bCs/>
                <w:color w:val="auto"/>
                <w:sz w:val="24"/>
                <w:szCs w:val="24"/>
                <w:highlight w:val="none"/>
              </w:rPr>
            </w:pPr>
            <w:r>
              <w:rPr>
                <w:rFonts w:hint="eastAsia" w:ascii="宋体" w:hAnsi="宋体" w:eastAsia="宋体" w:cs="宋体"/>
                <w:color w:val="auto"/>
                <w:sz w:val="24"/>
                <w:szCs w:val="24"/>
                <w:highlight w:val="none"/>
              </w:rPr>
              <w:t>3.证书上打印学生学籍学业基本信息及照片，照片覆膜，色彩与学信网上学历照片一致。</w:t>
            </w:r>
          </w:p>
        </w:tc>
        <w:tc>
          <w:tcPr>
            <w:tcW w:w="508"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bCs/>
                <w:color w:val="auto"/>
                <w:sz w:val="24"/>
                <w:szCs w:val="24"/>
                <w:highlight w:val="none"/>
              </w:rPr>
            </w:pPr>
            <w:r>
              <w:rPr>
                <w:rFonts w:hint="eastAsia" w:ascii="宋体" w:hAnsi="宋体" w:eastAsia="宋体" w:cs="宋体"/>
                <w:color w:val="auto"/>
                <w:sz w:val="24"/>
                <w:szCs w:val="24"/>
                <w:highlight w:val="none"/>
              </w:rPr>
              <w:t>3000</w:t>
            </w:r>
          </w:p>
        </w:tc>
        <w:tc>
          <w:tcPr>
            <w:tcW w:w="614"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bCs/>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90" w:hRule="atLeast"/>
        </w:trPr>
        <w:tc>
          <w:tcPr>
            <w:tcW w:w="377"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660"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成人教育学士学位证书封套</w:t>
            </w:r>
          </w:p>
        </w:tc>
        <w:tc>
          <w:tcPr>
            <w:tcW w:w="2837"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bCs/>
                <w:color w:val="auto"/>
                <w:sz w:val="24"/>
                <w:szCs w:val="24"/>
                <w:highlight w:val="none"/>
              </w:rPr>
            </w:pPr>
            <w:r>
              <w:rPr>
                <w:rFonts w:hint="eastAsia" w:ascii="宋体" w:hAnsi="宋体" w:eastAsia="宋体" w:cs="宋体"/>
                <w:color w:val="auto"/>
                <w:sz w:val="24"/>
                <w:szCs w:val="24"/>
                <w:highlight w:val="none"/>
              </w:rPr>
              <w:t>（提供最终成品样品及用材样品）</w:t>
            </w:r>
          </w:p>
          <w:p>
            <w:pPr>
              <w:keepNext w:val="0"/>
              <w:keepLines w:val="0"/>
              <w:pageBreakBefore w:val="0"/>
              <w:widowControl/>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1.规格（对折后）：306mm</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长</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*224mm</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宽</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w:t>
            </w:r>
          </w:p>
          <w:p>
            <w:pPr>
              <w:keepNext w:val="0"/>
              <w:keepLines w:val="0"/>
              <w:pageBreakBefore w:val="0"/>
              <w:widowControl/>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2.面料：国产优质环保PVC装帧纸墨绿磨砂。</w:t>
            </w:r>
          </w:p>
          <w:p>
            <w:pPr>
              <w:keepNext w:val="0"/>
              <w:keepLines w:val="0"/>
              <w:pageBreakBefore w:val="0"/>
              <w:widowControl/>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3.内部硬纸板：</w:t>
            </w:r>
            <w:r>
              <w:rPr>
                <w:rFonts w:hint="eastAsia" w:ascii="宋体" w:hAnsi="宋体" w:cs="宋体"/>
                <w:color w:val="auto"/>
                <w:sz w:val="24"/>
                <w:szCs w:val="24"/>
                <w:highlight w:val="none"/>
                <w:lang w:eastAsia="zh-CN"/>
              </w:rPr>
              <w:t>采用</w:t>
            </w:r>
            <w:r>
              <w:rPr>
                <w:rFonts w:hint="eastAsia" w:ascii="宋体" w:hAnsi="宋体" w:eastAsia="宋体" w:cs="宋体"/>
                <w:color w:val="auto"/>
                <w:sz w:val="24"/>
                <w:szCs w:val="24"/>
                <w:highlight w:val="none"/>
              </w:rPr>
              <w:t>优质环保的2.4MM全纸浆高光板。</w:t>
            </w:r>
          </w:p>
          <w:p>
            <w:pPr>
              <w:keepNext w:val="0"/>
              <w:keepLines w:val="0"/>
              <w:pageBreakBefore w:val="0"/>
              <w:widowControl/>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4.打开方式：上下对折。</w:t>
            </w:r>
          </w:p>
          <w:p>
            <w:pPr>
              <w:keepNext w:val="0"/>
              <w:keepLines w:val="0"/>
              <w:pageBreakBefore w:val="0"/>
              <w:widowControl/>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5.封皮面烫金，印有校徽、校名及学士学位证书字样。烫金要立体，亮丽，不掉金。</w:t>
            </w:r>
          </w:p>
          <w:p>
            <w:pPr>
              <w:keepNext w:val="0"/>
              <w:keepLines w:val="0"/>
              <w:pageBreakBefore w:val="0"/>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6.内衬采用韩松皮纹纸，四角包红色丝绸带，内衬上方覆18丝透明膜，以保护证书内芯。</w:t>
            </w:r>
          </w:p>
          <w:p>
            <w:pPr>
              <w:keepNext w:val="0"/>
              <w:keepLines w:val="0"/>
              <w:pageBreakBefore w:val="0"/>
              <w:widowControl/>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7.证书封二采用150g珠光纸四色印刷，印有学校风景图及校训字样，要求印刷清晰不糊版。</w:t>
            </w:r>
          </w:p>
        </w:tc>
        <w:tc>
          <w:tcPr>
            <w:tcW w:w="508"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3000</w:t>
            </w:r>
          </w:p>
        </w:tc>
        <w:tc>
          <w:tcPr>
            <w:tcW w:w="614"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90" w:hRule="atLeast"/>
        </w:trPr>
        <w:tc>
          <w:tcPr>
            <w:tcW w:w="377"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660"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硕士研</w:t>
            </w:r>
            <w:r>
              <w:rPr>
                <w:rFonts w:hint="eastAsia" w:ascii="宋体" w:hAnsi="宋体" w:cs="宋体"/>
                <w:color w:val="auto"/>
                <w:sz w:val="24"/>
                <w:szCs w:val="24"/>
                <w:highlight w:val="none"/>
                <w:lang w:eastAsia="zh-CN"/>
              </w:rPr>
              <w:t>究生</w:t>
            </w:r>
            <w:r>
              <w:rPr>
                <w:rFonts w:hint="eastAsia" w:ascii="宋体" w:hAnsi="宋体" w:eastAsia="宋体" w:cs="宋体"/>
                <w:color w:val="auto"/>
                <w:sz w:val="24"/>
                <w:szCs w:val="24"/>
                <w:highlight w:val="none"/>
              </w:rPr>
              <w:t>毕业证书</w:t>
            </w:r>
          </w:p>
        </w:tc>
        <w:tc>
          <w:tcPr>
            <w:tcW w:w="2837"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（提供最终成品样品及用材样品）</w:t>
            </w:r>
          </w:p>
          <w:p>
            <w:pPr>
              <w:pStyle w:val="65"/>
              <w:keepNext w:val="0"/>
              <w:keepLines w:val="0"/>
              <w:pageBreakBefore w:val="0"/>
              <w:widowControl/>
              <w:kinsoku/>
              <w:wordWrap/>
              <w:overflowPunct/>
              <w:topLinePunct w:val="0"/>
              <w:autoSpaceDE/>
              <w:autoSpaceDN/>
              <w:bidi w:val="0"/>
              <w:adjustRightInd w:val="0"/>
              <w:snapToGrid w:val="0"/>
              <w:spacing w:line="500" w:lineRule="exact"/>
              <w:ind w:left="218" w:leftChars="104" w:firstLine="0" w:firstLineChars="0"/>
              <w:jc w:val="left"/>
              <w:textAlignment w:val="auto"/>
              <w:rPr>
                <w:rFonts w:ascii="宋体" w:hAnsi="宋体" w:cs="宋体"/>
                <w:color w:val="auto"/>
                <w:sz w:val="24"/>
                <w:szCs w:val="24"/>
                <w:highlight w:val="none"/>
              </w:rPr>
            </w:pPr>
            <w:r>
              <w:rPr>
                <w:rFonts w:hint="eastAsia" w:ascii="宋体" w:hAnsi="宋体" w:cs="宋体"/>
                <w:color w:val="auto"/>
                <w:sz w:val="24"/>
                <w:szCs w:val="24"/>
                <w:highlight w:val="none"/>
              </w:rPr>
              <w:t xml:space="preserve">1.尺寸 </w:t>
            </w:r>
            <w:r>
              <w:rPr>
                <w:rFonts w:hint="eastAsia" w:ascii="宋体" w:hAnsi="宋体" w:cs="宋体"/>
                <w:color w:val="auto"/>
                <w:sz w:val="24"/>
                <w:szCs w:val="24"/>
                <w:highlight w:val="none"/>
                <w:lang w:bidi="ar"/>
              </w:rPr>
              <w:t>297mm</w:t>
            </w:r>
            <w:r>
              <w:rPr>
                <w:rFonts w:hint="eastAsia" w:ascii="宋体" w:hAnsi="宋体" w:cs="宋体"/>
                <w:color w:val="auto"/>
                <w:sz w:val="24"/>
                <w:szCs w:val="24"/>
                <w:highlight w:val="none"/>
                <w:lang w:eastAsia="zh-CN" w:bidi="ar"/>
              </w:rPr>
              <w:t>（</w:t>
            </w:r>
            <w:r>
              <w:rPr>
                <w:rFonts w:hint="eastAsia" w:ascii="宋体" w:hAnsi="宋体" w:cs="宋体"/>
                <w:color w:val="auto"/>
                <w:sz w:val="24"/>
                <w:szCs w:val="24"/>
                <w:highlight w:val="none"/>
                <w:lang w:bidi="ar"/>
              </w:rPr>
              <w:t>长</w:t>
            </w:r>
            <w:r>
              <w:rPr>
                <w:rFonts w:hint="eastAsia" w:ascii="宋体" w:hAnsi="宋体" w:cs="宋体"/>
                <w:color w:val="auto"/>
                <w:sz w:val="24"/>
                <w:szCs w:val="24"/>
                <w:highlight w:val="none"/>
                <w:lang w:eastAsia="zh-CN" w:bidi="ar"/>
              </w:rPr>
              <w:t>）</w:t>
            </w:r>
            <w:r>
              <w:rPr>
                <w:rFonts w:hint="eastAsia" w:ascii="宋体" w:hAnsi="宋体" w:cs="宋体"/>
                <w:color w:val="auto"/>
                <w:sz w:val="24"/>
                <w:szCs w:val="24"/>
                <w:highlight w:val="none"/>
                <w:lang w:bidi="ar"/>
              </w:rPr>
              <w:t>*210mm</w:t>
            </w:r>
            <w:r>
              <w:rPr>
                <w:rFonts w:hint="eastAsia" w:ascii="宋体" w:hAnsi="宋体" w:cs="宋体"/>
                <w:color w:val="auto"/>
                <w:sz w:val="24"/>
                <w:szCs w:val="24"/>
                <w:highlight w:val="none"/>
                <w:lang w:eastAsia="zh-CN" w:bidi="ar"/>
              </w:rPr>
              <w:t>（</w:t>
            </w:r>
            <w:r>
              <w:rPr>
                <w:rFonts w:hint="eastAsia" w:ascii="宋体" w:hAnsi="宋体" w:cs="宋体"/>
                <w:color w:val="auto"/>
                <w:sz w:val="24"/>
                <w:szCs w:val="24"/>
                <w:highlight w:val="none"/>
                <w:lang w:bidi="ar"/>
              </w:rPr>
              <w:t>宽</w:t>
            </w:r>
            <w:r>
              <w:rPr>
                <w:rFonts w:hint="eastAsia" w:ascii="宋体" w:hAnsi="宋体" w:cs="宋体"/>
                <w:color w:val="auto"/>
                <w:sz w:val="24"/>
                <w:szCs w:val="24"/>
                <w:highlight w:val="none"/>
                <w:lang w:eastAsia="zh-CN" w:bidi="ar"/>
              </w:rPr>
              <w:t>）</w:t>
            </w:r>
            <w:r>
              <w:rPr>
                <w:rFonts w:hint="eastAsia" w:ascii="宋体" w:hAnsi="宋体" w:cs="宋体"/>
                <w:color w:val="auto"/>
                <w:sz w:val="24"/>
                <w:szCs w:val="24"/>
                <w:highlight w:val="none"/>
                <w:lang w:bidi="ar"/>
              </w:rPr>
              <w:t>。</w:t>
            </w:r>
          </w:p>
          <w:p>
            <w:pPr>
              <w:keepNext w:val="0"/>
              <w:keepLines w:val="0"/>
              <w:pageBreakBefore w:val="0"/>
              <w:widowControl/>
              <w:kinsoku/>
              <w:wordWrap/>
              <w:overflowPunct/>
              <w:topLinePunct w:val="0"/>
              <w:autoSpaceDE/>
              <w:autoSpaceDN/>
              <w:bidi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rPr>
              <w:t>.专用 150 克防伪水印纸，同时采用无色荧光油墨印刷技术，在防伪荧光灯照射下可以清晰的看到红蓝色防伪丝，校名“临沂大学”四个大字左侧可见清晰的校徽图案。</w:t>
            </w:r>
          </w:p>
        </w:tc>
        <w:tc>
          <w:tcPr>
            <w:tcW w:w="508"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500</w:t>
            </w:r>
          </w:p>
        </w:tc>
        <w:tc>
          <w:tcPr>
            <w:tcW w:w="614"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90" w:hRule="atLeast"/>
        </w:trPr>
        <w:tc>
          <w:tcPr>
            <w:tcW w:w="377"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660"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硕士研</w:t>
            </w:r>
            <w:r>
              <w:rPr>
                <w:rFonts w:hint="eastAsia" w:ascii="宋体" w:hAnsi="宋体" w:cs="宋体"/>
                <w:color w:val="auto"/>
                <w:sz w:val="24"/>
                <w:szCs w:val="24"/>
                <w:highlight w:val="none"/>
                <w:lang w:eastAsia="zh-CN"/>
              </w:rPr>
              <w:t>究生</w:t>
            </w:r>
            <w:r>
              <w:rPr>
                <w:rFonts w:hint="eastAsia" w:ascii="宋体" w:hAnsi="宋体" w:eastAsia="宋体" w:cs="宋体"/>
                <w:color w:val="auto"/>
                <w:sz w:val="24"/>
                <w:szCs w:val="24"/>
                <w:highlight w:val="none"/>
              </w:rPr>
              <w:t>毕业证书封套</w:t>
            </w:r>
          </w:p>
        </w:tc>
        <w:tc>
          <w:tcPr>
            <w:tcW w:w="2837"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（提供最终成品样品及用材样品）</w:t>
            </w:r>
          </w:p>
          <w:p>
            <w:pPr>
              <w:keepNext w:val="0"/>
              <w:keepLines w:val="0"/>
              <w:pageBreakBefore w:val="0"/>
              <w:widowControl/>
              <w:kinsoku/>
              <w:wordWrap/>
              <w:overflowPunct/>
              <w:topLinePunct w:val="0"/>
              <w:autoSpaceDE/>
              <w:autoSpaceDN/>
              <w:bidi w:val="0"/>
              <w:adjustRightInd w:val="0"/>
              <w:snapToGrid w:val="0"/>
              <w:spacing w:line="500" w:lineRule="exact"/>
              <w:ind w:left="218" w:leftChars="104"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1.规格（对折后）：306mm</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长</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*224mm</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宽</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w:t>
            </w:r>
          </w:p>
          <w:p>
            <w:pPr>
              <w:keepNext w:val="0"/>
              <w:keepLines w:val="0"/>
              <w:pageBreakBefore w:val="0"/>
              <w:widowControl/>
              <w:kinsoku/>
              <w:wordWrap/>
              <w:overflowPunct/>
              <w:topLinePunct w:val="0"/>
              <w:autoSpaceDE/>
              <w:autoSpaceDN/>
              <w:bidi w:val="0"/>
              <w:adjustRightInd w:val="0"/>
              <w:snapToGrid w:val="0"/>
              <w:spacing w:line="500" w:lineRule="exact"/>
              <w:ind w:left="218" w:leftChars="104"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2.面料：优质环保</w:t>
            </w:r>
            <w:r>
              <w:rPr>
                <w:rFonts w:hint="eastAsia" w:ascii="宋体" w:hAnsi="宋体" w:cs="宋体"/>
                <w:color w:val="auto"/>
                <w:sz w:val="24"/>
                <w:szCs w:val="24"/>
                <w:highlight w:val="none"/>
                <w:lang w:eastAsia="zh-CN"/>
              </w:rPr>
              <w:t>牛皮纸</w:t>
            </w:r>
            <w:r>
              <w:rPr>
                <w:rFonts w:hint="eastAsia" w:ascii="宋体" w:hAnsi="宋体" w:eastAsia="宋体" w:cs="宋体"/>
                <w:color w:val="auto"/>
                <w:sz w:val="24"/>
                <w:szCs w:val="24"/>
                <w:highlight w:val="none"/>
              </w:rPr>
              <w:t>，墨绿色。</w:t>
            </w:r>
          </w:p>
          <w:p>
            <w:pPr>
              <w:keepNext w:val="0"/>
              <w:keepLines w:val="0"/>
              <w:pageBreakBefore w:val="0"/>
              <w:widowControl/>
              <w:kinsoku/>
              <w:wordWrap/>
              <w:overflowPunct/>
              <w:topLinePunct w:val="0"/>
              <w:autoSpaceDE/>
              <w:autoSpaceDN/>
              <w:bidi w:val="0"/>
              <w:adjustRightInd w:val="0"/>
              <w:snapToGrid w:val="0"/>
              <w:spacing w:line="500" w:lineRule="exact"/>
              <w:ind w:left="218" w:leftChars="104"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3.内部硬纸板：采用优质环保的 2.4MM 全纸浆高光板，内面图案以提供的设计图为准。</w:t>
            </w:r>
          </w:p>
          <w:p>
            <w:pPr>
              <w:keepNext w:val="0"/>
              <w:keepLines w:val="0"/>
              <w:pageBreakBefore w:val="0"/>
              <w:widowControl/>
              <w:kinsoku/>
              <w:wordWrap/>
              <w:overflowPunct/>
              <w:topLinePunct w:val="0"/>
              <w:autoSpaceDE/>
              <w:autoSpaceDN/>
              <w:bidi w:val="0"/>
              <w:adjustRightInd w:val="0"/>
              <w:snapToGrid w:val="0"/>
              <w:spacing w:line="500" w:lineRule="exact"/>
              <w:ind w:left="218" w:leftChars="104"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4.内衬海绵：净比重为大于等于 30 的高弹性软泡</w:t>
            </w:r>
            <w:r>
              <w:rPr>
                <w:rFonts w:hint="eastAsia" w:ascii="宋体" w:hAnsi="宋体" w:cs="宋体"/>
                <w:color w:val="auto"/>
                <w:sz w:val="24"/>
                <w:szCs w:val="24"/>
                <w:highlight w:val="none"/>
                <w:lang w:eastAsia="zh-CN"/>
              </w:rPr>
              <w:t>海绵</w:t>
            </w:r>
            <w:r>
              <w:rPr>
                <w:rFonts w:hint="eastAsia" w:ascii="宋体" w:hAnsi="宋体" w:eastAsia="宋体" w:cs="宋体"/>
                <w:color w:val="auto"/>
                <w:sz w:val="24"/>
                <w:szCs w:val="24"/>
                <w:highlight w:val="none"/>
              </w:rPr>
              <w:t>，2.8mm 厚。</w:t>
            </w:r>
          </w:p>
          <w:p>
            <w:pPr>
              <w:keepNext w:val="0"/>
              <w:keepLines w:val="0"/>
              <w:pageBreakBefore w:val="0"/>
              <w:widowControl/>
              <w:kinsoku/>
              <w:wordWrap/>
              <w:overflowPunct/>
              <w:topLinePunct w:val="0"/>
              <w:autoSpaceDE/>
              <w:autoSpaceDN/>
              <w:bidi w:val="0"/>
              <w:adjustRightInd w:val="0"/>
              <w:snapToGrid w:val="0"/>
              <w:spacing w:line="500" w:lineRule="exact"/>
              <w:ind w:left="218" w:leftChars="104"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5.打开方式：上下对折。</w:t>
            </w:r>
          </w:p>
          <w:p>
            <w:pPr>
              <w:keepNext w:val="0"/>
              <w:keepLines w:val="0"/>
              <w:pageBreakBefore w:val="0"/>
              <w:widowControl/>
              <w:kinsoku/>
              <w:wordWrap/>
              <w:overflowPunct/>
              <w:topLinePunct w:val="0"/>
              <w:autoSpaceDE/>
              <w:autoSpaceDN/>
              <w:bidi w:val="0"/>
              <w:adjustRightInd w:val="0"/>
              <w:snapToGrid w:val="0"/>
              <w:spacing w:line="500" w:lineRule="exact"/>
              <w:ind w:left="218" w:leftChars="104"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6.封皮面烫金，印有校徽、校名及硕士研究生毕业证书字样。</w:t>
            </w:r>
          </w:p>
          <w:p>
            <w:pPr>
              <w:keepNext w:val="0"/>
              <w:keepLines w:val="0"/>
              <w:pageBreakBefore w:val="0"/>
              <w:widowControl/>
              <w:kinsoku/>
              <w:wordWrap/>
              <w:overflowPunct/>
              <w:topLinePunct w:val="0"/>
              <w:autoSpaceDE/>
              <w:autoSpaceDN/>
              <w:bidi w:val="0"/>
              <w:adjustRightInd w:val="0"/>
              <w:snapToGrid w:val="0"/>
              <w:spacing w:line="500" w:lineRule="exact"/>
              <w:ind w:left="218" w:leftChars="104"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7.内衬采用韩松皮纹纸，四角包红色丝绸带，内衬上方覆18丝透明膜，以保护证书内芯。</w:t>
            </w:r>
          </w:p>
          <w:p>
            <w:pPr>
              <w:keepNext w:val="0"/>
              <w:keepLines w:val="0"/>
              <w:pageBreakBefore w:val="0"/>
              <w:widowControl/>
              <w:kinsoku/>
              <w:wordWrap/>
              <w:overflowPunct/>
              <w:topLinePunct w:val="0"/>
              <w:autoSpaceDE/>
              <w:autoSpaceDN/>
              <w:bidi w:val="0"/>
              <w:adjustRightInd w:val="0"/>
              <w:snapToGrid w:val="0"/>
              <w:spacing w:line="500" w:lineRule="exact"/>
              <w:ind w:left="218" w:leftChars="104"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8.证书封二采用150g珠光纸四色印刷，印有学校风景图及校训字样，要求印刷清晰不糊版。</w:t>
            </w:r>
          </w:p>
          <w:p>
            <w:pPr>
              <w:keepNext w:val="0"/>
              <w:keepLines w:val="0"/>
              <w:pageBreakBefore w:val="0"/>
              <w:widowControl/>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9.胶水采用优质环保动物蛋白胶，保证-20°C-+60°C 的条件下不开胶。</w:t>
            </w:r>
          </w:p>
        </w:tc>
        <w:tc>
          <w:tcPr>
            <w:tcW w:w="508"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200</w:t>
            </w:r>
          </w:p>
        </w:tc>
        <w:tc>
          <w:tcPr>
            <w:tcW w:w="614"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90" w:hRule="atLeast"/>
        </w:trPr>
        <w:tc>
          <w:tcPr>
            <w:tcW w:w="377"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660"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硕士学位证书</w:t>
            </w:r>
          </w:p>
        </w:tc>
        <w:tc>
          <w:tcPr>
            <w:tcW w:w="2837"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00" w:lineRule="exact"/>
              <w:ind w:left="218" w:leftChars="104"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（提供最终成品样品及用材样品）</w:t>
            </w:r>
          </w:p>
          <w:p>
            <w:pPr>
              <w:keepNext w:val="0"/>
              <w:keepLines w:val="0"/>
              <w:pageBreakBefore w:val="0"/>
              <w:widowControl/>
              <w:kinsoku/>
              <w:wordWrap/>
              <w:overflowPunct/>
              <w:topLinePunct w:val="0"/>
              <w:autoSpaceDE/>
              <w:autoSpaceDN/>
              <w:bidi w:val="0"/>
              <w:adjustRightInd w:val="0"/>
              <w:snapToGrid w:val="0"/>
              <w:spacing w:line="500" w:lineRule="exact"/>
              <w:ind w:left="218" w:leftChars="104"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1.尺寸：297mm</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长</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*210mm</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宽</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w:t>
            </w:r>
          </w:p>
          <w:p>
            <w:pPr>
              <w:keepNext w:val="0"/>
              <w:keepLines w:val="0"/>
              <w:pageBreakBefore w:val="0"/>
              <w:widowControl/>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2.专用 150 克防伪水印纸，同时采用无色荧光油墨印刷技术，</w:t>
            </w:r>
            <w:r>
              <w:rPr>
                <w:rFonts w:hint="eastAsia" w:ascii="宋体" w:hAnsi="宋体" w:eastAsia="宋体" w:cs="宋体"/>
                <w:color w:val="auto"/>
                <w:sz w:val="24"/>
                <w:szCs w:val="24"/>
                <w:highlight w:val="none"/>
              </w:rPr>
              <w:t>在防伪荧光灯照射下可以清晰的看到红蓝色防伪丝，校名“临沂大学”四个大字左侧可见清晰的校徽图案。</w:t>
            </w:r>
          </w:p>
        </w:tc>
        <w:tc>
          <w:tcPr>
            <w:tcW w:w="508"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500</w:t>
            </w:r>
          </w:p>
        </w:tc>
        <w:tc>
          <w:tcPr>
            <w:tcW w:w="614"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90" w:hRule="atLeast"/>
        </w:trPr>
        <w:tc>
          <w:tcPr>
            <w:tcW w:w="377"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660"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硕士学位证书封套</w:t>
            </w:r>
          </w:p>
        </w:tc>
        <w:tc>
          <w:tcPr>
            <w:tcW w:w="2837"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（提供最终成品样品及用材样品）</w:t>
            </w:r>
          </w:p>
          <w:p>
            <w:pPr>
              <w:keepNext w:val="0"/>
              <w:keepLines w:val="0"/>
              <w:pageBreakBefore w:val="0"/>
              <w:kinsoku/>
              <w:wordWrap/>
              <w:overflowPunct/>
              <w:topLinePunct w:val="0"/>
              <w:autoSpaceDE/>
              <w:autoSpaceDN/>
              <w:bidi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1.规格（对折后）：306mm</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长</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*224mm</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宽</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w:t>
            </w:r>
          </w:p>
          <w:p>
            <w:pPr>
              <w:keepNext w:val="0"/>
              <w:keepLines w:val="0"/>
              <w:pageBreakBefore w:val="0"/>
              <w:kinsoku/>
              <w:wordWrap/>
              <w:overflowPunct/>
              <w:topLinePunct w:val="0"/>
              <w:autoSpaceDE/>
              <w:autoSpaceDN/>
              <w:bidi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2.面料：国产优质环保 PVC 装帧纸蓝色珠光。无毒无异味，不发霉不开胶。</w:t>
            </w:r>
          </w:p>
          <w:p>
            <w:pPr>
              <w:keepNext w:val="0"/>
              <w:keepLines w:val="0"/>
              <w:pageBreakBefore w:val="0"/>
              <w:kinsoku/>
              <w:wordWrap/>
              <w:overflowPunct/>
              <w:topLinePunct w:val="0"/>
              <w:autoSpaceDE/>
              <w:autoSpaceDN/>
              <w:bidi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3.内部硬纸板：</w:t>
            </w:r>
            <w:r>
              <w:rPr>
                <w:rFonts w:hint="eastAsia" w:ascii="宋体" w:hAnsi="宋体" w:cs="宋体"/>
                <w:color w:val="auto"/>
                <w:sz w:val="24"/>
                <w:szCs w:val="24"/>
                <w:highlight w:val="none"/>
                <w:lang w:eastAsia="zh-CN"/>
              </w:rPr>
              <w:t>采用</w:t>
            </w:r>
            <w:r>
              <w:rPr>
                <w:rFonts w:hint="eastAsia" w:ascii="宋体" w:hAnsi="宋体" w:eastAsia="宋体" w:cs="宋体"/>
                <w:color w:val="auto"/>
                <w:sz w:val="24"/>
                <w:szCs w:val="24"/>
                <w:highlight w:val="none"/>
              </w:rPr>
              <w:t>优质环保的 2.4MM 全纸浆高光板。</w:t>
            </w:r>
          </w:p>
          <w:p>
            <w:pPr>
              <w:keepNext w:val="0"/>
              <w:keepLines w:val="0"/>
              <w:pageBreakBefore w:val="0"/>
              <w:kinsoku/>
              <w:wordWrap/>
              <w:overflowPunct/>
              <w:topLinePunct w:val="0"/>
              <w:autoSpaceDE/>
              <w:autoSpaceDN/>
              <w:bidi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4.打开方式：左右对折。</w:t>
            </w:r>
          </w:p>
          <w:p>
            <w:pPr>
              <w:keepNext w:val="0"/>
              <w:keepLines w:val="0"/>
              <w:pageBreakBefore w:val="0"/>
              <w:kinsoku/>
              <w:wordWrap/>
              <w:overflowPunct/>
              <w:topLinePunct w:val="0"/>
              <w:autoSpaceDE/>
              <w:autoSpaceDN/>
              <w:bidi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5.封皮面烫金，印有校徽、硕士学位证书字样。</w:t>
            </w:r>
          </w:p>
          <w:p>
            <w:pPr>
              <w:keepNext w:val="0"/>
              <w:keepLines w:val="0"/>
              <w:pageBreakBefore w:val="0"/>
              <w:kinsoku/>
              <w:wordWrap/>
              <w:overflowPunct/>
              <w:topLinePunct w:val="0"/>
              <w:autoSpaceDE/>
              <w:autoSpaceDN/>
              <w:bidi w:val="0"/>
              <w:adjustRightInd w:val="0"/>
              <w:snapToGrid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6.内衬采用韩松皮纹纸，四角包红色丝绸带，内衬上方覆18丝透明膜，以保护证书内芯。</w:t>
            </w:r>
          </w:p>
          <w:p>
            <w:pPr>
              <w:keepNext w:val="0"/>
              <w:keepLines w:val="0"/>
              <w:pageBreakBefore w:val="0"/>
              <w:kinsoku/>
              <w:wordWrap/>
              <w:overflowPunct/>
              <w:topLinePunct w:val="0"/>
              <w:autoSpaceDE/>
              <w:autoSpaceDN/>
              <w:bidi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7.证书封二采用150g珠光纸四色印刷，印有学校风景图及校训字样，要求印刷清晰不糊版。</w:t>
            </w:r>
          </w:p>
          <w:p>
            <w:pPr>
              <w:keepNext w:val="0"/>
              <w:keepLines w:val="0"/>
              <w:pageBreakBefore w:val="0"/>
              <w:kinsoku/>
              <w:wordWrap/>
              <w:overflowPunct/>
              <w:topLinePunct w:val="0"/>
              <w:autoSpaceDE/>
              <w:autoSpaceDN/>
              <w:bidi w:val="0"/>
              <w:spacing w:line="500" w:lineRule="exact"/>
              <w:ind w:left="218" w:leftChars="104" w:firstLine="0" w:firstLineChars="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8.胶水采用优质环保动物蛋白胶，保证-20°C--+60°C的条件下不开胶。</w:t>
            </w:r>
          </w:p>
        </w:tc>
        <w:tc>
          <w:tcPr>
            <w:tcW w:w="508"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200</w:t>
            </w:r>
          </w:p>
        </w:tc>
        <w:tc>
          <w:tcPr>
            <w:tcW w:w="614"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rPr>
                <w:rFonts w:ascii="宋体" w:hAnsi="宋体" w:eastAsia="宋体" w:cs="宋体"/>
                <w:color w:val="auto"/>
                <w:sz w:val="24"/>
                <w:szCs w:val="24"/>
                <w:highlight w:val="none"/>
              </w:rPr>
            </w:pPr>
          </w:p>
        </w:tc>
      </w:tr>
    </w:tbl>
    <w:p>
      <w:pPr>
        <w:spacing w:line="500" w:lineRule="exact"/>
        <w:rPr>
          <w:rFonts w:hint="eastAsia" w:ascii="Cambria" w:hAnsi="Cambria"/>
          <w:b/>
          <w:bCs/>
          <w:color w:val="auto"/>
          <w:sz w:val="28"/>
          <w:szCs w:val="28"/>
          <w:highlight w:val="none"/>
        </w:rPr>
      </w:pPr>
      <w:r>
        <w:rPr>
          <w:rFonts w:hint="eastAsia" w:ascii="Cambria" w:hAnsi="Cambria"/>
          <w:b/>
          <w:bCs/>
          <w:color w:val="auto"/>
          <w:sz w:val="28"/>
          <w:szCs w:val="28"/>
          <w:highlight w:val="none"/>
        </w:rPr>
        <w:t>二、</w:t>
      </w:r>
      <w:r>
        <w:rPr>
          <w:rFonts w:hint="eastAsia" w:ascii="Cambria" w:hAnsi="Cambria"/>
          <w:b/>
          <w:bCs/>
          <w:color w:val="auto"/>
          <w:sz w:val="28"/>
          <w:szCs w:val="28"/>
          <w:highlight w:val="none"/>
          <w:lang w:eastAsia="zh-CN"/>
        </w:rPr>
        <w:t>其他要求</w:t>
      </w:r>
      <w:r>
        <w:rPr>
          <w:rFonts w:hint="eastAsia" w:ascii="Cambria" w:hAnsi="Cambria"/>
          <w:b/>
          <w:bCs/>
          <w:color w:val="auto"/>
          <w:sz w:val="28"/>
          <w:szCs w:val="28"/>
          <w:highlight w:val="none"/>
        </w:rPr>
        <w:t>：</w:t>
      </w:r>
    </w:p>
    <w:p>
      <w:pPr>
        <w:autoSpaceDE w:val="0"/>
        <w:snapToGrid w:val="0"/>
        <w:spacing w:line="500" w:lineRule="exact"/>
        <w:ind w:firstLine="480" w:firstLineChars="200"/>
        <w:rPr>
          <w:rFonts w:hint="default" w:ascii="宋体" w:hAnsi="宋体"/>
          <w:color w:val="auto"/>
          <w:sz w:val="24"/>
          <w:szCs w:val="24"/>
          <w:highlight w:val="none"/>
          <w:lang w:val="en-US" w:eastAsia="zh-CN"/>
        </w:rPr>
      </w:pPr>
      <w:r>
        <w:rPr>
          <w:rFonts w:hint="eastAsia" w:ascii="宋体" w:hAnsi="宋体"/>
          <w:color w:val="auto"/>
          <w:sz w:val="24"/>
          <w:szCs w:val="24"/>
          <w:highlight w:val="none"/>
          <w:lang w:val="en-US" w:eastAsia="zh-CN"/>
        </w:rPr>
        <w:t>1.成交供应商应根据学校要求设计，学校确认后进行制作。</w:t>
      </w:r>
    </w:p>
    <w:p>
      <w:pPr>
        <w:autoSpaceDE w:val="0"/>
        <w:snapToGrid w:val="0"/>
        <w:spacing w:line="50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val="en-US" w:eastAsia="zh-CN"/>
        </w:rPr>
        <w:t>2</w:t>
      </w:r>
      <w:r>
        <w:rPr>
          <w:rFonts w:hint="eastAsia" w:ascii="宋体" w:hAnsi="宋体"/>
          <w:color w:val="auto"/>
          <w:sz w:val="24"/>
          <w:szCs w:val="24"/>
          <w:highlight w:val="none"/>
        </w:rPr>
        <w:t>供货周期：</w:t>
      </w:r>
      <w:r>
        <w:rPr>
          <w:rFonts w:hint="eastAsia" w:ascii="宋体" w:hAnsi="宋体"/>
          <w:color w:val="auto"/>
          <w:sz w:val="24"/>
          <w:szCs w:val="24"/>
          <w:highlight w:val="none"/>
        </w:rPr>
        <w:t>成交生效起10日内供货完毕</w:t>
      </w:r>
      <w:r>
        <w:rPr>
          <w:rFonts w:hint="eastAsia" w:ascii="宋体" w:hAnsi="宋体"/>
          <w:color w:val="auto"/>
          <w:sz w:val="24"/>
          <w:szCs w:val="24"/>
          <w:highlight w:val="none"/>
        </w:rPr>
        <w:t>。</w:t>
      </w:r>
    </w:p>
    <w:p>
      <w:pPr>
        <w:autoSpaceDE w:val="0"/>
        <w:snapToGrid w:val="0"/>
        <w:spacing w:line="50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val="en-US" w:eastAsia="zh-CN"/>
        </w:rPr>
        <w:t>3.</w:t>
      </w:r>
      <w:r>
        <w:rPr>
          <w:rFonts w:hint="eastAsia" w:ascii="宋体" w:hAnsi="宋体"/>
          <w:color w:val="auto"/>
          <w:sz w:val="24"/>
          <w:szCs w:val="24"/>
          <w:highlight w:val="none"/>
        </w:rPr>
        <w:t>质保期：不少于1年。</w:t>
      </w:r>
    </w:p>
    <w:p>
      <w:pPr>
        <w:keepNext w:val="0"/>
        <w:keepLines w:val="0"/>
        <w:pageBreakBefore w:val="0"/>
        <w:kinsoku/>
        <w:wordWrap/>
        <w:overflowPunct w:val="0"/>
        <w:topLinePunct w:val="0"/>
        <w:autoSpaceDE/>
        <w:autoSpaceDN/>
        <w:bidi w:val="0"/>
        <w:spacing w:line="500" w:lineRule="exact"/>
        <w:ind w:firstLine="480" w:firstLineChars="200"/>
        <w:rPr>
          <w:rFonts w:hint="eastAsia" w:ascii="宋体" w:hAnsi="宋体" w:eastAsia="宋体" w:cs="宋体"/>
          <w:color w:val="auto"/>
          <w:sz w:val="24"/>
          <w:highlight w:val="none"/>
          <w:lang w:val="en-US" w:eastAsia="zh-CN"/>
        </w:rPr>
      </w:pPr>
      <w:r>
        <w:rPr>
          <w:rFonts w:hint="eastAsia" w:ascii="宋体" w:hAnsi="宋体"/>
          <w:color w:val="auto"/>
          <w:sz w:val="24"/>
          <w:szCs w:val="24"/>
          <w:highlight w:val="none"/>
          <w:lang w:val="en-US" w:eastAsia="zh-CN"/>
        </w:rPr>
        <w:t>4.</w:t>
      </w:r>
      <w:r>
        <w:rPr>
          <w:rFonts w:hint="eastAsia" w:ascii="宋体" w:hAnsi="宋体" w:eastAsia="宋体" w:cs="宋体"/>
          <w:color w:val="auto"/>
          <w:sz w:val="24"/>
          <w:highlight w:val="none"/>
          <w:lang w:val="en-US" w:eastAsia="zh-CN"/>
        </w:rPr>
        <w:t>供应商所提供的样品应当满足磋商文件实质性技术参数要求，所提交样品不</w:t>
      </w:r>
      <w:r>
        <w:rPr>
          <w:rFonts w:hint="eastAsia" w:ascii="宋体" w:hAnsi="宋体" w:eastAsia="宋体" w:cs="宋体"/>
          <w:b/>
          <w:bCs/>
          <w:color w:val="auto"/>
          <w:sz w:val="24"/>
          <w:highlight w:val="none"/>
          <w:lang w:val="en-US" w:eastAsia="zh-CN"/>
        </w:rPr>
        <w:t>得含有能体现供应商信息的标识并密封后递交，“</w:t>
      </w:r>
      <w:r>
        <w:rPr>
          <w:rFonts w:hint="eastAsia" w:ascii="宋体" w:hAnsi="宋体" w:eastAsia="宋体" w:cs="宋体"/>
          <w:b/>
          <w:color w:val="auto"/>
          <w:sz w:val="24"/>
          <w:szCs w:val="24"/>
          <w:highlight w:val="none"/>
        </w:rPr>
        <w:t>用材样品</w:t>
      </w:r>
      <w:r>
        <w:rPr>
          <w:rFonts w:hint="eastAsia" w:ascii="宋体" w:hAnsi="宋体" w:cs="宋体"/>
          <w:b/>
          <w:color w:val="auto"/>
          <w:sz w:val="24"/>
          <w:szCs w:val="24"/>
          <w:highlight w:val="none"/>
          <w:lang w:eastAsia="zh-CN"/>
        </w:rPr>
        <w:t>”</w:t>
      </w:r>
      <w:r>
        <w:rPr>
          <w:rFonts w:hint="eastAsia" w:ascii="宋体" w:hAnsi="宋体" w:cs="宋体"/>
          <w:b/>
          <w:color w:val="auto"/>
          <w:sz w:val="24"/>
          <w:szCs w:val="24"/>
          <w:highlight w:val="none"/>
          <w:lang w:val="en-US" w:eastAsia="zh-CN"/>
        </w:rPr>
        <w:t>须标明使用证书名称</w:t>
      </w:r>
      <w:r>
        <w:rPr>
          <w:rFonts w:hint="eastAsia" w:ascii="宋体" w:hAnsi="宋体" w:eastAsia="宋体" w:cs="宋体"/>
          <w:color w:val="auto"/>
          <w:sz w:val="24"/>
          <w:highlight w:val="none"/>
          <w:lang w:val="en-US" w:eastAsia="zh-CN"/>
        </w:rPr>
        <w:t>；未成交的样品当场退还，成交供应商样品由采购人留存作为供货、验收标准之一。</w:t>
      </w:r>
    </w:p>
    <w:p>
      <w:pPr>
        <w:keepNext w:val="0"/>
        <w:keepLines w:val="0"/>
        <w:pageBreakBefore w:val="0"/>
        <w:kinsoku/>
        <w:wordWrap/>
        <w:overflowPunct w:val="0"/>
        <w:topLinePunct w:val="0"/>
        <w:autoSpaceDE/>
        <w:autoSpaceDN/>
        <w:bidi w:val="0"/>
        <w:spacing w:line="5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5.样品与响应文件同时提交，</w:t>
      </w:r>
      <w:r>
        <w:rPr>
          <w:rFonts w:hint="eastAsia" w:ascii="宋体" w:hAnsi="宋体" w:eastAsia="宋体" w:cs="宋体"/>
          <w:color w:val="auto"/>
          <w:sz w:val="24"/>
          <w:highlight w:val="none"/>
        </w:rPr>
        <w:t>逾期送达或未送达到指定地点的拒绝接收。</w:t>
      </w:r>
    </w:p>
    <w:p>
      <w:pPr>
        <w:autoSpaceDE w:val="0"/>
        <w:snapToGrid w:val="0"/>
        <w:spacing w:line="500" w:lineRule="exact"/>
        <w:ind w:firstLine="480" w:firstLineChars="200"/>
        <w:rPr>
          <w:rFonts w:hint="eastAsia" w:ascii="宋体" w:hAnsi="宋体" w:eastAsia="宋体"/>
          <w:color w:val="auto"/>
          <w:sz w:val="24"/>
          <w:szCs w:val="24"/>
          <w:highlight w:val="none"/>
          <w:lang w:eastAsia="zh-CN"/>
        </w:rPr>
      </w:pP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样品的生产、运输费、保全费等一切费用由供应商自理。</w:t>
      </w:r>
    </w:p>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rPr>
          <w:rFonts w:hint="eastAsia" w:hAnsi="宋体" w:cs="宋体"/>
          <w:color w:val="auto"/>
          <w:highlight w:val="none"/>
        </w:rPr>
      </w:pPr>
      <w:bookmarkStart w:id="243" w:name="_Toc23476"/>
      <w:bookmarkStart w:id="244" w:name="_Toc68259625"/>
      <w:r>
        <w:rPr>
          <w:rFonts w:hint="eastAsia" w:hAnsi="宋体" w:cs="宋体"/>
          <w:color w:val="auto"/>
          <w:highlight w:val="none"/>
        </w:rPr>
        <w:br w:type="page"/>
      </w:r>
    </w:p>
    <w:p>
      <w:pPr>
        <w:pStyle w:val="3"/>
        <w:tabs>
          <w:tab w:val="left" w:pos="0"/>
        </w:tabs>
        <w:spacing w:before="0" w:after="0" w:line="480" w:lineRule="exact"/>
        <w:ind w:firstLine="2249" w:firstLineChars="700"/>
        <w:jc w:val="both"/>
        <w:rPr>
          <w:rFonts w:hAnsi="宋体" w:cs="宋体"/>
          <w:color w:val="auto"/>
          <w:highlight w:val="none"/>
        </w:rPr>
      </w:pPr>
      <w:r>
        <w:rPr>
          <w:rFonts w:hint="eastAsia" w:hAnsi="宋体" w:cs="宋体"/>
          <w:color w:val="auto"/>
          <w:highlight w:val="none"/>
        </w:rPr>
        <w:t xml:space="preserve">第5章  </w:t>
      </w:r>
      <w:bookmarkStart w:id="245" w:name="_Toc7971"/>
      <w:bookmarkStart w:id="246" w:name="_Toc507399907"/>
      <w:bookmarkStart w:id="247" w:name="_Toc515647832"/>
      <w:bookmarkStart w:id="248" w:name="_Toc32647"/>
      <w:bookmarkStart w:id="249" w:name="_Toc4766816"/>
      <w:r>
        <w:rPr>
          <w:rFonts w:hint="eastAsia" w:hAnsi="宋体" w:cs="宋体"/>
          <w:color w:val="auto"/>
          <w:highlight w:val="none"/>
        </w:rPr>
        <w:t>评审方法和标准</w:t>
      </w:r>
      <w:bookmarkEnd w:id="240"/>
      <w:bookmarkEnd w:id="241"/>
      <w:bookmarkEnd w:id="242"/>
      <w:bookmarkEnd w:id="243"/>
      <w:bookmarkEnd w:id="244"/>
      <w:bookmarkEnd w:id="245"/>
      <w:bookmarkEnd w:id="246"/>
      <w:bookmarkEnd w:id="247"/>
      <w:bookmarkEnd w:id="248"/>
      <w:bookmarkEnd w:id="249"/>
    </w:p>
    <w:p>
      <w:pPr>
        <w:pStyle w:val="10"/>
        <w:tabs>
          <w:tab w:val="clear" w:pos="567"/>
        </w:tabs>
        <w:spacing w:before="0" w:line="480" w:lineRule="exact"/>
        <w:ind w:firstLine="540" w:firstLineChars="225"/>
        <w:rPr>
          <w:rFonts w:cs="宋体"/>
          <w:color w:val="auto"/>
          <w:highlight w:val="none"/>
        </w:rPr>
      </w:pPr>
    </w:p>
    <w:p>
      <w:pPr>
        <w:spacing w:line="480" w:lineRule="exact"/>
        <w:ind w:firstLine="424" w:firstLineChars="177"/>
        <w:rPr>
          <w:rFonts w:ascii="宋体" w:hAnsi="宋体" w:cs="宋体"/>
          <w:color w:val="auto"/>
          <w:sz w:val="24"/>
          <w:highlight w:val="none"/>
        </w:rPr>
      </w:pPr>
      <w:r>
        <w:rPr>
          <w:rFonts w:hint="eastAsia" w:ascii="宋体" w:hAnsi="宋体" w:cs="宋体"/>
          <w:color w:val="auto"/>
          <w:sz w:val="24"/>
          <w:highlight w:val="none"/>
        </w:rPr>
        <w:t>本项目将按照竞争性磋商文件第一章供应商须知中“五 提交响应文件截止及磋商”、“六 确定成交”及本章的规定评审。</w:t>
      </w:r>
    </w:p>
    <w:p>
      <w:pPr>
        <w:pStyle w:val="10"/>
        <w:tabs>
          <w:tab w:val="clear" w:pos="567"/>
        </w:tabs>
        <w:spacing w:before="0" w:line="480" w:lineRule="exact"/>
        <w:ind w:firstLine="540" w:firstLineChars="225"/>
        <w:rPr>
          <w:rFonts w:cs="宋体"/>
          <w:color w:val="auto"/>
          <w:highlight w:val="none"/>
        </w:rPr>
      </w:pPr>
      <w:r>
        <w:rPr>
          <w:rFonts w:hint="eastAsia" w:cs="宋体"/>
          <w:color w:val="auto"/>
          <w:highlight w:val="none"/>
        </w:rPr>
        <w:t>本次评审采用综合评分法，将依据供应商响应文件对其资信、业绩、产品质量、服务、技术方案、价格等各项因素进行评价，综合评选出最佳报价方案。每一供应商的最终得分为所有评委评分的算术平均值。评审结果按评审得分由高到低顺序排列。得分相同的，按最后报价由低到高顺序排列。得分且最后报价相同的，按技术指标优劣由高到低顺序排列。</w:t>
      </w:r>
      <w:bookmarkStart w:id="250" w:name="percentDesc"/>
      <w:bookmarkEnd w:id="250"/>
    </w:p>
    <w:p>
      <w:pPr>
        <w:pStyle w:val="4"/>
        <w:bidi w:val="0"/>
        <w:rPr>
          <w:color w:val="auto"/>
          <w:highlight w:val="none"/>
        </w:rPr>
      </w:pPr>
      <w:bookmarkStart w:id="251" w:name="_Toc499"/>
      <w:bookmarkStart w:id="252" w:name="_Toc68259626"/>
      <w:bookmarkStart w:id="253" w:name="_Toc46136844"/>
      <w:bookmarkStart w:id="254" w:name="_Toc46238261"/>
      <w:bookmarkStart w:id="255" w:name="_Toc45562497"/>
      <w:r>
        <w:rPr>
          <w:rFonts w:hint="eastAsia"/>
          <w:color w:val="auto"/>
          <w:highlight w:val="none"/>
          <w:lang w:val="en-US" w:eastAsia="zh-CN"/>
        </w:rPr>
        <w:t>一、</w:t>
      </w:r>
      <w:r>
        <w:rPr>
          <w:rFonts w:hint="eastAsia"/>
          <w:color w:val="auto"/>
          <w:highlight w:val="none"/>
        </w:rPr>
        <w:t>初步评审</w:t>
      </w:r>
      <w:bookmarkEnd w:id="251"/>
      <w:bookmarkEnd w:id="252"/>
      <w:bookmarkEnd w:id="253"/>
      <w:bookmarkEnd w:id="254"/>
      <w:bookmarkEnd w:id="255"/>
    </w:p>
    <w:tbl>
      <w:tblPr>
        <w:tblStyle w:val="29"/>
        <w:tblW w:w="9678" w:type="dxa"/>
        <w:jc w:val="center"/>
        <w:tblLayout w:type="fixed"/>
        <w:tblCellMar>
          <w:top w:w="0" w:type="dxa"/>
          <w:left w:w="0" w:type="dxa"/>
          <w:bottom w:w="0" w:type="dxa"/>
          <w:right w:w="0" w:type="dxa"/>
        </w:tblCellMar>
      </w:tblPr>
      <w:tblGrid>
        <w:gridCol w:w="825"/>
        <w:gridCol w:w="527"/>
        <w:gridCol w:w="5658"/>
        <w:gridCol w:w="2668"/>
      </w:tblGrid>
      <w:tr>
        <w:tblPrEx>
          <w:tblCellMar>
            <w:top w:w="0" w:type="dxa"/>
            <w:left w:w="0" w:type="dxa"/>
            <w:bottom w:w="0" w:type="dxa"/>
            <w:right w:w="0" w:type="dxa"/>
          </w:tblCellMar>
        </w:tblPrEx>
        <w:trPr>
          <w:trHeight w:val="567" w:hRule="exact"/>
          <w:jc w:val="center"/>
        </w:trPr>
        <w:tc>
          <w:tcPr>
            <w:tcW w:w="825"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rFonts w:ascii="宋体" w:hAnsi="宋体" w:cs="宋体"/>
                <w:color w:val="auto"/>
                <w:kern w:val="0"/>
                <w:sz w:val="24"/>
                <w:highlight w:val="none"/>
                <w:lang w:eastAsia="en-US"/>
              </w:rPr>
            </w:pPr>
            <w:r>
              <w:rPr>
                <w:rFonts w:hint="eastAsia" w:ascii="宋体" w:hAnsi="宋体" w:cs="宋体"/>
                <w:color w:val="auto"/>
                <w:kern w:val="0"/>
                <w:position w:val="-2"/>
                <w:sz w:val="24"/>
                <w:highlight w:val="none"/>
                <w:lang w:eastAsia="en-US"/>
              </w:rPr>
              <w:t>评审</w:t>
            </w:r>
          </w:p>
          <w:p>
            <w:pPr>
              <w:spacing w:line="480" w:lineRule="exact"/>
              <w:jc w:val="center"/>
              <w:rPr>
                <w:rFonts w:ascii="宋体" w:hAnsi="宋体" w:cs="宋体"/>
                <w:color w:val="auto"/>
                <w:kern w:val="0"/>
                <w:sz w:val="24"/>
                <w:highlight w:val="none"/>
                <w:lang w:eastAsia="en-US"/>
              </w:rPr>
            </w:pPr>
            <w:r>
              <w:rPr>
                <w:rFonts w:hint="eastAsia" w:ascii="宋体" w:hAnsi="宋体" w:cs="宋体"/>
                <w:color w:val="auto"/>
                <w:kern w:val="0"/>
                <w:position w:val="-3"/>
                <w:sz w:val="24"/>
                <w:highlight w:val="none"/>
                <w:lang w:eastAsia="en-US"/>
              </w:rPr>
              <w:t>方式</w:t>
            </w:r>
          </w:p>
        </w:tc>
        <w:tc>
          <w:tcPr>
            <w:tcW w:w="527"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rFonts w:ascii="宋体" w:hAnsi="宋体" w:cs="宋体"/>
                <w:color w:val="auto"/>
                <w:kern w:val="0"/>
                <w:sz w:val="24"/>
                <w:highlight w:val="none"/>
                <w:lang w:eastAsia="en-US"/>
              </w:rPr>
            </w:pPr>
            <w:r>
              <w:rPr>
                <w:rFonts w:hint="eastAsia" w:ascii="宋体" w:hAnsi="宋体" w:cs="宋体"/>
                <w:color w:val="auto"/>
                <w:kern w:val="0"/>
                <w:position w:val="-2"/>
                <w:sz w:val="24"/>
                <w:highlight w:val="none"/>
                <w:lang w:eastAsia="en-US"/>
              </w:rPr>
              <w:t>序</w:t>
            </w:r>
          </w:p>
          <w:p>
            <w:pPr>
              <w:spacing w:line="480" w:lineRule="exact"/>
              <w:jc w:val="center"/>
              <w:rPr>
                <w:rFonts w:ascii="宋体" w:hAnsi="宋体" w:cs="宋体"/>
                <w:color w:val="auto"/>
                <w:kern w:val="0"/>
                <w:sz w:val="24"/>
                <w:highlight w:val="none"/>
                <w:lang w:eastAsia="en-US"/>
              </w:rPr>
            </w:pPr>
            <w:r>
              <w:rPr>
                <w:rFonts w:hint="eastAsia" w:ascii="宋体" w:hAnsi="宋体" w:cs="宋体"/>
                <w:color w:val="auto"/>
                <w:kern w:val="0"/>
                <w:position w:val="-3"/>
                <w:sz w:val="24"/>
                <w:highlight w:val="none"/>
                <w:lang w:eastAsia="en-US"/>
              </w:rPr>
              <w:t>号</w:t>
            </w:r>
          </w:p>
        </w:tc>
        <w:tc>
          <w:tcPr>
            <w:tcW w:w="5658"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ind w:left="142" w:hanging="141" w:hangingChars="59"/>
              <w:jc w:val="center"/>
              <w:rPr>
                <w:rFonts w:ascii="宋体" w:hAnsi="宋体" w:cs="宋体"/>
                <w:color w:val="auto"/>
                <w:kern w:val="0"/>
                <w:sz w:val="24"/>
                <w:highlight w:val="none"/>
                <w:lang w:eastAsia="en-US"/>
              </w:rPr>
            </w:pPr>
            <w:r>
              <w:rPr>
                <w:rFonts w:hint="eastAsia" w:ascii="宋体" w:hAnsi="宋体" w:cs="宋体"/>
                <w:color w:val="auto"/>
                <w:kern w:val="0"/>
                <w:sz w:val="24"/>
                <w:highlight w:val="none"/>
                <w:lang w:eastAsia="en-US"/>
              </w:rPr>
              <w:t>评审因素</w:t>
            </w:r>
          </w:p>
        </w:tc>
        <w:tc>
          <w:tcPr>
            <w:tcW w:w="2668"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rFonts w:ascii="宋体" w:hAnsi="宋体" w:cs="宋体"/>
                <w:color w:val="auto"/>
                <w:kern w:val="0"/>
                <w:sz w:val="24"/>
                <w:highlight w:val="none"/>
              </w:rPr>
            </w:pPr>
            <w:r>
              <w:rPr>
                <w:rFonts w:hint="eastAsia" w:ascii="宋体" w:hAnsi="宋体" w:cs="宋体"/>
                <w:color w:val="auto"/>
                <w:kern w:val="0"/>
                <w:position w:val="-2"/>
                <w:sz w:val="24"/>
                <w:highlight w:val="none"/>
              </w:rPr>
              <w:t>是否符合</w:t>
            </w:r>
          </w:p>
        </w:tc>
      </w:tr>
      <w:tr>
        <w:tblPrEx>
          <w:tblCellMar>
            <w:top w:w="0" w:type="dxa"/>
            <w:left w:w="0" w:type="dxa"/>
            <w:bottom w:w="0" w:type="dxa"/>
            <w:right w:w="0" w:type="dxa"/>
          </w:tblCellMar>
        </w:tblPrEx>
        <w:trPr>
          <w:trHeight w:val="567" w:hRule="exact"/>
          <w:jc w:val="center"/>
        </w:trPr>
        <w:tc>
          <w:tcPr>
            <w:tcW w:w="825" w:type="dxa"/>
            <w:vMerge w:val="restart"/>
            <w:tcBorders>
              <w:top w:val="single" w:color="000000" w:sz="2" w:space="0"/>
              <w:left w:val="single" w:color="000000" w:sz="2" w:space="0"/>
              <w:bottom w:val="nil"/>
              <w:right w:val="single" w:color="000000" w:sz="2" w:space="0"/>
            </w:tcBorders>
            <w:noWrap w:val="0"/>
            <w:vAlign w:val="center"/>
          </w:tcPr>
          <w:p>
            <w:pPr>
              <w:spacing w:line="480" w:lineRule="exact"/>
              <w:jc w:val="center"/>
              <w:rPr>
                <w:rFonts w:ascii="宋体" w:hAnsi="宋体" w:cs="宋体"/>
                <w:color w:val="auto"/>
                <w:kern w:val="0"/>
                <w:sz w:val="24"/>
                <w:highlight w:val="none"/>
                <w:lang w:eastAsia="en-US"/>
              </w:rPr>
            </w:pPr>
            <w:r>
              <w:rPr>
                <w:rFonts w:hint="eastAsia" w:ascii="宋体" w:hAnsi="宋体" w:cs="宋体"/>
                <w:color w:val="auto"/>
                <w:kern w:val="0"/>
                <w:sz w:val="24"/>
                <w:highlight w:val="none"/>
                <w:lang w:eastAsia="en-US"/>
              </w:rPr>
              <w:t>资格评审</w:t>
            </w:r>
          </w:p>
        </w:tc>
        <w:tc>
          <w:tcPr>
            <w:tcW w:w="527"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rFonts w:ascii="宋体" w:hAnsi="宋体" w:cs="宋体"/>
                <w:color w:val="auto"/>
                <w:kern w:val="0"/>
                <w:sz w:val="24"/>
                <w:highlight w:val="none"/>
                <w:lang w:eastAsia="en-US"/>
              </w:rPr>
            </w:pPr>
            <w:r>
              <w:rPr>
                <w:rFonts w:hint="eastAsia" w:ascii="宋体" w:hAnsi="宋体" w:cs="宋体"/>
                <w:color w:val="auto"/>
                <w:kern w:val="0"/>
                <w:position w:val="-2"/>
                <w:sz w:val="24"/>
                <w:highlight w:val="none"/>
                <w:lang w:eastAsia="en-US"/>
              </w:rPr>
              <w:t>1</w:t>
            </w:r>
          </w:p>
        </w:tc>
        <w:tc>
          <w:tcPr>
            <w:tcW w:w="5658"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ind w:left="216" w:leftChars="103"/>
              <w:jc w:val="left"/>
              <w:rPr>
                <w:rFonts w:ascii="宋体" w:hAnsi="宋体" w:cs="宋体"/>
                <w:color w:val="auto"/>
                <w:kern w:val="0"/>
                <w:position w:val="-2"/>
                <w:sz w:val="24"/>
                <w:highlight w:val="none"/>
              </w:rPr>
            </w:pPr>
            <w:r>
              <w:rPr>
                <w:rFonts w:hint="eastAsia" w:ascii="宋体" w:hAnsi="宋体" w:cs="宋体"/>
                <w:color w:val="auto"/>
                <w:kern w:val="0"/>
                <w:position w:val="-2"/>
                <w:sz w:val="24"/>
                <w:highlight w:val="none"/>
              </w:rPr>
              <w:t>以竞争性磋商文件规定的方式获取竞争性磋商文件</w:t>
            </w:r>
          </w:p>
        </w:tc>
        <w:tc>
          <w:tcPr>
            <w:tcW w:w="2668"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rFonts w:ascii="宋体" w:hAnsi="宋体"/>
                <w:color w:val="auto"/>
                <w:kern w:val="0"/>
                <w:sz w:val="24"/>
                <w:highlight w:val="none"/>
              </w:rPr>
            </w:pPr>
            <w:r>
              <w:rPr>
                <w:rFonts w:ascii="宋体" w:hAnsi="宋体"/>
                <w:color w:val="auto"/>
                <w:kern w:val="0"/>
                <w:sz w:val="24"/>
                <w:highlight w:val="none"/>
              </w:rPr>
              <w:t>是否在规定时间内获取</w:t>
            </w:r>
          </w:p>
        </w:tc>
      </w:tr>
      <w:tr>
        <w:tblPrEx>
          <w:tblCellMar>
            <w:top w:w="0" w:type="dxa"/>
            <w:left w:w="0" w:type="dxa"/>
            <w:bottom w:w="0" w:type="dxa"/>
            <w:right w:w="0" w:type="dxa"/>
          </w:tblCellMar>
        </w:tblPrEx>
        <w:trPr>
          <w:trHeight w:val="567" w:hRule="exact"/>
          <w:jc w:val="center"/>
        </w:trPr>
        <w:tc>
          <w:tcPr>
            <w:tcW w:w="825" w:type="dxa"/>
            <w:vMerge w:val="continue"/>
            <w:tcBorders>
              <w:top w:val="single" w:color="000000" w:sz="2" w:space="0"/>
              <w:left w:val="single" w:color="000000" w:sz="2" w:space="0"/>
              <w:bottom w:val="nil"/>
              <w:right w:val="single" w:color="000000" w:sz="2" w:space="0"/>
            </w:tcBorders>
            <w:noWrap w:val="0"/>
            <w:vAlign w:val="center"/>
          </w:tcPr>
          <w:p>
            <w:pPr>
              <w:widowControl/>
              <w:spacing w:line="480" w:lineRule="exact"/>
              <w:jc w:val="center"/>
              <w:rPr>
                <w:rFonts w:ascii="宋体" w:hAnsi="宋体" w:cs="宋体"/>
                <w:color w:val="auto"/>
                <w:kern w:val="0"/>
                <w:sz w:val="24"/>
                <w:highlight w:val="none"/>
              </w:rPr>
            </w:pPr>
          </w:p>
        </w:tc>
        <w:tc>
          <w:tcPr>
            <w:tcW w:w="527"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rFonts w:ascii="宋体" w:hAnsi="宋体" w:cs="宋体"/>
                <w:color w:val="auto"/>
                <w:kern w:val="0"/>
                <w:sz w:val="24"/>
                <w:highlight w:val="none"/>
                <w:lang w:eastAsia="en-US"/>
              </w:rPr>
            </w:pPr>
            <w:r>
              <w:rPr>
                <w:rFonts w:hint="eastAsia" w:ascii="宋体" w:hAnsi="宋体" w:cs="宋体"/>
                <w:color w:val="auto"/>
                <w:kern w:val="0"/>
                <w:position w:val="-2"/>
                <w:sz w:val="24"/>
                <w:highlight w:val="none"/>
                <w:lang w:eastAsia="en-US"/>
              </w:rPr>
              <w:t>2</w:t>
            </w:r>
          </w:p>
        </w:tc>
        <w:tc>
          <w:tcPr>
            <w:tcW w:w="5658"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ind w:left="216" w:leftChars="103"/>
              <w:jc w:val="left"/>
              <w:rPr>
                <w:rFonts w:ascii="宋体" w:hAnsi="宋体" w:cs="宋体"/>
                <w:color w:val="auto"/>
                <w:kern w:val="0"/>
                <w:position w:val="-2"/>
                <w:sz w:val="24"/>
                <w:highlight w:val="none"/>
              </w:rPr>
            </w:pPr>
            <w:r>
              <w:rPr>
                <w:rFonts w:hint="eastAsia" w:ascii="宋体" w:hAnsi="宋体" w:cs="宋体"/>
                <w:color w:val="auto"/>
                <w:kern w:val="0"/>
                <w:position w:val="-2"/>
                <w:sz w:val="24"/>
                <w:highlight w:val="none"/>
              </w:rPr>
              <w:t>在中华人民共和国境内注册</w:t>
            </w:r>
          </w:p>
        </w:tc>
        <w:tc>
          <w:tcPr>
            <w:tcW w:w="2668"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rFonts w:ascii="宋体" w:hAnsi="宋体"/>
                <w:color w:val="auto"/>
                <w:kern w:val="0"/>
                <w:sz w:val="24"/>
                <w:highlight w:val="none"/>
              </w:rPr>
            </w:pPr>
            <w:r>
              <w:rPr>
                <w:rFonts w:ascii="宋体" w:hAnsi="宋体"/>
                <w:color w:val="auto"/>
                <w:kern w:val="0"/>
                <w:sz w:val="24"/>
                <w:highlight w:val="none"/>
              </w:rPr>
              <w:t>注册地</w:t>
            </w:r>
            <w:r>
              <w:rPr>
                <w:rFonts w:hint="eastAsia" w:ascii="宋体" w:hAnsi="宋体"/>
                <w:color w:val="auto"/>
                <w:kern w:val="0"/>
                <w:sz w:val="24"/>
                <w:highlight w:val="none"/>
              </w:rPr>
              <w:t>是否符合</w:t>
            </w:r>
          </w:p>
        </w:tc>
      </w:tr>
      <w:tr>
        <w:tblPrEx>
          <w:tblCellMar>
            <w:top w:w="0" w:type="dxa"/>
            <w:left w:w="0" w:type="dxa"/>
            <w:bottom w:w="0" w:type="dxa"/>
            <w:right w:w="0" w:type="dxa"/>
          </w:tblCellMar>
        </w:tblPrEx>
        <w:trPr>
          <w:trHeight w:val="439" w:hRule="exact"/>
          <w:jc w:val="center"/>
        </w:trPr>
        <w:tc>
          <w:tcPr>
            <w:tcW w:w="825" w:type="dxa"/>
            <w:vMerge w:val="continue"/>
            <w:tcBorders>
              <w:top w:val="single" w:color="000000" w:sz="2" w:space="0"/>
              <w:left w:val="single" w:color="000000" w:sz="2" w:space="0"/>
              <w:bottom w:val="nil"/>
              <w:right w:val="single" w:color="000000" w:sz="2" w:space="0"/>
            </w:tcBorders>
            <w:noWrap w:val="0"/>
            <w:vAlign w:val="center"/>
          </w:tcPr>
          <w:p>
            <w:pPr>
              <w:widowControl/>
              <w:spacing w:line="480" w:lineRule="exact"/>
              <w:jc w:val="center"/>
              <w:rPr>
                <w:rFonts w:ascii="宋体" w:hAnsi="宋体" w:cs="宋体"/>
                <w:color w:val="auto"/>
                <w:kern w:val="0"/>
                <w:sz w:val="24"/>
                <w:highlight w:val="none"/>
              </w:rPr>
            </w:pPr>
          </w:p>
        </w:tc>
        <w:tc>
          <w:tcPr>
            <w:tcW w:w="527"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rFonts w:ascii="宋体" w:hAnsi="宋体" w:cs="宋体"/>
                <w:color w:val="auto"/>
                <w:kern w:val="0"/>
                <w:sz w:val="24"/>
                <w:highlight w:val="none"/>
                <w:lang w:eastAsia="en-US"/>
              </w:rPr>
            </w:pPr>
            <w:r>
              <w:rPr>
                <w:rFonts w:hint="eastAsia" w:ascii="宋体" w:hAnsi="宋体" w:cs="宋体"/>
                <w:color w:val="auto"/>
                <w:kern w:val="0"/>
                <w:position w:val="-2"/>
                <w:sz w:val="24"/>
                <w:highlight w:val="none"/>
                <w:lang w:eastAsia="en-US"/>
              </w:rPr>
              <w:t>3</w:t>
            </w:r>
          </w:p>
        </w:tc>
        <w:tc>
          <w:tcPr>
            <w:tcW w:w="5658"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ind w:left="216" w:leftChars="103"/>
              <w:jc w:val="left"/>
              <w:rPr>
                <w:rFonts w:hint="default" w:ascii="宋体" w:hAnsi="宋体" w:eastAsia="宋体" w:cs="宋体"/>
                <w:color w:val="auto"/>
                <w:kern w:val="0"/>
                <w:position w:val="-2"/>
                <w:sz w:val="24"/>
                <w:highlight w:val="none"/>
                <w:lang w:val="en-US" w:eastAsia="zh-CN"/>
              </w:rPr>
            </w:pPr>
            <w:r>
              <w:rPr>
                <w:rFonts w:hint="eastAsia" w:ascii="宋体" w:hAnsi="宋体" w:cs="宋体"/>
                <w:color w:val="auto"/>
                <w:kern w:val="0"/>
                <w:position w:val="-2"/>
                <w:sz w:val="24"/>
                <w:highlight w:val="none"/>
              </w:rPr>
              <w:t>营业执照副本</w:t>
            </w:r>
            <w:r>
              <w:rPr>
                <w:rFonts w:hint="eastAsia" w:ascii="宋体" w:hAnsi="宋体" w:cs="宋体"/>
                <w:color w:val="auto"/>
                <w:kern w:val="0"/>
                <w:position w:val="-2"/>
                <w:sz w:val="24"/>
                <w:highlight w:val="none"/>
                <w:lang w:eastAsia="zh-CN"/>
              </w:rPr>
              <w:t>、</w:t>
            </w:r>
            <w:r>
              <w:rPr>
                <w:rFonts w:hint="eastAsia" w:ascii="宋体" w:hAnsi="宋体" w:cs="宋体"/>
                <w:color w:val="auto"/>
                <w:kern w:val="0"/>
                <w:position w:val="-2"/>
                <w:sz w:val="24"/>
                <w:highlight w:val="none"/>
                <w:lang w:val="en-US" w:eastAsia="zh-CN"/>
              </w:rPr>
              <w:t>资质证书</w:t>
            </w:r>
          </w:p>
        </w:tc>
        <w:tc>
          <w:tcPr>
            <w:tcW w:w="2668"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rFonts w:ascii="宋体" w:hAnsi="宋体"/>
                <w:color w:val="auto"/>
                <w:kern w:val="0"/>
                <w:sz w:val="24"/>
                <w:highlight w:val="none"/>
              </w:rPr>
            </w:pPr>
            <w:r>
              <w:rPr>
                <w:rFonts w:ascii="宋体" w:hAnsi="宋体"/>
                <w:color w:val="auto"/>
                <w:kern w:val="0"/>
                <w:sz w:val="24"/>
                <w:highlight w:val="none"/>
              </w:rPr>
              <w:t>是否按要求提供</w:t>
            </w:r>
          </w:p>
        </w:tc>
      </w:tr>
      <w:tr>
        <w:tblPrEx>
          <w:tblCellMar>
            <w:top w:w="0" w:type="dxa"/>
            <w:left w:w="0" w:type="dxa"/>
            <w:bottom w:w="0" w:type="dxa"/>
            <w:right w:w="0" w:type="dxa"/>
          </w:tblCellMar>
        </w:tblPrEx>
        <w:trPr>
          <w:trHeight w:val="567" w:hRule="exact"/>
          <w:jc w:val="center"/>
        </w:trPr>
        <w:tc>
          <w:tcPr>
            <w:tcW w:w="825" w:type="dxa"/>
            <w:vMerge w:val="continue"/>
            <w:tcBorders>
              <w:top w:val="single" w:color="000000" w:sz="2" w:space="0"/>
              <w:left w:val="single" w:color="000000" w:sz="2" w:space="0"/>
              <w:bottom w:val="nil"/>
              <w:right w:val="single" w:color="000000" w:sz="2" w:space="0"/>
            </w:tcBorders>
            <w:noWrap w:val="0"/>
            <w:vAlign w:val="center"/>
          </w:tcPr>
          <w:p>
            <w:pPr>
              <w:widowControl/>
              <w:spacing w:line="480" w:lineRule="exact"/>
              <w:jc w:val="center"/>
              <w:rPr>
                <w:rFonts w:ascii="宋体" w:hAnsi="宋体" w:cs="宋体"/>
                <w:color w:val="auto"/>
                <w:kern w:val="0"/>
                <w:sz w:val="24"/>
                <w:highlight w:val="none"/>
                <w:lang w:eastAsia="en-US"/>
              </w:rPr>
            </w:pPr>
          </w:p>
        </w:tc>
        <w:tc>
          <w:tcPr>
            <w:tcW w:w="527"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rFonts w:ascii="宋体" w:hAnsi="宋体" w:cs="宋体"/>
                <w:color w:val="auto"/>
                <w:kern w:val="0"/>
                <w:sz w:val="24"/>
                <w:highlight w:val="none"/>
                <w:lang w:eastAsia="en-US"/>
              </w:rPr>
            </w:pPr>
            <w:r>
              <w:rPr>
                <w:rFonts w:hint="eastAsia" w:ascii="宋体" w:hAnsi="宋体" w:cs="宋体"/>
                <w:color w:val="auto"/>
                <w:kern w:val="0"/>
                <w:position w:val="-2"/>
                <w:sz w:val="24"/>
                <w:highlight w:val="none"/>
                <w:lang w:eastAsia="en-US"/>
              </w:rPr>
              <w:t>4</w:t>
            </w:r>
          </w:p>
        </w:tc>
        <w:tc>
          <w:tcPr>
            <w:tcW w:w="5658"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ind w:left="216" w:leftChars="103"/>
              <w:jc w:val="left"/>
              <w:rPr>
                <w:rFonts w:ascii="宋体" w:hAnsi="宋体" w:cs="宋体"/>
                <w:color w:val="auto"/>
                <w:kern w:val="0"/>
                <w:position w:val="-2"/>
                <w:sz w:val="24"/>
                <w:highlight w:val="none"/>
              </w:rPr>
            </w:pPr>
            <w:r>
              <w:rPr>
                <w:rFonts w:hint="eastAsia" w:ascii="宋体" w:hAnsi="宋体" w:cs="宋体"/>
                <w:color w:val="auto"/>
                <w:kern w:val="0"/>
                <w:position w:val="-2"/>
                <w:sz w:val="24"/>
                <w:highlight w:val="none"/>
              </w:rPr>
              <w:t>法定代表人/负责人身份证明书或法定代表人/负责人授权委托书</w:t>
            </w:r>
          </w:p>
        </w:tc>
        <w:tc>
          <w:tcPr>
            <w:tcW w:w="2668"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rFonts w:ascii="宋体" w:hAnsi="宋体"/>
                <w:color w:val="auto"/>
                <w:kern w:val="0"/>
                <w:sz w:val="24"/>
                <w:highlight w:val="none"/>
              </w:rPr>
            </w:pPr>
            <w:r>
              <w:rPr>
                <w:rFonts w:ascii="宋体" w:hAnsi="宋体"/>
                <w:color w:val="auto"/>
                <w:kern w:val="0"/>
                <w:sz w:val="24"/>
                <w:highlight w:val="none"/>
              </w:rPr>
              <w:t>格式及内容是否完整</w:t>
            </w:r>
          </w:p>
        </w:tc>
      </w:tr>
      <w:tr>
        <w:tblPrEx>
          <w:tblCellMar>
            <w:top w:w="0" w:type="dxa"/>
            <w:left w:w="0" w:type="dxa"/>
            <w:bottom w:w="0" w:type="dxa"/>
            <w:right w:w="0" w:type="dxa"/>
          </w:tblCellMar>
        </w:tblPrEx>
        <w:trPr>
          <w:trHeight w:val="1009" w:hRule="exact"/>
          <w:jc w:val="center"/>
        </w:trPr>
        <w:tc>
          <w:tcPr>
            <w:tcW w:w="825" w:type="dxa"/>
            <w:vMerge w:val="continue"/>
            <w:tcBorders>
              <w:top w:val="single" w:color="000000" w:sz="2" w:space="0"/>
              <w:left w:val="single" w:color="000000" w:sz="2" w:space="0"/>
              <w:bottom w:val="nil"/>
              <w:right w:val="single" w:color="000000" w:sz="2" w:space="0"/>
            </w:tcBorders>
            <w:noWrap w:val="0"/>
            <w:vAlign w:val="center"/>
          </w:tcPr>
          <w:p>
            <w:pPr>
              <w:widowControl/>
              <w:spacing w:line="480" w:lineRule="exact"/>
              <w:jc w:val="center"/>
              <w:rPr>
                <w:rFonts w:ascii="宋体" w:hAnsi="宋体" w:cs="宋体"/>
                <w:color w:val="auto"/>
                <w:kern w:val="0"/>
                <w:sz w:val="24"/>
                <w:highlight w:val="none"/>
                <w:lang w:eastAsia="en-US"/>
              </w:rPr>
            </w:pPr>
          </w:p>
        </w:tc>
        <w:tc>
          <w:tcPr>
            <w:tcW w:w="527"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rFonts w:hint="eastAsia" w:ascii="宋体" w:hAnsi="宋体" w:cs="宋体"/>
                <w:color w:val="auto"/>
                <w:kern w:val="0"/>
                <w:position w:val="-2"/>
                <w:sz w:val="24"/>
                <w:highlight w:val="none"/>
              </w:rPr>
            </w:pPr>
            <w:r>
              <w:rPr>
                <w:rFonts w:hint="eastAsia" w:ascii="宋体" w:hAnsi="宋体" w:cs="宋体"/>
                <w:color w:val="auto"/>
                <w:kern w:val="0"/>
                <w:position w:val="-2"/>
                <w:sz w:val="24"/>
                <w:highlight w:val="none"/>
              </w:rPr>
              <w:t>5</w:t>
            </w:r>
          </w:p>
        </w:tc>
        <w:tc>
          <w:tcPr>
            <w:tcW w:w="5658"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ind w:left="216" w:leftChars="103"/>
              <w:jc w:val="left"/>
              <w:rPr>
                <w:rFonts w:hint="default" w:ascii="宋体" w:hAnsi="宋体" w:eastAsia="宋体" w:cs="宋体"/>
                <w:color w:val="auto"/>
                <w:kern w:val="0"/>
                <w:position w:val="-2"/>
                <w:sz w:val="24"/>
                <w:highlight w:val="none"/>
                <w:lang w:val="en-US" w:eastAsia="zh-CN"/>
              </w:rPr>
            </w:pPr>
            <w:r>
              <w:rPr>
                <w:rFonts w:hint="eastAsia" w:ascii="宋体" w:hAnsi="宋体" w:cs="宋体"/>
                <w:color w:val="auto"/>
                <w:kern w:val="0"/>
                <w:position w:val="-2"/>
                <w:sz w:val="24"/>
                <w:highlight w:val="none"/>
              </w:rPr>
              <w:t>具有良好的商业信誉和健全的财务会计制度的</w:t>
            </w:r>
            <w:r>
              <w:rPr>
                <w:rFonts w:hint="eastAsia" w:ascii="宋体" w:hAnsi="宋体" w:cs="宋体"/>
                <w:color w:val="auto"/>
                <w:kern w:val="0"/>
                <w:position w:val="-2"/>
                <w:sz w:val="24"/>
                <w:highlight w:val="none"/>
                <w:lang w:val="en-US" w:eastAsia="zh-CN"/>
              </w:rPr>
              <w:t xml:space="preserve">证明材料 </w:t>
            </w:r>
          </w:p>
        </w:tc>
        <w:tc>
          <w:tcPr>
            <w:tcW w:w="2668"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rFonts w:ascii="宋体" w:hAnsi="宋体"/>
                <w:color w:val="auto"/>
                <w:kern w:val="0"/>
                <w:sz w:val="24"/>
                <w:highlight w:val="none"/>
              </w:rPr>
            </w:pPr>
            <w:r>
              <w:rPr>
                <w:rFonts w:ascii="宋体" w:hAnsi="宋体"/>
                <w:color w:val="auto"/>
                <w:kern w:val="0"/>
                <w:sz w:val="24"/>
                <w:highlight w:val="none"/>
              </w:rPr>
              <w:t>是否按要求提供</w:t>
            </w:r>
          </w:p>
        </w:tc>
      </w:tr>
      <w:tr>
        <w:tblPrEx>
          <w:tblCellMar>
            <w:top w:w="0" w:type="dxa"/>
            <w:left w:w="0" w:type="dxa"/>
            <w:bottom w:w="0" w:type="dxa"/>
            <w:right w:w="0" w:type="dxa"/>
          </w:tblCellMar>
        </w:tblPrEx>
        <w:trPr>
          <w:trHeight w:val="567" w:hRule="exact"/>
          <w:jc w:val="center"/>
        </w:trPr>
        <w:tc>
          <w:tcPr>
            <w:tcW w:w="825" w:type="dxa"/>
            <w:vMerge w:val="continue"/>
            <w:tcBorders>
              <w:top w:val="single" w:color="000000" w:sz="2" w:space="0"/>
              <w:left w:val="single" w:color="000000" w:sz="2" w:space="0"/>
              <w:bottom w:val="nil"/>
              <w:right w:val="single" w:color="000000" w:sz="2" w:space="0"/>
            </w:tcBorders>
            <w:noWrap w:val="0"/>
            <w:vAlign w:val="center"/>
          </w:tcPr>
          <w:p>
            <w:pPr>
              <w:widowControl/>
              <w:spacing w:line="480" w:lineRule="exact"/>
              <w:jc w:val="center"/>
              <w:rPr>
                <w:rFonts w:ascii="宋体" w:hAnsi="宋体" w:cs="宋体"/>
                <w:color w:val="auto"/>
                <w:kern w:val="0"/>
                <w:sz w:val="24"/>
                <w:highlight w:val="none"/>
              </w:rPr>
            </w:pPr>
          </w:p>
        </w:tc>
        <w:tc>
          <w:tcPr>
            <w:tcW w:w="527"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rFonts w:hint="eastAsia" w:ascii="宋体" w:hAnsi="宋体" w:cs="宋体"/>
                <w:color w:val="auto"/>
                <w:kern w:val="0"/>
                <w:sz w:val="24"/>
                <w:highlight w:val="none"/>
              </w:rPr>
            </w:pPr>
            <w:r>
              <w:rPr>
                <w:rFonts w:hint="eastAsia" w:ascii="宋体" w:hAnsi="宋体" w:cs="宋体"/>
                <w:color w:val="auto"/>
                <w:kern w:val="0"/>
                <w:position w:val="-2"/>
                <w:sz w:val="24"/>
                <w:highlight w:val="none"/>
              </w:rPr>
              <w:t>6</w:t>
            </w:r>
          </w:p>
        </w:tc>
        <w:tc>
          <w:tcPr>
            <w:tcW w:w="5658"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ind w:left="216" w:leftChars="103"/>
              <w:jc w:val="left"/>
              <w:rPr>
                <w:rFonts w:ascii="宋体" w:hAnsi="宋体" w:cs="宋体"/>
                <w:color w:val="auto"/>
                <w:kern w:val="0"/>
                <w:position w:val="-2"/>
                <w:sz w:val="24"/>
                <w:highlight w:val="none"/>
              </w:rPr>
            </w:pPr>
            <w:r>
              <w:rPr>
                <w:rFonts w:hint="eastAsia" w:ascii="宋体" w:hAnsi="宋体" w:cs="宋体"/>
                <w:color w:val="auto"/>
                <w:kern w:val="0"/>
                <w:position w:val="-2"/>
                <w:sz w:val="24"/>
                <w:highlight w:val="none"/>
              </w:rPr>
              <w:t>依法缴纳税收和社会保障资金承诺函</w:t>
            </w:r>
          </w:p>
        </w:tc>
        <w:tc>
          <w:tcPr>
            <w:tcW w:w="2668"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rFonts w:ascii="宋体" w:hAnsi="宋体"/>
                <w:color w:val="auto"/>
                <w:kern w:val="0"/>
                <w:sz w:val="24"/>
                <w:highlight w:val="none"/>
              </w:rPr>
            </w:pPr>
            <w:r>
              <w:rPr>
                <w:rFonts w:ascii="宋体" w:hAnsi="宋体"/>
                <w:color w:val="auto"/>
                <w:kern w:val="0"/>
                <w:sz w:val="24"/>
                <w:highlight w:val="none"/>
              </w:rPr>
              <w:t>是否按要求提供</w:t>
            </w:r>
          </w:p>
        </w:tc>
      </w:tr>
      <w:tr>
        <w:tblPrEx>
          <w:tblCellMar>
            <w:top w:w="0" w:type="dxa"/>
            <w:left w:w="0" w:type="dxa"/>
            <w:bottom w:w="0" w:type="dxa"/>
            <w:right w:w="0" w:type="dxa"/>
          </w:tblCellMar>
        </w:tblPrEx>
        <w:trPr>
          <w:trHeight w:val="567" w:hRule="exact"/>
          <w:jc w:val="center"/>
        </w:trPr>
        <w:tc>
          <w:tcPr>
            <w:tcW w:w="825" w:type="dxa"/>
            <w:vMerge w:val="continue"/>
            <w:tcBorders>
              <w:top w:val="single" w:color="000000" w:sz="2" w:space="0"/>
              <w:left w:val="single" w:color="000000" w:sz="2" w:space="0"/>
              <w:bottom w:val="nil"/>
              <w:right w:val="single" w:color="000000" w:sz="2" w:space="0"/>
            </w:tcBorders>
            <w:noWrap w:val="0"/>
            <w:vAlign w:val="center"/>
          </w:tcPr>
          <w:p>
            <w:pPr>
              <w:widowControl/>
              <w:spacing w:line="480" w:lineRule="exact"/>
              <w:jc w:val="center"/>
              <w:rPr>
                <w:rFonts w:ascii="宋体" w:hAnsi="宋体" w:cs="宋体"/>
                <w:color w:val="auto"/>
                <w:kern w:val="0"/>
                <w:sz w:val="24"/>
                <w:highlight w:val="none"/>
              </w:rPr>
            </w:pPr>
          </w:p>
        </w:tc>
        <w:tc>
          <w:tcPr>
            <w:tcW w:w="527"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rFonts w:hint="eastAsia" w:ascii="宋体" w:hAnsi="宋体" w:cs="宋体"/>
                <w:color w:val="auto"/>
                <w:kern w:val="0"/>
                <w:sz w:val="24"/>
                <w:highlight w:val="none"/>
              </w:rPr>
            </w:pPr>
            <w:r>
              <w:rPr>
                <w:rFonts w:hint="eastAsia" w:ascii="宋体" w:hAnsi="宋体" w:cs="宋体"/>
                <w:color w:val="auto"/>
                <w:kern w:val="0"/>
                <w:position w:val="-2"/>
                <w:sz w:val="24"/>
                <w:highlight w:val="none"/>
              </w:rPr>
              <w:t>7</w:t>
            </w:r>
          </w:p>
        </w:tc>
        <w:tc>
          <w:tcPr>
            <w:tcW w:w="5658"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ind w:left="216" w:leftChars="103"/>
              <w:jc w:val="left"/>
              <w:rPr>
                <w:rFonts w:ascii="宋体" w:hAnsi="宋体" w:cs="宋体"/>
                <w:color w:val="auto"/>
                <w:kern w:val="0"/>
                <w:position w:val="-2"/>
                <w:sz w:val="24"/>
                <w:highlight w:val="none"/>
              </w:rPr>
            </w:pPr>
            <w:r>
              <w:rPr>
                <w:rFonts w:hint="eastAsia" w:ascii="宋体" w:hAnsi="宋体" w:cs="宋体"/>
                <w:color w:val="auto"/>
                <w:kern w:val="0"/>
                <w:position w:val="-2"/>
                <w:sz w:val="24"/>
                <w:highlight w:val="none"/>
              </w:rPr>
              <w:t>无重大违法记录的书面声明</w:t>
            </w:r>
          </w:p>
        </w:tc>
        <w:tc>
          <w:tcPr>
            <w:tcW w:w="2668"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rFonts w:ascii="宋体" w:hAnsi="宋体"/>
                <w:color w:val="auto"/>
                <w:kern w:val="0"/>
                <w:sz w:val="24"/>
                <w:highlight w:val="none"/>
              </w:rPr>
            </w:pPr>
            <w:r>
              <w:rPr>
                <w:rFonts w:ascii="宋体" w:hAnsi="宋体"/>
                <w:color w:val="auto"/>
                <w:kern w:val="0"/>
                <w:sz w:val="24"/>
                <w:highlight w:val="none"/>
              </w:rPr>
              <w:t>是否按要求提供</w:t>
            </w:r>
          </w:p>
        </w:tc>
      </w:tr>
      <w:tr>
        <w:tblPrEx>
          <w:tblCellMar>
            <w:top w:w="0" w:type="dxa"/>
            <w:left w:w="0" w:type="dxa"/>
            <w:bottom w:w="0" w:type="dxa"/>
            <w:right w:w="0" w:type="dxa"/>
          </w:tblCellMar>
        </w:tblPrEx>
        <w:trPr>
          <w:trHeight w:val="567" w:hRule="exact"/>
          <w:jc w:val="center"/>
        </w:trPr>
        <w:tc>
          <w:tcPr>
            <w:tcW w:w="825" w:type="dxa"/>
            <w:vMerge w:val="continue"/>
            <w:tcBorders>
              <w:top w:val="single" w:color="000000" w:sz="2" w:space="0"/>
              <w:left w:val="single" w:color="000000" w:sz="2" w:space="0"/>
              <w:bottom w:val="nil"/>
              <w:right w:val="single" w:color="000000" w:sz="2" w:space="0"/>
            </w:tcBorders>
            <w:noWrap w:val="0"/>
            <w:vAlign w:val="center"/>
          </w:tcPr>
          <w:p>
            <w:pPr>
              <w:widowControl/>
              <w:spacing w:line="480" w:lineRule="exact"/>
              <w:jc w:val="center"/>
              <w:rPr>
                <w:rFonts w:ascii="宋体" w:hAnsi="宋体" w:cs="宋体"/>
                <w:color w:val="auto"/>
                <w:kern w:val="0"/>
                <w:sz w:val="24"/>
                <w:highlight w:val="none"/>
              </w:rPr>
            </w:pPr>
          </w:p>
        </w:tc>
        <w:tc>
          <w:tcPr>
            <w:tcW w:w="527"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rFonts w:hint="eastAsia" w:ascii="宋体" w:hAnsi="宋体" w:eastAsia="宋体" w:cs="宋体"/>
                <w:color w:val="auto"/>
                <w:kern w:val="0"/>
                <w:position w:val="-2"/>
                <w:sz w:val="24"/>
                <w:highlight w:val="none"/>
                <w:lang w:val="en-US" w:eastAsia="zh-CN"/>
              </w:rPr>
            </w:pPr>
            <w:r>
              <w:rPr>
                <w:rFonts w:hint="eastAsia" w:ascii="宋体" w:hAnsi="宋体" w:cs="宋体"/>
                <w:color w:val="auto"/>
                <w:kern w:val="0"/>
                <w:position w:val="-2"/>
                <w:sz w:val="24"/>
                <w:highlight w:val="none"/>
                <w:lang w:val="en-US" w:eastAsia="zh-CN"/>
              </w:rPr>
              <w:t>8</w:t>
            </w:r>
          </w:p>
        </w:tc>
        <w:tc>
          <w:tcPr>
            <w:tcW w:w="5658"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ind w:left="216" w:leftChars="103"/>
              <w:jc w:val="left"/>
              <w:rPr>
                <w:rFonts w:hint="default" w:ascii="宋体" w:hAnsi="宋体" w:eastAsia="宋体" w:cs="宋体"/>
                <w:color w:val="auto"/>
                <w:kern w:val="0"/>
                <w:position w:val="-2"/>
                <w:sz w:val="24"/>
                <w:highlight w:val="none"/>
                <w:lang w:val="en-US" w:eastAsia="zh-CN"/>
              </w:rPr>
            </w:pPr>
            <w:r>
              <w:rPr>
                <w:rFonts w:hint="eastAsia" w:ascii="宋体" w:hAnsi="宋体" w:cs="宋体"/>
                <w:color w:val="auto"/>
                <w:kern w:val="0"/>
                <w:position w:val="-2"/>
                <w:sz w:val="24"/>
                <w:highlight w:val="none"/>
                <w:lang w:val="en-US" w:eastAsia="zh-CN"/>
              </w:rPr>
              <w:t>中小企业声明函</w:t>
            </w:r>
          </w:p>
        </w:tc>
        <w:tc>
          <w:tcPr>
            <w:tcW w:w="2668"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rFonts w:ascii="宋体" w:hAnsi="宋体"/>
                <w:color w:val="auto"/>
                <w:kern w:val="0"/>
                <w:sz w:val="24"/>
                <w:highlight w:val="none"/>
              </w:rPr>
            </w:pPr>
            <w:r>
              <w:rPr>
                <w:rFonts w:ascii="宋体" w:hAnsi="宋体"/>
                <w:color w:val="auto"/>
                <w:kern w:val="0"/>
                <w:sz w:val="24"/>
                <w:highlight w:val="none"/>
              </w:rPr>
              <w:t>是否按要求提供</w:t>
            </w:r>
          </w:p>
        </w:tc>
      </w:tr>
      <w:tr>
        <w:tblPrEx>
          <w:tblCellMar>
            <w:top w:w="0" w:type="dxa"/>
            <w:left w:w="0" w:type="dxa"/>
            <w:bottom w:w="0" w:type="dxa"/>
            <w:right w:w="0" w:type="dxa"/>
          </w:tblCellMar>
        </w:tblPrEx>
        <w:trPr>
          <w:trHeight w:val="567" w:hRule="exact"/>
          <w:jc w:val="center"/>
        </w:trPr>
        <w:tc>
          <w:tcPr>
            <w:tcW w:w="825" w:type="dxa"/>
            <w:vMerge w:val="continue"/>
            <w:tcBorders>
              <w:top w:val="single" w:color="000000" w:sz="2" w:space="0"/>
              <w:left w:val="single" w:color="000000" w:sz="2" w:space="0"/>
              <w:bottom w:val="nil"/>
              <w:right w:val="single" w:color="000000" w:sz="2" w:space="0"/>
            </w:tcBorders>
            <w:noWrap w:val="0"/>
            <w:vAlign w:val="center"/>
          </w:tcPr>
          <w:p>
            <w:pPr>
              <w:widowControl/>
              <w:spacing w:line="480" w:lineRule="exact"/>
              <w:jc w:val="center"/>
              <w:rPr>
                <w:rFonts w:ascii="宋体" w:hAnsi="宋体" w:cs="宋体"/>
                <w:color w:val="auto"/>
                <w:kern w:val="0"/>
                <w:sz w:val="24"/>
                <w:highlight w:val="none"/>
              </w:rPr>
            </w:pPr>
          </w:p>
        </w:tc>
        <w:tc>
          <w:tcPr>
            <w:tcW w:w="527"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rFonts w:hint="eastAsia" w:ascii="宋体" w:hAnsi="宋体" w:eastAsia="宋体" w:cs="宋体"/>
                <w:color w:val="auto"/>
                <w:kern w:val="0"/>
                <w:sz w:val="24"/>
                <w:highlight w:val="none"/>
                <w:lang w:eastAsia="zh-CN"/>
              </w:rPr>
            </w:pPr>
            <w:r>
              <w:rPr>
                <w:rFonts w:hint="eastAsia" w:ascii="宋体" w:hAnsi="宋体" w:cs="宋体"/>
                <w:color w:val="auto"/>
                <w:kern w:val="0"/>
                <w:position w:val="-2"/>
                <w:sz w:val="24"/>
                <w:highlight w:val="none"/>
                <w:lang w:val="en-US" w:eastAsia="zh-CN"/>
              </w:rPr>
              <w:t>9</w:t>
            </w:r>
          </w:p>
        </w:tc>
        <w:tc>
          <w:tcPr>
            <w:tcW w:w="5658"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ind w:left="216" w:leftChars="103"/>
              <w:jc w:val="left"/>
              <w:rPr>
                <w:rFonts w:ascii="宋体" w:hAnsi="宋体" w:cs="宋体"/>
                <w:color w:val="auto"/>
                <w:kern w:val="0"/>
                <w:position w:val="-2"/>
                <w:sz w:val="24"/>
                <w:highlight w:val="none"/>
              </w:rPr>
            </w:pPr>
            <w:r>
              <w:rPr>
                <w:rFonts w:hint="eastAsia" w:ascii="宋体" w:hAnsi="宋体" w:cs="宋体"/>
                <w:color w:val="auto"/>
                <w:kern w:val="0"/>
                <w:position w:val="-2"/>
                <w:sz w:val="24"/>
                <w:highlight w:val="none"/>
              </w:rPr>
              <w:t>信用记录（由代理机构</w:t>
            </w:r>
            <w:r>
              <w:rPr>
                <w:rFonts w:hint="eastAsia" w:ascii="宋体" w:hAnsi="宋体" w:cs="宋体"/>
                <w:color w:val="auto"/>
                <w:kern w:val="0"/>
                <w:position w:val="-2"/>
                <w:sz w:val="24"/>
                <w:highlight w:val="none"/>
                <w:lang w:val="en-US" w:eastAsia="zh-CN"/>
              </w:rPr>
              <w:t>查询</w:t>
            </w:r>
            <w:r>
              <w:rPr>
                <w:rFonts w:hint="eastAsia" w:ascii="宋体" w:hAnsi="宋体" w:cs="宋体"/>
                <w:color w:val="auto"/>
                <w:kern w:val="0"/>
                <w:position w:val="-2"/>
                <w:sz w:val="24"/>
                <w:highlight w:val="none"/>
              </w:rPr>
              <w:t>）</w:t>
            </w:r>
          </w:p>
        </w:tc>
        <w:tc>
          <w:tcPr>
            <w:tcW w:w="2668"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rFonts w:ascii="宋体" w:hAnsi="宋体"/>
                <w:color w:val="auto"/>
                <w:kern w:val="0"/>
                <w:sz w:val="24"/>
                <w:highlight w:val="none"/>
              </w:rPr>
            </w:pPr>
            <w:r>
              <w:rPr>
                <w:rFonts w:ascii="宋体" w:hAnsi="宋体"/>
                <w:color w:val="auto"/>
                <w:kern w:val="0"/>
                <w:sz w:val="24"/>
                <w:highlight w:val="none"/>
              </w:rPr>
              <w:t>是否按要求提供</w:t>
            </w:r>
          </w:p>
        </w:tc>
      </w:tr>
      <w:tr>
        <w:tblPrEx>
          <w:tblCellMar>
            <w:top w:w="0" w:type="dxa"/>
            <w:left w:w="0" w:type="dxa"/>
            <w:bottom w:w="0" w:type="dxa"/>
            <w:right w:w="0" w:type="dxa"/>
          </w:tblCellMar>
        </w:tblPrEx>
        <w:trPr>
          <w:trHeight w:val="567" w:hRule="exact"/>
          <w:jc w:val="center"/>
        </w:trPr>
        <w:tc>
          <w:tcPr>
            <w:tcW w:w="825" w:type="dxa"/>
            <w:vMerge w:val="continue"/>
            <w:tcBorders>
              <w:top w:val="single" w:color="000000" w:sz="2" w:space="0"/>
              <w:left w:val="single" w:color="000000" w:sz="2" w:space="0"/>
              <w:bottom w:val="nil"/>
              <w:right w:val="single" w:color="000000" w:sz="2" w:space="0"/>
            </w:tcBorders>
            <w:noWrap w:val="0"/>
            <w:vAlign w:val="center"/>
          </w:tcPr>
          <w:p>
            <w:pPr>
              <w:widowControl/>
              <w:spacing w:line="480" w:lineRule="exact"/>
              <w:jc w:val="center"/>
              <w:rPr>
                <w:rFonts w:ascii="宋体" w:hAnsi="宋体" w:cs="宋体"/>
                <w:color w:val="auto"/>
                <w:kern w:val="0"/>
                <w:sz w:val="24"/>
                <w:highlight w:val="none"/>
              </w:rPr>
            </w:pPr>
          </w:p>
        </w:tc>
        <w:tc>
          <w:tcPr>
            <w:tcW w:w="527"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rFonts w:hint="default" w:ascii="宋体" w:hAnsi="宋体" w:eastAsia="宋体" w:cs="宋体"/>
                <w:color w:val="auto"/>
                <w:kern w:val="0"/>
                <w:position w:val="-2"/>
                <w:sz w:val="24"/>
                <w:highlight w:val="none"/>
                <w:lang w:val="en-US" w:eastAsia="zh-CN"/>
              </w:rPr>
            </w:pPr>
            <w:r>
              <w:rPr>
                <w:rFonts w:hint="eastAsia" w:ascii="宋体" w:hAnsi="宋体" w:cs="宋体"/>
                <w:color w:val="auto"/>
                <w:kern w:val="0"/>
                <w:position w:val="-2"/>
                <w:sz w:val="24"/>
                <w:highlight w:val="none"/>
                <w:lang w:val="en-US" w:eastAsia="zh-CN"/>
              </w:rPr>
              <w:t>10</w:t>
            </w:r>
          </w:p>
        </w:tc>
        <w:tc>
          <w:tcPr>
            <w:tcW w:w="5658"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ind w:left="216" w:leftChars="103"/>
              <w:jc w:val="left"/>
              <w:rPr>
                <w:rFonts w:ascii="宋体" w:hAnsi="宋体" w:eastAsia="宋体" w:cs="宋体"/>
                <w:color w:val="auto"/>
                <w:kern w:val="0"/>
                <w:position w:val="-2"/>
                <w:sz w:val="24"/>
                <w:szCs w:val="24"/>
                <w:highlight w:val="none"/>
                <w:lang w:val="en-US" w:eastAsia="zh-CN" w:bidi="ar-SA"/>
              </w:rPr>
            </w:pPr>
            <w:r>
              <w:rPr>
                <w:rFonts w:hint="eastAsia" w:ascii="宋体" w:hAnsi="宋体" w:cs="宋体"/>
                <w:color w:val="auto"/>
                <w:kern w:val="0"/>
                <w:position w:val="-2"/>
                <w:sz w:val="24"/>
                <w:highlight w:val="none"/>
              </w:rPr>
              <w:t>供应商须知资料表中要求的供应商其他资格要求</w:t>
            </w:r>
          </w:p>
        </w:tc>
        <w:tc>
          <w:tcPr>
            <w:tcW w:w="2668"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rFonts w:ascii="宋体" w:hAnsi="宋体" w:eastAsia="宋体" w:cs="Times New Roman"/>
                <w:color w:val="auto"/>
                <w:kern w:val="0"/>
                <w:sz w:val="24"/>
                <w:szCs w:val="24"/>
                <w:highlight w:val="none"/>
                <w:lang w:val="en-US" w:eastAsia="zh-CN" w:bidi="ar-SA"/>
              </w:rPr>
            </w:pPr>
            <w:r>
              <w:rPr>
                <w:rFonts w:ascii="宋体" w:hAnsi="宋体"/>
                <w:color w:val="auto"/>
                <w:kern w:val="0"/>
                <w:sz w:val="24"/>
                <w:highlight w:val="none"/>
              </w:rPr>
              <w:t>是否存在不良记录</w:t>
            </w:r>
          </w:p>
        </w:tc>
      </w:tr>
      <w:tr>
        <w:tblPrEx>
          <w:tblCellMar>
            <w:top w:w="0" w:type="dxa"/>
            <w:left w:w="0" w:type="dxa"/>
            <w:bottom w:w="0" w:type="dxa"/>
            <w:right w:w="0" w:type="dxa"/>
          </w:tblCellMar>
        </w:tblPrEx>
        <w:trPr>
          <w:trHeight w:val="567" w:hRule="exact"/>
          <w:jc w:val="center"/>
        </w:trPr>
        <w:tc>
          <w:tcPr>
            <w:tcW w:w="825" w:type="dxa"/>
            <w:vMerge w:val="continue"/>
            <w:tcBorders>
              <w:top w:val="single" w:color="000000" w:sz="2" w:space="0"/>
              <w:left w:val="single" w:color="000000" w:sz="2" w:space="0"/>
              <w:bottom w:val="nil"/>
              <w:right w:val="single" w:color="000000" w:sz="2" w:space="0"/>
            </w:tcBorders>
            <w:noWrap w:val="0"/>
            <w:vAlign w:val="center"/>
          </w:tcPr>
          <w:p>
            <w:pPr>
              <w:widowControl/>
              <w:spacing w:line="480" w:lineRule="exact"/>
              <w:jc w:val="center"/>
              <w:rPr>
                <w:rFonts w:ascii="宋体" w:hAnsi="宋体" w:cs="宋体"/>
                <w:color w:val="auto"/>
                <w:kern w:val="0"/>
                <w:sz w:val="24"/>
                <w:highlight w:val="none"/>
              </w:rPr>
            </w:pPr>
          </w:p>
        </w:tc>
        <w:tc>
          <w:tcPr>
            <w:tcW w:w="527"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rFonts w:hint="default" w:ascii="宋体" w:hAnsi="宋体" w:eastAsia="宋体" w:cs="宋体"/>
                <w:color w:val="auto"/>
                <w:kern w:val="0"/>
                <w:sz w:val="24"/>
                <w:highlight w:val="none"/>
                <w:lang w:val="en-US" w:eastAsia="zh-CN"/>
              </w:rPr>
            </w:pPr>
            <w:r>
              <w:rPr>
                <w:rFonts w:hint="eastAsia" w:ascii="宋体" w:hAnsi="宋体" w:cs="宋体"/>
                <w:color w:val="auto"/>
                <w:kern w:val="0"/>
                <w:position w:val="-2"/>
                <w:sz w:val="24"/>
                <w:highlight w:val="none"/>
                <w:lang w:val="en-US" w:eastAsia="zh-CN"/>
              </w:rPr>
              <w:t>11</w:t>
            </w:r>
          </w:p>
        </w:tc>
        <w:tc>
          <w:tcPr>
            <w:tcW w:w="5658"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ind w:left="216" w:leftChars="103"/>
              <w:jc w:val="left"/>
              <w:rPr>
                <w:rFonts w:ascii="宋体" w:hAnsi="宋体" w:eastAsia="宋体" w:cs="宋体"/>
                <w:color w:val="auto"/>
                <w:kern w:val="0"/>
                <w:position w:val="-2"/>
                <w:sz w:val="24"/>
                <w:szCs w:val="24"/>
                <w:highlight w:val="none"/>
                <w:lang w:val="en-US" w:eastAsia="zh-CN" w:bidi="ar-SA"/>
              </w:rPr>
            </w:pPr>
            <w:r>
              <w:rPr>
                <w:rFonts w:hint="eastAsia" w:ascii="宋体" w:hAnsi="宋体" w:cs="宋体"/>
                <w:color w:val="auto"/>
                <w:kern w:val="0"/>
                <w:position w:val="-2"/>
                <w:sz w:val="24"/>
                <w:highlight w:val="none"/>
              </w:rPr>
              <w:t>其他内容</w:t>
            </w:r>
          </w:p>
        </w:tc>
        <w:tc>
          <w:tcPr>
            <w:tcW w:w="2668"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rFonts w:ascii="宋体" w:hAnsi="宋体" w:eastAsia="宋体" w:cs="宋体"/>
                <w:color w:val="auto"/>
                <w:kern w:val="0"/>
                <w:sz w:val="24"/>
                <w:szCs w:val="24"/>
                <w:highlight w:val="none"/>
                <w:lang w:val="en-US" w:eastAsia="zh-CN" w:bidi="ar-SA"/>
              </w:rPr>
            </w:pPr>
            <w:r>
              <w:rPr>
                <w:rFonts w:ascii="宋体" w:hAnsi="宋体"/>
                <w:color w:val="auto"/>
                <w:kern w:val="0"/>
                <w:sz w:val="24"/>
                <w:highlight w:val="none"/>
              </w:rPr>
              <w:t>是否按要求提供</w:t>
            </w:r>
          </w:p>
        </w:tc>
      </w:tr>
      <w:tr>
        <w:tblPrEx>
          <w:tblCellMar>
            <w:top w:w="0" w:type="dxa"/>
            <w:left w:w="0" w:type="dxa"/>
            <w:bottom w:w="0" w:type="dxa"/>
            <w:right w:w="0" w:type="dxa"/>
          </w:tblCellMar>
        </w:tblPrEx>
        <w:trPr>
          <w:trHeight w:val="567" w:hRule="exact"/>
          <w:jc w:val="center"/>
        </w:trPr>
        <w:tc>
          <w:tcPr>
            <w:tcW w:w="825" w:type="dxa"/>
            <w:vMerge w:val="restart"/>
            <w:tcBorders>
              <w:top w:val="single" w:color="auto" w:sz="4" w:space="0"/>
              <w:left w:val="single" w:color="000000" w:sz="2" w:space="0"/>
              <w:bottom w:val="single" w:color="000000" w:sz="2" w:space="0"/>
              <w:right w:val="single" w:color="000000" w:sz="2" w:space="0"/>
            </w:tcBorders>
            <w:noWrap w:val="0"/>
            <w:vAlign w:val="center"/>
          </w:tcPr>
          <w:p>
            <w:pPr>
              <w:spacing w:line="480" w:lineRule="exact"/>
              <w:jc w:val="center"/>
              <w:rPr>
                <w:rFonts w:ascii="宋体" w:hAnsi="宋体" w:cs="宋体"/>
                <w:color w:val="auto"/>
                <w:kern w:val="0"/>
                <w:sz w:val="24"/>
                <w:highlight w:val="none"/>
                <w:lang w:eastAsia="en-US"/>
              </w:rPr>
            </w:pPr>
            <w:r>
              <w:rPr>
                <w:rFonts w:hint="eastAsia" w:ascii="宋体" w:hAnsi="宋体" w:cs="宋体"/>
                <w:color w:val="auto"/>
                <w:kern w:val="0"/>
                <w:sz w:val="24"/>
                <w:highlight w:val="none"/>
                <w:lang w:eastAsia="en-US"/>
              </w:rPr>
              <w:t>符合性评审</w:t>
            </w:r>
          </w:p>
        </w:tc>
        <w:tc>
          <w:tcPr>
            <w:tcW w:w="527"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rFonts w:ascii="宋体" w:hAnsi="宋体" w:cs="宋体"/>
                <w:color w:val="auto"/>
                <w:kern w:val="0"/>
                <w:sz w:val="24"/>
                <w:highlight w:val="none"/>
                <w:lang w:eastAsia="en-US"/>
              </w:rPr>
            </w:pPr>
            <w:r>
              <w:rPr>
                <w:rFonts w:hint="eastAsia" w:ascii="宋体" w:hAnsi="宋体" w:cs="宋体"/>
                <w:color w:val="auto"/>
                <w:kern w:val="0"/>
                <w:position w:val="-2"/>
                <w:sz w:val="24"/>
                <w:highlight w:val="none"/>
                <w:lang w:eastAsia="en-US"/>
              </w:rPr>
              <w:t>1</w:t>
            </w:r>
          </w:p>
        </w:tc>
        <w:tc>
          <w:tcPr>
            <w:tcW w:w="5658"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ind w:left="216" w:leftChars="103"/>
              <w:jc w:val="left"/>
              <w:rPr>
                <w:rFonts w:ascii="宋体" w:hAnsi="宋体" w:cs="宋体"/>
                <w:color w:val="auto"/>
                <w:kern w:val="0"/>
                <w:position w:val="-2"/>
                <w:sz w:val="24"/>
                <w:highlight w:val="none"/>
              </w:rPr>
            </w:pPr>
            <w:r>
              <w:rPr>
                <w:rFonts w:hint="eastAsia" w:ascii="宋体" w:hAnsi="宋体" w:cs="宋体"/>
                <w:color w:val="auto"/>
                <w:kern w:val="0"/>
                <w:position w:val="-2"/>
                <w:sz w:val="24"/>
                <w:highlight w:val="none"/>
              </w:rPr>
              <w:t>未按照磋商文件规定要求签署、盖章的</w:t>
            </w:r>
          </w:p>
        </w:tc>
        <w:tc>
          <w:tcPr>
            <w:tcW w:w="2668"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color w:val="auto"/>
                <w:highlight w:val="none"/>
              </w:rPr>
            </w:pPr>
            <w:r>
              <w:rPr>
                <w:rFonts w:ascii="宋体" w:hAnsi="宋体"/>
                <w:color w:val="auto"/>
                <w:kern w:val="0"/>
                <w:sz w:val="24"/>
                <w:highlight w:val="none"/>
              </w:rPr>
              <w:t>是否按要求提供</w:t>
            </w:r>
          </w:p>
        </w:tc>
      </w:tr>
      <w:tr>
        <w:tblPrEx>
          <w:tblCellMar>
            <w:top w:w="0" w:type="dxa"/>
            <w:left w:w="0" w:type="dxa"/>
            <w:bottom w:w="0" w:type="dxa"/>
            <w:right w:w="0" w:type="dxa"/>
          </w:tblCellMar>
        </w:tblPrEx>
        <w:trPr>
          <w:trHeight w:val="567" w:hRule="exact"/>
          <w:jc w:val="center"/>
        </w:trPr>
        <w:tc>
          <w:tcPr>
            <w:tcW w:w="825" w:type="dxa"/>
            <w:vMerge w:val="continue"/>
            <w:tcBorders>
              <w:top w:val="single" w:color="000000" w:sz="2" w:space="0"/>
              <w:left w:val="single" w:color="000000" w:sz="2" w:space="0"/>
              <w:bottom w:val="single" w:color="000000" w:sz="2" w:space="0"/>
              <w:right w:val="single" w:color="000000" w:sz="2" w:space="0"/>
            </w:tcBorders>
            <w:noWrap w:val="0"/>
            <w:vAlign w:val="center"/>
          </w:tcPr>
          <w:p>
            <w:pPr>
              <w:widowControl/>
              <w:spacing w:line="480" w:lineRule="exact"/>
              <w:jc w:val="center"/>
              <w:rPr>
                <w:rFonts w:ascii="宋体" w:hAnsi="宋体" w:cs="宋体"/>
                <w:color w:val="auto"/>
                <w:kern w:val="0"/>
                <w:sz w:val="24"/>
                <w:highlight w:val="none"/>
              </w:rPr>
            </w:pPr>
          </w:p>
        </w:tc>
        <w:tc>
          <w:tcPr>
            <w:tcW w:w="527"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rFonts w:ascii="宋体" w:hAnsi="宋体" w:cs="宋体"/>
                <w:color w:val="auto"/>
                <w:kern w:val="0"/>
                <w:sz w:val="24"/>
                <w:highlight w:val="none"/>
                <w:lang w:eastAsia="en-US"/>
              </w:rPr>
            </w:pPr>
            <w:r>
              <w:rPr>
                <w:rFonts w:hint="eastAsia" w:ascii="宋体" w:hAnsi="宋体" w:cs="宋体"/>
                <w:color w:val="auto"/>
                <w:kern w:val="0"/>
                <w:sz w:val="24"/>
                <w:highlight w:val="none"/>
                <w:lang w:eastAsia="en-US"/>
              </w:rPr>
              <w:t>2</w:t>
            </w:r>
          </w:p>
        </w:tc>
        <w:tc>
          <w:tcPr>
            <w:tcW w:w="5658"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ind w:left="216" w:leftChars="103"/>
              <w:jc w:val="left"/>
              <w:rPr>
                <w:rFonts w:ascii="宋体" w:hAnsi="宋体" w:cs="宋体"/>
                <w:color w:val="auto"/>
                <w:kern w:val="0"/>
                <w:position w:val="-2"/>
                <w:sz w:val="24"/>
                <w:highlight w:val="none"/>
              </w:rPr>
            </w:pPr>
            <w:r>
              <w:rPr>
                <w:rFonts w:hint="eastAsia" w:ascii="宋体" w:hAnsi="宋体" w:cs="宋体"/>
                <w:color w:val="auto"/>
                <w:kern w:val="0"/>
                <w:position w:val="-2"/>
                <w:sz w:val="24"/>
                <w:highlight w:val="none"/>
              </w:rPr>
              <w:t>报价一览表</w:t>
            </w:r>
          </w:p>
        </w:tc>
        <w:tc>
          <w:tcPr>
            <w:tcW w:w="2668"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color w:val="auto"/>
                <w:highlight w:val="none"/>
              </w:rPr>
            </w:pPr>
            <w:r>
              <w:rPr>
                <w:rFonts w:ascii="宋体" w:hAnsi="宋体"/>
                <w:color w:val="auto"/>
                <w:kern w:val="0"/>
                <w:sz w:val="24"/>
                <w:highlight w:val="none"/>
              </w:rPr>
              <w:t>是否按要求提供</w:t>
            </w:r>
          </w:p>
        </w:tc>
      </w:tr>
      <w:tr>
        <w:tblPrEx>
          <w:tblCellMar>
            <w:top w:w="0" w:type="dxa"/>
            <w:left w:w="0" w:type="dxa"/>
            <w:bottom w:w="0" w:type="dxa"/>
            <w:right w:w="0" w:type="dxa"/>
          </w:tblCellMar>
        </w:tblPrEx>
        <w:trPr>
          <w:trHeight w:val="567" w:hRule="exact"/>
          <w:jc w:val="center"/>
        </w:trPr>
        <w:tc>
          <w:tcPr>
            <w:tcW w:w="825" w:type="dxa"/>
            <w:vMerge w:val="continue"/>
            <w:tcBorders>
              <w:top w:val="single" w:color="000000" w:sz="2" w:space="0"/>
              <w:left w:val="single" w:color="000000" w:sz="2" w:space="0"/>
              <w:bottom w:val="single" w:color="000000" w:sz="2" w:space="0"/>
              <w:right w:val="single" w:color="000000" w:sz="2" w:space="0"/>
            </w:tcBorders>
            <w:noWrap w:val="0"/>
            <w:vAlign w:val="center"/>
          </w:tcPr>
          <w:p>
            <w:pPr>
              <w:widowControl/>
              <w:spacing w:line="480" w:lineRule="exact"/>
              <w:jc w:val="center"/>
              <w:rPr>
                <w:rFonts w:ascii="宋体" w:hAnsi="宋体" w:cs="宋体"/>
                <w:color w:val="auto"/>
                <w:kern w:val="0"/>
                <w:sz w:val="24"/>
                <w:highlight w:val="none"/>
                <w:lang w:eastAsia="en-US"/>
              </w:rPr>
            </w:pPr>
          </w:p>
        </w:tc>
        <w:tc>
          <w:tcPr>
            <w:tcW w:w="527"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rFonts w:ascii="宋体" w:hAnsi="宋体" w:cs="宋体"/>
                <w:color w:val="auto"/>
                <w:kern w:val="0"/>
                <w:sz w:val="24"/>
                <w:highlight w:val="none"/>
                <w:lang w:eastAsia="en-US"/>
              </w:rPr>
            </w:pPr>
            <w:r>
              <w:rPr>
                <w:rFonts w:hint="eastAsia" w:ascii="宋体" w:hAnsi="宋体" w:cs="宋体"/>
                <w:color w:val="auto"/>
                <w:kern w:val="0"/>
                <w:position w:val="-2"/>
                <w:sz w:val="24"/>
                <w:highlight w:val="none"/>
                <w:lang w:eastAsia="en-US"/>
              </w:rPr>
              <w:t>3</w:t>
            </w:r>
          </w:p>
        </w:tc>
        <w:tc>
          <w:tcPr>
            <w:tcW w:w="5658"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ind w:left="216" w:leftChars="103"/>
              <w:jc w:val="left"/>
              <w:rPr>
                <w:rFonts w:ascii="宋体" w:hAnsi="宋体" w:cs="宋体"/>
                <w:color w:val="auto"/>
                <w:kern w:val="0"/>
                <w:position w:val="-2"/>
                <w:sz w:val="24"/>
                <w:highlight w:val="none"/>
              </w:rPr>
            </w:pPr>
            <w:r>
              <w:rPr>
                <w:rFonts w:hint="eastAsia" w:ascii="宋体" w:hAnsi="宋体" w:cs="宋体"/>
                <w:color w:val="auto"/>
                <w:kern w:val="0"/>
                <w:position w:val="-2"/>
                <w:sz w:val="24"/>
                <w:highlight w:val="none"/>
              </w:rPr>
              <w:t>分项报价表</w:t>
            </w:r>
          </w:p>
        </w:tc>
        <w:tc>
          <w:tcPr>
            <w:tcW w:w="2668"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color w:val="auto"/>
                <w:highlight w:val="none"/>
              </w:rPr>
            </w:pPr>
            <w:r>
              <w:rPr>
                <w:rFonts w:ascii="宋体" w:hAnsi="宋体"/>
                <w:color w:val="auto"/>
                <w:kern w:val="0"/>
                <w:sz w:val="24"/>
                <w:highlight w:val="none"/>
              </w:rPr>
              <w:t>是否按要求提供</w:t>
            </w:r>
          </w:p>
        </w:tc>
      </w:tr>
      <w:tr>
        <w:tblPrEx>
          <w:tblCellMar>
            <w:top w:w="0" w:type="dxa"/>
            <w:left w:w="0" w:type="dxa"/>
            <w:bottom w:w="0" w:type="dxa"/>
            <w:right w:w="0" w:type="dxa"/>
          </w:tblCellMar>
        </w:tblPrEx>
        <w:trPr>
          <w:trHeight w:val="567" w:hRule="exact"/>
          <w:jc w:val="center"/>
        </w:trPr>
        <w:tc>
          <w:tcPr>
            <w:tcW w:w="825" w:type="dxa"/>
            <w:vMerge w:val="continue"/>
            <w:tcBorders>
              <w:top w:val="single" w:color="000000" w:sz="2" w:space="0"/>
              <w:left w:val="single" w:color="000000" w:sz="2" w:space="0"/>
              <w:bottom w:val="single" w:color="000000" w:sz="2" w:space="0"/>
              <w:right w:val="single" w:color="000000" w:sz="2" w:space="0"/>
            </w:tcBorders>
            <w:noWrap w:val="0"/>
            <w:vAlign w:val="center"/>
          </w:tcPr>
          <w:p>
            <w:pPr>
              <w:widowControl/>
              <w:spacing w:line="480" w:lineRule="exact"/>
              <w:jc w:val="center"/>
              <w:rPr>
                <w:rFonts w:ascii="宋体" w:hAnsi="宋体" w:cs="宋体"/>
                <w:color w:val="auto"/>
                <w:kern w:val="0"/>
                <w:sz w:val="24"/>
                <w:highlight w:val="none"/>
                <w:lang w:eastAsia="en-US"/>
              </w:rPr>
            </w:pPr>
          </w:p>
        </w:tc>
        <w:tc>
          <w:tcPr>
            <w:tcW w:w="527"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rFonts w:ascii="宋体" w:hAnsi="宋体" w:cs="宋体"/>
                <w:color w:val="auto"/>
                <w:kern w:val="0"/>
                <w:sz w:val="24"/>
                <w:highlight w:val="none"/>
                <w:lang w:eastAsia="en-US"/>
              </w:rPr>
            </w:pPr>
            <w:r>
              <w:rPr>
                <w:rFonts w:hint="eastAsia" w:ascii="宋体" w:hAnsi="宋体" w:cs="宋体"/>
                <w:color w:val="auto"/>
                <w:kern w:val="0"/>
                <w:position w:val="-2"/>
                <w:sz w:val="24"/>
                <w:highlight w:val="none"/>
                <w:lang w:eastAsia="en-US"/>
              </w:rPr>
              <w:t>4</w:t>
            </w:r>
          </w:p>
        </w:tc>
        <w:tc>
          <w:tcPr>
            <w:tcW w:w="5658"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ind w:left="216" w:leftChars="103"/>
              <w:jc w:val="left"/>
              <w:rPr>
                <w:rFonts w:ascii="宋体" w:hAnsi="宋体" w:cs="宋体"/>
                <w:color w:val="auto"/>
                <w:kern w:val="0"/>
                <w:position w:val="-2"/>
                <w:sz w:val="24"/>
                <w:highlight w:val="none"/>
              </w:rPr>
            </w:pPr>
            <w:r>
              <w:rPr>
                <w:rFonts w:hint="eastAsia" w:ascii="宋体" w:hAnsi="宋体" w:cs="宋体"/>
                <w:color w:val="auto"/>
                <w:kern w:val="0"/>
                <w:position w:val="-2"/>
                <w:sz w:val="24"/>
                <w:highlight w:val="none"/>
              </w:rPr>
              <w:t>技术明细表（含偏离）</w:t>
            </w:r>
          </w:p>
        </w:tc>
        <w:tc>
          <w:tcPr>
            <w:tcW w:w="2668"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color w:val="auto"/>
                <w:highlight w:val="none"/>
              </w:rPr>
            </w:pPr>
            <w:r>
              <w:rPr>
                <w:rFonts w:ascii="宋体" w:hAnsi="宋体"/>
                <w:color w:val="auto"/>
                <w:kern w:val="0"/>
                <w:sz w:val="24"/>
                <w:highlight w:val="none"/>
              </w:rPr>
              <w:t>是否按要求提供</w:t>
            </w:r>
          </w:p>
        </w:tc>
      </w:tr>
      <w:tr>
        <w:tblPrEx>
          <w:tblCellMar>
            <w:top w:w="0" w:type="dxa"/>
            <w:left w:w="0" w:type="dxa"/>
            <w:bottom w:w="0" w:type="dxa"/>
            <w:right w:w="0" w:type="dxa"/>
          </w:tblCellMar>
        </w:tblPrEx>
        <w:trPr>
          <w:trHeight w:val="953" w:hRule="exact"/>
          <w:jc w:val="center"/>
        </w:trPr>
        <w:tc>
          <w:tcPr>
            <w:tcW w:w="825" w:type="dxa"/>
            <w:vMerge w:val="continue"/>
            <w:tcBorders>
              <w:top w:val="single" w:color="000000" w:sz="2" w:space="0"/>
              <w:left w:val="single" w:color="000000" w:sz="2" w:space="0"/>
              <w:bottom w:val="single" w:color="000000" w:sz="2" w:space="0"/>
              <w:right w:val="single" w:color="000000" w:sz="2" w:space="0"/>
            </w:tcBorders>
            <w:noWrap w:val="0"/>
            <w:vAlign w:val="center"/>
          </w:tcPr>
          <w:p>
            <w:pPr>
              <w:widowControl/>
              <w:spacing w:line="480" w:lineRule="exact"/>
              <w:jc w:val="center"/>
              <w:rPr>
                <w:rFonts w:ascii="宋体" w:hAnsi="宋体" w:cs="宋体"/>
                <w:color w:val="auto"/>
                <w:kern w:val="0"/>
                <w:sz w:val="24"/>
                <w:highlight w:val="none"/>
              </w:rPr>
            </w:pPr>
          </w:p>
        </w:tc>
        <w:tc>
          <w:tcPr>
            <w:tcW w:w="527"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rFonts w:ascii="宋体" w:hAnsi="宋体" w:cs="宋体"/>
                <w:color w:val="auto"/>
                <w:kern w:val="0"/>
                <w:sz w:val="24"/>
                <w:highlight w:val="none"/>
                <w:lang w:eastAsia="en-US"/>
              </w:rPr>
            </w:pPr>
            <w:r>
              <w:rPr>
                <w:rFonts w:hint="eastAsia" w:ascii="宋体" w:hAnsi="宋体" w:cs="宋体"/>
                <w:color w:val="auto"/>
                <w:kern w:val="0"/>
                <w:position w:val="-2"/>
                <w:sz w:val="24"/>
                <w:highlight w:val="none"/>
                <w:lang w:eastAsia="en-US"/>
              </w:rPr>
              <w:t>5</w:t>
            </w:r>
          </w:p>
        </w:tc>
        <w:tc>
          <w:tcPr>
            <w:tcW w:w="5658"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left"/>
              <w:rPr>
                <w:rFonts w:ascii="宋体" w:hAnsi="宋体" w:eastAsia="宋体" w:cs="宋体"/>
                <w:color w:val="auto"/>
                <w:kern w:val="0"/>
                <w:position w:val="-2"/>
                <w:sz w:val="24"/>
                <w:szCs w:val="24"/>
                <w:highlight w:val="none"/>
                <w:lang w:val="en-US" w:eastAsia="zh-CN" w:bidi="ar-SA"/>
              </w:rPr>
            </w:pPr>
            <w:r>
              <w:rPr>
                <w:rFonts w:hint="eastAsia" w:ascii="宋体" w:hAnsi="宋体" w:cs="宋体"/>
                <w:color w:val="auto"/>
                <w:kern w:val="0"/>
                <w:position w:val="-2"/>
                <w:sz w:val="24"/>
                <w:highlight w:val="none"/>
              </w:rPr>
              <w:t>“第4章货物需求一览表及技术规格”中实质性要求条款情况</w:t>
            </w:r>
          </w:p>
        </w:tc>
        <w:tc>
          <w:tcPr>
            <w:tcW w:w="2668"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rFonts w:ascii="宋体" w:hAnsi="宋体" w:eastAsia="宋体" w:cs="宋体"/>
                <w:color w:val="auto"/>
                <w:kern w:val="0"/>
                <w:sz w:val="24"/>
                <w:szCs w:val="24"/>
                <w:highlight w:val="none"/>
                <w:lang w:val="en-US" w:eastAsia="zh-CN" w:bidi="ar-SA"/>
              </w:rPr>
            </w:pPr>
            <w:r>
              <w:rPr>
                <w:rFonts w:ascii="宋体" w:hAnsi="宋体" w:cs="宋体"/>
                <w:color w:val="auto"/>
                <w:kern w:val="0"/>
                <w:sz w:val="24"/>
                <w:highlight w:val="none"/>
              </w:rPr>
              <w:t>是否满足</w:t>
            </w:r>
          </w:p>
        </w:tc>
      </w:tr>
      <w:tr>
        <w:tblPrEx>
          <w:tblCellMar>
            <w:top w:w="0" w:type="dxa"/>
            <w:left w:w="0" w:type="dxa"/>
            <w:bottom w:w="0" w:type="dxa"/>
            <w:right w:w="0" w:type="dxa"/>
          </w:tblCellMar>
        </w:tblPrEx>
        <w:trPr>
          <w:trHeight w:val="567" w:hRule="exact"/>
          <w:jc w:val="center"/>
        </w:trPr>
        <w:tc>
          <w:tcPr>
            <w:tcW w:w="825" w:type="dxa"/>
            <w:vMerge w:val="continue"/>
            <w:tcBorders>
              <w:top w:val="single" w:color="000000" w:sz="2" w:space="0"/>
              <w:left w:val="single" w:color="000000" w:sz="2" w:space="0"/>
              <w:bottom w:val="single" w:color="000000" w:sz="2" w:space="0"/>
              <w:right w:val="single" w:color="000000" w:sz="2" w:space="0"/>
            </w:tcBorders>
            <w:noWrap w:val="0"/>
            <w:vAlign w:val="center"/>
          </w:tcPr>
          <w:p>
            <w:pPr>
              <w:widowControl/>
              <w:spacing w:line="480" w:lineRule="exact"/>
              <w:jc w:val="center"/>
              <w:rPr>
                <w:rFonts w:ascii="宋体" w:hAnsi="宋体" w:cs="宋体"/>
                <w:color w:val="auto"/>
                <w:kern w:val="0"/>
                <w:sz w:val="24"/>
                <w:highlight w:val="none"/>
              </w:rPr>
            </w:pPr>
          </w:p>
        </w:tc>
        <w:tc>
          <w:tcPr>
            <w:tcW w:w="527"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rFonts w:ascii="宋体" w:hAnsi="宋体" w:cs="宋体"/>
                <w:color w:val="auto"/>
                <w:kern w:val="0"/>
                <w:sz w:val="24"/>
                <w:highlight w:val="none"/>
                <w:lang w:eastAsia="en-US"/>
              </w:rPr>
            </w:pPr>
            <w:r>
              <w:rPr>
                <w:rFonts w:hint="eastAsia" w:ascii="宋体" w:hAnsi="宋体" w:cs="宋体"/>
                <w:color w:val="auto"/>
                <w:kern w:val="0"/>
                <w:position w:val="-2"/>
                <w:sz w:val="24"/>
                <w:highlight w:val="none"/>
                <w:lang w:eastAsia="en-US"/>
              </w:rPr>
              <w:t>6</w:t>
            </w:r>
          </w:p>
        </w:tc>
        <w:tc>
          <w:tcPr>
            <w:tcW w:w="5658"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ind w:left="216" w:leftChars="103"/>
              <w:jc w:val="left"/>
              <w:rPr>
                <w:rFonts w:ascii="宋体" w:hAnsi="宋体" w:eastAsia="宋体" w:cs="宋体"/>
                <w:color w:val="auto"/>
                <w:kern w:val="0"/>
                <w:position w:val="-2"/>
                <w:sz w:val="24"/>
                <w:szCs w:val="24"/>
                <w:highlight w:val="none"/>
                <w:lang w:val="en-US" w:eastAsia="zh-CN" w:bidi="ar-SA"/>
              </w:rPr>
            </w:pPr>
            <w:r>
              <w:rPr>
                <w:rFonts w:hint="eastAsia" w:ascii="宋体" w:hAnsi="宋体" w:cs="宋体"/>
                <w:color w:val="auto"/>
                <w:kern w:val="0"/>
                <w:position w:val="-2"/>
                <w:sz w:val="24"/>
                <w:highlight w:val="none"/>
              </w:rPr>
              <w:t>报价超过项目预算或最高限价的</w:t>
            </w:r>
          </w:p>
        </w:tc>
        <w:tc>
          <w:tcPr>
            <w:tcW w:w="2668"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rFonts w:ascii="宋体" w:hAnsi="宋体" w:eastAsia="宋体" w:cs="宋体"/>
                <w:color w:val="auto"/>
                <w:kern w:val="0"/>
                <w:sz w:val="24"/>
                <w:szCs w:val="24"/>
                <w:highlight w:val="none"/>
                <w:lang w:val="en-US" w:eastAsia="zh-CN" w:bidi="ar-SA"/>
              </w:rPr>
            </w:pPr>
            <w:r>
              <w:rPr>
                <w:rFonts w:ascii="宋体" w:hAnsi="宋体" w:cs="宋体"/>
                <w:color w:val="auto"/>
                <w:kern w:val="0"/>
                <w:sz w:val="24"/>
                <w:highlight w:val="none"/>
              </w:rPr>
              <w:t>是否超出</w:t>
            </w:r>
          </w:p>
        </w:tc>
      </w:tr>
      <w:tr>
        <w:tblPrEx>
          <w:tblCellMar>
            <w:top w:w="0" w:type="dxa"/>
            <w:left w:w="0" w:type="dxa"/>
            <w:bottom w:w="0" w:type="dxa"/>
            <w:right w:w="0" w:type="dxa"/>
          </w:tblCellMar>
        </w:tblPrEx>
        <w:trPr>
          <w:trHeight w:val="567" w:hRule="exact"/>
          <w:jc w:val="center"/>
        </w:trPr>
        <w:tc>
          <w:tcPr>
            <w:tcW w:w="825" w:type="dxa"/>
            <w:vMerge w:val="continue"/>
            <w:tcBorders>
              <w:top w:val="single" w:color="000000" w:sz="2" w:space="0"/>
              <w:left w:val="single" w:color="000000" w:sz="2" w:space="0"/>
              <w:bottom w:val="single" w:color="000000" w:sz="2" w:space="0"/>
              <w:right w:val="single" w:color="000000" w:sz="2" w:space="0"/>
            </w:tcBorders>
            <w:noWrap w:val="0"/>
            <w:vAlign w:val="center"/>
          </w:tcPr>
          <w:p>
            <w:pPr>
              <w:widowControl/>
              <w:spacing w:line="480" w:lineRule="exact"/>
              <w:jc w:val="center"/>
              <w:rPr>
                <w:rFonts w:ascii="宋体" w:hAnsi="宋体" w:cs="宋体"/>
                <w:color w:val="auto"/>
                <w:kern w:val="0"/>
                <w:sz w:val="24"/>
                <w:highlight w:val="none"/>
              </w:rPr>
            </w:pPr>
          </w:p>
        </w:tc>
        <w:tc>
          <w:tcPr>
            <w:tcW w:w="527"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rFonts w:ascii="宋体" w:hAnsi="宋体" w:cs="宋体"/>
                <w:color w:val="auto"/>
                <w:kern w:val="0"/>
                <w:sz w:val="24"/>
                <w:highlight w:val="none"/>
                <w:lang w:eastAsia="en-US"/>
              </w:rPr>
            </w:pPr>
            <w:r>
              <w:rPr>
                <w:rFonts w:hint="eastAsia" w:ascii="宋体" w:hAnsi="宋体" w:cs="宋体"/>
                <w:color w:val="auto"/>
                <w:kern w:val="0"/>
                <w:position w:val="-2"/>
                <w:sz w:val="24"/>
                <w:highlight w:val="none"/>
                <w:lang w:eastAsia="en-US"/>
              </w:rPr>
              <w:t>7</w:t>
            </w:r>
          </w:p>
        </w:tc>
        <w:tc>
          <w:tcPr>
            <w:tcW w:w="5658"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ind w:left="216" w:leftChars="103"/>
              <w:jc w:val="left"/>
              <w:rPr>
                <w:rFonts w:ascii="宋体" w:hAnsi="宋体" w:eastAsia="宋体" w:cs="宋体"/>
                <w:color w:val="auto"/>
                <w:kern w:val="0"/>
                <w:position w:val="-2"/>
                <w:sz w:val="24"/>
                <w:szCs w:val="24"/>
                <w:highlight w:val="none"/>
                <w:lang w:val="en-US" w:eastAsia="zh-CN" w:bidi="ar-SA"/>
              </w:rPr>
            </w:pPr>
            <w:r>
              <w:rPr>
                <w:rFonts w:hint="eastAsia" w:ascii="宋体" w:hAnsi="宋体" w:cs="宋体"/>
                <w:color w:val="auto"/>
                <w:kern w:val="0"/>
                <w:position w:val="-2"/>
                <w:sz w:val="24"/>
                <w:highlight w:val="none"/>
              </w:rPr>
              <w:t>响应文件有效期不足的</w:t>
            </w:r>
          </w:p>
        </w:tc>
        <w:tc>
          <w:tcPr>
            <w:tcW w:w="2668"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rFonts w:ascii="宋体" w:hAnsi="宋体" w:eastAsia="宋体" w:cs="Times New Roman"/>
                <w:color w:val="auto"/>
                <w:kern w:val="0"/>
                <w:sz w:val="24"/>
                <w:szCs w:val="24"/>
                <w:highlight w:val="none"/>
                <w:lang w:val="en-US" w:eastAsia="zh-CN" w:bidi="ar-SA"/>
              </w:rPr>
            </w:pPr>
            <w:r>
              <w:rPr>
                <w:rFonts w:ascii="宋体" w:hAnsi="宋体"/>
                <w:color w:val="auto"/>
                <w:kern w:val="0"/>
                <w:sz w:val="24"/>
                <w:highlight w:val="none"/>
              </w:rPr>
              <w:t>是否满足磋商文件</w:t>
            </w:r>
            <w:r>
              <w:rPr>
                <w:rFonts w:hint="eastAsia" w:ascii="宋体" w:hAnsi="宋体"/>
                <w:color w:val="auto"/>
                <w:kern w:val="0"/>
                <w:sz w:val="24"/>
                <w:highlight w:val="none"/>
              </w:rPr>
              <w:t>要</w:t>
            </w:r>
            <w:r>
              <w:rPr>
                <w:rFonts w:ascii="宋体" w:hAnsi="宋体"/>
                <w:color w:val="auto"/>
                <w:kern w:val="0"/>
                <w:sz w:val="24"/>
                <w:highlight w:val="none"/>
              </w:rPr>
              <w:t>求</w:t>
            </w:r>
          </w:p>
        </w:tc>
      </w:tr>
      <w:tr>
        <w:tblPrEx>
          <w:tblCellMar>
            <w:top w:w="0" w:type="dxa"/>
            <w:left w:w="0" w:type="dxa"/>
            <w:bottom w:w="0" w:type="dxa"/>
            <w:right w:w="0" w:type="dxa"/>
          </w:tblCellMar>
        </w:tblPrEx>
        <w:trPr>
          <w:trHeight w:val="567" w:hRule="exact"/>
          <w:jc w:val="center"/>
        </w:trPr>
        <w:tc>
          <w:tcPr>
            <w:tcW w:w="825" w:type="dxa"/>
            <w:vMerge w:val="continue"/>
            <w:tcBorders>
              <w:top w:val="single" w:color="000000" w:sz="2" w:space="0"/>
              <w:left w:val="single" w:color="000000" w:sz="2" w:space="0"/>
              <w:bottom w:val="single" w:color="000000" w:sz="2" w:space="0"/>
              <w:right w:val="single" w:color="000000" w:sz="2" w:space="0"/>
            </w:tcBorders>
            <w:noWrap w:val="0"/>
            <w:vAlign w:val="center"/>
          </w:tcPr>
          <w:p>
            <w:pPr>
              <w:widowControl/>
              <w:spacing w:line="480" w:lineRule="exact"/>
              <w:jc w:val="center"/>
              <w:rPr>
                <w:rFonts w:ascii="宋体" w:hAnsi="宋体" w:cs="宋体"/>
                <w:color w:val="auto"/>
                <w:kern w:val="0"/>
                <w:sz w:val="24"/>
                <w:highlight w:val="none"/>
              </w:rPr>
            </w:pPr>
          </w:p>
        </w:tc>
        <w:tc>
          <w:tcPr>
            <w:tcW w:w="527"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rFonts w:ascii="宋体" w:hAnsi="宋体" w:cs="宋体"/>
                <w:color w:val="auto"/>
                <w:kern w:val="0"/>
                <w:sz w:val="24"/>
                <w:highlight w:val="none"/>
                <w:lang w:eastAsia="en-US"/>
              </w:rPr>
            </w:pPr>
            <w:r>
              <w:rPr>
                <w:rFonts w:hint="eastAsia" w:ascii="宋体" w:hAnsi="宋体" w:cs="宋体"/>
                <w:color w:val="auto"/>
                <w:kern w:val="0"/>
                <w:position w:val="-2"/>
                <w:sz w:val="24"/>
                <w:highlight w:val="none"/>
                <w:lang w:eastAsia="en-US"/>
              </w:rPr>
              <w:t>8</w:t>
            </w:r>
          </w:p>
        </w:tc>
        <w:tc>
          <w:tcPr>
            <w:tcW w:w="5658"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ind w:left="216" w:leftChars="103"/>
              <w:jc w:val="left"/>
              <w:rPr>
                <w:rFonts w:ascii="宋体" w:hAnsi="宋体" w:eastAsia="宋体" w:cs="宋体"/>
                <w:color w:val="auto"/>
                <w:kern w:val="0"/>
                <w:position w:val="-2"/>
                <w:sz w:val="24"/>
                <w:szCs w:val="24"/>
                <w:highlight w:val="none"/>
                <w:lang w:val="en-US" w:eastAsia="zh-CN" w:bidi="ar-SA"/>
              </w:rPr>
            </w:pPr>
            <w:r>
              <w:rPr>
                <w:rFonts w:hint="eastAsia" w:ascii="宋体" w:hAnsi="宋体" w:cs="宋体"/>
                <w:color w:val="auto"/>
                <w:kern w:val="0"/>
                <w:position w:val="-2"/>
                <w:sz w:val="24"/>
                <w:highlight w:val="none"/>
              </w:rPr>
              <w:t>联合体响应文件未附联合体响应文件协议书的</w:t>
            </w:r>
          </w:p>
        </w:tc>
        <w:tc>
          <w:tcPr>
            <w:tcW w:w="2668"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rFonts w:ascii="宋体" w:hAnsi="宋体" w:eastAsia="宋体" w:cs="Times New Roman"/>
                <w:color w:val="auto"/>
                <w:kern w:val="0"/>
                <w:sz w:val="24"/>
                <w:szCs w:val="24"/>
                <w:highlight w:val="none"/>
                <w:lang w:val="en-US" w:eastAsia="zh-CN" w:bidi="ar-SA"/>
              </w:rPr>
            </w:pPr>
            <w:r>
              <w:rPr>
                <w:rFonts w:hint="eastAsia" w:ascii="宋体" w:hAnsi="宋体" w:cs="宋体"/>
                <w:color w:val="auto"/>
                <w:kern w:val="0"/>
                <w:position w:val="-2"/>
                <w:sz w:val="24"/>
                <w:highlight w:val="none"/>
              </w:rPr>
              <w:t>本项目不接受</w:t>
            </w:r>
          </w:p>
        </w:tc>
      </w:tr>
      <w:tr>
        <w:tblPrEx>
          <w:tblCellMar>
            <w:top w:w="0" w:type="dxa"/>
            <w:left w:w="0" w:type="dxa"/>
            <w:bottom w:w="0" w:type="dxa"/>
            <w:right w:w="0" w:type="dxa"/>
          </w:tblCellMar>
        </w:tblPrEx>
        <w:trPr>
          <w:trHeight w:val="567" w:hRule="exact"/>
          <w:jc w:val="center"/>
        </w:trPr>
        <w:tc>
          <w:tcPr>
            <w:tcW w:w="825" w:type="dxa"/>
            <w:vMerge w:val="continue"/>
            <w:tcBorders>
              <w:top w:val="single" w:color="000000" w:sz="2" w:space="0"/>
              <w:left w:val="single" w:color="000000" w:sz="2" w:space="0"/>
              <w:bottom w:val="single" w:color="000000" w:sz="2" w:space="0"/>
              <w:right w:val="single" w:color="000000" w:sz="2" w:space="0"/>
            </w:tcBorders>
            <w:noWrap w:val="0"/>
            <w:vAlign w:val="center"/>
          </w:tcPr>
          <w:p>
            <w:pPr>
              <w:widowControl/>
              <w:spacing w:line="480" w:lineRule="exact"/>
              <w:jc w:val="center"/>
              <w:rPr>
                <w:rFonts w:ascii="宋体" w:hAnsi="宋体" w:cs="宋体"/>
                <w:color w:val="auto"/>
                <w:kern w:val="0"/>
                <w:sz w:val="24"/>
                <w:highlight w:val="none"/>
              </w:rPr>
            </w:pPr>
          </w:p>
        </w:tc>
        <w:tc>
          <w:tcPr>
            <w:tcW w:w="527"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rFonts w:ascii="宋体" w:hAnsi="宋体" w:cs="宋体"/>
                <w:color w:val="auto"/>
                <w:kern w:val="0"/>
                <w:sz w:val="24"/>
                <w:highlight w:val="none"/>
                <w:lang w:eastAsia="en-US"/>
              </w:rPr>
            </w:pPr>
            <w:r>
              <w:rPr>
                <w:rFonts w:hint="eastAsia" w:ascii="宋体" w:hAnsi="宋体" w:cs="宋体"/>
                <w:color w:val="auto"/>
                <w:kern w:val="0"/>
                <w:position w:val="-2"/>
                <w:sz w:val="24"/>
                <w:highlight w:val="none"/>
                <w:lang w:eastAsia="en-US"/>
              </w:rPr>
              <w:t>9</w:t>
            </w:r>
          </w:p>
        </w:tc>
        <w:tc>
          <w:tcPr>
            <w:tcW w:w="5658"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ind w:left="216" w:leftChars="103"/>
              <w:jc w:val="left"/>
              <w:rPr>
                <w:rFonts w:ascii="宋体" w:hAnsi="宋体" w:eastAsia="宋体" w:cs="宋体"/>
                <w:color w:val="auto"/>
                <w:kern w:val="0"/>
                <w:position w:val="-2"/>
                <w:sz w:val="24"/>
                <w:szCs w:val="24"/>
                <w:highlight w:val="none"/>
                <w:lang w:val="en-US" w:eastAsia="zh-CN" w:bidi="ar-SA"/>
              </w:rPr>
            </w:pPr>
            <w:r>
              <w:rPr>
                <w:rFonts w:hint="eastAsia" w:ascii="宋体" w:hAnsi="宋体" w:cs="宋体"/>
                <w:color w:val="auto"/>
                <w:kern w:val="0"/>
                <w:position w:val="-2"/>
                <w:sz w:val="24"/>
                <w:highlight w:val="none"/>
              </w:rPr>
              <w:t>不符合磋商文件中有关分包规定的</w:t>
            </w:r>
          </w:p>
        </w:tc>
        <w:tc>
          <w:tcPr>
            <w:tcW w:w="2668"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rFonts w:ascii="宋体" w:hAnsi="宋体" w:eastAsia="宋体" w:cs="Times New Roman"/>
                <w:color w:val="auto"/>
                <w:kern w:val="0"/>
                <w:sz w:val="24"/>
                <w:szCs w:val="24"/>
                <w:highlight w:val="none"/>
                <w:lang w:val="en-US" w:eastAsia="zh-CN" w:bidi="ar-SA"/>
              </w:rPr>
            </w:pPr>
            <w:r>
              <w:rPr>
                <w:rFonts w:ascii="宋体" w:hAnsi="宋体"/>
                <w:color w:val="auto"/>
                <w:kern w:val="0"/>
                <w:sz w:val="24"/>
                <w:highlight w:val="none"/>
              </w:rPr>
              <w:t>是否存在</w:t>
            </w:r>
          </w:p>
        </w:tc>
      </w:tr>
      <w:tr>
        <w:tblPrEx>
          <w:tblCellMar>
            <w:top w:w="0" w:type="dxa"/>
            <w:left w:w="0" w:type="dxa"/>
            <w:bottom w:w="0" w:type="dxa"/>
            <w:right w:w="0" w:type="dxa"/>
          </w:tblCellMar>
        </w:tblPrEx>
        <w:trPr>
          <w:trHeight w:val="540" w:hRule="exact"/>
          <w:jc w:val="center"/>
        </w:trPr>
        <w:tc>
          <w:tcPr>
            <w:tcW w:w="825" w:type="dxa"/>
            <w:vMerge w:val="continue"/>
            <w:tcBorders>
              <w:top w:val="single" w:color="000000" w:sz="2" w:space="0"/>
              <w:left w:val="single" w:color="000000" w:sz="2" w:space="0"/>
              <w:bottom w:val="single" w:color="000000" w:sz="2" w:space="0"/>
              <w:right w:val="single" w:color="000000" w:sz="2" w:space="0"/>
            </w:tcBorders>
            <w:noWrap w:val="0"/>
            <w:vAlign w:val="center"/>
          </w:tcPr>
          <w:p>
            <w:pPr>
              <w:widowControl/>
              <w:spacing w:line="480" w:lineRule="exact"/>
              <w:jc w:val="center"/>
              <w:rPr>
                <w:rFonts w:ascii="宋体" w:hAnsi="宋体" w:cs="宋体"/>
                <w:color w:val="auto"/>
                <w:kern w:val="0"/>
                <w:sz w:val="24"/>
                <w:highlight w:val="none"/>
              </w:rPr>
            </w:pPr>
          </w:p>
        </w:tc>
        <w:tc>
          <w:tcPr>
            <w:tcW w:w="527"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rFonts w:ascii="宋体" w:hAnsi="宋体" w:cs="宋体"/>
                <w:color w:val="auto"/>
                <w:kern w:val="0"/>
                <w:sz w:val="24"/>
                <w:highlight w:val="none"/>
                <w:lang w:eastAsia="en-US"/>
              </w:rPr>
            </w:pPr>
            <w:r>
              <w:rPr>
                <w:rFonts w:hint="eastAsia" w:ascii="宋体" w:hAnsi="宋体" w:cs="宋体"/>
                <w:color w:val="auto"/>
                <w:kern w:val="0"/>
                <w:position w:val="-2"/>
                <w:sz w:val="24"/>
                <w:highlight w:val="none"/>
                <w:lang w:eastAsia="en-US"/>
              </w:rPr>
              <w:t>10</w:t>
            </w:r>
          </w:p>
        </w:tc>
        <w:tc>
          <w:tcPr>
            <w:tcW w:w="5658"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ind w:left="216" w:leftChars="103"/>
              <w:jc w:val="left"/>
              <w:rPr>
                <w:rFonts w:ascii="宋体" w:hAnsi="宋体" w:eastAsia="宋体" w:cs="宋体"/>
                <w:color w:val="auto"/>
                <w:kern w:val="0"/>
                <w:position w:val="-2"/>
                <w:sz w:val="24"/>
                <w:szCs w:val="24"/>
                <w:highlight w:val="none"/>
                <w:lang w:val="en-US" w:eastAsia="zh-CN" w:bidi="ar-SA"/>
              </w:rPr>
            </w:pPr>
            <w:r>
              <w:rPr>
                <w:rFonts w:hint="eastAsia" w:ascii="宋体" w:hAnsi="宋体" w:cs="宋体"/>
                <w:color w:val="auto"/>
                <w:kern w:val="0"/>
                <w:position w:val="-2"/>
                <w:sz w:val="24"/>
                <w:highlight w:val="none"/>
              </w:rPr>
              <w:t>属于串通投标，或者依法被视为串通投标</w:t>
            </w:r>
          </w:p>
        </w:tc>
        <w:tc>
          <w:tcPr>
            <w:tcW w:w="2668"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rFonts w:ascii="Times New Roman" w:hAnsi="Times New Roman" w:eastAsia="宋体" w:cs="Times New Roman"/>
                <w:color w:val="auto"/>
                <w:kern w:val="2"/>
                <w:sz w:val="21"/>
                <w:szCs w:val="24"/>
                <w:highlight w:val="none"/>
                <w:lang w:val="en-US" w:eastAsia="zh-CN" w:bidi="ar-SA"/>
              </w:rPr>
            </w:pPr>
            <w:r>
              <w:rPr>
                <w:rFonts w:ascii="宋体" w:hAnsi="宋体"/>
                <w:color w:val="auto"/>
                <w:kern w:val="0"/>
                <w:sz w:val="24"/>
                <w:highlight w:val="none"/>
              </w:rPr>
              <w:t>是否存在</w:t>
            </w:r>
          </w:p>
        </w:tc>
      </w:tr>
      <w:tr>
        <w:tblPrEx>
          <w:tblCellMar>
            <w:top w:w="0" w:type="dxa"/>
            <w:left w:w="0" w:type="dxa"/>
            <w:bottom w:w="0" w:type="dxa"/>
            <w:right w:w="0" w:type="dxa"/>
          </w:tblCellMar>
        </w:tblPrEx>
        <w:trPr>
          <w:trHeight w:val="567" w:hRule="exact"/>
          <w:jc w:val="center"/>
        </w:trPr>
        <w:tc>
          <w:tcPr>
            <w:tcW w:w="825" w:type="dxa"/>
            <w:vMerge w:val="continue"/>
            <w:tcBorders>
              <w:top w:val="single" w:color="000000" w:sz="2" w:space="0"/>
              <w:left w:val="single" w:color="000000" w:sz="2" w:space="0"/>
              <w:bottom w:val="single" w:color="000000" w:sz="2" w:space="0"/>
              <w:right w:val="single" w:color="000000" w:sz="2" w:space="0"/>
            </w:tcBorders>
            <w:noWrap w:val="0"/>
            <w:vAlign w:val="center"/>
          </w:tcPr>
          <w:p>
            <w:pPr>
              <w:widowControl/>
              <w:spacing w:line="480" w:lineRule="exact"/>
              <w:jc w:val="center"/>
              <w:rPr>
                <w:rFonts w:ascii="宋体" w:hAnsi="宋体" w:cs="宋体"/>
                <w:color w:val="auto"/>
                <w:kern w:val="0"/>
                <w:sz w:val="24"/>
                <w:highlight w:val="none"/>
              </w:rPr>
            </w:pPr>
          </w:p>
        </w:tc>
        <w:tc>
          <w:tcPr>
            <w:tcW w:w="527"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rFonts w:ascii="宋体" w:hAnsi="宋体" w:cs="宋体"/>
                <w:color w:val="auto"/>
                <w:kern w:val="0"/>
                <w:sz w:val="24"/>
                <w:highlight w:val="none"/>
                <w:lang w:eastAsia="en-US"/>
              </w:rPr>
            </w:pPr>
            <w:r>
              <w:rPr>
                <w:rFonts w:hint="eastAsia" w:ascii="宋体" w:hAnsi="宋体" w:cs="宋体"/>
                <w:color w:val="auto"/>
                <w:kern w:val="0"/>
                <w:position w:val="-2"/>
                <w:sz w:val="24"/>
                <w:highlight w:val="none"/>
                <w:lang w:eastAsia="en-US"/>
              </w:rPr>
              <w:t>11</w:t>
            </w:r>
          </w:p>
        </w:tc>
        <w:tc>
          <w:tcPr>
            <w:tcW w:w="5658"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ind w:left="216" w:leftChars="103"/>
              <w:jc w:val="left"/>
              <w:rPr>
                <w:rFonts w:ascii="宋体" w:hAnsi="宋体" w:eastAsia="宋体" w:cs="宋体"/>
                <w:color w:val="auto"/>
                <w:kern w:val="0"/>
                <w:position w:val="-2"/>
                <w:sz w:val="24"/>
                <w:szCs w:val="24"/>
                <w:highlight w:val="none"/>
                <w:lang w:val="en-US" w:eastAsia="zh-CN" w:bidi="ar-SA"/>
              </w:rPr>
            </w:pPr>
            <w:r>
              <w:rPr>
                <w:rFonts w:hint="eastAsia" w:ascii="宋体" w:hAnsi="宋体" w:cs="宋体"/>
                <w:color w:val="auto"/>
                <w:kern w:val="0"/>
                <w:position w:val="-2"/>
                <w:sz w:val="24"/>
                <w:highlight w:val="none"/>
              </w:rPr>
              <w:t>响应文件含有采购人不能接受的附加条件的</w:t>
            </w:r>
          </w:p>
        </w:tc>
        <w:tc>
          <w:tcPr>
            <w:tcW w:w="2668"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rFonts w:ascii="Times New Roman" w:hAnsi="Times New Roman" w:eastAsia="宋体" w:cs="Times New Roman"/>
                <w:color w:val="auto"/>
                <w:kern w:val="2"/>
                <w:sz w:val="21"/>
                <w:szCs w:val="24"/>
                <w:highlight w:val="none"/>
                <w:lang w:val="en-US" w:eastAsia="zh-CN" w:bidi="ar-SA"/>
              </w:rPr>
            </w:pPr>
            <w:r>
              <w:rPr>
                <w:rFonts w:ascii="宋体" w:hAnsi="宋体"/>
                <w:color w:val="auto"/>
                <w:kern w:val="0"/>
                <w:sz w:val="24"/>
                <w:highlight w:val="none"/>
              </w:rPr>
              <w:t>是否存在</w:t>
            </w:r>
          </w:p>
        </w:tc>
      </w:tr>
      <w:tr>
        <w:tblPrEx>
          <w:tblCellMar>
            <w:top w:w="0" w:type="dxa"/>
            <w:left w:w="0" w:type="dxa"/>
            <w:bottom w:w="0" w:type="dxa"/>
            <w:right w:w="0" w:type="dxa"/>
          </w:tblCellMar>
        </w:tblPrEx>
        <w:trPr>
          <w:trHeight w:val="567" w:hRule="exact"/>
          <w:jc w:val="center"/>
        </w:trPr>
        <w:tc>
          <w:tcPr>
            <w:tcW w:w="825" w:type="dxa"/>
            <w:vMerge w:val="continue"/>
            <w:tcBorders>
              <w:top w:val="single" w:color="000000" w:sz="2" w:space="0"/>
              <w:left w:val="single" w:color="000000" w:sz="2" w:space="0"/>
              <w:bottom w:val="single" w:color="000000" w:sz="2" w:space="0"/>
              <w:right w:val="single" w:color="000000" w:sz="2" w:space="0"/>
            </w:tcBorders>
            <w:noWrap w:val="0"/>
            <w:vAlign w:val="center"/>
          </w:tcPr>
          <w:p>
            <w:pPr>
              <w:widowControl/>
              <w:spacing w:line="480" w:lineRule="exact"/>
              <w:jc w:val="center"/>
              <w:rPr>
                <w:rFonts w:ascii="宋体" w:hAnsi="宋体" w:cs="宋体"/>
                <w:color w:val="auto"/>
                <w:kern w:val="0"/>
                <w:sz w:val="24"/>
                <w:highlight w:val="none"/>
              </w:rPr>
            </w:pPr>
          </w:p>
        </w:tc>
        <w:tc>
          <w:tcPr>
            <w:tcW w:w="527"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rFonts w:ascii="宋体" w:hAnsi="宋体" w:cs="宋体"/>
                <w:color w:val="auto"/>
                <w:kern w:val="0"/>
                <w:sz w:val="24"/>
                <w:highlight w:val="none"/>
                <w:lang w:eastAsia="en-US"/>
              </w:rPr>
            </w:pPr>
            <w:r>
              <w:rPr>
                <w:rFonts w:hint="eastAsia" w:ascii="宋体" w:hAnsi="宋体" w:cs="宋体"/>
                <w:color w:val="auto"/>
                <w:kern w:val="0"/>
                <w:position w:val="-2"/>
                <w:sz w:val="24"/>
                <w:highlight w:val="none"/>
                <w:lang w:eastAsia="en-US"/>
              </w:rPr>
              <w:t>12</w:t>
            </w:r>
          </w:p>
        </w:tc>
        <w:tc>
          <w:tcPr>
            <w:tcW w:w="5658"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ind w:left="216" w:leftChars="103"/>
              <w:jc w:val="left"/>
              <w:rPr>
                <w:rFonts w:ascii="宋体" w:hAnsi="宋体" w:eastAsia="宋体" w:cs="宋体"/>
                <w:color w:val="auto"/>
                <w:kern w:val="0"/>
                <w:position w:val="-2"/>
                <w:sz w:val="24"/>
                <w:szCs w:val="24"/>
                <w:highlight w:val="none"/>
                <w:lang w:val="en-US" w:eastAsia="zh-CN" w:bidi="ar-SA"/>
              </w:rPr>
            </w:pPr>
            <w:r>
              <w:rPr>
                <w:rFonts w:hint="eastAsia" w:ascii="宋体" w:hAnsi="宋体" w:cs="宋体"/>
                <w:color w:val="auto"/>
                <w:kern w:val="0"/>
                <w:position w:val="-2"/>
                <w:sz w:val="24"/>
                <w:highlight w:val="none"/>
              </w:rPr>
              <w:t>属于磋商文件规定的其他无效响应情形</w:t>
            </w:r>
          </w:p>
        </w:tc>
        <w:tc>
          <w:tcPr>
            <w:tcW w:w="2668"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rFonts w:ascii="Times New Roman" w:hAnsi="Times New Roman" w:eastAsia="宋体" w:cs="Times New Roman"/>
                <w:color w:val="auto"/>
                <w:kern w:val="2"/>
                <w:sz w:val="21"/>
                <w:szCs w:val="24"/>
                <w:highlight w:val="none"/>
                <w:lang w:val="en-US" w:eastAsia="zh-CN" w:bidi="ar-SA"/>
              </w:rPr>
            </w:pPr>
            <w:r>
              <w:rPr>
                <w:rFonts w:ascii="宋体" w:hAnsi="宋体"/>
                <w:color w:val="auto"/>
                <w:kern w:val="0"/>
                <w:sz w:val="24"/>
                <w:highlight w:val="none"/>
              </w:rPr>
              <w:t>是否存在</w:t>
            </w:r>
          </w:p>
        </w:tc>
      </w:tr>
      <w:tr>
        <w:tblPrEx>
          <w:tblCellMar>
            <w:top w:w="0" w:type="dxa"/>
            <w:left w:w="0" w:type="dxa"/>
            <w:bottom w:w="0" w:type="dxa"/>
            <w:right w:w="0" w:type="dxa"/>
          </w:tblCellMar>
        </w:tblPrEx>
        <w:trPr>
          <w:trHeight w:val="567" w:hRule="exact"/>
          <w:jc w:val="center"/>
        </w:trPr>
        <w:tc>
          <w:tcPr>
            <w:tcW w:w="825" w:type="dxa"/>
            <w:vMerge w:val="continue"/>
            <w:tcBorders>
              <w:top w:val="single" w:color="000000" w:sz="2" w:space="0"/>
              <w:left w:val="single" w:color="000000" w:sz="2" w:space="0"/>
              <w:bottom w:val="single" w:color="000000" w:sz="2" w:space="0"/>
              <w:right w:val="single" w:color="000000" w:sz="2" w:space="0"/>
            </w:tcBorders>
            <w:noWrap w:val="0"/>
            <w:vAlign w:val="center"/>
          </w:tcPr>
          <w:p>
            <w:pPr>
              <w:widowControl/>
              <w:spacing w:line="480" w:lineRule="exact"/>
              <w:jc w:val="center"/>
              <w:rPr>
                <w:rFonts w:ascii="宋体" w:hAnsi="宋体" w:cs="宋体"/>
                <w:color w:val="auto"/>
                <w:kern w:val="0"/>
                <w:sz w:val="24"/>
                <w:highlight w:val="none"/>
              </w:rPr>
            </w:pPr>
          </w:p>
        </w:tc>
        <w:tc>
          <w:tcPr>
            <w:tcW w:w="527"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rFonts w:ascii="宋体" w:hAnsi="宋体" w:cs="宋体"/>
                <w:color w:val="auto"/>
                <w:kern w:val="0"/>
                <w:sz w:val="24"/>
                <w:highlight w:val="none"/>
                <w:lang w:eastAsia="en-US"/>
              </w:rPr>
            </w:pPr>
            <w:r>
              <w:rPr>
                <w:rFonts w:hint="eastAsia" w:ascii="宋体" w:hAnsi="宋体" w:cs="宋体"/>
                <w:color w:val="auto"/>
                <w:kern w:val="0"/>
                <w:position w:val="-2"/>
                <w:sz w:val="24"/>
                <w:highlight w:val="none"/>
                <w:lang w:eastAsia="en-US"/>
              </w:rPr>
              <w:t>1</w:t>
            </w:r>
            <w:r>
              <w:rPr>
                <w:rFonts w:hint="eastAsia" w:ascii="宋体" w:hAnsi="宋体" w:cs="宋体"/>
                <w:color w:val="auto"/>
                <w:kern w:val="0"/>
                <w:position w:val="-2"/>
                <w:sz w:val="24"/>
                <w:highlight w:val="none"/>
              </w:rPr>
              <w:t>3</w:t>
            </w:r>
          </w:p>
        </w:tc>
        <w:tc>
          <w:tcPr>
            <w:tcW w:w="5658"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ind w:left="216" w:leftChars="103"/>
              <w:jc w:val="left"/>
              <w:rPr>
                <w:rFonts w:ascii="宋体" w:hAnsi="宋体" w:eastAsia="宋体" w:cs="宋体"/>
                <w:color w:val="auto"/>
                <w:kern w:val="0"/>
                <w:position w:val="-2"/>
                <w:sz w:val="24"/>
                <w:szCs w:val="24"/>
                <w:highlight w:val="none"/>
                <w:lang w:val="en-US" w:eastAsia="zh-CN" w:bidi="ar-SA"/>
              </w:rPr>
            </w:pPr>
            <w:r>
              <w:rPr>
                <w:rFonts w:hint="eastAsia" w:ascii="宋体" w:hAnsi="宋体" w:cs="宋体"/>
                <w:color w:val="auto"/>
                <w:kern w:val="0"/>
                <w:position w:val="-2"/>
                <w:sz w:val="24"/>
                <w:highlight w:val="none"/>
              </w:rPr>
              <w:t>不符合法规和磋商文件中规定的其他实质性要求的</w:t>
            </w:r>
          </w:p>
        </w:tc>
        <w:tc>
          <w:tcPr>
            <w:tcW w:w="2668" w:type="dxa"/>
            <w:tcBorders>
              <w:top w:val="single" w:color="000000" w:sz="2" w:space="0"/>
              <w:left w:val="single" w:color="000000" w:sz="2" w:space="0"/>
              <w:bottom w:val="single" w:color="000000" w:sz="2" w:space="0"/>
              <w:right w:val="single" w:color="000000" w:sz="2" w:space="0"/>
            </w:tcBorders>
            <w:noWrap w:val="0"/>
            <w:vAlign w:val="center"/>
          </w:tcPr>
          <w:p>
            <w:pPr>
              <w:spacing w:line="480" w:lineRule="exact"/>
              <w:jc w:val="center"/>
              <w:rPr>
                <w:rFonts w:ascii="宋体" w:hAnsi="宋体" w:eastAsia="宋体" w:cs="宋体"/>
                <w:color w:val="auto"/>
                <w:kern w:val="0"/>
                <w:sz w:val="24"/>
                <w:szCs w:val="24"/>
                <w:highlight w:val="none"/>
                <w:lang w:val="en-US" w:eastAsia="zh-CN" w:bidi="ar-SA"/>
              </w:rPr>
            </w:pPr>
            <w:r>
              <w:rPr>
                <w:rFonts w:ascii="宋体" w:hAnsi="宋体"/>
                <w:color w:val="auto"/>
                <w:kern w:val="0"/>
                <w:sz w:val="24"/>
                <w:highlight w:val="none"/>
              </w:rPr>
              <w:t>是否存在</w:t>
            </w:r>
          </w:p>
        </w:tc>
      </w:tr>
    </w:tbl>
    <w:p>
      <w:pPr>
        <w:pStyle w:val="4"/>
        <w:bidi w:val="0"/>
        <w:rPr>
          <w:rFonts w:hint="eastAsia" w:eastAsia="宋体"/>
          <w:color w:val="auto"/>
          <w:highlight w:val="none"/>
          <w:lang w:val="en-US" w:eastAsia="zh-CN"/>
        </w:rPr>
      </w:pPr>
      <w:bookmarkStart w:id="256" w:name="_Toc68259627"/>
      <w:bookmarkStart w:id="257" w:name="_Toc3860"/>
      <w:r>
        <w:rPr>
          <w:rFonts w:hint="eastAsia" w:eastAsia="宋体"/>
          <w:color w:val="auto"/>
          <w:highlight w:val="none"/>
          <w:lang w:val="en-US" w:eastAsia="zh-CN"/>
        </w:rPr>
        <w:t>二、评分细则</w:t>
      </w:r>
      <w:bookmarkEnd w:id="256"/>
      <w:bookmarkEnd w:id="257"/>
    </w:p>
    <w:tbl>
      <w:tblPr>
        <w:tblStyle w:val="29"/>
        <w:tblW w:w="571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5"/>
        <w:gridCol w:w="1420"/>
        <w:gridCol w:w="70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639" w:type="pct"/>
            <w:tcBorders>
              <w:top w:val="single" w:color="auto" w:sz="4" w:space="0"/>
              <w:left w:val="single" w:color="auto" w:sz="4" w:space="0"/>
              <w:bottom w:val="single" w:color="auto" w:sz="4" w:space="0"/>
              <w:right w:val="single" w:color="auto" w:sz="4" w:space="0"/>
            </w:tcBorders>
            <w:noWrap w:val="0"/>
            <w:vAlign w:val="center"/>
          </w:tcPr>
          <w:p>
            <w:pPr>
              <w:widowControl/>
              <w:spacing w:line="50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评分项目</w:t>
            </w:r>
          </w:p>
        </w:tc>
        <w:tc>
          <w:tcPr>
            <w:tcW w:w="728" w:type="pct"/>
            <w:tcBorders>
              <w:top w:val="single" w:color="auto" w:sz="4" w:space="0"/>
              <w:left w:val="single" w:color="auto" w:sz="4" w:space="0"/>
              <w:bottom w:val="single" w:color="auto" w:sz="4" w:space="0"/>
              <w:right w:val="single" w:color="auto" w:sz="4" w:space="0"/>
            </w:tcBorders>
            <w:noWrap w:val="0"/>
            <w:vAlign w:val="center"/>
          </w:tcPr>
          <w:p>
            <w:pPr>
              <w:widowControl/>
              <w:spacing w:line="50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评分细项</w:t>
            </w:r>
          </w:p>
        </w:tc>
        <w:tc>
          <w:tcPr>
            <w:tcW w:w="3632" w:type="pct"/>
            <w:tcBorders>
              <w:top w:val="single" w:color="auto" w:sz="4" w:space="0"/>
              <w:left w:val="single" w:color="auto" w:sz="4" w:space="0"/>
              <w:bottom w:val="single" w:color="auto" w:sz="4" w:space="0"/>
              <w:right w:val="single" w:color="auto" w:sz="4" w:space="0"/>
            </w:tcBorders>
            <w:noWrap w:val="0"/>
            <w:vAlign w:val="center"/>
          </w:tcPr>
          <w:p>
            <w:pPr>
              <w:widowControl/>
              <w:spacing w:line="50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639" w:type="pct"/>
            <w:tcBorders>
              <w:top w:val="single" w:color="auto" w:sz="4" w:space="0"/>
              <w:left w:val="single" w:color="auto" w:sz="4" w:space="0"/>
              <w:right w:val="single" w:color="auto" w:sz="4" w:space="0"/>
            </w:tcBorders>
            <w:noWrap w:val="0"/>
            <w:vAlign w:val="center"/>
          </w:tcPr>
          <w:p>
            <w:pPr>
              <w:widowControl/>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报价部分</w:t>
            </w:r>
          </w:p>
        </w:tc>
        <w:tc>
          <w:tcPr>
            <w:tcW w:w="728" w:type="pct"/>
            <w:tcBorders>
              <w:top w:val="single" w:color="auto" w:sz="4" w:space="0"/>
              <w:left w:val="single" w:color="auto" w:sz="4" w:space="0"/>
              <w:right w:val="single" w:color="auto" w:sz="4" w:space="0"/>
            </w:tcBorders>
            <w:noWrap w:val="0"/>
            <w:vAlign w:val="center"/>
          </w:tcPr>
          <w:p>
            <w:pPr>
              <w:widowControl/>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报价得分（</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分）</w:t>
            </w:r>
          </w:p>
        </w:tc>
        <w:tc>
          <w:tcPr>
            <w:tcW w:w="3632" w:type="pct"/>
            <w:tcBorders>
              <w:top w:val="single" w:color="auto" w:sz="4" w:space="0"/>
              <w:left w:val="single" w:color="auto" w:sz="4" w:space="0"/>
              <w:bottom w:val="single" w:color="auto" w:sz="4" w:space="0"/>
              <w:right w:val="single" w:color="auto" w:sz="4" w:space="0"/>
            </w:tcBorders>
            <w:noWrap w:val="0"/>
            <w:vAlign w:val="center"/>
          </w:tcPr>
          <w:p>
            <w:pPr>
              <w:widowControl/>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以满足磋商文件要求且最终报价最低的报价为评标基准价，其价格分为满分</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分，其他供应商的价格分按照下列公式计算：报价得分=（评标基准价/投标报价）×</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w:t>
            </w:r>
          </w:p>
          <w:p>
            <w:pPr>
              <w:widowControl/>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磋商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经磋商小组取得一致意见后，可拒绝该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639" w:type="pct"/>
            <w:vMerge w:val="restart"/>
            <w:tcBorders>
              <w:top w:val="single" w:color="auto" w:sz="4" w:space="0"/>
              <w:left w:val="single" w:color="auto" w:sz="4" w:space="0"/>
              <w:right w:val="single" w:color="auto" w:sz="4" w:space="0"/>
            </w:tcBorders>
            <w:noWrap w:val="0"/>
            <w:vAlign w:val="center"/>
          </w:tcPr>
          <w:p>
            <w:pPr>
              <w:widowControl/>
              <w:spacing w:line="50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商务部分</w:t>
            </w:r>
          </w:p>
        </w:tc>
        <w:tc>
          <w:tcPr>
            <w:tcW w:w="728" w:type="pct"/>
            <w:tcBorders>
              <w:top w:val="single" w:color="auto" w:sz="4" w:space="0"/>
              <w:left w:val="single" w:color="auto" w:sz="4" w:space="0"/>
              <w:right w:val="single" w:color="auto" w:sz="4" w:space="0"/>
            </w:tcBorders>
            <w:noWrap w:val="0"/>
            <w:vAlign w:val="center"/>
          </w:tcPr>
          <w:p>
            <w:pPr>
              <w:widowControl/>
              <w:spacing w:line="500" w:lineRule="exac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同类业绩</w:t>
            </w:r>
          </w:p>
          <w:p>
            <w:pPr>
              <w:widowControl/>
              <w:spacing w:line="500" w:lineRule="exac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（5分）</w:t>
            </w:r>
          </w:p>
        </w:tc>
        <w:tc>
          <w:tcPr>
            <w:tcW w:w="3632" w:type="pct"/>
            <w:tcBorders>
              <w:top w:val="single" w:color="auto" w:sz="4" w:space="0"/>
              <w:left w:val="single" w:color="auto" w:sz="4" w:space="0"/>
              <w:bottom w:val="single" w:color="auto" w:sz="4" w:space="0"/>
              <w:right w:val="single" w:color="auto" w:sz="4" w:space="0"/>
            </w:tcBorders>
            <w:noWrap w:val="0"/>
            <w:vAlign w:val="center"/>
          </w:tcPr>
          <w:p>
            <w:pPr>
              <w:widowControl/>
              <w:spacing w:line="50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提供自20</w:t>
            </w:r>
            <w:r>
              <w:rPr>
                <w:rFonts w:hint="eastAsia" w:ascii="宋体" w:hAnsi="宋体" w:cs="宋体"/>
                <w:color w:val="auto"/>
                <w:sz w:val="24"/>
                <w:highlight w:val="none"/>
                <w:lang w:val="en-US" w:eastAsia="zh-CN"/>
              </w:rPr>
              <w:t>21</w:t>
            </w:r>
            <w:r>
              <w:rPr>
                <w:rFonts w:hint="eastAsia" w:ascii="宋体" w:hAnsi="宋体" w:cs="宋体"/>
                <w:color w:val="auto"/>
                <w:sz w:val="24"/>
                <w:highlight w:val="none"/>
              </w:rPr>
              <w:t>年01月01日起至开标日（以合同签订时间为准） 承揽的类似项目业绩的合同，每提供1份得1分，最高得5分；</w:t>
            </w:r>
          </w:p>
          <w:p>
            <w:pPr>
              <w:keepNext w:val="0"/>
              <w:keepLines w:val="0"/>
              <w:pageBreakBefore w:val="0"/>
              <w:widowControl w:val="0"/>
              <w:kinsoku/>
              <w:wordWrap/>
              <w:overflowPunct/>
              <w:topLinePunct w:val="0"/>
              <w:autoSpaceDE/>
              <w:autoSpaceDN/>
              <w:bidi w:val="0"/>
              <w:adjustRightInd/>
              <w:snapToGrid/>
              <w:spacing w:line="480" w:lineRule="exact"/>
              <w:ind w:firstLine="240" w:firstLineChars="1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 xml:space="preserve"> 注：须提供</w:t>
            </w:r>
            <w:r>
              <w:rPr>
                <w:rFonts w:hint="eastAsia" w:ascii="宋体" w:hAnsi="宋体" w:eastAsia="宋体" w:cs="宋体"/>
                <w:color w:val="auto"/>
                <w:sz w:val="24"/>
                <w:szCs w:val="24"/>
                <w:highlight w:val="none"/>
                <w:lang w:val="en-US" w:eastAsia="zh-CN"/>
              </w:rPr>
              <w:t>合同</w:t>
            </w:r>
            <w:r>
              <w:rPr>
                <w:rFonts w:hint="eastAsia" w:ascii="宋体" w:hAnsi="宋体" w:eastAsia="宋体" w:cs="宋体"/>
                <w:color w:val="auto"/>
                <w:sz w:val="24"/>
                <w:szCs w:val="24"/>
                <w:highlight w:val="none"/>
              </w:rPr>
              <w:t>和中标（成交）通知书</w:t>
            </w:r>
            <w:r>
              <w:rPr>
                <w:rFonts w:hint="eastAsia" w:ascii="宋体" w:hAnsi="宋体" w:eastAsia="宋体" w:cs="宋体"/>
                <w:color w:val="auto"/>
                <w:sz w:val="24"/>
                <w:szCs w:val="24"/>
                <w:highlight w:val="none"/>
              </w:rPr>
              <w:t>复印件附在响应文件中，</w:t>
            </w:r>
            <w:r>
              <w:rPr>
                <w:rFonts w:hint="eastAsia" w:ascii="宋体" w:hAnsi="宋体" w:eastAsia="宋体" w:cs="宋体"/>
                <w:color w:val="auto"/>
                <w:sz w:val="24"/>
                <w:szCs w:val="24"/>
                <w:highlight w:val="none"/>
              </w:rPr>
              <w:t>并提供合同和中标（成交）通知书原件供现场查验。未按上述要求提供的业绩不予认可。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639" w:type="pct"/>
            <w:vMerge w:val="continue"/>
            <w:tcBorders>
              <w:left w:val="single" w:color="auto" w:sz="4" w:space="0"/>
              <w:right w:val="single" w:color="auto" w:sz="4" w:space="0"/>
            </w:tcBorders>
            <w:noWrap w:val="0"/>
            <w:vAlign w:val="center"/>
          </w:tcPr>
          <w:p>
            <w:pPr>
              <w:widowControl/>
              <w:spacing w:line="500" w:lineRule="exact"/>
              <w:rPr>
                <w:rFonts w:hint="eastAsia" w:ascii="宋体" w:hAnsi="宋体" w:eastAsia="宋体" w:cs="宋体"/>
                <w:color w:val="auto"/>
                <w:sz w:val="24"/>
                <w:szCs w:val="24"/>
                <w:highlight w:val="none"/>
                <w:lang w:val="en-US" w:eastAsia="zh-CN"/>
              </w:rPr>
            </w:pPr>
          </w:p>
        </w:tc>
        <w:tc>
          <w:tcPr>
            <w:tcW w:w="728" w:type="pct"/>
            <w:tcBorders>
              <w:top w:val="single" w:color="auto" w:sz="4" w:space="0"/>
              <w:left w:val="single" w:color="auto" w:sz="4" w:space="0"/>
              <w:right w:val="single" w:color="auto" w:sz="4" w:space="0"/>
            </w:tcBorders>
            <w:noWrap w:val="0"/>
            <w:vAlign w:val="center"/>
          </w:tcPr>
          <w:p>
            <w:pPr>
              <w:widowControl/>
              <w:spacing w:line="500" w:lineRule="exact"/>
              <w:jc w:val="center"/>
              <w:rPr>
                <w:rFonts w:hint="eastAsia" w:ascii="宋体" w:hAnsi="宋体" w:eastAsia="宋体" w:cs="宋体"/>
                <w:color w:val="auto"/>
                <w:sz w:val="24"/>
                <w:szCs w:val="24"/>
                <w:highlight w:val="none"/>
                <w:lang w:val="en-US" w:eastAsia="zh-CN"/>
              </w:rPr>
            </w:pPr>
            <w:r>
              <w:rPr>
                <w:rFonts w:hint="eastAsia" w:ascii="宋体" w:hAnsi="宋体" w:cs="宋体"/>
                <w:color w:val="auto"/>
                <w:sz w:val="24"/>
                <w:highlight w:val="none"/>
                <w:lang w:val="en-US" w:eastAsia="zh-CN"/>
              </w:rPr>
              <w:t>与履约有关的认证情况（5分）</w:t>
            </w:r>
          </w:p>
        </w:tc>
        <w:tc>
          <w:tcPr>
            <w:tcW w:w="3632" w:type="pct"/>
            <w:tcBorders>
              <w:top w:val="single" w:color="auto" w:sz="4" w:space="0"/>
              <w:left w:val="single" w:color="auto" w:sz="4" w:space="0"/>
              <w:bottom w:val="single" w:color="auto" w:sz="4" w:space="0"/>
              <w:right w:val="single" w:color="auto" w:sz="4" w:space="0"/>
            </w:tcBorders>
            <w:noWrap w:val="0"/>
            <w:vAlign w:val="center"/>
          </w:tcPr>
          <w:p>
            <w:pPr>
              <w:widowControl/>
              <w:spacing w:line="500" w:lineRule="exact"/>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供应商具有《防伪印刷相关资质证书》得2分、《环境标志产品认证证书》得1分、《信息安全管理体系认证证书》得1分，《质量管理体系认证证书》得1分。</w:t>
            </w:r>
          </w:p>
          <w:p>
            <w:pPr>
              <w:widowControl/>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lang w:val="en-US" w:eastAsia="zh-CN"/>
              </w:rPr>
              <w:t>供应商须在响应文件中提供有效的证书复印件，未提供或不在有效期不得分。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639" w:type="pct"/>
            <w:vMerge w:val="restart"/>
            <w:tcBorders>
              <w:top w:val="single" w:color="auto" w:sz="4" w:space="0"/>
              <w:left w:val="single" w:color="auto" w:sz="4" w:space="0"/>
              <w:right w:val="single" w:color="auto" w:sz="4" w:space="0"/>
            </w:tcBorders>
            <w:noWrap w:val="0"/>
            <w:vAlign w:val="center"/>
          </w:tcPr>
          <w:p>
            <w:pPr>
              <w:widowControl/>
              <w:spacing w:line="500" w:lineRule="exac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技术服务部分</w:t>
            </w:r>
          </w:p>
        </w:tc>
        <w:tc>
          <w:tcPr>
            <w:tcW w:w="728" w:type="pct"/>
            <w:tcBorders>
              <w:top w:val="single" w:color="auto" w:sz="4" w:space="0"/>
              <w:left w:val="single" w:color="auto" w:sz="4" w:space="0"/>
              <w:bottom w:val="single" w:color="auto" w:sz="4" w:space="0"/>
              <w:right w:val="single" w:color="auto" w:sz="4" w:space="0"/>
            </w:tcBorders>
            <w:noWrap w:val="0"/>
            <w:vAlign w:val="center"/>
          </w:tcPr>
          <w:p>
            <w:pPr>
              <w:widowControl/>
              <w:spacing w:line="500" w:lineRule="exact"/>
              <w:rPr>
                <w:rFonts w:hint="eastAsia" w:ascii="宋体" w:hAnsi="宋体" w:eastAsia="宋体" w:cs="宋体"/>
                <w:color w:val="auto"/>
                <w:sz w:val="24"/>
                <w:szCs w:val="24"/>
                <w:highlight w:val="none"/>
                <w:lang w:val="en-US" w:eastAsia="zh-CN"/>
              </w:rPr>
            </w:pPr>
            <w:r>
              <w:rPr>
                <w:rFonts w:hint="eastAsia" w:ascii="宋体" w:hAnsi="宋体" w:cs="宋体"/>
                <w:color w:val="auto"/>
                <w:sz w:val="24"/>
                <w:highlight w:val="none"/>
              </w:rPr>
              <w:t>产品技术参数（</w:t>
            </w:r>
            <w:r>
              <w:rPr>
                <w:rFonts w:hint="eastAsia" w:ascii="宋体" w:hAnsi="宋体" w:cs="宋体"/>
                <w:color w:val="auto"/>
                <w:sz w:val="24"/>
                <w:highlight w:val="none"/>
                <w:lang w:val="en-US" w:eastAsia="zh-CN"/>
              </w:rPr>
              <w:t>15</w:t>
            </w:r>
            <w:r>
              <w:rPr>
                <w:rFonts w:hint="eastAsia" w:ascii="宋体" w:hAnsi="宋体" w:cs="宋体"/>
                <w:color w:val="auto"/>
                <w:sz w:val="24"/>
                <w:highlight w:val="none"/>
              </w:rPr>
              <w:t>分）</w:t>
            </w:r>
          </w:p>
        </w:tc>
        <w:tc>
          <w:tcPr>
            <w:tcW w:w="3632" w:type="pct"/>
            <w:tcBorders>
              <w:top w:val="single" w:color="auto" w:sz="4" w:space="0"/>
              <w:left w:val="single" w:color="auto" w:sz="4" w:space="0"/>
              <w:bottom w:val="single" w:color="auto" w:sz="4" w:space="0"/>
              <w:right w:val="single" w:color="auto" w:sz="4" w:space="0"/>
            </w:tcBorders>
            <w:noWrap w:val="0"/>
            <w:vAlign w:val="center"/>
          </w:tcPr>
          <w:p>
            <w:pPr>
              <w:widowControl/>
              <w:spacing w:line="500" w:lineRule="exact"/>
              <w:ind w:firstLine="480" w:firstLineChars="200"/>
              <w:rPr>
                <w:rFonts w:hint="default" w:ascii="宋体" w:hAnsi="宋体" w:cs="宋体"/>
                <w:color w:val="auto"/>
                <w:sz w:val="24"/>
                <w:highlight w:val="none"/>
                <w:lang w:val="en-US"/>
              </w:rPr>
            </w:pPr>
            <w:r>
              <w:rPr>
                <w:rFonts w:hint="eastAsia" w:ascii="宋体" w:hAnsi="宋体" w:cs="宋体"/>
                <w:color w:val="auto"/>
                <w:sz w:val="24"/>
                <w:highlight w:val="none"/>
                <w:lang w:val="en-US" w:eastAsia="zh-CN"/>
              </w:rPr>
              <w:t>1.评委</w:t>
            </w:r>
            <w:r>
              <w:rPr>
                <w:rFonts w:hint="eastAsia" w:ascii="宋体" w:hAnsi="宋体" w:cs="宋体"/>
                <w:color w:val="auto"/>
                <w:sz w:val="24"/>
                <w:highlight w:val="none"/>
              </w:rPr>
              <w:t>根据供应商的印刷工艺、印刷技术的描述进行评审：磋商小组对供应商印刷工艺</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印刷技术</w:t>
            </w:r>
            <w:r>
              <w:rPr>
                <w:rFonts w:hint="eastAsia" w:ascii="宋体" w:hAnsi="宋体" w:cs="宋体"/>
                <w:color w:val="auto"/>
                <w:sz w:val="24"/>
                <w:highlight w:val="none"/>
              </w:rPr>
              <w:t>的主要技术、</w:t>
            </w:r>
            <w:r>
              <w:rPr>
                <w:rFonts w:hint="eastAsia" w:ascii="宋体" w:hAnsi="宋体" w:cs="宋体"/>
                <w:color w:val="auto"/>
                <w:sz w:val="24"/>
                <w:highlight w:val="none"/>
                <w:lang w:val="en-US" w:eastAsia="zh-CN"/>
              </w:rPr>
              <w:t>印刷流程</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绿色环保印刷材料</w:t>
            </w:r>
            <w:r>
              <w:rPr>
                <w:rFonts w:hint="eastAsia" w:ascii="宋体" w:hAnsi="宋体" w:cs="宋体"/>
                <w:color w:val="auto"/>
                <w:sz w:val="24"/>
                <w:highlight w:val="none"/>
              </w:rPr>
              <w:t>（印版、油墨、烫金箔、胶黏剂等）</w:t>
            </w:r>
            <w:r>
              <w:rPr>
                <w:rFonts w:hint="eastAsia" w:ascii="宋体" w:hAnsi="宋体" w:cs="宋体"/>
                <w:color w:val="auto"/>
                <w:sz w:val="24"/>
                <w:highlight w:val="none"/>
                <w:lang w:val="en-US" w:eastAsia="zh-CN"/>
              </w:rPr>
              <w:t>、</w:t>
            </w:r>
            <w:r>
              <w:rPr>
                <w:rFonts w:hint="eastAsia" w:ascii="宋体" w:hAnsi="宋体" w:cs="宋体"/>
                <w:color w:val="auto"/>
                <w:sz w:val="24"/>
                <w:highlight w:val="none"/>
              </w:rPr>
              <w:t>质量水平进行综合比较打分：完全满足或优于采购需求，得</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分，每有1 处不足或劣势扣1分，扣完为止。</w:t>
            </w:r>
            <w:r>
              <w:rPr>
                <w:rFonts w:hint="eastAsia" w:ascii="宋体" w:hAnsi="宋体" w:cs="宋体"/>
                <w:color w:val="auto"/>
                <w:sz w:val="24"/>
                <w:highlight w:val="none"/>
                <w:lang w:val="en-US" w:eastAsia="zh-CN"/>
              </w:rPr>
              <w:t>未提供本项目描述的不得分。</w:t>
            </w:r>
          </w:p>
          <w:p>
            <w:pPr>
              <w:widowControl/>
              <w:spacing w:line="50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技术偏离项，共</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分，报价产品每项低于磋商文件要求的微小偏离扣</w:t>
            </w:r>
            <w:r>
              <w:rPr>
                <w:rFonts w:hint="eastAsia" w:ascii="宋体" w:hAnsi="宋体" w:cs="宋体"/>
                <w:color w:val="auto"/>
                <w:sz w:val="24"/>
                <w:highlight w:val="none"/>
                <w:lang w:val="en-US" w:eastAsia="zh-CN"/>
              </w:rPr>
              <w:t>0.5</w:t>
            </w:r>
            <w:r>
              <w:rPr>
                <w:rFonts w:hint="eastAsia" w:ascii="宋体" w:hAnsi="宋体" w:cs="宋体"/>
                <w:color w:val="auto"/>
                <w:sz w:val="24"/>
                <w:highlight w:val="none"/>
              </w:rPr>
              <w:t>分，扣完为止，若无偏离或高于磋商文件要求的得</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分。</w:t>
            </w:r>
            <w:r>
              <w:rPr>
                <w:rFonts w:hint="eastAsia" w:ascii="宋体" w:hAnsi="宋体" w:eastAsia="宋体" w:cs="宋体"/>
                <w:b w:val="0"/>
                <w:bCs/>
                <w:color w:val="auto"/>
                <w:sz w:val="24"/>
                <w:szCs w:val="24"/>
                <w:highlight w:val="none"/>
              </w:rPr>
              <w:t>对</w:t>
            </w:r>
            <w:r>
              <w:rPr>
                <w:rFonts w:hint="eastAsia" w:ascii="宋体" w:hAnsi="宋体" w:eastAsia="宋体" w:cs="宋体"/>
                <w:b w:val="0"/>
                <w:bCs/>
                <w:color w:val="auto"/>
                <w:sz w:val="24"/>
                <w:szCs w:val="24"/>
                <w:highlight w:val="none"/>
                <w:lang w:val="en-US" w:eastAsia="zh-CN"/>
              </w:rPr>
              <w:t>竞争性磋商文件</w:t>
            </w:r>
            <w:r>
              <w:rPr>
                <w:rFonts w:hint="eastAsia" w:ascii="宋体" w:hAnsi="宋体" w:eastAsia="宋体" w:cs="宋体"/>
                <w:b w:val="0"/>
                <w:bCs/>
                <w:color w:val="auto"/>
                <w:sz w:val="24"/>
                <w:szCs w:val="24"/>
                <w:highlight w:val="none"/>
              </w:rPr>
              <w:t>技术要求不做任何响应的，认定为负偏离以及有负偏离而未注明的，每发现一项扣</w:t>
            </w:r>
            <w:r>
              <w:rPr>
                <w:rFonts w:hint="eastAsia" w:ascii="宋体" w:hAnsi="宋体" w:eastAsia="宋体" w:cs="宋体"/>
                <w:b w:val="0"/>
                <w:bCs/>
                <w:color w:val="auto"/>
                <w:sz w:val="24"/>
                <w:szCs w:val="24"/>
                <w:highlight w:val="none"/>
                <w:lang w:val="en-US" w:eastAsia="zh-CN"/>
              </w:rPr>
              <w:t>2</w:t>
            </w:r>
            <w:r>
              <w:rPr>
                <w:rFonts w:hint="eastAsia" w:ascii="宋体" w:hAnsi="宋体" w:eastAsia="宋体" w:cs="宋体"/>
                <w:b w:val="0"/>
                <w:bCs/>
                <w:color w:val="auto"/>
                <w:sz w:val="24"/>
                <w:szCs w:val="24"/>
                <w:highlight w:val="none"/>
              </w:rPr>
              <w:t>分，扣完为止</w:t>
            </w:r>
            <w:r>
              <w:rPr>
                <w:rFonts w:hint="eastAsia" w:ascii="宋体" w:hAnsi="宋体" w:cs="宋体"/>
                <w:color w:val="auto"/>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639" w:type="pct"/>
            <w:vMerge w:val="continue"/>
            <w:tcBorders>
              <w:left w:val="single" w:color="auto" w:sz="4" w:space="0"/>
              <w:right w:val="single" w:color="auto" w:sz="4" w:space="0"/>
            </w:tcBorders>
            <w:noWrap w:val="0"/>
            <w:vAlign w:val="center"/>
          </w:tcPr>
          <w:p>
            <w:pPr>
              <w:widowControl/>
              <w:spacing w:line="500" w:lineRule="exact"/>
              <w:jc w:val="center"/>
              <w:rPr>
                <w:rFonts w:hint="eastAsia" w:ascii="宋体" w:hAnsi="宋体" w:eastAsia="宋体" w:cs="宋体"/>
                <w:color w:val="auto"/>
                <w:sz w:val="24"/>
                <w:szCs w:val="24"/>
                <w:highlight w:val="none"/>
                <w:lang w:val="en-US" w:eastAsia="zh-CN"/>
              </w:rPr>
            </w:pPr>
          </w:p>
        </w:tc>
        <w:tc>
          <w:tcPr>
            <w:tcW w:w="72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80" w:lineRule="exact"/>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样品（10分）</w:t>
            </w:r>
          </w:p>
        </w:tc>
        <w:tc>
          <w:tcPr>
            <w:tcW w:w="363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评委</w:t>
            </w:r>
            <w:r>
              <w:rPr>
                <w:rFonts w:hint="eastAsia" w:ascii="宋体" w:hAnsi="宋体" w:cs="宋体"/>
                <w:color w:val="auto"/>
                <w:sz w:val="24"/>
                <w:highlight w:val="none"/>
              </w:rPr>
              <w:t xml:space="preserve">根据供应商提供样品的外观、防伪、印刷工艺、材质、色泽 等效果进行评审： </w:t>
            </w:r>
          </w:p>
          <w:p>
            <w:pPr>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cs="宋体"/>
                <w:color w:val="auto"/>
                <w:sz w:val="24"/>
                <w:highlight w:val="none"/>
                <w:lang w:val="zh-CN"/>
              </w:rPr>
            </w:pPr>
            <w:r>
              <w:rPr>
                <w:rFonts w:hint="eastAsia" w:ascii="宋体" w:hAnsi="宋体" w:cs="宋体"/>
                <w:color w:val="auto"/>
                <w:sz w:val="24"/>
                <w:highlight w:val="none"/>
                <w:lang w:val="en-US" w:eastAsia="zh-CN"/>
              </w:rPr>
              <w:t>1.</w:t>
            </w:r>
            <w:r>
              <w:rPr>
                <w:rFonts w:hint="eastAsia" w:ascii="宋体" w:hAnsi="宋体" w:cs="宋体"/>
                <w:color w:val="auto"/>
                <w:sz w:val="24"/>
                <w:highlight w:val="none"/>
                <w:lang w:val="zh-CN"/>
              </w:rPr>
              <w:t>样品外观设计、防伪设计美观，工艺先进，材质、厚度、手感、字迹、墨迹、颜色等印刷质量优于</w:t>
            </w:r>
            <w:r>
              <w:rPr>
                <w:rFonts w:hint="eastAsia" w:ascii="宋体" w:hAnsi="宋体" w:cs="宋体"/>
                <w:color w:val="auto"/>
                <w:sz w:val="24"/>
                <w:highlight w:val="none"/>
                <w:lang w:val="en-US" w:eastAsia="zh-CN"/>
              </w:rPr>
              <w:t>磋商</w:t>
            </w:r>
            <w:r>
              <w:rPr>
                <w:rFonts w:hint="eastAsia" w:ascii="宋体" w:hAnsi="宋体" w:cs="宋体"/>
                <w:color w:val="auto"/>
                <w:sz w:val="24"/>
                <w:highlight w:val="none"/>
                <w:lang w:val="zh-CN"/>
              </w:rPr>
              <w:t>文件要求，得</w:t>
            </w:r>
            <w:r>
              <w:rPr>
                <w:rFonts w:hint="eastAsia" w:ascii="宋体" w:hAnsi="宋体" w:cs="宋体"/>
                <w:color w:val="auto"/>
                <w:sz w:val="24"/>
                <w:highlight w:val="none"/>
                <w:lang w:val="en-US" w:eastAsia="zh-CN"/>
              </w:rPr>
              <w:t>10</w:t>
            </w:r>
            <w:r>
              <w:rPr>
                <w:rFonts w:hint="eastAsia" w:ascii="宋体" w:hAnsi="宋体" w:cs="宋体"/>
                <w:color w:val="auto"/>
                <w:sz w:val="24"/>
                <w:highlight w:val="none"/>
                <w:lang w:val="zh-CN"/>
              </w:rPr>
              <w:t>分；</w:t>
            </w:r>
          </w:p>
          <w:p>
            <w:pPr>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cs="宋体"/>
                <w:color w:val="auto"/>
                <w:sz w:val="24"/>
                <w:highlight w:val="none"/>
                <w:lang w:val="zh-CN"/>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lang w:val="zh-CN"/>
              </w:rPr>
              <w:t>样品用材优于项目需求，外观设计及印刷工艺精美的，得</w:t>
            </w:r>
            <w:r>
              <w:rPr>
                <w:rFonts w:hint="eastAsia" w:ascii="宋体" w:hAnsi="宋体" w:cs="宋体"/>
                <w:color w:val="auto"/>
                <w:sz w:val="24"/>
                <w:highlight w:val="none"/>
                <w:lang w:val="en-US" w:eastAsia="zh-CN"/>
              </w:rPr>
              <w:t>8</w:t>
            </w:r>
            <w:r>
              <w:rPr>
                <w:rFonts w:hint="eastAsia" w:ascii="宋体" w:hAnsi="宋体" w:cs="宋体"/>
                <w:color w:val="auto"/>
                <w:sz w:val="24"/>
                <w:highlight w:val="none"/>
                <w:lang w:val="zh-CN"/>
              </w:rPr>
              <w:t>分；</w:t>
            </w:r>
          </w:p>
          <w:p>
            <w:pPr>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cs="宋体"/>
                <w:color w:val="auto"/>
                <w:sz w:val="24"/>
                <w:highlight w:val="none"/>
                <w:lang w:val="zh-CN"/>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lang w:val="zh-CN"/>
              </w:rPr>
              <w:t>样品整体质量仅能满足项目需求的，</w:t>
            </w:r>
            <w:r>
              <w:rPr>
                <w:rFonts w:hint="eastAsia" w:ascii="宋体" w:hAnsi="宋体" w:cs="宋体"/>
                <w:color w:val="auto"/>
                <w:sz w:val="24"/>
                <w:highlight w:val="none"/>
                <w:lang w:val="en-US" w:eastAsia="zh-CN"/>
              </w:rPr>
              <w:t>且</w:t>
            </w:r>
            <w:r>
              <w:rPr>
                <w:rFonts w:hint="eastAsia" w:ascii="宋体" w:hAnsi="宋体" w:cs="宋体"/>
                <w:color w:val="auto"/>
                <w:sz w:val="24"/>
                <w:highlight w:val="none"/>
                <w:lang w:val="zh-CN"/>
              </w:rPr>
              <w:t>质量、印刷品质粗糙，得</w:t>
            </w:r>
            <w:r>
              <w:rPr>
                <w:rFonts w:hint="eastAsia" w:ascii="宋体" w:hAnsi="宋体" w:cs="宋体"/>
                <w:color w:val="auto"/>
                <w:sz w:val="24"/>
                <w:highlight w:val="none"/>
                <w:lang w:val="en-US" w:eastAsia="zh-CN"/>
              </w:rPr>
              <w:t>5</w:t>
            </w:r>
            <w:r>
              <w:rPr>
                <w:rFonts w:hint="eastAsia" w:ascii="宋体" w:hAnsi="宋体" w:cs="宋体"/>
                <w:color w:val="auto"/>
                <w:sz w:val="24"/>
                <w:highlight w:val="none"/>
                <w:lang w:val="zh-CN"/>
              </w:rPr>
              <w:t>分；</w:t>
            </w:r>
          </w:p>
          <w:p>
            <w:pPr>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4.</w:t>
            </w:r>
            <w:r>
              <w:rPr>
                <w:rFonts w:hint="eastAsia" w:ascii="宋体" w:hAnsi="宋体" w:cs="宋体"/>
                <w:color w:val="auto"/>
                <w:sz w:val="24"/>
                <w:highlight w:val="none"/>
                <w:lang w:val="zh-CN"/>
              </w:rPr>
              <w:t>提供样品不全的</w:t>
            </w:r>
            <w:r>
              <w:rPr>
                <w:rFonts w:hint="eastAsia" w:ascii="宋体" w:hAnsi="宋体" w:cs="宋体"/>
                <w:color w:val="auto"/>
                <w:sz w:val="24"/>
                <w:highlight w:val="none"/>
                <w:lang w:val="en-US" w:eastAsia="zh-CN"/>
              </w:rPr>
              <w:t>得3分；</w:t>
            </w:r>
          </w:p>
          <w:p>
            <w:pPr>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ascii="宋体" w:hAnsi="宋体" w:eastAsia="宋体" w:cs="宋体"/>
                <w:color w:val="auto"/>
                <w:sz w:val="24"/>
                <w:szCs w:val="24"/>
                <w:highlight w:val="none"/>
              </w:rPr>
            </w:pPr>
            <w:r>
              <w:rPr>
                <w:rFonts w:hint="eastAsia" w:ascii="宋体" w:hAnsi="宋体" w:cs="宋体"/>
                <w:color w:val="auto"/>
                <w:sz w:val="24"/>
                <w:highlight w:val="none"/>
                <w:lang w:val="en-US" w:eastAsia="zh-CN"/>
              </w:rPr>
              <w:t>5.</w:t>
            </w:r>
            <w:r>
              <w:rPr>
                <w:rFonts w:hint="eastAsia" w:ascii="宋体" w:hAnsi="宋体" w:cs="宋体"/>
                <w:color w:val="auto"/>
                <w:sz w:val="24"/>
                <w:highlight w:val="none"/>
                <w:lang w:val="zh-CN"/>
              </w:rPr>
              <w:t>未提供</w:t>
            </w:r>
            <w:r>
              <w:rPr>
                <w:rFonts w:hint="eastAsia" w:ascii="宋体" w:hAnsi="宋体" w:cs="宋体"/>
                <w:color w:val="auto"/>
                <w:sz w:val="24"/>
                <w:highlight w:val="none"/>
                <w:lang w:val="en-US" w:eastAsia="zh-CN"/>
              </w:rPr>
              <w:t>样品的</w:t>
            </w:r>
            <w:r>
              <w:rPr>
                <w:rFonts w:hint="eastAsia" w:ascii="宋体" w:hAnsi="宋体" w:cs="宋体"/>
                <w:color w:val="auto"/>
                <w:sz w:val="24"/>
                <w:highlight w:val="none"/>
                <w:lang w:val="zh-CN"/>
              </w:rPr>
              <w:t>，</w:t>
            </w:r>
            <w:r>
              <w:rPr>
                <w:rFonts w:hint="eastAsia" w:ascii="宋体" w:hAnsi="宋体" w:cs="宋体"/>
                <w:color w:val="auto"/>
                <w:sz w:val="24"/>
                <w:highlight w:val="none"/>
                <w:lang w:val="en-US" w:eastAsia="zh-CN"/>
              </w:rPr>
              <w:t>该项</w:t>
            </w:r>
            <w:r>
              <w:rPr>
                <w:rFonts w:hint="eastAsia" w:ascii="宋体" w:hAnsi="宋体" w:cs="宋体"/>
                <w:color w:val="auto"/>
                <w:sz w:val="24"/>
                <w:highlight w:val="none"/>
                <w:lang w:val="zh-CN"/>
              </w:rPr>
              <w:t>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639" w:type="pct"/>
            <w:vMerge w:val="continue"/>
            <w:tcBorders>
              <w:left w:val="single" w:color="auto" w:sz="4" w:space="0"/>
              <w:right w:val="single" w:color="auto" w:sz="4" w:space="0"/>
            </w:tcBorders>
            <w:noWrap w:val="0"/>
            <w:vAlign w:val="center"/>
          </w:tcPr>
          <w:p>
            <w:pPr>
              <w:widowControl/>
              <w:spacing w:line="500" w:lineRule="exact"/>
              <w:jc w:val="center"/>
              <w:rPr>
                <w:rFonts w:hint="eastAsia" w:ascii="宋体" w:hAnsi="宋体" w:eastAsia="宋体" w:cs="宋体"/>
                <w:color w:val="auto"/>
                <w:sz w:val="24"/>
                <w:szCs w:val="24"/>
                <w:highlight w:val="none"/>
                <w:lang w:val="en-US" w:eastAsia="zh-CN"/>
              </w:rPr>
            </w:pPr>
          </w:p>
        </w:tc>
        <w:tc>
          <w:tcPr>
            <w:tcW w:w="728" w:type="pct"/>
            <w:tcBorders>
              <w:top w:val="single" w:color="auto" w:sz="4" w:space="0"/>
              <w:left w:val="single" w:color="auto" w:sz="4" w:space="0"/>
              <w:bottom w:val="single" w:color="auto" w:sz="4" w:space="0"/>
              <w:right w:val="single" w:color="auto" w:sz="4" w:space="0"/>
            </w:tcBorders>
            <w:noWrap w:val="0"/>
            <w:vAlign w:val="center"/>
          </w:tcPr>
          <w:p>
            <w:pPr>
              <w:widowControl/>
              <w:spacing w:line="500" w:lineRule="exact"/>
              <w:jc w:val="center"/>
              <w:rPr>
                <w:rFonts w:hint="eastAsia" w:ascii="宋体" w:hAnsi="宋体" w:cs="宋体"/>
                <w:color w:val="auto"/>
                <w:sz w:val="24"/>
                <w:highlight w:val="none"/>
                <w:lang w:val="en-US" w:eastAsia="zh-CN"/>
              </w:rPr>
            </w:pPr>
            <w:r>
              <w:rPr>
                <w:rFonts w:ascii="宋体" w:hAnsi="宋体" w:eastAsia="宋体" w:cs="宋体"/>
                <w:color w:val="auto"/>
                <w:sz w:val="24"/>
                <w:szCs w:val="24"/>
                <w:highlight w:val="none"/>
              </w:rPr>
              <w:t>拟投入本项目的</w:t>
            </w:r>
            <w:r>
              <w:rPr>
                <w:rFonts w:hint="eastAsia" w:ascii="宋体" w:hAnsi="宋体" w:eastAsia="宋体" w:cs="宋体"/>
                <w:color w:val="auto"/>
                <w:sz w:val="24"/>
                <w:szCs w:val="24"/>
                <w:highlight w:val="none"/>
                <w:lang w:val="en-US" w:eastAsia="zh-CN"/>
              </w:rPr>
              <w:t>设</w:t>
            </w:r>
            <w:r>
              <w:rPr>
                <w:rFonts w:ascii="宋体" w:hAnsi="宋体" w:eastAsia="宋体" w:cs="宋体"/>
                <w:color w:val="auto"/>
                <w:sz w:val="24"/>
                <w:szCs w:val="24"/>
                <w:highlight w:val="none"/>
              </w:rPr>
              <w:t>备</w:t>
            </w:r>
            <w:r>
              <w:rPr>
                <w:rFonts w:hint="eastAsia" w:ascii="宋体" w:hAnsi="宋体" w:eastAsia="宋体" w:cs="宋体"/>
                <w:color w:val="auto"/>
                <w:sz w:val="24"/>
                <w:szCs w:val="24"/>
                <w:highlight w:val="none"/>
                <w:lang w:val="en-US" w:eastAsia="zh-CN"/>
              </w:rPr>
              <w:t>和场地情况（10分）</w:t>
            </w:r>
          </w:p>
        </w:tc>
        <w:tc>
          <w:tcPr>
            <w:tcW w:w="363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pacing w:line="500" w:lineRule="exact"/>
              <w:ind w:firstLine="420" w:firstLineChars="175"/>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1、根据</w:t>
            </w:r>
            <w:r>
              <w:rPr>
                <w:rFonts w:ascii="宋体" w:hAnsi="宋体" w:eastAsia="宋体" w:cs="宋体"/>
                <w:color w:val="auto"/>
                <w:sz w:val="24"/>
                <w:szCs w:val="24"/>
                <w:highlight w:val="none"/>
              </w:rPr>
              <w:t>供应商提供的主要生产设备与拟投入本项目包含但不限于：设计、排版、印刷、装订等设备数量、性能进行综合评价，满分</w:t>
            </w:r>
            <w:r>
              <w:rPr>
                <w:rFonts w:hint="eastAsia" w:ascii="宋体" w:hAnsi="宋体" w:eastAsia="宋体" w:cs="宋体"/>
                <w:color w:val="auto"/>
                <w:sz w:val="24"/>
                <w:szCs w:val="24"/>
                <w:highlight w:val="none"/>
                <w:lang w:val="en-US" w:eastAsia="zh-CN"/>
              </w:rPr>
              <w:t>5</w:t>
            </w:r>
            <w:r>
              <w:rPr>
                <w:rFonts w:ascii="宋体" w:hAnsi="宋体" w:eastAsia="宋体" w:cs="宋体"/>
                <w:color w:val="auto"/>
                <w:sz w:val="24"/>
                <w:szCs w:val="24"/>
                <w:highlight w:val="none"/>
              </w:rPr>
              <w:t>分，</w:t>
            </w:r>
            <w:r>
              <w:rPr>
                <w:rFonts w:hint="eastAsia" w:ascii="宋体" w:hAnsi="宋体" w:eastAsia="宋体" w:cs="宋体"/>
                <w:color w:val="auto"/>
                <w:sz w:val="24"/>
                <w:szCs w:val="24"/>
                <w:highlight w:val="none"/>
              </w:rPr>
              <w:t>在此基础上根据以上评审因素，每有一处弱项扣</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分，扣完为止，响应文件中无相关描述的，本项不得分</w:t>
            </w:r>
            <w:r>
              <w:rPr>
                <w:rFonts w:hint="eastAsia" w:ascii="宋体" w:hAnsi="宋体" w:eastAsia="宋体" w:cs="宋体"/>
                <w:color w:val="auto"/>
                <w:sz w:val="24"/>
                <w:szCs w:val="24"/>
                <w:highlight w:val="none"/>
                <w:lang w:eastAsia="zh-CN"/>
              </w:rPr>
              <w:t>。</w:t>
            </w:r>
          </w:p>
          <w:p>
            <w:pPr>
              <w:keepNext w:val="0"/>
              <w:keepLines w:val="0"/>
              <w:pageBreakBefore w:val="0"/>
              <w:widowControl/>
              <w:kinsoku/>
              <w:wordWrap w:val="0"/>
              <w:overflowPunct/>
              <w:topLinePunct w:val="0"/>
              <w:autoSpaceDE/>
              <w:autoSpaceDN/>
              <w:bidi w:val="0"/>
              <w:adjustRightInd/>
              <w:spacing w:line="500" w:lineRule="exact"/>
              <w:ind w:firstLine="420" w:firstLineChars="175"/>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注：供应商需提供相关设备自有或租赁情况的证明材料（购买或租赁发票单据或合同复印件）及照片彩图并加盖公章，未提供相关证明材料或若无此项描述的不得分。</w:t>
            </w:r>
          </w:p>
          <w:p>
            <w:pPr>
              <w:widowControl/>
              <w:spacing w:line="500" w:lineRule="exact"/>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cs="宋体"/>
                <w:color w:val="auto"/>
                <w:sz w:val="24"/>
                <w:highlight w:val="none"/>
              </w:rPr>
              <w:t>根据经营场所平面图情况，厂房情况，是否具备存放的专用库房</w:t>
            </w:r>
            <w:r>
              <w:rPr>
                <w:rFonts w:hint="eastAsia" w:ascii="宋体" w:hAnsi="宋体" w:cs="宋体"/>
                <w:color w:val="auto"/>
                <w:sz w:val="24"/>
                <w:highlight w:val="none"/>
                <w:lang w:eastAsia="zh-CN"/>
              </w:rPr>
              <w:t>，</w:t>
            </w:r>
            <w:r>
              <w:rPr>
                <w:rFonts w:hint="eastAsia" w:ascii="宋体" w:hAnsi="宋体" w:cs="宋体"/>
                <w:color w:val="auto"/>
                <w:sz w:val="24"/>
                <w:highlight w:val="none"/>
              </w:rPr>
              <w:t>以及防火防盗、安全保密措施等进行评审</w:t>
            </w:r>
            <w:r>
              <w:rPr>
                <w:rFonts w:hint="eastAsia" w:ascii="宋体" w:hAnsi="宋体" w:cs="宋体"/>
                <w:color w:val="auto"/>
                <w:sz w:val="24"/>
                <w:highlight w:val="none"/>
                <w:lang w:eastAsia="zh-CN"/>
              </w:rPr>
              <w:t>，</w:t>
            </w:r>
            <w:r>
              <w:rPr>
                <w:rFonts w:hint="eastAsia" w:ascii="宋体" w:hAnsi="宋体" w:cs="宋体"/>
                <w:color w:val="auto"/>
                <w:sz w:val="24"/>
                <w:highlight w:val="none"/>
              </w:rPr>
              <w:t>需在响应文件中提供相关经营场所所有权或使用权或租赁合同等证明文件复印件</w:t>
            </w:r>
            <w:r>
              <w:rPr>
                <w:rFonts w:hint="eastAsia" w:ascii="宋体" w:hAnsi="宋体" w:cs="宋体"/>
                <w:color w:val="auto"/>
                <w:sz w:val="24"/>
                <w:highlight w:val="none"/>
                <w:lang w:eastAsia="zh-CN"/>
              </w:rPr>
              <w:t>，</w:t>
            </w:r>
            <w:r>
              <w:rPr>
                <w:rFonts w:hint="eastAsia" w:ascii="宋体" w:hAnsi="宋体" w:cs="宋体"/>
                <w:color w:val="auto"/>
                <w:sz w:val="24"/>
                <w:highlight w:val="none"/>
              </w:rPr>
              <w:t>经营场所、厂房情况能够满足生产，具备存放的专用库房满足存放需求，防火防盗、安全保密措施合理有效得5分</w:t>
            </w:r>
            <w:r>
              <w:rPr>
                <w:rFonts w:hint="eastAsia" w:ascii="宋体" w:hAnsi="宋体" w:cs="宋体"/>
                <w:color w:val="auto"/>
                <w:sz w:val="24"/>
                <w:highlight w:val="none"/>
                <w:lang w:eastAsia="zh-CN"/>
              </w:rPr>
              <w:t>，</w:t>
            </w:r>
            <w:r>
              <w:rPr>
                <w:rFonts w:hint="eastAsia" w:ascii="宋体" w:hAnsi="宋体" w:eastAsia="宋体" w:cs="宋体"/>
                <w:color w:val="auto"/>
                <w:sz w:val="24"/>
                <w:szCs w:val="24"/>
                <w:highlight w:val="none"/>
              </w:rPr>
              <w:t>在此基础上根据以上评审因素，每有一处弱项扣</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分，扣完为止，响应文件中无相关描述的，本项不得分</w:t>
            </w:r>
            <w:r>
              <w:rPr>
                <w:rFonts w:hint="eastAsia" w:ascii="宋体" w:hAnsi="宋体" w:eastAsia="宋体" w:cs="宋体"/>
                <w:color w:val="auto"/>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639" w:type="pct"/>
            <w:vMerge w:val="continue"/>
            <w:tcBorders>
              <w:left w:val="single" w:color="auto" w:sz="4" w:space="0"/>
              <w:right w:val="single" w:color="auto" w:sz="4" w:space="0"/>
            </w:tcBorders>
            <w:noWrap w:val="0"/>
            <w:vAlign w:val="center"/>
          </w:tcPr>
          <w:p>
            <w:pPr>
              <w:widowControl/>
              <w:spacing w:line="500" w:lineRule="exact"/>
              <w:jc w:val="center"/>
              <w:rPr>
                <w:rFonts w:hint="eastAsia" w:ascii="宋体" w:hAnsi="宋体" w:eastAsia="宋体" w:cs="宋体"/>
                <w:color w:val="auto"/>
                <w:sz w:val="24"/>
                <w:szCs w:val="24"/>
                <w:highlight w:val="none"/>
                <w:lang w:val="en-US" w:eastAsia="zh-CN"/>
              </w:rPr>
            </w:pPr>
          </w:p>
        </w:tc>
        <w:tc>
          <w:tcPr>
            <w:tcW w:w="728" w:type="pct"/>
            <w:tcBorders>
              <w:top w:val="single" w:color="auto" w:sz="4" w:space="0"/>
              <w:left w:val="single" w:color="auto" w:sz="4" w:space="0"/>
              <w:bottom w:val="single" w:color="auto" w:sz="4" w:space="0"/>
              <w:right w:val="single" w:color="auto" w:sz="4" w:space="0"/>
            </w:tcBorders>
            <w:noWrap w:val="0"/>
            <w:vAlign w:val="center"/>
          </w:tcPr>
          <w:p>
            <w:pPr>
              <w:widowControl/>
              <w:spacing w:line="500" w:lineRule="exact"/>
              <w:rPr>
                <w:rFonts w:ascii="宋体" w:hAnsi="宋体" w:eastAsia="宋体" w:cs="宋体"/>
                <w:color w:val="auto"/>
                <w:sz w:val="24"/>
                <w:szCs w:val="24"/>
                <w:highlight w:val="none"/>
              </w:rPr>
            </w:pPr>
            <w:r>
              <w:rPr>
                <w:rFonts w:hint="eastAsia" w:ascii="宋体" w:hAnsi="宋体" w:cs="宋体"/>
                <w:color w:val="auto"/>
                <w:sz w:val="24"/>
                <w:highlight w:val="none"/>
              </w:rPr>
              <w:t>供货方案（</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分）</w:t>
            </w:r>
          </w:p>
        </w:tc>
        <w:tc>
          <w:tcPr>
            <w:tcW w:w="3632" w:type="pct"/>
            <w:tcBorders>
              <w:top w:val="single" w:color="auto" w:sz="4" w:space="0"/>
              <w:left w:val="single" w:color="auto" w:sz="4" w:space="0"/>
              <w:bottom w:val="single" w:color="auto" w:sz="4" w:space="0"/>
              <w:right w:val="single" w:color="auto" w:sz="4" w:space="0"/>
            </w:tcBorders>
            <w:noWrap w:val="0"/>
            <w:vAlign w:val="center"/>
          </w:tcPr>
          <w:p>
            <w:pPr>
              <w:widowControl/>
              <w:spacing w:line="50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zh-CN"/>
              </w:rPr>
              <w:t>1</w:t>
            </w:r>
            <w:r>
              <w:rPr>
                <w:rFonts w:hint="eastAsia" w:ascii="宋体" w:hAnsi="宋体" w:cs="宋体"/>
                <w:color w:val="auto"/>
                <w:sz w:val="24"/>
                <w:highlight w:val="none"/>
                <w:lang w:val="en-US" w:eastAsia="zh-CN"/>
              </w:rPr>
              <w:t>.</w:t>
            </w:r>
            <w:r>
              <w:rPr>
                <w:rFonts w:hint="eastAsia" w:ascii="宋体" w:hAnsi="宋体"/>
                <w:color w:val="auto"/>
                <w:sz w:val="24"/>
                <w:szCs w:val="24"/>
                <w:highlight w:val="none"/>
                <w:lang w:val="zh-CN"/>
              </w:rPr>
              <w:t>供货方案，</w:t>
            </w:r>
            <w:r>
              <w:rPr>
                <w:rFonts w:hint="eastAsia" w:ascii="宋体" w:hAnsi="宋体"/>
                <w:color w:val="auto"/>
                <w:sz w:val="24"/>
                <w:szCs w:val="24"/>
                <w:highlight w:val="none"/>
                <w:lang w:val="en-US" w:eastAsia="zh-CN"/>
              </w:rPr>
              <w:t>包括但不仅限于</w:t>
            </w:r>
            <w:r>
              <w:rPr>
                <w:rFonts w:ascii="宋体" w:hAnsi="宋体" w:eastAsia="宋体" w:cs="宋体"/>
                <w:color w:val="auto"/>
                <w:sz w:val="24"/>
                <w:szCs w:val="24"/>
                <w:highlight w:val="none"/>
              </w:rPr>
              <w:t>配送方案、配送方式、包装方式以及在配送过程中对成品的保护措施</w:t>
            </w:r>
            <w:r>
              <w:rPr>
                <w:rFonts w:hint="eastAsia" w:ascii="宋体" w:hAnsi="宋体" w:eastAsia="宋体" w:cs="宋体"/>
                <w:color w:val="auto"/>
                <w:sz w:val="24"/>
                <w:szCs w:val="24"/>
                <w:highlight w:val="none"/>
                <w:lang w:val="en-US" w:eastAsia="zh-CN"/>
              </w:rPr>
              <w:t>等，</w:t>
            </w:r>
            <w:r>
              <w:rPr>
                <w:rFonts w:hint="eastAsia" w:ascii="宋体" w:hAnsi="宋体"/>
                <w:color w:val="auto"/>
                <w:sz w:val="24"/>
                <w:szCs w:val="24"/>
                <w:highlight w:val="none"/>
                <w:lang w:val="zh-CN"/>
              </w:rPr>
              <w:t>内容具体全面的，得</w:t>
            </w:r>
            <w:r>
              <w:rPr>
                <w:rFonts w:hint="eastAsia" w:ascii="宋体" w:hAnsi="宋体"/>
                <w:color w:val="auto"/>
                <w:sz w:val="24"/>
                <w:szCs w:val="24"/>
                <w:highlight w:val="none"/>
                <w:lang w:val="en-US" w:eastAsia="zh-CN"/>
              </w:rPr>
              <w:t>3</w:t>
            </w:r>
            <w:r>
              <w:rPr>
                <w:rFonts w:hint="eastAsia" w:ascii="宋体" w:hAnsi="宋体"/>
                <w:color w:val="auto"/>
                <w:sz w:val="24"/>
                <w:szCs w:val="24"/>
                <w:highlight w:val="none"/>
                <w:lang w:val="zh-CN"/>
              </w:rPr>
              <w:t>分；内容全面，但可操作性差的得</w:t>
            </w:r>
            <w:r>
              <w:rPr>
                <w:rFonts w:hint="eastAsia" w:ascii="宋体" w:hAnsi="宋体"/>
                <w:color w:val="auto"/>
                <w:sz w:val="24"/>
                <w:szCs w:val="24"/>
                <w:highlight w:val="none"/>
                <w:lang w:val="en-US" w:eastAsia="zh-CN"/>
              </w:rPr>
              <w:t>2</w:t>
            </w:r>
            <w:r>
              <w:rPr>
                <w:rFonts w:hint="eastAsia" w:ascii="宋体" w:hAnsi="宋体"/>
                <w:color w:val="auto"/>
                <w:sz w:val="24"/>
                <w:szCs w:val="24"/>
                <w:highlight w:val="none"/>
                <w:lang w:val="zh-CN"/>
              </w:rPr>
              <w:t>分；内容不够详实有缺项的，得1分；</w:t>
            </w:r>
            <w:r>
              <w:rPr>
                <w:rFonts w:hint="eastAsia" w:ascii="宋体" w:hAnsi="宋体" w:eastAsia="宋体" w:cs="宋体"/>
                <w:color w:val="auto"/>
                <w:sz w:val="24"/>
                <w:szCs w:val="24"/>
                <w:highlight w:val="none"/>
              </w:rPr>
              <w:t>响应文件中无相关描述的，本项不得分</w:t>
            </w:r>
            <w:r>
              <w:rPr>
                <w:rFonts w:hint="eastAsia" w:ascii="宋体" w:hAnsi="宋体" w:cs="宋体"/>
                <w:color w:val="auto"/>
                <w:sz w:val="24"/>
                <w:highlight w:val="none"/>
                <w:lang w:val="zh-CN"/>
              </w:rPr>
              <w:t>。</w:t>
            </w:r>
          </w:p>
          <w:p>
            <w:pPr>
              <w:widowControl/>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cs="宋体"/>
                <w:color w:val="auto"/>
                <w:sz w:val="24"/>
                <w:highlight w:val="none"/>
                <w:lang w:val="zh-CN"/>
              </w:rPr>
              <w:t>2</w:t>
            </w:r>
            <w:r>
              <w:rPr>
                <w:rFonts w:hint="eastAsia" w:ascii="宋体" w:hAnsi="宋体" w:cs="宋体"/>
                <w:color w:val="auto"/>
                <w:sz w:val="24"/>
                <w:highlight w:val="none"/>
                <w:lang w:val="en-US" w:eastAsia="zh-CN"/>
              </w:rPr>
              <w:t>.</w:t>
            </w:r>
            <w:r>
              <w:rPr>
                <w:rFonts w:hint="eastAsia" w:ascii="宋体" w:hAnsi="宋体" w:cs="宋体"/>
                <w:color w:val="auto"/>
                <w:sz w:val="24"/>
                <w:highlight w:val="none"/>
                <w:lang w:val="zh-CN"/>
              </w:rPr>
              <w:t>供货周期保证措施完善、详细，能明确保障供货安装周期目标的实现得</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val="zh-CN"/>
              </w:rPr>
              <w:t>分；供货周期保证措施基本可行，能基本确保供货周期目标的实现得1分；</w:t>
            </w:r>
            <w:r>
              <w:rPr>
                <w:rFonts w:hint="eastAsia" w:ascii="宋体" w:hAnsi="宋体" w:eastAsia="宋体" w:cs="宋体"/>
                <w:color w:val="auto"/>
                <w:sz w:val="24"/>
                <w:szCs w:val="24"/>
                <w:highlight w:val="none"/>
              </w:rPr>
              <w:t>响应文件中无相关描述的，本项不得分</w:t>
            </w:r>
            <w:r>
              <w:rPr>
                <w:rFonts w:hint="eastAsia" w:ascii="宋体" w:hAnsi="宋体" w:cs="宋体"/>
                <w:color w:val="auto"/>
                <w:sz w:val="24"/>
                <w:szCs w:val="24"/>
                <w:highlight w:val="none"/>
                <w:lang w:eastAsia="zh-CN"/>
              </w:rPr>
              <w:t>。</w:t>
            </w:r>
            <w:r>
              <w:rPr>
                <w:rFonts w:hint="eastAsia" w:ascii="宋体" w:hAnsi="宋体" w:cs="宋体"/>
                <w:color w:val="auto"/>
                <w:sz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639" w:type="pct"/>
            <w:vMerge w:val="continue"/>
            <w:tcBorders>
              <w:left w:val="single" w:color="auto" w:sz="4" w:space="0"/>
              <w:right w:val="single" w:color="auto" w:sz="4" w:space="0"/>
            </w:tcBorders>
            <w:noWrap w:val="0"/>
            <w:vAlign w:val="center"/>
          </w:tcPr>
          <w:p>
            <w:pPr>
              <w:widowControl/>
              <w:spacing w:line="500" w:lineRule="exact"/>
              <w:jc w:val="center"/>
              <w:rPr>
                <w:rFonts w:hint="eastAsia" w:ascii="宋体" w:hAnsi="宋体" w:eastAsia="宋体" w:cs="宋体"/>
                <w:color w:val="auto"/>
                <w:sz w:val="24"/>
                <w:szCs w:val="24"/>
                <w:highlight w:val="none"/>
                <w:lang w:val="en-US" w:eastAsia="zh-CN"/>
              </w:rPr>
            </w:pPr>
          </w:p>
        </w:tc>
        <w:tc>
          <w:tcPr>
            <w:tcW w:w="728" w:type="pct"/>
            <w:tcBorders>
              <w:top w:val="single" w:color="auto" w:sz="4" w:space="0"/>
              <w:left w:val="single" w:color="auto" w:sz="4" w:space="0"/>
              <w:bottom w:val="single" w:color="auto" w:sz="4" w:space="0"/>
              <w:right w:val="single" w:color="auto" w:sz="4" w:space="0"/>
            </w:tcBorders>
            <w:noWrap w:val="0"/>
            <w:vAlign w:val="center"/>
          </w:tcPr>
          <w:p>
            <w:pPr>
              <w:widowControl/>
              <w:spacing w:line="500" w:lineRule="exact"/>
              <w:jc w:val="center"/>
              <w:rPr>
                <w:rFonts w:hint="default" w:ascii="宋体" w:hAnsi="宋体" w:cs="宋体"/>
                <w:color w:val="auto"/>
                <w:sz w:val="24"/>
                <w:szCs w:val="24"/>
                <w:highlight w:val="none"/>
                <w:lang w:val="en-US" w:eastAsia="zh-CN"/>
              </w:rPr>
            </w:pPr>
            <w:r>
              <w:rPr>
                <w:rFonts w:hint="eastAsia" w:ascii="宋体" w:hAnsi="宋体" w:cs="宋体"/>
                <w:color w:val="auto"/>
                <w:sz w:val="24"/>
                <w:highlight w:val="none"/>
                <w:lang w:val="en-US" w:eastAsia="zh-CN"/>
              </w:rPr>
              <w:t>项目人员配备（5分）</w:t>
            </w:r>
          </w:p>
        </w:tc>
        <w:tc>
          <w:tcPr>
            <w:tcW w:w="3632" w:type="pct"/>
            <w:tcBorders>
              <w:top w:val="single" w:color="auto" w:sz="4" w:space="0"/>
              <w:left w:val="single" w:color="auto" w:sz="4" w:space="0"/>
              <w:bottom w:val="single" w:color="auto" w:sz="4" w:space="0"/>
              <w:right w:val="single" w:color="auto" w:sz="4" w:space="0"/>
            </w:tcBorders>
            <w:noWrap w:val="0"/>
            <w:vAlign w:val="center"/>
          </w:tcPr>
          <w:p>
            <w:pPr>
              <w:widowControl/>
              <w:spacing w:line="500" w:lineRule="exact"/>
              <w:ind w:firstLine="480" w:firstLineChars="200"/>
              <w:rPr>
                <w:rFonts w:hint="eastAsia" w:ascii="宋体" w:hAnsi="宋体" w:eastAsia="宋体" w:cs="宋体"/>
                <w:color w:val="auto"/>
                <w:sz w:val="24"/>
                <w:szCs w:val="24"/>
                <w:highlight w:val="none"/>
              </w:rPr>
            </w:pPr>
            <w:r>
              <w:rPr>
                <w:rFonts w:hint="eastAsia" w:ascii="宋体" w:hAnsi="宋体" w:cs="宋体"/>
                <w:color w:val="auto"/>
                <w:sz w:val="24"/>
                <w:highlight w:val="none"/>
              </w:rPr>
              <w:t>对供应商工作人员情况（</w:t>
            </w:r>
            <w:r>
              <w:rPr>
                <w:rFonts w:hint="eastAsia" w:ascii="宋体" w:hAnsi="宋体" w:cs="宋体"/>
                <w:color w:val="auto"/>
                <w:sz w:val="24"/>
                <w:highlight w:val="none"/>
                <w:lang w:val="en-US" w:eastAsia="zh-CN"/>
              </w:rPr>
              <w:t>数量、</w:t>
            </w:r>
            <w:r>
              <w:rPr>
                <w:rFonts w:hint="eastAsia" w:ascii="宋体" w:hAnsi="宋体" w:cs="宋体"/>
                <w:color w:val="auto"/>
                <w:sz w:val="24"/>
                <w:highlight w:val="none"/>
              </w:rPr>
              <w:t>工作经验、综合素质）进行综合打分</w:t>
            </w:r>
            <w:r>
              <w:rPr>
                <w:rFonts w:hint="eastAsia" w:ascii="宋体" w:hAnsi="宋体" w:cs="宋体"/>
                <w:color w:val="auto"/>
                <w:sz w:val="24"/>
                <w:highlight w:val="none"/>
                <w:lang w:eastAsia="zh-CN"/>
              </w:rPr>
              <w:t>；</w:t>
            </w:r>
            <w:r>
              <w:rPr>
                <w:rFonts w:hint="eastAsia" w:ascii="宋体" w:hAnsi="宋体" w:cs="宋体"/>
                <w:color w:val="auto"/>
                <w:sz w:val="24"/>
                <w:highlight w:val="none"/>
              </w:rPr>
              <w:t>配备的人员</w:t>
            </w:r>
            <w:r>
              <w:rPr>
                <w:rFonts w:hint="eastAsia" w:ascii="宋体" w:hAnsi="宋体" w:cs="宋体"/>
                <w:color w:val="auto"/>
                <w:sz w:val="24"/>
                <w:highlight w:val="none"/>
                <w:lang w:val="en-US" w:eastAsia="zh-CN"/>
              </w:rPr>
              <w:t>数量充足、</w:t>
            </w:r>
            <w:r>
              <w:rPr>
                <w:rFonts w:hint="eastAsia" w:ascii="宋体" w:hAnsi="宋体" w:cs="宋体"/>
                <w:color w:val="auto"/>
                <w:sz w:val="24"/>
                <w:highlight w:val="none"/>
              </w:rPr>
              <w:t>技术力量雄厚，相关服务经验丰富，相关人员</w:t>
            </w:r>
            <w:r>
              <w:rPr>
                <w:rFonts w:hint="eastAsia" w:ascii="宋体" w:hAnsi="宋体" w:cs="宋体"/>
                <w:color w:val="auto"/>
                <w:sz w:val="24"/>
                <w:highlight w:val="none"/>
                <w:lang w:val="en-US" w:eastAsia="zh-CN"/>
              </w:rPr>
              <w:t>技术水平</w:t>
            </w:r>
            <w:r>
              <w:rPr>
                <w:rFonts w:hint="eastAsia" w:ascii="宋体" w:hAnsi="宋体" w:cs="宋体"/>
                <w:color w:val="auto"/>
                <w:sz w:val="24"/>
                <w:highlight w:val="none"/>
              </w:rPr>
              <w:t>证明材料详实，得</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分；</w:t>
            </w:r>
            <w:r>
              <w:rPr>
                <w:rFonts w:hint="eastAsia" w:ascii="宋体" w:hAnsi="宋体" w:eastAsia="宋体" w:cs="宋体"/>
                <w:color w:val="auto"/>
                <w:sz w:val="24"/>
                <w:szCs w:val="24"/>
                <w:highlight w:val="none"/>
              </w:rPr>
              <w:t>在此基础上根据以上评审因素，每有一处弱项扣</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分，扣完为止，响应文件中无相关描述的，本项不得分</w:t>
            </w:r>
            <w:r>
              <w:rPr>
                <w:rFonts w:hint="eastAsia" w:ascii="宋体" w:hAnsi="宋体" w:eastAsia="宋体" w:cs="宋体"/>
                <w:color w:val="auto"/>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639" w:type="pct"/>
            <w:vMerge w:val="continue"/>
            <w:tcBorders>
              <w:left w:val="single" w:color="auto" w:sz="4" w:space="0"/>
              <w:right w:val="single" w:color="auto" w:sz="4" w:space="0"/>
            </w:tcBorders>
            <w:noWrap w:val="0"/>
            <w:vAlign w:val="center"/>
          </w:tcPr>
          <w:p>
            <w:pPr>
              <w:widowControl/>
              <w:spacing w:line="500" w:lineRule="exact"/>
              <w:jc w:val="center"/>
              <w:rPr>
                <w:rFonts w:hint="eastAsia" w:ascii="宋体" w:hAnsi="宋体" w:eastAsia="宋体" w:cs="宋体"/>
                <w:color w:val="auto"/>
                <w:sz w:val="24"/>
                <w:szCs w:val="24"/>
                <w:highlight w:val="none"/>
                <w:lang w:val="en-US" w:eastAsia="zh-CN"/>
              </w:rPr>
            </w:pPr>
          </w:p>
        </w:tc>
        <w:tc>
          <w:tcPr>
            <w:tcW w:w="728" w:type="pct"/>
            <w:tcBorders>
              <w:top w:val="single" w:color="auto" w:sz="4" w:space="0"/>
              <w:left w:val="single" w:color="auto" w:sz="4" w:space="0"/>
              <w:bottom w:val="single" w:color="auto" w:sz="4" w:space="0"/>
              <w:right w:val="single" w:color="auto" w:sz="4" w:space="0"/>
            </w:tcBorders>
            <w:noWrap w:val="0"/>
            <w:vAlign w:val="center"/>
          </w:tcPr>
          <w:p>
            <w:pPr>
              <w:widowControl/>
              <w:spacing w:line="500" w:lineRule="exact"/>
              <w:jc w:val="center"/>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服务</w:t>
            </w:r>
            <w:r>
              <w:rPr>
                <w:rFonts w:hint="eastAsia" w:ascii="宋体" w:hAnsi="宋体" w:eastAsia="宋体" w:cs="宋体"/>
                <w:color w:val="auto"/>
                <w:sz w:val="24"/>
                <w:szCs w:val="24"/>
                <w:highlight w:val="none"/>
                <w:lang w:val="en-US" w:eastAsia="zh-CN"/>
              </w:rPr>
              <w:t>保证措施（</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分）</w:t>
            </w:r>
          </w:p>
        </w:tc>
        <w:tc>
          <w:tcPr>
            <w:tcW w:w="3632" w:type="pct"/>
            <w:tcBorders>
              <w:top w:val="single" w:color="auto" w:sz="4" w:space="0"/>
              <w:left w:val="single" w:color="auto" w:sz="4" w:space="0"/>
              <w:bottom w:val="single" w:color="auto" w:sz="4" w:space="0"/>
              <w:right w:val="single" w:color="auto" w:sz="4" w:space="0"/>
            </w:tcBorders>
            <w:noWrap w:val="0"/>
            <w:vAlign w:val="center"/>
          </w:tcPr>
          <w:p>
            <w:pPr>
              <w:widowControl/>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对供应商提供的</w:t>
            </w:r>
            <w:r>
              <w:rPr>
                <w:rFonts w:hint="eastAsia" w:ascii="宋体" w:hAnsi="宋体" w:cs="宋体"/>
                <w:color w:val="auto"/>
                <w:sz w:val="24"/>
                <w:szCs w:val="24"/>
                <w:highlight w:val="none"/>
                <w:lang w:val="en-US" w:eastAsia="zh-CN"/>
              </w:rPr>
              <w:t>服务保障</w:t>
            </w:r>
            <w:r>
              <w:rPr>
                <w:rFonts w:hint="eastAsia" w:ascii="宋体" w:hAnsi="宋体" w:eastAsia="宋体" w:cs="宋体"/>
                <w:color w:val="auto"/>
                <w:sz w:val="24"/>
                <w:szCs w:val="24"/>
                <w:highlight w:val="none"/>
              </w:rPr>
              <w:t>保证措施进行评审：有详细、合理、切合实际的服务质量保证体系，质量控制措施完善、可实施性强，得</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分；在此基础上根据以上评审因素，每有一处弱项扣</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分，扣完为止，响应文件中无相关描述的，本项不得分</w:t>
            </w:r>
            <w:r>
              <w:rPr>
                <w:rFonts w:hint="eastAsia" w:ascii="宋体" w:hAnsi="宋体" w:eastAsia="宋体" w:cs="宋体"/>
                <w:color w:val="auto"/>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639" w:type="pct"/>
            <w:vMerge w:val="continue"/>
            <w:tcBorders>
              <w:left w:val="single" w:color="auto" w:sz="4" w:space="0"/>
              <w:right w:val="single" w:color="auto" w:sz="4" w:space="0"/>
            </w:tcBorders>
            <w:noWrap w:val="0"/>
            <w:vAlign w:val="center"/>
          </w:tcPr>
          <w:p>
            <w:pPr>
              <w:widowControl/>
              <w:spacing w:line="500" w:lineRule="exact"/>
              <w:rPr>
                <w:rFonts w:hint="eastAsia" w:ascii="宋体" w:hAnsi="宋体" w:eastAsia="宋体" w:cs="宋体"/>
                <w:color w:val="auto"/>
                <w:sz w:val="24"/>
                <w:szCs w:val="24"/>
                <w:highlight w:val="none"/>
              </w:rPr>
            </w:pPr>
          </w:p>
        </w:tc>
        <w:tc>
          <w:tcPr>
            <w:tcW w:w="728" w:type="pct"/>
            <w:tcBorders>
              <w:top w:val="single" w:color="auto" w:sz="4" w:space="0"/>
              <w:left w:val="single" w:color="auto" w:sz="4" w:space="0"/>
              <w:bottom w:val="single" w:color="auto" w:sz="4" w:space="0"/>
              <w:right w:val="single" w:color="auto" w:sz="4" w:space="0"/>
            </w:tcBorders>
            <w:noWrap w:val="0"/>
            <w:vAlign w:val="center"/>
          </w:tcPr>
          <w:p>
            <w:pPr>
              <w:widowControl/>
              <w:spacing w:line="500" w:lineRule="exac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售后服务</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tc>
        <w:tc>
          <w:tcPr>
            <w:tcW w:w="3632" w:type="pct"/>
            <w:tcBorders>
              <w:top w:val="single" w:color="auto" w:sz="4" w:space="0"/>
              <w:left w:val="single" w:color="auto" w:sz="4" w:space="0"/>
              <w:bottom w:val="single" w:color="auto" w:sz="4" w:space="0"/>
              <w:right w:val="single" w:color="auto" w:sz="4" w:space="0"/>
            </w:tcBorders>
            <w:noWrap w:val="0"/>
            <w:vAlign w:val="center"/>
          </w:tcPr>
          <w:p>
            <w:pPr>
              <w:widowControl/>
              <w:spacing w:line="50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根据售后服务方案（包含技术人员配置、应急响应时间承诺、服务标准承诺等）进行评审： </w:t>
            </w:r>
          </w:p>
          <w:p>
            <w:pPr>
              <w:widowControl/>
              <w:spacing w:line="500" w:lineRule="exact"/>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1.</w:t>
            </w:r>
            <w:r>
              <w:rPr>
                <w:rFonts w:hint="eastAsia" w:ascii="宋体" w:hAnsi="宋体" w:cs="宋体"/>
                <w:color w:val="auto"/>
                <w:sz w:val="24"/>
                <w:highlight w:val="none"/>
              </w:rPr>
              <w:t>供应商的售后服务体系完善，本地</w:t>
            </w:r>
            <w:r>
              <w:rPr>
                <w:rFonts w:hint="eastAsia" w:ascii="宋体" w:hAnsi="宋体" w:cs="宋体"/>
                <w:color w:val="auto"/>
                <w:sz w:val="24"/>
                <w:highlight w:val="none"/>
                <w:lang w:val="en-US" w:eastAsia="zh-CN"/>
              </w:rPr>
              <w:t>化服务能力强</w:t>
            </w:r>
            <w:r>
              <w:rPr>
                <w:rFonts w:hint="eastAsia" w:ascii="宋体" w:hAnsi="宋体" w:cs="宋体"/>
                <w:color w:val="auto"/>
                <w:sz w:val="24"/>
                <w:highlight w:val="none"/>
              </w:rPr>
              <w:t>，且描述详细、清晰，技术支撑材料详实，补印、改版反应时间迅速，售后服务人员力量雄厚且提供了相关售后服务人员身份证明资料的，得</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 xml:space="preserve">分； </w:t>
            </w:r>
            <w:r>
              <w:rPr>
                <w:rFonts w:hint="eastAsia" w:ascii="宋体" w:hAnsi="宋体" w:cs="宋体"/>
                <w:color w:val="auto"/>
                <w:sz w:val="24"/>
                <w:highlight w:val="none"/>
                <w:lang w:val="en-US" w:eastAsia="zh-CN"/>
              </w:rPr>
              <w:t xml:space="preserve">        </w:t>
            </w:r>
          </w:p>
          <w:p>
            <w:pPr>
              <w:widowControl/>
              <w:spacing w:line="50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 xml:space="preserve">2.供应商的售后服务体系较完善，描述合理，本地化服务能力基本满足售后需求，有技术支撑材料，补印、改版反应时间合理，售后服务人员充足且提供了相关售后服务人员身份证明资料的得8分； </w:t>
            </w:r>
          </w:p>
          <w:p>
            <w:pPr>
              <w:widowControl/>
              <w:spacing w:line="500" w:lineRule="exact"/>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3.供应商的售后服务体系简略或缺失，</w:t>
            </w:r>
            <w:r>
              <w:rPr>
                <w:rFonts w:hint="eastAsia" w:ascii="宋体" w:hAnsi="宋体" w:cs="宋体"/>
                <w:color w:val="auto"/>
                <w:sz w:val="24"/>
                <w:highlight w:val="none"/>
                <w:lang w:val="en-US" w:eastAsia="zh-CN"/>
              </w:rPr>
              <w:t>本地化服务能力一般，无技术支撑材料，得</w:t>
            </w:r>
            <w:r>
              <w:rPr>
                <w:rFonts w:hint="eastAsia" w:ascii="宋体" w:hAnsi="宋体" w:cs="宋体"/>
                <w:color w:val="auto"/>
                <w:sz w:val="24"/>
                <w:highlight w:val="none"/>
                <w:lang w:val="en-US" w:eastAsia="zh-CN"/>
              </w:rPr>
              <w:t xml:space="preserve">5分。 </w:t>
            </w:r>
          </w:p>
          <w:p>
            <w:pPr>
              <w:widowControl/>
              <w:spacing w:line="500" w:lineRule="exact"/>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 xml:space="preserve">4.供应商的售后服务体系简略或缺失，无本地化服务能力，无技术支撑材料，得3分。 </w:t>
            </w:r>
          </w:p>
          <w:p>
            <w:pPr>
              <w:widowControl/>
              <w:spacing w:line="50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cs="宋体"/>
                <w:color w:val="auto"/>
                <w:sz w:val="24"/>
                <w:highlight w:val="none"/>
                <w:lang w:val="en-US" w:eastAsia="zh-CN"/>
              </w:rPr>
              <w:t>5.未提供售后服务方案的，</w:t>
            </w:r>
            <w:r>
              <w:rPr>
                <w:rFonts w:hint="eastAsia" w:ascii="宋体" w:hAnsi="宋体" w:cs="宋体"/>
                <w:color w:val="auto"/>
                <w:sz w:val="24"/>
                <w:highlight w:val="none"/>
                <w:lang w:val="en-US" w:eastAsia="zh-CN"/>
              </w:rPr>
              <w:t>不得分。</w:t>
            </w:r>
          </w:p>
        </w:tc>
      </w:tr>
    </w:tbl>
    <w:p>
      <w:pPr>
        <w:spacing w:line="480" w:lineRule="exact"/>
        <w:jc w:val="both"/>
        <w:outlineLvl w:val="9"/>
        <w:rPr>
          <w:rFonts w:hint="eastAsia" w:hAnsi="宋体" w:cs="宋体"/>
          <w:color w:val="auto"/>
          <w:highlight w:val="none"/>
        </w:rPr>
      </w:pPr>
      <w:bookmarkStart w:id="258" w:name="_Toc68259628"/>
      <w:bookmarkStart w:id="259" w:name="_Toc46235126"/>
      <w:bookmarkStart w:id="260" w:name="_Toc518923106"/>
      <w:bookmarkStart w:id="261" w:name="_Toc216582812"/>
      <w:bookmarkStart w:id="262" w:name="_Toc15882"/>
    </w:p>
    <w:p>
      <w:pPr>
        <w:spacing w:line="480" w:lineRule="exact"/>
        <w:jc w:val="both"/>
        <w:outlineLvl w:val="9"/>
        <w:rPr>
          <w:rFonts w:hint="eastAsia" w:hAnsi="宋体" w:cs="宋体"/>
          <w:color w:val="auto"/>
          <w:highlight w:val="none"/>
        </w:rPr>
      </w:pPr>
    </w:p>
    <w:p>
      <w:pPr>
        <w:spacing w:line="480" w:lineRule="exact"/>
        <w:jc w:val="both"/>
        <w:outlineLvl w:val="9"/>
        <w:rPr>
          <w:rFonts w:hint="eastAsia" w:hAnsi="宋体" w:cs="宋体"/>
          <w:color w:val="auto"/>
          <w:highlight w:val="none"/>
        </w:rPr>
      </w:pPr>
    </w:p>
    <w:p>
      <w:pPr>
        <w:pStyle w:val="2"/>
        <w:rPr>
          <w:rFonts w:hint="eastAsia" w:hAnsi="宋体" w:cs="宋体"/>
          <w:color w:val="auto"/>
          <w:highlight w:val="none"/>
        </w:rPr>
      </w:pPr>
    </w:p>
    <w:p>
      <w:pPr>
        <w:pStyle w:val="2"/>
        <w:rPr>
          <w:rFonts w:hint="eastAsia" w:hAnsi="宋体" w:cs="宋体"/>
          <w:color w:val="auto"/>
          <w:highlight w:val="none"/>
        </w:rPr>
      </w:pPr>
    </w:p>
    <w:p>
      <w:pPr>
        <w:pStyle w:val="2"/>
        <w:rPr>
          <w:rFonts w:hint="eastAsia" w:hAnsi="宋体" w:cs="宋体"/>
          <w:color w:val="auto"/>
          <w:highlight w:val="none"/>
        </w:rPr>
      </w:pPr>
    </w:p>
    <w:p>
      <w:pPr>
        <w:pStyle w:val="2"/>
        <w:rPr>
          <w:rFonts w:hint="eastAsia" w:hAnsi="宋体" w:cs="宋体"/>
          <w:color w:val="auto"/>
          <w:highlight w:val="none"/>
        </w:rPr>
      </w:pPr>
    </w:p>
    <w:p>
      <w:pPr>
        <w:pStyle w:val="2"/>
        <w:rPr>
          <w:rFonts w:hint="eastAsia" w:hAnsi="宋体" w:cs="宋体"/>
          <w:color w:val="auto"/>
          <w:highlight w:val="none"/>
        </w:rPr>
      </w:pPr>
    </w:p>
    <w:p>
      <w:pPr>
        <w:pStyle w:val="2"/>
        <w:rPr>
          <w:rFonts w:hint="eastAsia" w:hAnsi="宋体" w:cs="宋体"/>
          <w:color w:val="auto"/>
          <w:highlight w:val="none"/>
        </w:rPr>
      </w:pPr>
    </w:p>
    <w:p>
      <w:pPr>
        <w:pStyle w:val="2"/>
        <w:rPr>
          <w:rFonts w:hint="eastAsia" w:hAnsi="宋体" w:cs="宋体"/>
          <w:color w:val="auto"/>
          <w:highlight w:val="none"/>
        </w:rPr>
      </w:pPr>
    </w:p>
    <w:p>
      <w:pPr>
        <w:pStyle w:val="2"/>
        <w:rPr>
          <w:rFonts w:hint="eastAsia" w:hAnsi="宋体" w:cs="宋体"/>
          <w:color w:val="auto"/>
          <w:highlight w:val="none"/>
        </w:rPr>
      </w:pPr>
    </w:p>
    <w:p>
      <w:pPr>
        <w:pStyle w:val="2"/>
        <w:rPr>
          <w:rFonts w:hint="eastAsia" w:hAnsi="宋体" w:cs="宋体"/>
          <w:color w:val="auto"/>
          <w:highlight w:val="none"/>
        </w:rPr>
      </w:pPr>
    </w:p>
    <w:p>
      <w:pPr>
        <w:pStyle w:val="2"/>
        <w:rPr>
          <w:rFonts w:hint="eastAsia" w:hAnsi="宋体" w:cs="宋体"/>
          <w:color w:val="auto"/>
          <w:highlight w:val="none"/>
        </w:rPr>
      </w:pPr>
    </w:p>
    <w:p>
      <w:pPr>
        <w:pStyle w:val="2"/>
        <w:rPr>
          <w:rFonts w:hint="eastAsia" w:hAnsi="宋体" w:cs="宋体"/>
          <w:color w:val="auto"/>
          <w:highlight w:val="none"/>
        </w:rPr>
      </w:pPr>
    </w:p>
    <w:p>
      <w:pPr>
        <w:pStyle w:val="2"/>
        <w:rPr>
          <w:rFonts w:hint="eastAsia" w:hAnsi="宋体" w:cs="宋体"/>
          <w:color w:val="auto"/>
          <w:highlight w:val="none"/>
        </w:rPr>
      </w:pPr>
    </w:p>
    <w:p>
      <w:pPr>
        <w:pStyle w:val="2"/>
        <w:rPr>
          <w:rFonts w:hint="eastAsia" w:hAnsi="宋体" w:cs="宋体"/>
          <w:color w:val="auto"/>
          <w:highlight w:val="none"/>
        </w:rPr>
      </w:pPr>
    </w:p>
    <w:p>
      <w:pPr>
        <w:pStyle w:val="2"/>
        <w:rPr>
          <w:rFonts w:hint="eastAsia" w:hAnsi="宋体" w:cs="宋体"/>
          <w:color w:val="auto"/>
          <w:highlight w:val="none"/>
        </w:rPr>
      </w:pPr>
    </w:p>
    <w:p>
      <w:pPr>
        <w:pStyle w:val="2"/>
        <w:rPr>
          <w:rFonts w:hint="eastAsia" w:hAnsi="宋体" w:cs="宋体"/>
          <w:color w:val="auto"/>
          <w:highlight w:val="none"/>
        </w:rPr>
      </w:pPr>
    </w:p>
    <w:p>
      <w:pPr>
        <w:pStyle w:val="2"/>
        <w:rPr>
          <w:rFonts w:hint="eastAsia" w:hAnsi="宋体" w:cs="宋体"/>
          <w:color w:val="auto"/>
          <w:highlight w:val="none"/>
        </w:rPr>
      </w:pPr>
    </w:p>
    <w:p>
      <w:pPr>
        <w:spacing w:line="480" w:lineRule="exact"/>
        <w:jc w:val="both"/>
        <w:outlineLvl w:val="9"/>
        <w:rPr>
          <w:rFonts w:hint="eastAsia" w:hAnsi="宋体" w:cs="宋体"/>
          <w:color w:val="auto"/>
          <w:highlight w:val="none"/>
        </w:rPr>
      </w:pPr>
    </w:p>
    <w:p>
      <w:pPr>
        <w:pStyle w:val="3"/>
        <w:spacing w:line="480" w:lineRule="exact"/>
        <w:jc w:val="center"/>
        <w:rPr>
          <w:rFonts w:hAnsi="宋体" w:cs="宋体"/>
          <w:color w:val="auto"/>
          <w:highlight w:val="none"/>
        </w:rPr>
      </w:pPr>
      <w:r>
        <w:rPr>
          <w:rFonts w:hint="eastAsia" w:hAnsi="宋体" w:cs="宋体"/>
          <w:color w:val="auto"/>
          <w:highlight w:val="none"/>
        </w:rPr>
        <w:t>第6章 响应文件格式</w:t>
      </w:r>
      <w:bookmarkEnd w:id="258"/>
      <w:bookmarkEnd w:id="259"/>
      <w:bookmarkEnd w:id="260"/>
      <w:bookmarkEnd w:id="261"/>
      <w:bookmarkEnd w:id="262"/>
    </w:p>
    <w:p>
      <w:pPr>
        <w:pStyle w:val="4"/>
        <w:spacing w:line="480" w:lineRule="exact"/>
        <w:ind w:left="774" w:hanging="722" w:hangingChars="257"/>
        <w:rPr>
          <w:rFonts w:ascii="宋体" w:hAnsi="宋体" w:eastAsia="宋体" w:cs="宋体"/>
          <w:color w:val="auto"/>
          <w:highlight w:val="none"/>
        </w:rPr>
      </w:pPr>
      <w:bookmarkStart w:id="263" w:name="_Toc46235127"/>
      <w:bookmarkStart w:id="264" w:name="_Toc27723"/>
      <w:bookmarkStart w:id="265" w:name="_Toc68259629"/>
      <w:r>
        <w:rPr>
          <w:rFonts w:hint="eastAsia" w:ascii="宋体" w:hAnsi="宋体" w:eastAsia="宋体" w:cs="宋体"/>
          <w:color w:val="auto"/>
          <w:highlight w:val="none"/>
        </w:rPr>
        <w:t>一、封面格式</w:t>
      </w:r>
      <w:bookmarkEnd w:id="263"/>
      <w:bookmarkEnd w:id="264"/>
      <w:bookmarkEnd w:id="265"/>
    </w:p>
    <w:tbl>
      <w:tblPr>
        <w:tblStyle w:val="29"/>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8" w:type="dxa"/>
            <w:noWrap w:val="0"/>
            <w:vAlign w:val="top"/>
          </w:tcPr>
          <w:p>
            <w:pPr>
              <w:spacing w:line="480" w:lineRule="exact"/>
              <w:jc w:val="center"/>
              <w:rPr>
                <w:rFonts w:ascii="宋体" w:hAnsi="宋体" w:cs="宋体"/>
                <w:color w:val="auto"/>
                <w:highlight w:val="none"/>
              </w:rPr>
            </w:pPr>
          </w:p>
          <w:p>
            <w:pPr>
              <w:spacing w:line="480" w:lineRule="exact"/>
              <w:jc w:val="center"/>
              <w:rPr>
                <w:rFonts w:ascii="宋体" w:hAnsi="宋体" w:cs="宋体"/>
                <w:b/>
                <w:color w:val="auto"/>
                <w:sz w:val="30"/>
                <w:szCs w:val="30"/>
                <w:highlight w:val="none"/>
              </w:rPr>
            </w:pPr>
            <w:r>
              <w:rPr>
                <w:rFonts w:hint="eastAsia" w:ascii="宋体" w:hAnsi="宋体" w:cs="宋体"/>
                <w:b/>
                <w:color w:val="auto"/>
                <w:sz w:val="30"/>
                <w:szCs w:val="30"/>
                <w:highlight w:val="none"/>
              </w:rPr>
              <w:t>响应文件</w:t>
            </w:r>
          </w:p>
          <w:p>
            <w:pPr>
              <w:spacing w:line="480" w:lineRule="exact"/>
              <w:jc w:val="center"/>
              <w:rPr>
                <w:rFonts w:ascii="宋体" w:hAnsi="宋体" w:cs="宋体"/>
                <w:b/>
                <w:color w:val="auto"/>
                <w:sz w:val="30"/>
                <w:szCs w:val="30"/>
                <w:highlight w:val="none"/>
              </w:rPr>
            </w:pPr>
          </w:p>
          <w:p>
            <w:pPr>
              <w:spacing w:line="480" w:lineRule="exact"/>
              <w:jc w:val="center"/>
              <w:rPr>
                <w:rFonts w:ascii="宋体" w:hAnsi="宋体" w:cs="宋体"/>
                <w:color w:val="auto"/>
                <w:highlight w:val="none"/>
              </w:rPr>
            </w:pPr>
            <w:r>
              <w:rPr>
                <w:rFonts w:hint="eastAsia" w:ascii="宋体" w:hAnsi="宋体" w:cs="宋体"/>
                <w:color w:val="auto"/>
                <w:highlight w:val="none"/>
              </w:rPr>
              <w:t>项目编号：</w:t>
            </w:r>
          </w:p>
          <w:p>
            <w:pPr>
              <w:spacing w:line="480" w:lineRule="exact"/>
              <w:jc w:val="center"/>
              <w:rPr>
                <w:rFonts w:ascii="宋体" w:hAnsi="宋体" w:cs="宋体"/>
                <w:color w:val="auto"/>
                <w:highlight w:val="none"/>
              </w:rPr>
            </w:pPr>
            <w:r>
              <w:rPr>
                <w:rFonts w:hint="eastAsia" w:ascii="宋体" w:hAnsi="宋体" w:cs="宋体"/>
                <w:color w:val="auto"/>
                <w:highlight w:val="none"/>
              </w:rPr>
              <w:t>项目名称：</w:t>
            </w:r>
          </w:p>
          <w:p>
            <w:pPr>
              <w:spacing w:line="480" w:lineRule="exact"/>
              <w:jc w:val="center"/>
              <w:rPr>
                <w:rFonts w:ascii="宋体" w:hAnsi="宋体" w:cs="宋体"/>
                <w:color w:val="auto"/>
                <w:highlight w:val="none"/>
              </w:rPr>
            </w:pPr>
            <w:r>
              <w:rPr>
                <w:rFonts w:hint="eastAsia" w:ascii="宋体" w:hAnsi="宋体" w:cs="宋体"/>
                <w:color w:val="auto"/>
                <w:highlight w:val="none"/>
              </w:rPr>
              <w:t>项目包号：</w:t>
            </w:r>
          </w:p>
          <w:p>
            <w:pPr>
              <w:spacing w:line="480" w:lineRule="exact"/>
              <w:jc w:val="center"/>
              <w:rPr>
                <w:rFonts w:ascii="宋体" w:hAnsi="宋体" w:cs="宋体"/>
                <w:color w:val="auto"/>
                <w:highlight w:val="none"/>
              </w:rPr>
            </w:pPr>
            <w:r>
              <w:rPr>
                <w:rFonts w:hint="eastAsia" w:ascii="宋体" w:hAnsi="宋体" w:cs="宋体"/>
                <w:color w:val="auto"/>
                <w:highlight w:val="none"/>
              </w:rPr>
              <w:t>供应商名称（公章）：</w:t>
            </w:r>
          </w:p>
          <w:p>
            <w:pPr>
              <w:spacing w:line="480" w:lineRule="exact"/>
              <w:jc w:val="center"/>
              <w:rPr>
                <w:rFonts w:ascii="宋体" w:hAnsi="宋体" w:cs="宋体"/>
                <w:color w:val="auto"/>
                <w:highlight w:val="none"/>
              </w:rPr>
            </w:pPr>
            <w:r>
              <w:rPr>
                <w:rFonts w:hint="eastAsia" w:ascii="宋体" w:hAnsi="宋体" w:cs="宋体"/>
                <w:color w:val="auto"/>
                <w:highlight w:val="none"/>
              </w:rPr>
              <w:t>日 期</w:t>
            </w:r>
          </w:p>
          <w:p>
            <w:pPr>
              <w:spacing w:line="480" w:lineRule="exact"/>
              <w:rPr>
                <w:rFonts w:ascii="宋体" w:hAnsi="宋体" w:cs="宋体"/>
                <w:color w:val="auto"/>
                <w:highlight w:val="none"/>
              </w:rPr>
            </w:pPr>
          </w:p>
        </w:tc>
      </w:tr>
    </w:tbl>
    <w:p>
      <w:pPr>
        <w:rPr>
          <w:rFonts w:ascii="宋体" w:hAnsi="宋体" w:cs="宋体"/>
          <w:color w:val="auto"/>
          <w:highlight w:val="none"/>
        </w:rPr>
      </w:pPr>
      <w:bookmarkStart w:id="266" w:name="_Toc68259630"/>
      <w:bookmarkStart w:id="267" w:name="_Toc46235128"/>
      <w:bookmarkStart w:id="268" w:name="_Toc518923108"/>
      <w:r>
        <w:rPr>
          <w:rFonts w:ascii="宋体" w:hAnsi="宋体" w:cs="宋体"/>
          <w:color w:val="auto"/>
          <w:highlight w:val="none"/>
        </w:rPr>
        <w:br w:type="page"/>
      </w:r>
    </w:p>
    <w:p>
      <w:pPr>
        <w:pStyle w:val="4"/>
        <w:spacing w:line="480" w:lineRule="exact"/>
        <w:ind w:left="774" w:hanging="722" w:hangingChars="257"/>
        <w:rPr>
          <w:rFonts w:ascii="宋体" w:hAnsi="宋体" w:eastAsia="宋体" w:cs="宋体"/>
          <w:color w:val="auto"/>
          <w:highlight w:val="none"/>
        </w:rPr>
      </w:pPr>
      <w:bookmarkStart w:id="269" w:name="_Toc13711"/>
      <w:r>
        <w:rPr>
          <w:rFonts w:hint="eastAsia" w:ascii="宋体" w:hAnsi="宋体" w:eastAsia="宋体" w:cs="宋体"/>
          <w:color w:val="auto"/>
          <w:highlight w:val="none"/>
        </w:rPr>
        <w:t>二、评审因素索引表</w:t>
      </w:r>
      <w:bookmarkEnd w:id="269"/>
    </w:p>
    <w:p>
      <w:pPr>
        <w:pStyle w:val="46"/>
        <w:spacing w:line="480" w:lineRule="exact"/>
        <w:ind w:left="0" w:firstLine="0"/>
        <w:jc w:val="left"/>
        <w:rPr>
          <w:rFonts w:hint="eastAsia" w:ascii="宋体" w:hAnsi="宋体" w:cs="宋体"/>
          <w:color w:val="auto"/>
          <w:sz w:val="24"/>
          <w:highlight w:val="none"/>
        </w:rPr>
      </w:pPr>
      <w:r>
        <w:rPr>
          <w:rFonts w:hint="eastAsia" w:ascii="宋体" w:hAnsi="宋体" w:cs="宋体"/>
          <w:color w:val="auto"/>
          <w:sz w:val="24"/>
          <w:highlight w:val="none"/>
        </w:rPr>
        <w:t>致供应商：</w:t>
      </w:r>
    </w:p>
    <w:p>
      <w:pPr>
        <w:pStyle w:val="46"/>
        <w:spacing w:line="360" w:lineRule="auto"/>
        <w:ind w:left="0" w:leftChars="0"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cs="宋体"/>
          <w:color w:val="auto"/>
          <w:sz w:val="24"/>
          <w:highlight w:val="none"/>
        </w:rPr>
        <w:t>为了使评委专家能够在有限的时间内，对您的产品或项目情况进行充分地了解及熟悉，提升综合全面评审水平，做到更加客观、公正、科学地进行评价评分。请高度重视，务必清晰准确地填写该表栏目</w:t>
      </w:r>
      <w:r>
        <w:rPr>
          <w:rFonts w:hint="eastAsia" w:ascii="宋体" w:hAnsi="宋体" w:cs="宋体"/>
          <w:b/>
          <w:bCs/>
          <w:color w:val="auto"/>
          <w:sz w:val="24"/>
          <w:highlight w:val="none"/>
          <w:u w:val="single"/>
        </w:rPr>
        <w:t>（报价或价格项不必填写）</w:t>
      </w:r>
      <w:r>
        <w:rPr>
          <w:rFonts w:hint="eastAsia" w:ascii="宋体" w:hAnsi="宋体" w:cs="宋体"/>
          <w:color w:val="auto"/>
          <w:sz w:val="24"/>
          <w:highlight w:val="none"/>
        </w:rPr>
        <w:t>。</w:t>
      </w:r>
    </w:p>
    <w:tbl>
      <w:tblPr>
        <w:tblStyle w:val="29"/>
        <w:tblW w:w="56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0"/>
        <w:gridCol w:w="1152"/>
        <w:gridCol w:w="6233"/>
        <w:gridCol w:w="11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566" w:type="pct"/>
            <w:tcBorders>
              <w:top w:val="single" w:color="auto" w:sz="4" w:space="0"/>
              <w:left w:val="single" w:color="auto" w:sz="4" w:space="0"/>
              <w:bottom w:val="single" w:color="auto" w:sz="4" w:space="0"/>
              <w:right w:val="single" w:color="auto" w:sz="4" w:space="0"/>
            </w:tcBorders>
            <w:noWrap/>
            <w:vAlign w:val="center"/>
          </w:tcPr>
          <w:p>
            <w:pPr>
              <w:pageBreakBefore w:val="0"/>
              <w:kinsoku/>
              <w:overflowPunct/>
              <w:bidi w:val="0"/>
              <w:snapToGrid/>
              <w:spacing w:line="480" w:lineRule="exact"/>
              <w:jc w:val="center"/>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评分项目</w:t>
            </w:r>
          </w:p>
        </w:tc>
        <w:tc>
          <w:tcPr>
            <w:tcW w:w="598" w:type="pct"/>
            <w:tcBorders>
              <w:top w:val="single" w:color="auto" w:sz="4" w:space="0"/>
              <w:left w:val="single" w:color="auto" w:sz="4" w:space="0"/>
              <w:bottom w:val="single" w:color="auto" w:sz="4" w:space="0"/>
              <w:right w:val="single" w:color="auto" w:sz="4" w:space="0"/>
            </w:tcBorders>
            <w:noWrap/>
            <w:vAlign w:val="center"/>
          </w:tcPr>
          <w:p>
            <w:pPr>
              <w:pageBreakBefore w:val="0"/>
              <w:kinsoku/>
              <w:overflowPunct/>
              <w:bidi w:val="0"/>
              <w:snapToGrid/>
              <w:spacing w:line="480" w:lineRule="exact"/>
              <w:jc w:val="center"/>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附表或</w:t>
            </w:r>
          </w:p>
          <w:p>
            <w:pPr>
              <w:pageBreakBefore w:val="0"/>
              <w:kinsoku/>
              <w:overflowPunct/>
              <w:bidi w:val="0"/>
              <w:snapToGrid/>
              <w:spacing w:line="480" w:lineRule="exact"/>
              <w:jc w:val="center"/>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材料序号</w:t>
            </w:r>
          </w:p>
        </w:tc>
        <w:tc>
          <w:tcPr>
            <w:tcW w:w="3239" w:type="pct"/>
            <w:tcBorders>
              <w:top w:val="single" w:color="auto" w:sz="4" w:space="0"/>
              <w:left w:val="single" w:color="auto" w:sz="4" w:space="0"/>
              <w:bottom w:val="single" w:color="auto" w:sz="4" w:space="0"/>
              <w:right w:val="single" w:color="auto" w:sz="4" w:space="0"/>
            </w:tcBorders>
            <w:noWrap/>
            <w:vAlign w:val="center"/>
          </w:tcPr>
          <w:p>
            <w:pPr>
              <w:pageBreakBefore w:val="0"/>
              <w:kinsoku/>
              <w:overflowPunct/>
              <w:bidi w:val="0"/>
              <w:snapToGrid/>
              <w:spacing w:line="480" w:lineRule="exact"/>
              <w:jc w:val="center"/>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材料明细</w:t>
            </w:r>
          </w:p>
        </w:tc>
        <w:tc>
          <w:tcPr>
            <w:tcW w:w="595" w:type="pct"/>
            <w:tcBorders>
              <w:top w:val="single" w:color="auto" w:sz="4" w:space="0"/>
              <w:left w:val="single" w:color="auto" w:sz="4" w:space="0"/>
              <w:bottom w:val="single" w:color="auto" w:sz="4" w:space="0"/>
              <w:right w:val="single" w:color="auto" w:sz="4" w:space="0"/>
            </w:tcBorders>
            <w:noWrap/>
            <w:vAlign w:val="center"/>
          </w:tcPr>
          <w:p>
            <w:pPr>
              <w:pageBreakBefore w:val="0"/>
              <w:kinsoku/>
              <w:overflowPunct/>
              <w:bidi w:val="0"/>
              <w:snapToGrid/>
              <w:spacing w:line="480" w:lineRule="exact"/>
              <w:jc w:val="center"/>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对应</w:t>
            </w:r>
          </w:p>
          <w:p>
            <w:pPr>
              <w:pageBreakBefore w:val="0"/>
              <w:kinsoku/>
              <w:overflowPunct/>
              <w:bidi w:val="0"/>
              <w:snapToGrid/>
              <w:spacing w:line="480" w:lineRule="exact"/>
              <w:jc w:val="center"/>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66" w:type="pct"/>
            <w:vMerge w:val="restart"/>
            <w:tcBorders>
              <w:top w:val="single" w:color="auto" w:sz="4" w:space="0"/>
              <w:left w:val="single" w:color="auto" w:sz="4" w:space="0"/>
              <w:right w:val="single" w:color="auto" w:sz="4" w:space="0"/>
            </w:tcBorders>
            <w:noWrap/>
            <w:vAlign w:val="center"/>
          </w:tcPr>
          <w:p>
            <w:pPr>
              <w:pageBreakBefore w:val="0"/>
              <w:kinsoku/>
              <w:overflowPunct/>
              <w:bidi w:val="0"/>
              <w:snapToGrid/>
              <w:spacing w:line="480" w:lineRule="exact"/>
              <w:jc w:val="center"/>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供</w:t>
            </w:r>
          </w:p>
          <w:p>
            <w:pPr>
              <w:pageBreakBefore w:val="0"/>
              <w:kinsoku/>
              <w:overflowPunct/>
              <w:bidi w:val="0"/>
              <w:snapToGrid/>
              <w:spacing w:line="480" w:lineRule="exact"/>
              <w:jc w:val="center"/>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应</w:t>
            </w:r>
          </w:p>
          <w:p>
            <w:pPr>
              <w:pageBreakBefore w:val="0"/>
              <w:kinsoku/>
              <w:overflowPunct/>
              <w:bidi w:val="0"/>
              <w:snapToGrid/>
              <w:spacing w:line="480" w:lineRule="exact"/>
              <w:jc w:val="center"/>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商</w:t>
            </w:r>
          </w:p>
          <w:p>
            <w:pPr>
              <w:pageBreakBefore w:val="0"/>
              <w:kinsoku/>
              <w:overflowPunct/>
              <w:bidi w:val="0"/>
              <w:snapToGrid/>
              <w:spacing w:line="480" w:lineRule="exact"/>
              <w:jc w:val="center"/>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投</w:t>
            </w:r>
          </w:p>
          <w:p>
            <w:pPr>
              <w:pageBreakBefore w:val="0"/>
              <w:kinsoku/>
              <w:overflowPunct/>
              <w:bidi w:val="0"/>
              <w:snapToGrid/>
              <w:spacing w:line="480" w:lineRule="exact"/>
              <w:jc w:val="center"/>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标</w:t>
            </w:r>
          </w:p>
          <w:p>
            <w:pPr>
              <w:pageBreakBefore w:val="0"/>
              <w:kinsoku/>
              <w:overflowPunct/>
              <w:bidi w:val="0"/>
              <w:snapToGrid/>
              <w:spacing w:line="480" w:lineRule="exact"/>
              <w:jc w:val="center"/>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资</w:t>
            </w:r>
          </w:p>
          <w:p>
            <w:pPr>
              <w:pageBreakBefore w:val="0"/>
              <w:kinsoku/>
              <w:overflowPunct/>
              <w:bidi w:val="0"/>
              <w:snapToGrid/>
              <w:spacing w:line="480" w:lineRule="exact"/>
              <w:jc w:val="center"/>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格</w:t>
            </w:r>
          </w:p>
          <w:p>
            <w:pPr>
              <w:pageBreakBefore w:val="0"/>
              <w:kinsoku/>
              <w:overflowPunct/>
              <w:bidi w:val="0"/>
              <w:snapToGrid/>
              <w:spacing w:line="480" w:lineRule="exact"/>
              <w:jc w:val="center"/>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资</w:t>
            </w:r>
          </w:p>
          <w:p>
            <w:pPr>
              <w:pageBreakBefore w:val="0"/>
              <w:kinsoku/>
              <w:overflowPunct/>
              <w:bidi w:val="0"/>
              <w:snapToGrid/>
              <w:spacing w:line="480" w:lineRule="exact"/>
              <w:jc w:val="center"/>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质</w:t>
            </w:r>
          </w:p>
          <w:p>
            <w:pPr>
              <w:pageBreakBefore w:val="0"/>
              <w:kinsoku/>
              <w:overflowPunct/>
              <w:bidi w:val="0"/>
              <w:snapToGrid/>
              <w:spacing w:line="480" w:lineRule="exact"/>
              <w:jc w:val="center"/>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证</w:t>
            </w:r>
          </w:p>
          <w:p>
            <w:pPr>
              <w:pageBreakBefore w:val="0"/>
              <w:kinsoku/>
              <w:overflowPunct/>
              <w:bidi w:val="0"/>
              <w:snapToGrid/>
              <w:spacing w:line="480" w:lineRule="exact"/>
              <w:jc w:val="center"/>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明</w:t>
            </w:r>
          </w:p>
          <w:p>
            <w:pPr>
              <w:pageBreakBefore w:val="0"/>
              <w:kinsoku/>
              <w:overflowPunct/>
              <w:bidi w:val="0"/>
              <w:snapToGrid/>
              <w:spacing w:line="480" w:lineRule="exact"/>
              <w:jc w:val="center"/>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材</w:t>
            </w:r>
          </w:p>
          <w:p>
            <w:pPr>
              <w:pageBreakBefore w:val="0"/>
              <w:kinsoku/>
              <w:overflowPunct/>
              <w:bidi w:val="0"/>
              <w:snapToGrid/>
              <w:spacing w:line="480" w:lineRule="exact"/>
              <w:jc w:val="center"/>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料</w:t>
            </w:r>
          </w:p>
        </w:tc>
        <w:tc>
          <w:tcPr>
            <w:tcW w:w="598" w:type="pct"/>
            <w:tcBorders>
              <w:top w:val="single" w:color="auto" w:sz="4" w:space="0"/>
              <w:left w:val="single" w:color="auto" w:sz="4" w:space="0"/>
              <w:bottom w:val="single" w:color="auto" w:sz="4" w:space="0"/>
              <w:right w:val="single" w:color="auto" w:sz="4" w:space="0"/>
            </w:tcBorders>
            <w:noWrap/>
            <w:vAlign w:val="center"/>
          </w:tcPr>
          <w:p>
            <w:pPr>
              <w:pageBreakBefore w:val="0"/>
              <w:kinsoku/>
              <w:overflowPunct/>
              <w:bidi w:val="0"/>
              <w:snapToGrid/>
              <w:spacing w:line="480" w:lineRule="exact"/>
              <w:jc w:val="center"/>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w:t>
            </w:r>
          </w:p>
        </w:tc>
        <w:tc>
          <w:tcPr>
            <w:tcW w:w="3239" w:type="pct"/>
            <w:tcBorders>
              <w:top w:val="single" w:color="auto" w:sz="4" w:space="0"/>
              <w:left w:val="single" w:color="auto" w:sz="4" w:space="0"/>
              <w:bottom w:val="single" w:color="auto" w:sz="4" w:space="0"/>
              <w:right w:val="single" w:color="auto" w:sz="4" w:space="0"/>
            </w:tcBorders>
            <w:noWrap/>
            <w:vAlign w:val="center"/>
          </w:tcPr>
          <w:p>
            <w:pPr>
              <w:pageBreakBefore w:val="0"/>
              <w:kinsoku/>
              <w:overflowPunct/>
              <w:bidi w:val="0"/>
              <w:snapToGrid/>
              <w:spacing w:line="480" w:lineRule="exact"/>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响应</w:t>
            </w:r>
            <w:r>
              <w:rPr>
                <w:rFonts w:hint="eastAsia" w:ascii="宋体" w:hAnsi="宋体" w:eastAsia="宋体" w:cs="宋体"/>
                <w:b w:val="0"/>
                <w:bCs/>
                <w:color w:val="auto"/>
                <w:sz w:val="24"/>
                <w:szCs w:val="24"/>
                <w:highlight w:val="none"/>
              </w:rPr>
              <w:t>函</w:t>
            </w:r>
          </w:p>
        </w:tc>
        <w:tc>
          <w:tcPr>
            <w:tcW w:w="595" w:type="pct"/>
            <w:tcBorders>
              <w:top w:val="single" w:color="auto" w:sz="4" w:space="0"/>
              <w:left w:val="single" w:color="auto" w:sz="4" w:space="0"/>
              <w:bottom w:val="single" w:color="auto" w:sz="4" w:space="0"/>
              <w:right w:val="single" w:color="auto" w:sz="4" w:space="0"/>
            </w:tcBorders>
            <w:noWrap/>
            <w:vAlign w:val="center"/>
          </w:tcPr>
          <w:p>
            <w:pPr>
              <w:pageBreakBefore w:val="0"/>
              <w:kinsoku/>
              <w:overflowPunct/>
              <w:bidi w:val="0"/>
              <w:snapToGrid/>
              <w:spacing w:line="480" w:lineRule="exact"/>
              <w:textAlignment w:val="auto"/>
              <w:rPr>
                <w:rFonts w:hint="eastAsia" w:ascii="宋体" w:hAnsi="宋体" w:eastAsia="宋体" w:cs="宋体"/>
                <w:b w:val="0"/>
                <w:bCs/>
                <w:color w:val="auto"/>
                <w:kern w:val="2"/>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66" w:type="pct"/>
            <w:vMerge w:val="continue"/>
            <w:tcBorders>
              <w:left w:val="single" w:color="auto" w:sz="4" w:space="0"/>
              <w:right w:val="single" w:color="auto" w:sz="4" w:space="0"/>
            </w:tcBorders>
            <w:noWrap/>
            <w:vAlign w:val="center"/>
          </w:tcPr>
          <w:p>
            <w:pPr>
              <w:pageBreakBefore w:val="0"/>
              <w:kinsoku/>
              <w:overflowPunct/>
              <w:bidi w:val="0"/>
              <w:snapToGrid/>
              <w:spacing w:line="480" w:lineRule="exact"/>
              <w:jc w:val="center"/>
              <w:textAlignment w:val="auto"/>
              <w:rPr>
                <w:rFonts w:hint="eastAsia" w:ascii="宋体" w:hAnsi="宋体" w:eastAsia="宋体" w:cs="宋体"/>
                <w:b w:val="0"/>
                <w:bCs/>
                <w:color w:val="auto"/>
                <w:sz w:val="24"/>
                <w:szCs w:val="24"/>
                <w:highlight w:val="none"/>
                <w:lang w:val="en-US" w:eastAsia="zh-CN"/>
              </w:rPr>
            </w:pPr>
          </w:p>
        </w:tc>
        <w:tc>
          <w:tcPr>
            <w:tcW w:w="598" w:type="pct"/>
            <w:tcBorders>
              <w:top w:val="single" w:color="auto" w:sz="4" w:space="0"/>
              <w:left w:val="single" w:color="auto" w:sz="4" w:space="0"/>
              <w:bottom w:val="single" w:color="auto" w:sz="4" w:space="0"/>
              <w:right w:val="single" w:color="auto" w:sz="4" w:space="0"/>
            </w:tcBorders>
            <w:noWrap/>
            <w:vAlign w:val="center"/>
          </w:tcPr>
          <w:p>
            <w:pPr>
              <w:pageBreakBefore w:val="0"/>
              <w:kinsoku/>
              <w:overflowPunct/>
              <w:bidi w:val="0"/>
              <w:snapToGrid/>
              <w:spacing w:line="480" w:lineRule="exact"/>
              <w:jc w:val="center"/>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2</w:t>
            </w:r>
          </w:p>
        </w:tc>
        <w:tc>
          <w:tcPr>
            <w:tcW w:w="3239" w:type="pct"/>
            <w:tcBorders>
              <w:top w:val="single" w:color="auto" w:sz="4" w:space="0"/>
              <w:left w:val="single" w:color="auto" w:sz="4" w:space="0"/>
              <w:bottom w:val="single" w:color="auto" w:sz="4" w:space="0"/>
              <w:right w:val="single" w:color="auto" w:sz="4" w:space="0"/>
            </w:tcBorders>
            <w:noWrap/>
            <w:vAlign w:val="center"/>
          </w:tcPr>
          <w:p>
            <w:pPr>
              <w:pageBreakBefore w:val="0"/>
              <w:kinsoku/>
              <w:overflowPunct/>
              <w:bidi w:val="0"/>
              <w:snapToGrid/>
              <w:spacing w:line="480" w:lineRule="exact"/>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法定代表人授权委托书</w:t>
            </w:r>
          </w:p>
        </w:tc>
        <w:tc>
          <w:tcPr>
            <w:tcW w:w="595" w:type="pct"/>
            <w:tcBorders>
              <w:top w:val="single" w:color="auto" w:sz="4" w:space="0"/>
              <w:left w:val="single" w:color="auto" w:sz="4" w:space="0"/>
              <w:bottom w:val="single" w:color="auto" w:sz="4" w:space="0"/>
              <w:right w:val="single" w:color="auto" w:sz="4" w:space="0"/>
            </w:tcBorders>
            <w:noWrap/>
            <w:vAlign w:val="center"/>
          </w:tcPr>
          <w:p>
            <w:pPr>
              <w:pageBreakBefore w:val="0"/>
              <w:kinsoku/>
              <w:overflowPunct/>
              <w:bidi w:val="0"/>
              <w:snapToGrid/>
              <w:spacing w:line="480" w:lineRule="exact"/>
              <w:textAlignment w:val="auto"/>
              <w:rPr>
                <w:rFonts w:hint="eastAsia" w:ascii="宋体" w:hAnsi="宋体" w:eastAsia="宋体" w:cs="宋体"/>
                <w:b w:val="0"/>
                <w:bCs/>
                <w:color w:val="auto"/>
                <w:kern w:val="2"/>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66" w:type="pct"/>
            <w:vMerge w:val="continue"/>
            <w:tcBorders>
              <w:left w:val="single" w:color="auto" w:sz="4" w:space="0"/>
              <w:right w:val="single" w:color="auto" w:sz="4" w:space="0"/>
            </w:tcBorders>
            <w:noWrap/>
            <w:vAlign w:val="center"/>
          </w:tcPr>
          <w:p>
            <w:pPr>
              <w:pageBreakBefore w:val="0"/>
              <w:kinsoku/>
              <w:overflowPunct/>
              <w:bidi w:val="0"/>
              <w:snapToGrid/>
              <w:spacing w:line="480" w:lineRule="exact"/>
              <w:jc w:val="center"/>
              <w:textAlignment w:val="auto"/>
              <w:rPr>
                <w:rFonts w:hint="eastAsia" w:ascii="宋体" w:hAnsi="宋体" w:eastAsia="宋体" w:cs="宋体"/>
                <w:b w:val="0"/>
                <w:bCs/>
                <w:color w:val="auto"/>
                <w:sz w:val="24"/>
                <w:szCs w:val="24"/>
                <w:highlight w:val="none"/>
                <w:lang w:val="en-US" w:eastAsia="zh-CN"/>
              </w:rPr>
            </w:pPr>
          </w:p>
        </w:tc>
        <w:tc>
          <w:tcPr>
            <w:tcW w:w="598" w:type="pct"/>
            <w:tcBorders>
              <w:top w:val="single" w:color="auto" w:sz="4" w:space="0"/>
              <w:left w:val="single" w:color="auto" w:sz="4" w:space="0"/>
              <w:bottom w:val="single" w:color="auto" w:sz="4" w:space="0"/>
              <w:right w:val="single" w:color="auto" w:sz="4" w:space="0"/>
            </w:tcBorders>
            <w:noWrap/>
            <w:vAlign w:val="center"/>
          </w:tcPr>
          <w:p>
            <w:pPr>
              <w:pageBreakBefore w:val="0"/>
              <w:kinsoku/>
              <w:overflowPunct/>
              <w:bidi w:val="0"/>
              <w:snapToGrid/>
              <w:spacing w:line="480" w:lineRule="exact"/>
              <w:jc w:val="center"/>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3</w:t>
            </w:r>
          </w:p>
        </w:tc>
        <w:tc>
          <w:tcPr>
            <w:tcW w:w="3239" w:type="pct"/>
            <w:tcBorders>
              <w:top w:val="single" w:color="auto" w:sz="4" w:space="0"/>
              <w:left w:val="single" w:color="auto" w:sz="4" w:space="0"/>
              <w:bottom w:val="single" w:color="auto" w:sz="4" w:space="0"/>
              <w:right w:val="single" w:color="auto" w:sz="4" w:space="0"/>
            </w:tcBorders>
            <w:noWrap/>
            <w:vAlign w:val="center"/>
          </w:tcPr>
          <w:p>
            <w:pPr>
              <w:pStyle w:val="4"/>
              <w:keepNext w:val="0"/>
              <w:pageBreakBefore w:val="0"/>
              <w:kinsoku/>
              <w:overflowPunct/>
              <w:bidi w:val="0"/>
              <w:snapToGrid/>
              <w:spacing w:line="480" w:lineRule="exact"/>
              <w:jc w:val="left"/>
              <w:textAlignment w:val="auto"/>
              <w:rPr>
                <w:rFonts w:hint="eastAsia" w:ascii="宋体" w:hAnsi="宋体" w:eastAsia="宋体" w:cs="宋体"/>
                <w:b w:val="0"/>
                <w:bCs/>
                <w:color w:val="auto"/>
                <w:kern w:val="2"/>
                <w:sz w:val="24"/>
                <w:szCs w:val="24"/>
                <w:highlight w:val="none"/>
                <w:lang w:val="en-US" w:eastAsia="zh-CN" w:bidi="ar-SA"/>
              </w:rPr>
            </w:pPr>
            <w:bookmarkStart w:id="270" w:name="_Toc3417"/>
            <w:r>
              <w:rPr>
                <w:rFonts w:hint="eastAsia" w:ascii="宋体" w:hAnsi="宋体" w:eastAsia="宋体" w:cs="宋体"/>
                <w:b w:val="0"/>
                <w:bCs/>
                <w:color w:val="auto"/>
                <w:kern w:val="2"/>
                <w:sz w:val="24"/>
                <w:szCs w:val="24"/>
                <w:highlight w:val="none"/>
                <w:lang w:val="en-US" w:eastAsia="zh-CN" w:bidi="ar-SA"/>
              </w:rPr>
              <w:t>法定代表人身份证明书</w:t>
            </w:r>
            <w:bookmarkEnd w:id="270"/>
          </w:p>
        </w:tc>
        <w:tc>
          <w:tcPr>
            <w:tcW w:w="595" w:type="pct"/>
            <w:tcBorders>
              <w:top w:val="single" w:color="auto" w:sz="4" w:space="0"/>
              <w:left w:val="single" w:color="auto" w:sz="4" w:space="0"/>
              <w:bottom w:val="single" w:color="auto" w:sz="4" w:space="0"/>
              <w:right w:val="single" w:color="auto" w:sz="4" w:space="0"/>
            </w:tcBorders>
            <w:noWrap/>
            <w:vAlign w:val="center"/>
          </w:tcPr>
          <w:p>
            <w:pPr>
              <w:pageBreakBefore w:val="0"/>
              <w:kinsoku/>
              <w:overflowPunct/>
              <w:bidi w:val="0"/>
              <w:snapToGrid/>
              <w:spacing w:line="480" w:lineRule="exact"/>
              <w:textAlignment w:val="auto"/>
              <w:rPr>
                <w:rFonts w:hint="eastAsia" w:ascii="宋体" w:hAnsi="宋体" w:eastAsia="宋体" w:cs="宋体"/>
                <w:b w:val="0"/>
                <w:bCs/>
                <w:color w:val="auto"/>
                <w:kern w:val="2"/>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66" w:type="pct"/>
            <w:vMerge w:val="continue"/>
            <w:tcBorders>
              <w:left w:val="single" w:color="auto" w:sz="4" w:space="0"/>
              <w:right w:val="single" w:color="auto" w:sz="4" w:space="0"/>
            </w:tcBorders>
            <w:noWrap/>
            <w:vAlign w:val="center"/>
          </w:tcPr>
          <w:p>
            <w:pPr>
              <w:pageBreakBefore w:val="0"/>
              <w:kinsoku/>
              <w:overflowPunct/>
              <w:bidi w:val="0"/>
              <w:snapToGrid/>
              <w:spacing w:line="480" w:lineRule="exact"/>
              <w:jc w:val="center"/>
              <w:textAlignment w:val="auto"/>
              <w:rPr>
                <w:rFonts w:hint="eastAsia" w:ascii="宋体" w:hAnsi="宋体" w:eastAsia="宋体" w:cs="宋体"/>
                <w:b w:val="0"/>
                <w:bCs/>
                <w:color w:val="auto"/>
                <w:sz w:val="24"/>
                <w:szCs w:val="24"/>
                <w:highlight w:val="none"/>
                <w:lang w:val="en-US" w:eastAsia="zh-CN"/>
              </w:rPr>
            </w:pPr>
          </w:p>
        </w:tc>
        <w:tc>
          <w:tcPr>
            <w:tcW w:w="598" w:type="pct"/>
            <w:tcBorders>
              <w:top w:val="single" w:color="auto" w:sz="4" w:space="0"/>
              <w:left w:val="single" w:color="auto" w:sz="4" w:space="0"/>
              <w:bottom w:val="single" w:color="auto" w:sz="4" w:space="0"/>
              <w:right w:val="single" w:color="auto" w:sz="4" w:space="0"/>
            </w:tcBorders>
            <w:noWrap/>
            <w:vAlign w:val="center"/>
          </w:tcPr>
          <w:p>
            <w:pPr>
              <w:pageBreakBefore w:val="0"/>
              <w:kinsoku/>
              <w:overflowPunct/>
              <w:bidi w:val="0"/>
              <w:snapToGrid/>
              <w:spacing w:line="480" w:lineRule="exact"/>
              <w:jc w:val="center"/>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4</w:t>
            </w:r>
          </w:p>
        </w:tc>
        <w:tc>
          <w:tcPr>
            <w:tcW w:w="3239" w:type="pct"/>
            <w:tcBorders>
              <w:top w:val="single" w:color="auto" w:sz="4" w:space="0"/>
              <w:left w:val="single" w:color="auto" w:sz="4" w:space="0"/>
              <w:bottom w:val="single" w:color="auto" w:sz="4" w:space="0"/>
              <w:right w:val="single" w:color="auto" w:sz="4" w:space="0"/>
            </w:tcBorders>
            <w:noWrap/>
            <w:vAlign w:val="center"/>
          </w:tcPr>
          <w:p>
            <w:pPr>
              <w:pageBreakBefore w:val="0"/>
              <w:kinsoku/>
              <w:overflowPunct/>
              <w:bidi w:val="0"/>
              <w:snapToGrid/>
              <w:spacing w:line="480" w:lineRule="exact"/>
              <w:jc w:val="left"/>
              <w:textAlignment w:val="auto"/>
              <w:rPr>
                <w:rFonts w:hint="default"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报价一览表</w:t>
            </w:r>
          </w:p>
        </w:tc>
        <w:tc>
          <w:tcPr>
            <w:tcW w:w="595" w:type="pct"/>
            <w:tcBorders>
              <w:top w:val="single" w:color="auto" w:sz="4" w:space="0"/>
              <w:left w:val="single" w:color="auto" w:sz="4" w:space="0"/>
              <w:bottom w:val="single" w:color="auto" w:sz="4" w:space="0"/>
              <w:right w:val="single" w:color="auto" w:sz="4" w:space="0"/>
            </w:tcBorders>
            <w:noWrap/>
            <w:vAlign w:val="center"/>
          </w:tcPr>
          <w:p>
            <w:pPr>
              <w:pageBreakBefore w:val="0"/>
              <w:kinsoku/>
              <w:overflowPunct/>
              <w:bidi w:val="0"/>
              <w:snapToGrid/>
              <w:spacing w:line="480" w:lineRule="exact"/>
              <w:textAlignment w:val="auto"/>
              <w:rPr>
                <w:rFonts w:hint="eastAsia" w:ascii="宋体" w:hAnsi="宋体" w:eastAsia="宋体" w:cs="宋体"/>
                <w:b w:val="0"/>
                <w:bCs/>
                <w:color w:val="auto"/>
                <w:kern w:val="2"/>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66" w:type="pct"/>
            <w:vMerge w:val="continue"/>
            <w:tcBorders>
              <w:left w:val="single" w:color="auto" w:sz="4" w:space="0"/>
              <w:right w:val="single" w:color="auto" w:sz="4" w:space="0"/>
            </w:tcBorders>
            <w:noWrap/>
            <w:vAlign w:val="center"/>
          </w:tcPr>
          <w:p>
            <w:pPr>
              <w:pageBreakBefore w:val="0"/>
              <w:kinsoku/>
              <w:overflowPunct/>
              <w:bidi w:val="0"/>
              <w:snapToGrid/>
              <w:spacing w:line="480" w:lineRule="exact"/>
              <w:jc w:val="center"/>
              <w:textAlignment w:val="auto"/>
              <w:rPr>
                <w:rFonts w:hint="eastAsia" w:ascii="宋体" w:hAnsi="宋体" w:eastAsia="宋体" w:cs="宋体"/>
                <w:b w:val="0"/>
                <w:bCs/>
                <w:color w:val="auto"/>
                <w:sz w:val="24"/>
                <w:szCs w:val="24"/>
                <w:highlight w:val="none"/>
                <w:lang w:val="en-US" w:eastAsia="zh-CN"/>
              </w:rPr>
            </w:pPr>
          </w:p>
        </w:tc>
        <w:tc>
          <w:tcPr>
            <w:tcW w:w="598" w:type="pct"/>
            <w:tcBorders>
              <w:top w:val="single" w:color="auto" w:sz="4" w:space="0"/>
              <w:left w:val="single" w:color="auto" w:sz="4" w:space="0"/>
              <w:bottom w:val="single" w:color="auto" w:sz="4" w:space="0"/>
              <w:right w:val="single" w:color="auto" w:sz="4" w:space="0"/>
            </w:tcBorders>
            <w:noWrap/>
            <w:vAlign w:val="center"/>
          </w:tcPr>
          <w:p>
            <w:pPr>
              <w:pageBreakBefore w:val="0"/>
              <w:kinsoku/>
              <w:overflowPunct/>
              <w:bidi w:val="0"/>
              <w:snapToGrid/>
              <w:spacing w:line="480" w:lineRule="exact"/>
              <w:jc w:val="center"/>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5</w:t>
            </w:r>
          </w:p>
        </w:tc>
        <w:tc>
          <w:tcPr>
            <w:tcW w:w="3239" w:type="pct"/>
            <w:tcBorders>
              <w:top w:val="single" w:color="auto" w:sz="4" w:space="0"/>
              <w:left w:val="single" w:color="auto" w:sz="4" w:space="0"/>
              <w:bottom w:val="single" w:color="auto" w:sz="4" w:space="0"/>
              <w:right w:val="single" w:color="auto" w:sz="4" w:space="0"/>
            </w:tcBorders>
            <w:noWrap/>
            <w:vAlign w:val="center"/>
          </w:tcPr>
          <w:p>
            <w:pPr>
              <w:pageBreakBefore w:val="0"/>
              <w:kinsoku/>
              <w:overflowPunct/>
              <w:bidi w:val="0"/>
              <w:snapToGrid/>
              <w:spacing w:line="480" w:lineRule="exact"/>
              <w:jc w:val="left"/>
              <w:textAlignment w:val="auto"/>
              <w:rPr>
                <w:rFonts w:hint="eastAsia" w:ascii="宋体" w:hAnsi="宋体" w:eastAsia="宋体" w:cs="宋体"/>
                <w:b w:val="0"/>
                <w:bCs/>
                <w:color w:val="auto"/>
                <w:kern w:val="2"/>
                <w:sz w:val="24"/>
                <w:szCs w:val="24"/>
                <w:highlight w:val="none"/>
                <w:lang w:val="en-US" w:eastAsia="zh-CN" w:bidi="ar-SA"/>
              </w:rPr>
            </w:pPr>
            <w:r>
              <w:rPr>
                <w:rFonts w:hint="eastAsia" w:hAnsi="宋体" w:cs="宋体"/>
                <w:b w:val="0"/>
                <w:bCs/>
                <w:color w:val="auto"/>
                <w:sz w:val="24"/>
                <w:szCs w:val="24"/>
                <w:highlight w:val="none"/>
                <w:u w:val="none"/>
              </w:rPr>
              <w:t>营业执照等证明文件</w:t>
            </w:r>
          </w:p>
        </w:tc>
        <w:tc>
          <w:tcPr>
            <w:tcW w:w="595" w:type="pct"/>
            <w:tcBorders>
              <w:top w:val="single" w:color="auto" w:sz="4" w:space="0"/>
              <w:left w:val="single" w:color="auto" w:sz="4" w:space="0"/>
              <w:bottom w:val="single" w:color="auto" w:sz="4" w:space="0"/>
              <w:right w:val="single" w:color="auto" w:sz="4" w:space="0"/>
            </w:tcBorders>
            <w:noWrap/>
            <w:vAlign w:val="center"/>
          </w:tcPr>
          <w:p>
            <w:pPr>
              <w:pageBreakBefore w:val="0"/>
              <w:kinsoku/>
              <w:overflowPunct/>
              <w:bidi w:val="0"/>
              <w:snapToGrid/>
              <w:spacing w:line="480" w:lineRule="exact"/>
              <w:textAlignment w:val="auto"/>
              <w:rPr>
                <w:rFonts w:hint="eastAsia" w:ascii="宋体" w:hAnsi="宋体" w:eastAsia="宋体" w:cs="宋体"/>
                <w:b w:val="0"/>
                <w:bCs/>
                <w:color w:val="auto"/>
                <w:kern w:val="2"/>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66" w:type="pct"/>
            <w:vMerge w:val="continue"/>
            <w:tcBorders>
              <w:left w:val="single" w:color="auto" w:sz="4" w:space="0"/>
              <w:right w:val="single" w:color="auto" w:sz="4" w:space="0"/>
            </w:tcBorders>
            <w:noWrap/>
            <w:vAlign w:val="center"/>
          </w:tcPr>
          <w:p>
            <w:pPr>
              <w:pageBreakBefore w:val="0"/>
              <w:kinsoku/>
              <w:overflowPunct/>
              <w:bidi w:val="0"/>
              <w:snapToGrid/>
              <w:spacing w:line="480" w:lineRule="exact"/>
              <w:jc w:val="center"/>
              <w:textAlignment w:val="auto"/>
              <w:rPr>
                <w:rFonts w:hint="eastAsia" w:ascii="宋体" w:hAnsi="宋体" w:eastAsia="宋体" w:cs="宋体"/>
                <w:b w:val="0"/>
                <w:bCs/>
                <w:color w:val="auto"/>
                <w:sz w:val="24"/>
                <w:szCs w:val="24"/>
                <w:highlight w:val="none"/>
                <w:lang w:val="en-US" w:eastAsia="zh-CN"/>
              </w:rPr>
            </w:pPr>
          </w:p>
        </w:tc>
        <w:tc>
          <w:tcPr>
            <w:tcW w:w="598" w:type="pct"/>
            <w:tcBorders>
              <w:top w:val="single" w:color="auto" w:sz="4" w:space="0"/>
              <w:left w:val="single" w:color="auto" w:sz="4" w:space="0"/>
              <w:bottom w:val="single" w:color="auto" w:sz="4" w:space="0"/>
              <w:right w:val="single" w:color="auto" w:sz="4" w:space="0"/>
            </w:tcBorders>
            <w:noWrap/>
            <w:vAlign w:val="center"/>
          </w:tcPr>
          <w:p>
            <w:pPr>
              <w:pageBreakBefore w:val="0"/>
              <w:kinsoku/>
              <w:overflowPunct/>
              <w:bidi w:val="0"/>
              <w:snapToGrid/>
              <w:spacing w:line="480" w:lineRule="exact"/>
              <w:jc w:val="center"/>
              <w:textAlignment w:val="auto"/>
              <w:rPr>
                <w:rFonts w:hint="eastAsia" w:ascii="宋体" w:hAnsi="宋体" w:eastAsia="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6</w:t>
            </w:r>
          </w:p>
        </w:tc>
        <w:tc>
          <w:tcPr>
            <w:tcW w:w="3239" w:type="pct"/>
            <w:tcBorders>
              <w:top w:val="single" w:color="auto" w:sz="4" w:space="0"/>
              <w:left w:val="single" w:color="auto" w:sz="4" w:space="0"/>
              <w:bottom w:val="single" w:color="auto" w:sz="4" w:space="0"/>
              <w:right w:val="single" w:color="auto" w:sz="4" w:space="0"/>
            </w:tcBorders>
            <w:noWrap/>
            <w:vAlign w:val="center"/>
          </w:tcPr>
          <w:p>
            <w:pPr>
              <w:pageBreakBefore w:val="0"/>
              <w:kinsoku/>
              <w:overflowPunct/>
              <w:bidi w:val="0"/>
              <w:snapToGrid/>
              <w:spacing w:line="480" w:lineRule="exact"/>
              <w:jc w:val="left"/>
              <w:textAlignment w:val="auto"/>
              <w:rPr>
                <w:rFonts w:hint="eastAsia" w:ascii="宋体" w:hAnsi="宋体" w:eastAsia="宋体" w:cs="宋体"/>
                <w:b w:val="0"/>
                <w:bCs/>
                <w:color w:val="auto"/>
                <w:kern w:val="2"/>
                <w:sz w:val="24"/>
                <w:szCs w:val="24"/>
                <w:highlight w:val="none"/>
                <w:lang w:val="en-US" w:eastAsia="zh-CN" w:bidi="ar-SA"/>
              </w:rPr>
            </w:pPr>
            <w:r>
              <w:rPr>
                <w:rFonts w:hint="eastAsia" w:hAnsi="宋体" w:cs="宋体"/>
                <w:b w:val="0"/>
                <w:bCs/>
                <w:color w:val="auto"/>
                <w:sz w:val="24"/>
                <w:szCs w:val="24"/>
                <w:highlight w:val="none"/>
                <w:u w:val="none"/>
              </w:rPr>
              <w:t>具有良好的商业信誉和健全的财务会计制度的证明文件</w:t>
            </w:r>
          </w:p>
        </w:tc>
        <w:tc>
          <w:tcPr>
            <w:tcW w:w="595" w:type="pct"/>
            <w:tcBorders>
              <w:top w:val="single" w:color="auto" w:sz="4" w:space="0"/>
              <w:left w:val="single" w:color="auto" w:sz="4" w:space="0"/>
              <w:bottom w:val="single" w:color="auto" w:sz="4" w:space="0"/>
              <w:right w:val="single" w:color="auto" w:sz="4" w:space="0"/>
            </w:tcBorders>
            <w:noWrap/>
            <w:vAlign w:val="center"/>
          </w:tcPr>
          <w:p>
            <w:pPr>
              <w:pageBreakBefore w:val="0"/>
              <w:kinsoku/>
              <w:overflowPunct/>
              <w:bidi w:val="0"/>
              <w:snapToGrid/>
              <w:spacing w:line="480" w:lineRule="exact"/>
              <w:textAlignment w:val="auto"/>
              <w:rPr>
                <w:rFonts w:hint="eastAsia" w:ascii="宋体" w:hAnsi="宋体" w:eastAsia="宋体" w:cs="宋体"/>
                <w:b w:val="0"/>
                <w:bCs/>
                <w:color w:val="auto"/>
                <w:kern w:val="2"/>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66" w:type="pct"/>
            <w:vMerge w:val="continue"/>
            <w:tcBorders>
              <w:left w:val="single" w:color="auto" w:sz="4" w:space="0"/>
              <w:right w:val="single" w:color="auto" w:sz="4" w:space="0"/>
            </w:tcBorders>
            <w:noWrap/>
            <w:vAlign w:val="center"/>
          </w:tcPr>
          <w:p>
            <w:pPr>
              <w:pageBreakBefore w:val="0"/>
              <w:kinsoku/>
              <w:overflowPunct/>
              <w:bidi w:val="0"/>
              <w:snapToGrid/>
              <w:spacing w:line="480" w:lineRule="exact"/>
              <w:jc w:val="center"/>
              <w:textAlignment w:val="auto"/>
              <w:rPr>
                <w:rFonts w:hint="eastAsia" w:ascii="宋体" w:hAnsi="宋体" w:eastAsia="宋体" w:cs="宋体"/>
                <w:b w:val="0"/>
                <w:bCs/>
                <w:color w:val="auto"/>
                <w:sz w:val="24"/>
                <w:szCs w:val="24"/>
                <w:highlight w:val="none"/>
                <w:lang w:val="en-US" w:eastAsia="zh-CN"/>
              </w:rPr>
            </w:pPr>
          </w:p>
        </w:tc>
        <w:tc>
          <w:tcPr>
            <w:tcW w:w="598" w:type="pct"/>
            <w:tcBorders>
              <w:top w:val="single" w:color="auto" w:sz="4" w:space="0"/>
              <w:left w:val="single" w:color="auto" w:sz="4" w:space="0"/>
              <w:bottom w:val="single" w:color="auto" w:sz="4" w:space="0"/>
              <w:right w:val="single" w:color="auto" w:sz="4" w:space="0"/>
            </w:tcBorders>
            <w:noWrap/>
            <w:vAlign w:val="center"/>
          </w:tcPr>
          <w:p>
            <w:pPr>
              <w:pageBreakBefore w:val="0"/>
              <w:kinsoku/>
              <w:overflowPunct/>
              <w:bidi w:val="0"/>
              <w:snapToGrid/>
              <w:spacing w:line="480" w:lineRule="exact"/>
              <w:jc w:val="center"/>
              <w:textAlignment w:val="auto"/>
              <w:rPr>
                <w:rFonts w:hint="eastAsia" w:ascii="宋体" w:hAnsi="宋体" w:eastAsia="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7</w:t>
            </w:r>
          </w:p>
        </w:tc>
        <w:tc>
          <w:tcPr>
            <w:tcW w:w="3239" w:type="pct"/>
            <w:tcBorders>
              <w:top w:val="single" w:color="auto" w:sz="4" w:space="0"/>
              <w:left w:val="single" w:color="auto" w:sz="4" w:space="0"/>
              <w:bottom w:val="single" w:color="auto" w:sz="4" w:space="0"/>
              <w:right w:val="single" w:color="auto" w:sz="4" w:space="0"/>
            </w:tcBorders>
            <w:noWrap/>
            <w:vAlign w:val="center"/>
          </w:tcPr>
          <w:p>
            <w:pPr>
              <w:pageBreakBefore w:val="0"/>
              <w:kinsoku/>
              <w:overflowPunct/>
              <w:bidi w:val="0"/>
              <w:snapToGrid/>
              <w:spacing w:line="480" w:lineRule="exact"/>
              <w:jc w:val="left"/>
              <w:textAlignment w:val="auto"/>
              <w:rPr>
                <w:rFonts w:hint="eastAsia" w:ascii="宋体" w:hAnsi="宋体" w:eastAsia="宋体" w:cs="宋体"/>
                <w:b w:val="0"/>
                <w:bCs/>
                <w:color w:val="auto"/>
                <w:kern w:val="2"/>
                <w:sz w:val="24"/>
                <w:szCs w:val="24"/>
                <w:highlight w:val="none"/>
                <w:lang w:val="en-US" w:eastAsia="zh-CN" w:bidi="ar-SA"/>
              </w:rPr>
            </w:pPr>
            <w:r>
              <w:rPr>
                <w:rFonts w:hint="eastAsia" w:hAnsi="宋体" w:cs="宋体"/>
                <w:b w:val="0"/>
                <w:bCs/>
                <w:color w:val="auto"/>
                <w:sz w:val="24"/>
                <w:szCs w:val="24"/>
                <w:highlight w:val="none"/>
                <w:u w:val="none"/>
              </w:rPr>
              <w:t>依法缴纳税收和社会保障资金承诺函</w:t>
            </w:r>
          </w:p>
        </w:tc>
        <w:tc>
          <w:tcPr>
            <w:tcW w:w="595" w:type="pct"/>
            <w:tcBorders>
              <w:top w:val="single" w:color="auto" w:sz="4" w:space="0"/>
              <w:left w:val="single" w:color="auto" w:sz="4" w:space="0"/>
              <w:bottom w:val="single" w:color="auto" w:sz="4" w:space="0"/>
              <w:right w:val="single" w:color="auto" w:sz="4" w:space="0"/>
            </w:tcBorders>
            <w:noWrap/>
            <w:vAlign w:val="center"/>
          </w:tcPr>
          <w:p>
            <w:pPr>
              <w:pageBreakBefore w:val="0"/>
              <w:kinsoku/>
              <w:overflowPunct/>
              <w:bidi w:val="0"/>
              <w:snapToGrid/>
              <w:spacing w:line="480" w:lineRule="exact"/>
              <w:textAlignment w:val="auto"/>
              <w:rPr>
                <w:rFonts w:hint="eastAsia" w:ascii="宋体" w:hAnsi="宋体" w:eastAsia="宋体" w:cs="宋体"/>
                <w:b w:val="0"/>
                <w:bCs/>
                <w:color w:val="auto"/>
                <w:kern w:val="2"/>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66" w:type="pct"/>
            <w:vMerge w:val="continue"/>
            <w:tcBorders>
              <w:left w:val="single" w:color="auto" w:sz="4" w:space="0"/>
              <w:right w:val="single" w:color="auto" w:sz="4" w:space="0"/>
            </w:tcBorders>
            <w:noWrap/>
            <w:vAlign w:val="center"/>
          </w:tcPr>
          <w:p>
            <w:pPr>
              <w:pageBreakBefore w:val="0"/>
              <w:kinsoku/>
              <w:overflowPunct/>
              <w:bidi w:val="0"/>
              <w:snapToGrid/>
              <w:spacing w:line="480" w:lineRule="exact"/>
              <w:jc w:val="center"/>
              <w:textAlignment w:val="auto"/>
              <w:rPr>
                <w:rFonts w:hint="eastAsia" w:ascii="宋体" w:hAnsi="宋体" w:eastAsia="宋体" w:cs="宋体"/>
                <w:b w:val="0"/>
                <w:bCs/>
                <w:color w:val="auto"/>
                <w:sz w:val="24"/>
                <w:szCs w:val="24"/>
                <w:highlight w:val="none"/>
                <w:lang w:val="en-US" w:eastAsia="zh-CN"/>
              </w:rPr>
            </w:pPr>
          </w:p>
        </w:tc>
        <w:tc>
          <w:tcPr>
            <w:tcW w:w="598" w:type="pct"/>
            <w:tcBorders>
              <w:top w:val="single" w:color="auto" w:sz="4" w:space="0"/>
              <w:left w:val="single" w:color="auto" w:sz="4" w:space="0"/>
              <w:bottom w:val="single" w:color="auto" w:sz="4" w:space="0"/>
              <w:right w:val="single" w:color="auto" w:sz="4" w:space="0"/>
            </w:tcBorders>
            <w:noWrap/>
            <w:vAlign w:val="center"/>
          </w:tcPr>
          <w:p>
            <w:pPr>
              <w:pageBreakBefore w:val="0"/>
              <w:kinsoku/>
              <w:overflowPunct/>
              <w:bidi w:val="0"/>
              <w:snapToGrid/>
              <w:spacing w:line="480" w:lineRule="exact"/>
              <w:jc w:val="center"/>
              <w:textAlignment w:val="auto"/>
              <w:rPr>
                <w:rFonts w:hint="default"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8</w:t>
            </w:r>
          </w:p>
        </w:tc>
        <w:tc>
          <w:tcPr>
            <w:tcW w:w="3239" w:type="pct"/>
            <w:tcBorders>
              <w:top w:val="single" w:color="auto" w:sz="4" w:space="0"/>
              <w:left w:val="single" w:color="auto" w:sz="4" w:space="0"/>
              <w:bottom w:val="single" w:color="auto" w:sz="4" w:space="0"/>
              <w:right w:val="single" w:color="auto" w:sz="4" w:space="0"/>
            </w:tcBorders>
            <w:noWrap/>
            <w:vAlign w:val="center"/>
          </w:tcPr>
          <w:p>
            <w:pPr>
              <w:pageBreakBefore w:val="0"/>
              <w:kinsoku/>
              <w:overflowPunct/>
              <w:bidi w:val="0"/>
              <w:snapToGrid/>
              <w:spacing w:line="480" w:lineRule="exact"/>
              <w:jc w:val="left"/>
              <w:textAlignment w:val="auto"/>
              <w:rPr>
                <w:rFonts w:hint="default" w:hAnsi="宋体" w:eastAsia="宋体" w:cs="宋体"/>
                <w:b w:val="0"/>
                <w:bCs/>
                <w:color w:val="auto"/>
                <w:sz w:val="24"/>
                <w:szCs w:val="24"/>
                <w:highlight w:val="none"/>
                <w:u w:val="none"/>
                <w:lang w:val="en-US" w:eastAsia="zh-CN"/>
              </w:rPr>
            </w:pPr>
            <w:r>
              <w:rPr>
                <w:rFonts w:hint="eastAsia" w:hAnsi="宋体" w:cs="宋体"/>
                <w:b w:val="0"/>
                <w:bCs/>
                <w:color w:val="auto"/>
                <w:sz w:val="24"/>
                <w:szCs w:val="24"/>
                <w:highlight w:val="none"/>
                <w:u w:val="none"/>
                <w:lang w:val="en-US" w:eastAsia="zh-CN"/>
              </w:rPr>
              <w:t>中小企业声明函</w:t>
            </w:r>
          </w:p>
        </w:tc>
        <w:tc>
          <w:tcPr>
            <w:tcW w:w="595" w:type="pct"/>
            <w:tcBorders>
              <w:top w:val="single" w:color="auto" w:sz="4" w:space="0"/>
              <w:left w:val="single" w:color="auto" w:sz="4" w:space="0"/>
              <w:bottom w:val="single" w:color="auto" w:sz="4" w:space="0"/>
              <w:right w:val="single" w:color="auto" w:sz="4" w:space="0"/>
            </w:tcBorders>
            <w:noWrap/>
            <w:vAlign w:val="center"/>
          </w:tcPr>
          <w:p>
            <w:pPr>
              <w:pageBreakBefore w:val="0"/>
              <w:kinsoku/>
              <w:overflowPunct/>
              <w:bidi w:val="0"/>
              <w:snapToGrid/>
              <w:spacing w:line="480" w:lineRule="exact"/>
              <w:textAlignment w:val="auto"/>
              <w:rPr>
                <w:rFonts w:hint="eastAsia" w:ascii="宋体" w:hAnsi="宋体" w:eastAsia="宋体" w:cs="宋体"/>
                <w:b w:val="0"/>
                <w:bCs/>
                <w:color w:val="auto"/>
                <w:kern w:val="2"/>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66" w:type="pct"/>
            <w:vMerge w:val="continue"/>
            <w:tcBorders>
              <w:left w:val="single" w:color="auto" w:sz="4" w:space="0"/>
              <w:right w:val="single" w:color="auto" w:sz="4" w:space="0"/>
            </w:tcBorders>
            <w:noWrap/>
            <w:vAlign w:val="center"/>
          </w:tcPr>
          <w:p>
            <w:pPr>
              <w:pageBreakBefore w:val="0"/>
              <w:kinsoku/>
              <w:overflowPunct/>
              <w:bidi w:val="0"/>
              <w:snapToGrid/>
              <w:spacing w:line="480" w:lineRule="exact"/>
              <w:jc w:val="center"/>
              <w:textAlignment w:val="auto"/>
              <w:rPr>
                <w:rFonts w:hint="eastAsia" w:ascii="宋体" w:hAnsi="宋体" w:eastAsia="宋体" w:cs="宋体"/>
                <w:b w:val="0"/>
                <w:bCs/>
                <w:color w:val="auto"/>
                <w:sz w:val="24"/>
                <w:szCs w:val="24"/>
                <w:highlight w:val="none"/>
                <w:lang w:val="en-US" w:eastAsia="zh-CN"/>
              </w:rPr>
            </w:pPr>
          </w:p>
        </w:tc>
        <w:tc>
          <w:tcPr>
            <w:tcW w:w="598" w:type="pct"/>
            <w:tcBorders>
              <w:top w:val="single" w:color="auto" w:sz="4" w:space="0"/>
              <w:left w:val="single" w:color="auto" w:sz="4" w:space="0"/>
              <w:bottom w:val="single" w:color="auto" w:sz="4" w:space="0"/>
              <w:right w:val="single" w:color="auto" w:sz="4" w:space="0"/>
            </w:tcBorders>
            <w:noWrap/>
            <w:vAlign w:val="center"/>
          </w:tcPr>
          <w:p>
            <w:pPr>
              <w:pageBreakBefore w:val="0"/>
              <w:kinsoku/>
              <w:overflowPunct/>
              <w:bidi w:val="0"/>
              <w:snapToGrid/>
              <w:spacing w:line="480" w:lineRule="exact"/>
              <w:jc w:val="center"/>
              <w:textAlignment w:val="auto"/>
              <w:rPr>
                <w:rFonts w:hint="default"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9</w:t>
            </w:r>
          </w:p>
        </w:tc>
        <w:tc>
          <w:tcPr>
            <w:tcW w:w="3239" w:type="pct"/>
            <w:tcBorders>
              <w:top w:val="single" w:color="auto" w:sz="4" w:space="0"/>
              <w:left w:val="single" w:color="auto" w:sz="4" w:space="0"/>
              <w:bottom w:val="single" w:color="auto" w:sz="4" w:space="0"/>
              <w:right w:val="single" w:color="auto" w:sz="4" w:space="0"/>
            </w:tcBorders>
            <w:noWrap/>
            <w:vAlign w:val="center"/>
          </w:tcPr>
          <w:p>
            <w:pPr>
              <w:pageBreakBefore w:val="0"/>
              <w:kinsoku/>
              <w:overflowPunct/>
              <w:bidi w:val="0"/>
              <w:snapToGrid/>
              <w:spacing w:line="480" w:lineRule="exact"/>
              <w:jc w:val="left"/>
              <w:textAlignment w:val="auto"/>
              <w:rPr>
                <w:rFonts w:hint="default" w:hAnsi="宋体" w:cs="宋体"/>
                <w:b w:val="0"/>
                <w:bCs/>
                <w:color w:val="auto"/>
                <w:sz w:val="24"/>
                <w:szCs w:val="24"/>
                <w:highlight w:val="none"/>
                <w:u w:val="none"/>
                <w:lang w:val="en-US" w:eastAsia="zh-CN"/>
              </w:rPr>
            </w:pPr>
            <w:r>
              <w:rPr>
                <w:rFonts w:hint="eastAsia" w:hAnsi="宋体" w:cs="宋体"/>
                <w:b w:val="0"/>
                <w:bCs/>
                <w:color w:val="auto"/>
                <w:sz w:val="24"/>
                <w:szCs w:val="24"/>
                <w:highlight w:val="none"/>
                <w:u w:val="none"/>
                <w:lang w:val="en-US" w:eastAsia="zh-CN"/>
              </w:rPr>
              <w:t>信用记录（代理机构查询）</w:t>
            </w:r>
          </w:p>
        </w:tc>
        <w:tc>
          <w:tcPr>
            <w:tcW w:w="595" w:type="pct"/>
            <w:tcBorders>
              <w:top w:val="single" w:color="auto" w:sz="4" w:space="0"/>
              <w:left w:val="single" w:color="auto" w:sz="4" w:space="0"/>
              <w:bottom w:val="single" w:color="auto" w:sz="4" w:space="0"/>
              <w:right w:val="single" w:color="auto" w:sz="4" w:space="0"/>
            </w:tcBorders>
            <w:noWrap/>
            <w:vAlign w:val="center"/>
          </w:tcPr>
          <w:p>
            <w:pPr>
              <w:pageBreakBefore w:val="0"/>
              <w:kinsoku/>
              <w:overflowPunct/>
              <w:bidi w:val="0"/>
              <w:snapToGrid/>
              <w:spacing w:line="480" w:lineRule="exact"/>
              <w:textAlignment w:val="auto"/>
              <w:rPr>
                <w:rFonts w:hint="eastAsia" w:ascii="宋体" w:hAnsi="宋体" w:eastAsia="宋体" w:cs="宋体"/>
                <w:b w:val="0"/>
                <w:bCs/>
                <w:color w:val="auto"/>
                <w:kern w:val="2"/>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66" w:type="pct"/>
            <w:vMerge w:val="continue"/>
            <w:tcBorders>
              <w:left w:val="single" w:color="auto" w:sz="4" w:space="0"/>
              <w:right w:val="single" w:color="auto" w:sz="4" w:space="0"/>
            </w:tcBorders>
            <w:noWrap/>
            <w:vAlign w:val="center"/>
          </w:tcPr>
          <w:p>
            <w:pPr>
              <w:pageBreakBefore w:val="0"/>
              <w:kinsoku/>
              <w:overflowPunct/>
              <w:bidi w:val="0"/>
              <w:snapToGrid/>
              <w:spacing w:line="480" w:lineRule="exact"/>
              <w:jc w:val="center"/>
              <w:textAlignment w:val="auto"/>
              <w:rPr>
                <w:rFonts w:hint="eastAsia" w:ascii="宋体" w:hAnsi="宋体" w:eastAsia="宋体" w:cs="宋体"/>
                <w:b w:val="0"/>
                <w:bCs/>
                <w:color w:val="auto"/>
                <w:sz w:val="24"/>
                <w:szCs w:val="24"/>
                <w:highlight w:val="none"/>
                <w:lang w:val="en-US" w:eastAsia="zh-CN"/>
              </w:rPr>
            </w:pPr>
          </w:p>
        </w:tc>
        <w:tc>
          <w:tcPr>
            <w:tcW w:w="598" w:type="pct"/>
            <w:tcBorders>
              <w:top w:val="single" w:color="auto" w:sz="4" w:space="0"/>
              <w:left w:val="single" w:color="auto" w:sz="4" w:space="0"/>
              <w:bottom w:val="single" w:color="auto" w:sz="4" w:space="0"/>
              <w:right w:val="single" w:color="auto" w:sz="4" w:space="0"/>
            </w:tcBorders>
            <w:noWrap/>
            <w:vAlign w:val="center"/>
          </w:tcPr>
          <w:p>
            <w:pPr>
              <w:pageBreakBefore w:val="0"/>
              <w:kinsoku/>
              <w:overflowPunct/>
              <w:bidi w:val="0"/>
              <w:snapToGrid/>
              <w:spacing w:line="480" w:lineRule="exact"/>
              <w:jc w:val="center"/>
              <w:textAlignment w:val="auto"/>
              <w:rPr>
                <w:rFonts w:hint="default" w:ascii="宋体" w:hAnsi="宋体" w:eastAsia="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10</w:t>
            </w:r>
          </w:p>
        </w:tc>
        <w:tc>
          <w:tcPr>
            <w:tcW w:w="3239" w:type="pct"/>
            <w:tcBorders>
              <w:top w:val="single" w:color="auto" w:sz="4" w:space="0"/>
              <w:left w:val="single" w:color="auto" w:sz="4" w:space="0"/>
              <w:bottom w:val="single" w:color="auto" w:sz="4" w:space="0"/>
              <w:right w:val="single" w:color="auto" w:sz="4" w:space="0"/>
            </w:tcBorders>
            <w:noWrap/>
            <w:vAlign w:val="center"/>
          </w:tcPr>
          <w:p>
            <w:pPr>
              <w:pageBreakBefore w:val="0"/>
              <w:kinsoku/>
              <w:overflowPunct/>
              <w:bidi w:val="0"/>
              <w:snapToGrid/>
              <w:spacing w:line="480" w:lineRule="exact"/>
              <w:jc w:val="left"/>
              <w:textAlignment w:val="auto"/>
              <w:rPr>
                <w:rFonts w:hint="default" w:ascii="宋体" w:hAnsi="宋体" w:eastAsia="宋体" w:cs="宋体"/>
                <w:b w:val="0"/>
                <w:bCs/>
                <w:color w:val="auto"/>
                <w:kern w:val="2"/>
                <w:sz w:val="24"/>
                <w:szCs w:val="24"/>
                <w:highlight w:val="none"/>
                <w:lang w:val="en-US" w:eastAsia="zh-CN" w:bidi="ar-SA"/>
              </w:rPr>
            </w:pPr>
            <w:r>
              <w:rPr>
                <w:rFonts w:hint="eastAsia" w:hAnsi="宋体" w:cs="宋体"/>
                <w:b w:val="0"/>
                <w:bCs/>
                <w:color w:val="auto"/>
                <w:sz w:val="24"/>
                <w:szCs w:val="24"/>
                <w:highlight w:val="none"/>
                <w:u w:val="none"/>
              </w:rPr>
              <w:t>参加政府采购活动前3年内在经营活动中没有重大违法记录的书面声明</w:t>
            </w:r>
          </w:p>
        </w:tc>
        <w:tc>
          <w:tcPr>
            <w:tcW w:w="595" w:type="pct"/>
            <w:tcBorders>
              <w:top w:val="single" w:color="auto" w:sz="4" w:space="0"/>
              <w:left w:val="single" w:color="auto" w:sz="4" w:space="0"/>
              <w:bottom w:val="single" w:color="auto" w:sz="4" w:space="0"/>
              <w:right w:val="single" w:color="auto" w:sz="4" w:space="0"/>
            </w:tcBorders>
            <w:noWrap/>
            <w:vAlign w:val="center"/>
          </w:tcPr>
          <w:p>
            <w:pPr>
              <w:pageBreakBefore w:val="0"/>
              <w:kinsoku/>
              <w:overflowPunct/>
              <w:bidi w:val="0"/>
              <w:snapToGrid/>
              <w:spacing w:line="480" w:lineRule="exact"/>
              <w:textAlignment w:val="auto"/>
              <w:rPr>
                <w:rFonts w:hint="eastAsia" w:ascii="宋体" w:hAnsi="宋体" w:eastAsia="宋体" w:cs="宋体"/>
                <w:b w:val="0"/>
                <w:bCs/>
                <w:color w:val="auto"/>
                <w:kern w:val="2"/>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66" w:type="pct"/>
            <w:vMerge w:val="continue"/>
            <w:tcBorders>
              <w:left w:val="single" w:color="auto" w:sz="4" w:space="0"/>
              <w:right w:val="single" w:color="auto" w:sz="4" w:space="0"/>
            </w:tcBorders>
            <w:noWrap/>
            <w:vAlign w:val="center"/>
          </w:tcPr>
          <w:p>
            <w:pPr>
              <w:pageBreakBefore w:val="0"/>
              <w:kinsoku/>
              <w:overflowPunct/>
              <w:bidi w:val="0"/>
              <w:snapToGrid/>
              <w:spacing w:line="480" w:lineRule="exact"/>
              <w:jc w:val="center"/>
              <w:textAlignment w:val="auto"/>
              <w:rPr>
                <w:rFonts w:hint="eastAsia" w:ascii="宋体" w:hAnsi="宋体" w:eastAsia="宋体" w:cs="宋体"/>
                <w:b w:val="0"/>
                <w:bCs/>
                <w:color w:val="auto"/>
                <w:sz w:val="24"/>
                <w:szCs w:val="24"/>
                <w:highlight w:val="none"/>
                <w:lang w:val="en-US" w:eastAsia="zh-CN"/>
              </w:rPr>
            </w:pPr>
          </w:p>
        </w:tc>
        <w:tc>
          <w:tcPr>
            <w:tcW w:w="598" w:type="pct"/>
            <w:tcBorders>
              <w:top w:val="single" w:color="auto" w:sz="4" w:space="0"/>
              <w:left w:val="single" w:color="auto" w:sz="4" w:space="0"/>
              <w:bottom w:val="single" w:color="auto" w:sz="4" w:space="0"/>
              <w:right w:val="single" w:color="auto" w:sz="4" w:space="0"/>
            </w:tcBorders>
            <w:noWrap/>
            <w:vAlign w:val="center"/>
          </w:tcPr>
          <w:p>
            <w:pPr>
              <w:pageBreakBefore w:val="0"/>
              <w:kinsoku/>
              <w:overflowPunct/>
              <w:bidi w:val="0"/>
              <w:snapToGrid/>
              <w:spacing w:line="480" w:lineRule="exact"/>
              <w:jc w:val="center"/>
              <w:textAlignment w:val="auto"/>
              <w:rPr>
                <w:rFonts w:hint="default" w:ascii="宋体" w:hAnsi="宋体" w:eastAsia="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11</w:t>
            </w:r>
          </w:p>
        </w:tc>
        <w:tc>
          <w:tcPr>
            <w:tcW w:w="3239" w:type="pct"/>
            <w:tcBorders>
              <w:top w:val="single" w:color="auto" w:sz="4" w:space="0"/>
              <w:left w:val="single" w:color="auto" w:sz="4" w:space="0"/>
              <w:bottom w:val="single" w:color="auto" w:sz="4" w:space="0"/>
              <w:right w:val="single" w:color="auto" w:sz="4" w:space="0"/>
            </w:tcBorders>
            <w:noWrap/>
            <w:vAlign w:val="center"/>
          </w:tcPr>
          <w:p>
            <w:pPr>
              <w:pageBreakBefore w:val="0"/>
              <w:kinsoku/>
              <w:overflowPunct/>
              <w:bidi w:val="0"/>
              <w:snapToGrid/>
              <w:spacing w:line="480" w:lineRule="exact"/>
              <w:jc w:val="left"/>
              <w:textAlignment w:val="auto"/>
              <w:rPr>
                <w:rFonts w:hint="eastAsia" w:ascii="宋体" w:hAnsi="宋体" w:eastAsia="宋体" w:cs="宋体"/>
                <w:b w:val="0"/>
                <w:bCs/>
                <w:color w:val="auto"/>
                <w:kern w:val="2"/>
                <w:sz w:val="24"/>
                <w:szCs w:val="24"/>
                <w:highlight w:val="none"/>
                <w:lang w:val="en-US" w:eastAsia="zh-CN" w:bidi="ar-SA"/>
              </w:rPr>
            </w:pPr>
            <w:r>
              <w:rPr>
                <w:rFonts w:hint="eastAsia" w:hAnsi="宋体" w:cs="宋体"/>
                <w:b w:val="0"/>
                <w:bCs/>
                <w:color w:val="auto"/>
                <w:sz w:val="24"/>
                <w:szCs w:val="24"/>
                <w:highlight w:val="none"/>
                <w:u w:val="none"/>
              </w:rPr>
              <w:t>供应商反商业贿赂承诺书</w:t>
            </w:r>
          </w:p>
        </w:tc>
        <w:tc>
          <w:tcPr>
            <w:tcW w:w="595" w:type="pct"/>
            <w:tcBorders>
              <w:top w:val="single" w:color="auto" w:sz="4" w:space="0"/>
              <w:left w:val="single" w:color="auto" w:sz="4" w:space="0"/>
              <w:bottom w:val="single" w:color="auto" w:sz="4" w:space="0"/>
              <w:right w:val="single" w:color="auto" w:sz="4" w:space="0"/>
            </w:tcBorders>
            <w:noWrap/>
            <w:vAlign w:val="center"/>
          </w:tcPr>
          <w:p>
            <w:pPr>
              <w:pageBreakBefore w:val="0"/>
              <w:kinsoku/>
              <w:overflowPunct/>
              <w:bidi w:val="0"/>
              <w:snapToGrid/>
              <w:spacing w:line="480" w:lineRule="exact"/>
              <w:textAlignment w:val="auto"/>
              <w:rPr>
                <w:rFonts w:hint="eastAsia" w:ascii="宋体" w:hAnsi="宋体" w:eastAsia="宋体" w:cs="宋体"/>
                <w:b w:val="0"/>
                <w:bCs/>
                <w:color w:val="auto"/>
                <w:kern w:val="2"/>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5000" w:type="pct"/>
            <w:gridSpan w:val="4"/>
            <w:tcBorders>
              <w:left w:val="single" w:color="auto" w:sz="4" w:space="0"/>
              <w:bottom w:val="single" w:color="auto" w:sz="4" w:space="0"/>
              <w:right w:val="single" w:color="auto" w:sz="4" w:space="0"/>
            </w:tcBorders>
            <w:noWrap/>
            <w:vAlign w:val="center"/>
          </w:tcPr>
          <w:p>
            <w:pPr>
              <w:pageBreakBefore w:val="0"/>
              <w:kinsoku/>
              <w:overflowPunct/>
              <w:bidi w:val="0"/>
              <w:snapToGrid/>
              <w:spacing w:line="480" w:lineRule="exact"/>
              <w:jc w:val="center"/>
              <w:textAlignment w:val="auto"/>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以下为评分项目，请填写明确页码，以免遗漏评分材料。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566" w:type="pct"/>
            <w:tcBorders>
              <w:left w:val="single" w:color="auto" w:sz="4" w:space="0"/>
              <w:right w:val="single" w:color="auto" w:sz="4" w:space="0"/>
            </w:tcBorders>
            <w:noWrap/>
            <w:vAlign w:val="center"/>
          </w:tcPr>
          <w:p>
            <w:pPr>
              <w:pageBreakBefore w:val="0"/>
              <w:kinsoku/>
              <w:overflowPunct/>
              <w:bidi w:val="0"/>
              <w:snapToGrid/>
              <w:spacing w:line="480" w:lineRule="exact"/>
              <w:jc w:val="center"/>
              <w:textAlignment w:val="auto"/>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sz w:val="24"/>
                <w:szCs w:val="24"/>
                <w:highlight w:val="none"/>
              </w:rPr>
              <w:t>评分项目</w:t>
            </w:r>
          </w:p>
        </w:tc>
        <w:tc>
          <w:tcPr>
            <w:tcW w:w="598" w:type="pct"/>
            <w:tcBorders>
              <w:left w:val="single" w:color="auto" w:sz="4" w:space="0"/>
              <w:right w:val="single" w:color="auto" w:sz="4" w:space="0"/>
            </w:tcBorders>
            <w:noWrap/>
            <w:vAlign w:val="center"/>
          </w:tcPr>
          <w:p>
            <w:pPr>
              <w:pageBreakBefore w:val="0"/>
              <w:widowControl/>
              <w:kinsoku/>
              <w:overflowPunct/>
              <w:bidi w:val="0"/>
              <w:snapToGrid/>
              <w:spacing w:line="480" w:lineRule="exact"/>
              <w:jc w:val="center"/>
              <w:textAlignment w:val="auto"/>
              <w:rPr>
                <w:rFonts w:hint="eastAsia" w:ascii="宋体" w:hAnsi="宋体" w:eastAsia="宋体" w:cs="宋体"/>
                <w:b w:val="0"/>
                <w:bCs/>
                <w:color w:val="auto"/>
                <w:kern w:val="2"/>
                <w:sz w:val="24"/>
                <w:szCs w:val="24"/>
                <w:highlight w:val="none"/>
                <w:lang w:val="en-US" w:eastAsia="zh-CN" w:bidi="ar-SA"/>
              </w:rPr>
            </w:pPr>
            <w:r>
              <w:rPr>
                <w:rFonts w:hint="eastAsia" w:ascii="宋体" w:hAnsi="宋体" w:cs="宋体"/>
                <w:b/>
                <w:color w:val="auto"/>
                <w:sz w:val="24"/>
                <w:highlight w:val="none"/>
              </w:rPr>
              <w:t>评分细项</w:t>
            </w:r>
          </w:p>
        </w:tc>
        <w:tc>
          <w:tcPr>
            <w:tcW w:w="3239" w:type="pct"/>
            <w:tcBorders>
              <w:left w:val="single" w:color="auto" w:sz="4" w:space="0"/>
              <w:right w:val="single" w:color="auto" w:sz="4" w:space="0"/>
            </w:tcBorders>
            <w:noWrap/>
            <w:vAlign w:val="center"/>
          </w:tcPr>
          <w:p>
            <w:pPr>
              <w:pageBreakBefore w:val="0"/>
              <w:widowControl/>
              <w:kinsoku/>
              <w:overflowPunct/>
              <w:bidi w:val="0"/>
              <w:snapToGrid/>
              <w:spacing w:line="480" w:lineRule="exact"/>
              <w:jc w:val="center"/>
              <w:textAlignment w:val="auto"/>
              <w:rPr>
                <w:rFonts w:hint="eastAsia" w:ascii="宋体" w:hAnsi="宋体" w:eastAsia="宋体" w:cs="宋体"/>
                <w:b w:val="0"/>
                <w:bCs/>
                <w:color w:val="auto"/>
                <w:kern w:val="2"/>
                <w:sz w:val="24"/>
                <w:szCs w:val="24"/>
                <w:highlight w:val="none"/>
                <w:lang w:val="en-US" w:eastAsia="zh-CN" w:bidi="ar-SA"/>
              </w:rPr>
            </w:pPr>
            <w:r>
              <w:rPr>
                <w:rFonts w:hint="eastAsia" w:ascii="宋体" w:hAnsi="宋体" w:cs="宋体"/>
                <w:b/>
                <w:color w:val="auto"/>
                <w:sz w:val="24"/>
                <w:highlight w:val="none"/>
              </w:rPr>
              <w:t>评分标准</w:t>
            </w:r>
          </w:p>
        </w:tc>
        <w:tc>
          <w:tcPr>
            <w:tcW w:w="595" w:type="pct"/>
            <w:tcBorders>
              <w:left w:val="single" w:color="auto" w:sz="4" w:space="0"/>
              <w:right w:val="single" w:color="auto" w:sz="4" w:space="0"/>
            </w:tcBorders>
            <w:noWrap/>
            <w:vAlign w:val="center"/>
          </w:tcPr>
          <w:p>
            <w:pPr>
              <w:pageBreakBefore w:val="0"/>
              <w:kinsoku/>
              <w:overflowPunct/>
              <w:bidi w:val="0"/>
              <w:snapToGrid/>
              <w:spacing w:line="480" w:lineRule="exact"/>
              <w:jc w:val="center"/>
              <w:textAlignment w:val="auto"/>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对应</w:t>
            </w:r>
          </w:p>
          <w:p>
            <w:pPr>
              <w:pageBreakBefore w:val="0"/>
              <w:kinsoku/>
              <w:overflowPunct/>
              <w:bidi w:val="0"/>
              <w:snapToGrid/>
              <w:spacing w:line="480" w:lineRule="exact"/>
              <w:jc w:val="center"/>
              <w:textAlignment w:val="auto"/>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566" w:type="pct"/>
            <w:tcBorders>
              <w:left w:val="single" w:color="auto" w:sz="4" w:space="0"/>
              <w:right w:val="single" w:color="auto" w:sz="4" w:space="0"/>
            </w:tcBorders>
            <w:noWrap/>
            <w:vAlign w:val="center"/>
          </w:tcPr>
          <w:p>
            <w:pPr>
              <w:widowControl/>
              <w:spacing w:line="500" w:lineRule="exact"/>
              <w:rPr>
                <w:rFonts w:hint="eastAsia" w:ascii="宋体" w:hAnsi="宋体" w:eastAsia="宋体" w:cs="宋体"/>
                <w:b w:val="0"/>
                <w:bCs/>
                <w:color w:val="auto"/>
                <w:sz w:val="24"/>
                <w:szCs w:val="24"/>
                <w:highlight w:val="none"/>
              </w:rPr>
            </w:pPr>
            <w:r>
              <w:rPr>
                <w:rFonts w:hint="eastAsia" w:ascii="宋体" w:hAnsi="宋体" w:eastAsia="宋体" w:cs="宋体"/>
                <w:color w:val="auto"/>
                <w:sz w:val="24"/>
                <w:szCs w:val="24"/>
                <w:highlight w:val="none"/>
              </w:rPr>
              <w:t>报价部分</w:t>
            </w:r>
          </w:p>
        </w:tc>
        <w:tc>
          <w:tcPr>
            <w:tcW w:w="598" w:type="pct"/>
            <w:tcBorders>
              <w:left w:val="single" w:color="auto" w:sz="4" w:space="0"/>
              <w:right w:val="single" w:color="auto" w:sz="4" w:space="0"/>
            </w:tcBorders>
            <w:noWrap/>
            <w:vAlign w:val="center"/>
          </w:tcPr>
          <w:p>
            <w:pPr>
              <w:widowControl/>
              <w:spacing w:line="500" w:lineRule="exact"/>
              <w:jc w:val="center"/>
              <w:rPr>
                <w:rFonts w:hint="eastAsia" w:ascii="宋体" w:hAnsi="宋体" w:cs="宋体"/>
                <w:b/>
                <w:color w:val="auto"/>
                <w:sz w:val="24"/>
                <w:highlight w:val="none"/>
              </w:rPr>
            </w:pPr>
            <w:r>
              <w:rPr>
                <w:rFonts w:hint="eastAsia" w:ascii="宋体" w:hAnsi="宋体" w:eastAsia="宋体" w:cs="宋体"/>
                <w:color w:val="auto"/>
                <w:sz w:val="24"/>
                <w:szCs w:val="24"/>
                <w:highlight w:val="none"/>
              </w:rPr>
              <w:t>报价得分（</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分）</w:t>
            </w:r>
          </w:p>
        </w:tc>
        <w:tc>
          <w:tcPr>
            <w:tcW w:w="3239" w:type="pct"/>
            <w:tcBorders>
              <w:left w:val="single" w:color="auto" w:sz="4" w:space="0"/>
              <w:right w:val="single" w:color="auto" w:sz="4" w:space="0"/>
            </w:tcBorders>
            <w:noWrap/>
            <w:vAlign w:val="center"/>
          </w:tcPr>
          <w:p>
            <w:pPr>
              <w:widowControl/>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以满足磋商文件要求且最终报价最低的报价为评标基准价，其价格分为满分</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分，其他供应商的价格分按照下列公式计算：报价得分=（评标基准价/投标报价）×</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w:t>
            </w:r>
          </w:p>
          <w:p>
            <w:pPr>
              <w:widowControl/>
              <w:spacing w:line="500" w:lineRule="exact"/>
              <w:ind w:firstLine="480" w:firstLineChars="200"/>
              <w:rPr>
                <w:rFonts w:hint="eastAsia" w:ascii="宋体" w:hAnsi="宋体" w:cs="宋体"/>
                <w:b/>
                <w:color w:val="auto"/>
                <w:sz w:val="24"/>
                <w:highlight w:val="none"/>
              </w:rPr>
            </w:pPr>
            <w:r>
              <w:rPr>
                <w:rFonts w:hint="eastAsia" w:ascii="宋体" w:hAnsi="宋体" w:eastAsia="宋体" w:cs="宋体"/>
                <w:color w:val="auto"/>
                <w:sz w:val="24"/>
                <w:szCs w:val="24"/>
                <w:highlight w:val="none"/>
              </w:rPr>
              <w:t>注：磋商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经磋商小组取得一致意见后，可拒绝该报价。</w:t>
            </w:r>
          </w:p>
        </w:tc>
        <w:tc>
          <w:tcPr>
            <w:tcW w:w="595" w:type="pct"/>
            <w:tcBorders>
              <w:left w:val="single" w:color="auto" w:sz="4" w:space="0"/>
              <w:right w:val="single" w:color="auto" w:sz="4" w:space="0"/>
            </w:tcBorders>
            <w:noWrap/>
            <w:vAlign w:val="center"/>
          </w:tcPr>
          <w:p>
            <w:pPr>
              <w:pageBreakBefore w:val="0"/>
              <w:kinsoku/>
              <w:overflowPunct/>
              <w:bidi w:val="0"/>
              <w:snapToGrid/>
              <w:spacing w:line="480" w:lineRule="exact"/>
              <w:jc w:val="center"/>
              <w:textAlignment w:val="auto"/>
              <w:rPr>
                <w:rFonts w:hint="eastAsia" w:ascii="宋体" w:hAnsi="宋体" w:eastAsia="宋体" w:cs="宋体"/>
                <w:b w:val="0"/>
                <w:bCs/>
                <w:color w:val="auto"/>
                <w:kern w:val="2"/>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566" w:type="pct"/>
            <w:vMerge w:val="restart"/>
            <w:tcBorders>
              <w:left w:val="single" w:color="auto" w:sz="4" w:space="0"/>
              <w:right w:val="single" w:color="auto" w:sz="4" w:space="0"/>
            </w:tcBorders>
            <w:noWrap/>
            <w:vAlign w:val="center"/>
          </w:tcPr>
          <w:p>
            <w:pPr>
              <w:widowControl/>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商务部分</w:t>
            </w:r>
          </w:p>
        </w:tc>
        <w:tc>
          <w:tcPr>
            <w:tcW w:w="1152" w:type="dxa"/>
            <w:tcBorders>
              <w:left w:val="single" w:color="auto" w:sz="4" w:space="0"/>
              <w:right w:val="single" w:color="auto" w:sz="4" w:space="0"/>
            </w:tcBorders>
            <w:noWrap/>
            <w:vAlign w:val="center"/>
          </w:tcPr>
          <w:p>
            <w:pPr>
              <w:widowControl/>
              <w:spacing w:line="500" w:lineRule="exac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同类业绩</w:t>
            </w:r>
          </w:p>
          <w:p>
            <w:pPr>
              <w:widowControl/>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（5分）</w:t>
            </w:r>
          </w:p>
        </w:tc>
        <w:tc>
          <w:tcPr>
            <w:tcW w:w="6233" w:type="dxa"/>
            <w:tcBorders>
              <w:left w:val="single" w:color="auto" w:sz="4" w:space="0"/>
              <w:right w:val="single" w:color="auto" w:sz="4" w:space="0"/>
            </w:tcBorders>
            <w:noWrap/>
            <w:vAlign w:val="center"/>
          </w:tcPr>
          <w:p>
            <w:pPr>
              <w:widowControl/>
              <w:spacing w:line="50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提供自20</w:t>
            </w:r>
            <w:r>
              <w:rPr>
                <w:rFonts w:hint="eastAsia" w:ascii="宋体" w:hAnsi="宋体" w:cs="宋体"/>
                <w:color w:val="auto"/>
                <w:sz w:val="24"/>
                <w:highlight w:val="none"/>
                <w:lang w:val="en-US" w:eastAsia="zh-CN"/>
              </w:rPr>
              <w:t>21</w:t>
            </w:r>
            <w:r>
              <w:rPr>
                <w:rFonts w:hint="eastAsia" w:ascii="宋体" w:hAnsi="宋体" w:cs="宋体"/>
                <w:color w:val="auto"/>
                <w:sz w:val="24"/>
                <w:highlight w:val="none"/>
              </w:rPr>
              <w:t>年01月01日起至开标日（以合同签订时间为准） 承揽的类似项目业绩的合同，每提供1份得1分，最高得5分；</w:t>
            </w:r>
          </w:p>
          <w:p>
            <w:pPr>
              <w:keepNext w:val="0"/>
              <w:keepLines w:val="0"/>
              <w:pageBreakBefore w:val="0"/>
              <w:widowControl w:val="0"/>
              <w:kinsoku/>
              <w:wordWrap/>
              <w:overflowPunct/>
              <w:topLinePunct w:val="0"/>
              <w:autoSpaceDE/>
              <w:autoSpaceDN/>
              <w:bidi w:val="0"/>
              <w:adjustRightInd/>
              <w:snapToGrid/>
              <w:spacing w:line="480" w:lineRule="exact"/>
              <w:ind w:firstLine="240" w:firstLineChars="1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注：须提供</w:t>
            </w:r>
            <w:r>
              <w:rPr>
                <w:rFonts w:hint="eastAsia" w:ascii="宋体" w:hAnsi="宋体" w:eastAsia="宋体" w:cs="宋体"/>
                <w:color w:val="auto"/>
                <w:sz w:val="24"/>
                <w:szCs w:val="24"/>
                <w:highlight w:val="none"/>
                <w:lang w:val="en-US" w:eastAsia="zh-CN"/>
              </w:rPr>
              <w:t>合同</w:t>
            </w:r>
            <w:r>
              <w:rPr>
                <w:rFonts w:hint="eastAsia" w:ascii="宋体" w:hAnsi="宋体" w:eastAsia="宋体" w:cs="宋体"/>
                <w:color w:val="auto"/>
                <w:sz w:val="24"/>
                <w:szCs w:val="24"/>
                <w:highlight w:val="none"/>
              </w:rPr>
              <w:t>和中标（成交）通知书</w:t>
            </w:r>
            <w:r>
              <w:rPr>
                <w:rFonts w:hint="eastAsia" w:ascii="宋体" w:hAnsi="宋体" w:eastAsia="宋体" w:cs="宋体"/>
                <w:color w:val="auto"/>
                <w:sz w:val="24"/>
                <w:szCs w:val="24"/>
                <w:highlight w:val="none"/>
              </w:rPr>
              <w:t>复印件附在响应文件中，</w:t>
            </w:r>
            <w:r>
              <w:rPr>
                <w:rFonts w:hint="eastAsia" w:ascii="宋体" w:hAnsi="宋体" w:eastAsia="宋体" w:cs="宋体"/>
                <w:color w:val="auto"/>
                <w:sz w:val="24"/>
                <w:szCs w:val="24"/>
                <w:highlight w:val="none"/>
              </w:rPr>
              <w:t>并提供合同和中标（成交）通知书原件供现场查验。未按上述要求提供的业绩不予认可。</w:t>
            </w:r>
          </w:p>
        </w:tc>
        <w:tc>
          <w:tcPr>
            <w:tcW w:w="595" w:type="pct"/>
            <w:tcBorders>
              <w:left w:val="single" w:color="auto" w:sz="4" w:space="0"/>
              <w:right w:val="single" w:color="auto" w:sz="4" w:space="0"/>
            </w:tcBorders>
            <w:noWrap/>
            <w:vAlign w:val="center"/>
          </w:tcPr>
          <w:p>
            <w:pPr>
              <w:pageBreakBefore w:val="0"/>
              <w:kinsoku/>
              <w:overflowPunct/>
              <w:bidi w:val="0"/>
              <w:snapToGrid/>
              <w:spacing w:line="480" w:lineRule="exact"/>
              <w:jc w:val="center"/>
              <w:textAlignment w:val="auto"/>
              <w:rPr>
                <w:rFonts w:hint="eastAsia" w:ascii="宋体" w:hAnsi="宋体" w:eastAsia="宋体" w:cs="宋体"/>
                <w:b w:val="0"/>
                <w:bCs/>
                <w:color w:val="auto"/>
                <w:kern w:val="2"/>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566" w:type="pct"/>
            <w:vMerge w:val="continue"/>
            <w:tcBorders>
              <w:left w:val="single" w:color="auto" w:sz="4" w:space="0"/>
              <w:right w:val="single" w:color="auto" w:sz="4" w:space="0"/>
            </w:tcBorders>
            <w:noWrap/>
            <w:vAlign w:val="center"/>
          </w:tcPr>
          <w:p>
            <w:pPr>
              <w:widowControl/>
              <w:spacing w:line="500" w:lineRule="exact"/>
              <w:rPr>
                <w:rFonts w:hint="eastAsia" w:ascii="宋体" w:hAnsi="宋体" w:eastAsia="宋体" w:cs="宋体"/>
                <w:color w:val="auto"/>
                <w:sz w:val="24"/>
                <w:szCs w:val="24"/>
                <w:highlight w:val="none"/>
              </w:rPr>
            </w:pPr>
          </w:p>
        </w:tc>
        <w:tc>
          <w:tcPr>
            <w:tcW w:w="1152" w:type="dxa"/>
            <w:tcBorders>
              <w:left w:val="single" w:color="auto" w:sz="4" w:space="0"/>
              <w:right w:val="single" w:color="auto" w:sz="4" w:space="0"/>
            </w:tcBorders>
            <w:noWrap/>
            <w:vAlign w:val="center"/>
          </w:tcPr>
          <w:p>
            <w:pPr>
              <w:widowControl/>
              <w:spacing w:line="500" w:lineRule="exact"/>
              <w:jc w:val="center"/>
              <w:rPr>
                <w:rFonts w:hint="eastAsia" w:ascii="宋体" w:hAnsi="宋体" w:eastAsia="宋体" w:cs="宋体"/>
                <w:color w:val="auto"/>
                <w:sz w:val="24"/>
                <w:szCs w:val="24"/>
                <w:highlight w:val="none"/>
              </w:rPr>
            </w:pPr>
            <w:r>
              <w:rPr>
                <w:rFonts w:hint="eastAsia" w:ascii="宋体" w:hAnsi="宋体" w:cs="宋体"/>
                <w:color w:val="auto"/>
                <w:sz w:val="24"/>
                <w:highlight w:val="none"/>
                <w:lang w:val="en-US" w:eastAsia="zh-CN"/>
              </w:rPr>
              <w:t>与履约有关的认证情况（5分）</w:t>
            </w:r>
          </w:p>
        </w:tc>
        <w:tc>
          <w:tcPr>
            <w:tcW w:w="6233" w:type="dxa"/>
            <w:tcBorders>
              <w:left w:val="single" w:color="auto" w:sz="4" w:space="0"/>
              <w:right w:val="single" w:color="auto" w:sz="4" w:space="0"/>
            </w:tcBorders>
            <w:noWrap/>
            <w:vAlign w:val="center"/>
          </w:tcPr>
          <w:p>
            <w:pPr>
              <w:widowControl/>
              <w:spacing w:line="500" w:lineRule="exact"/>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供应商具有《防伪印刷相关资质证书》得2分、《环境标志产品认证证书》得1分、《信息安全管理体系认证证书》得1分，《质量管理体系认证证书》得1分。</w:t>
            </w:r>
          </w:p>
          <w:p>
            <w:pPr>
              <w:widowControl/>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lang w:val="en-US" w:eastAsia="zh-CN"/>
              </w:rPr>
              <w:t>供应商须在响应文件中提供有效的证书复印件，未提供或不在有效期不得分。</w:t>
            </w:r>
          </w:p>
        </w:tc>
        <w:tc>
          <w:tcPr>
            <w:tcW w:w="595" w:type="pct"/>
            <w:tcBorders>
              <w:left w:val="single" w:color="auto" w:sz="4" w:space="0"/>
              <w:right w:val="single" w:color="auto" w:sz="4" w:space="0"/>
            </w:tcBorders>
            <w:noWrap/>
            <w:vAlign w:val="center"/>
          </w:tcPr>
          <w:p>
            <w:pPr>
              <w:pageBreakBefore w:val="0"/>
              <w:kinsoku/>
              <w:overflowPunct/>
              <w:bidi w:val="0"/>
              <w:snapToGrid/>
              <w:spacing w:line="480" w:lineRule="exact"/>
              <w:jc w:val="center"/>
              <w:textAlignment w:val="auto"/>
              <w:rPr>
                <w:rFonts w:hint="eastAsia" w:ascii="宋体" w:hAnsi="宋体" w:eastAsia="宋体" w:cs="宋体"/>
                <w:b w:val="0"/>
                <w:bCs/>
                <w:color w:val="auto"/>
                <w:kern w:val="2"/>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566" w:type="pct"/>
            <w:vMerge w:val="restart"/>
            <w:tcBorders>
              <w:left w:val="single" w:color="auto" w:sz="4" w:space="0"/>
              <w:right w:val="single" w:color="auto" w:sz="4" w:space="0"/>
            </w:tcBorders>
            <w:noWrap/>
            <w:vAlign w:val="center"/>
          </w:tcPr>
          <w:p>
            <w:pPr>
              <w:widowControl/>
              <w:spacing w:line="5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技术服务部分</w:t>
            </w:r>
          </w:p>
        </w:tc>
        <w:tc>
          <w:tcPr>
            <w:tcW w:w="1152" w:type="dxa"/>
            <w:tcBorders>
              <w:left w:val="single" w:color="auto" w:sz="4" w:space="0"/>
              <w:right w:val="single" w:color="auto" w:sz="4" w:space="0"/>
            </w:tcBorders>
            <w:noWrap/>
            <w:vAlign w:val="center"/>
          </w:tcPr>
          <w:p>
            <w:pPr>
              <w:widowControl/>
              <w:spacing w:line="500" w:lineRule="exact"/>
              <w:rPr>
                <w:rFonts w:hint="eastAsia" w:ascii="宋体" w:hAnsi="宋体" w:eastAsia="宋体" w:cs="宋体"/>
                <w:color w:val="auto"/>
                <w:sz w:val="24"/>
                <w:szCs w:val="24"/>
                <w:highlight w:val="none"/>
              </w:rPr>
            </w:pPr>
            <w:r>
              <w:rPr>
                <w:rFonts w:hint="eastAsia" w:ascii="宋体" w:hAnsi="宋体" w:cs="宋体"/>
                <w:color w:val="auto"/>
                <w:sz w:val="24"/>
                <w:highlight w:val="none"/>
              </w:rPr>
              <w:t>产品技术参数（</w:t>
            </w:r>
            <w:r>
              <w:rPr>
                <w:rFonts w:hint="eastAsia" w:ascii="宋体" w:hAnsi="宋体" w:cs="宋体"/>
                <w:color w:val="auto"/>
                <w:sz w:val="24"/>
                <w:highlight w:val="none"/>
                <w:lang w:val="en-US" w:eastAsia="zh-CN"/>
              </w:rPr>
              <w:t>15</w:t>
            </w:r>
            <w:r>
              <w:rPr>
                <w:rFonts w:hint="eastAsia" w:ascii="宋体" w:hAnsi="宋体" w:cs="宋体"/>
                <w:color w:val="auto"/>
                <w:sz w:val="24"/>
                <w:highlight w:val="none"/>
              </w:rPr>
              <w:t>分）</w:t>
            </w:r>
          </w:p>
        </w:tc>
        <w:tc>
          <w:tcPr>
            <w:tcW w:w="6233" w:type="dxa"/>
            <w:tcBorders>
              <w:left w:val="single" w:color="auto" w:sz="4" w:space="0"/>
              <w:right w:val="single" w:color="auto" w:sz="4" w:space="0"/>
            </w:tcBorders>
            <w:noWrap/>
            <w:vAlign w:val="center"/>
          </w:tcPr>
          <w:p>
            <w:pPr>
              <w:widowControl/>
              <w:spacing w:line="500" w:lineRule="exact"/>
              <w:ind w:firstLine="480" w:firstLineChars="200"/>
              <w:rPr>
                <w:rFonts w:hint="default" w:ascii="宋体" w:hAnsi="宋体" w:cs="宋体"/>
                <w:color w:val="auto"/>
                <w:sz w:val="24"/>
                <w:highlight w:val="none"/>
                <w:lang w:val="en-US"/>
              </w:rPr>
            </w:pPr>
            <w:r>
              <w:rPr>
                <w:rFonts w:hint="eastAsia" w:ascii="宋体" w:hAnsi="宋体" w:cs="宋体"/>
                <w:color w:val="auto"/>
                <w:sz w:val="24"/>
                <w:highlight w:val="none"/>
                <w:lang w:val="en-US" w:eastAsia="zh-CN"/>
              </w:rPr>
              <w:t>1.评委</w:t>
            </w:r>
            <w:r>
              <w:rPr>
                <w:rFonts w:hint="eastAsia" w:ascii="宋体" w:hAnsi="宋体" w:cs="宋体"/>
                <w:color w:val="auto"/>
                <w:sz w:val="24"/>
                <w:highlight w:val="none"/>
              </w:rPr>
              <w:t>根据供应商的印刷工艺、印刷技术的描述进行评审：磋商小组对供应商印刷工艺</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印刷技术</w:t>
            </w:r>
            <w:r>
              <w:rPr>
                <w:rFonts w:hint="eastAsia" w:ascii="宋体" w:hAnsi="宋体" w:cs="宋体"/>
                <w:color w:val="auto"/>
                <w:sz w:val="24"/>
                <w:highlight w:val="none"/>
              </w:rPr>
              <w:t>的主要技术、</w:t>
            </w:r>
            <w:r>
              <w:rPr>
                <w:rFonts w:hint="eastAsia" w:ascii="宋体" w:hAnsi="宋体" w:cs="宋体"/>
                <w:color w:val="auto"/>
                <w:sz w:val="24"/>
                <w:highlight w:val="none"/>
                <w:lang w:val="en-US" w:eastAsia="zh-CN"/>
              </w:rPr>
              <w:t>印刷流程</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绿色环保印刷材料</w:t>
            </w:r>
            <w:r>
              <w:rPr>
                <w:rFonts w:hint="eastAsia" w:ascii="宋体" w:hAnsi="宋体" w:cs="宋体"/>
                <w:color w:val="auto"/>
                <w:sz w:val="24"/>
                <w:highlight w:val="none"/>
              </w:rPr>
              <w:t>（印版、油墨、烫金箔、胶黏剂等）</w:t>
            </w:r>
            <w:r>
              <w:rPr>
                <w:rFonts w:hint="eastAsia" w:ascii="宋体" w:hAnsi="宋体" w:cs="宋体"/>
                <w:color w:val="auto"/>
                <w:sz w:val="24"/>
                <w:highlight w:val="none"/>
                <w:lang w:val="en-US" w:eastAsia="zh-CN"/>
              </w:rPr>
              <w:t>、</w:t>
            </w:r>
            <w:r>
              <w:rPr>
                <w:rFonts w:hint="eastAsia" w:ascii="宋体" w:hAnsi="宋体" w:cs="宋体"/>
                <w:color w:val="auto"/>
                <w:sz w:val="24"/>
                <w:highlight w:val="none"/>
              </w:rPr>
              <w:t>质量水平进行综合比较打分：完全满足或优于采购需求，得</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分，每有1 处不足或劣势扣1分，扣完为止。</w:t>
            </w:r>
            <w:r>
              <w:rPr>
                <w:rFonts w:hint="eastAsia" w:ascii="宋体" w:hAnsi="宋体" w:cs="宋体"/>
                <w:color w:val="auto"/>
                <w:sz w:val="24"/>
                <w:highlight w:val="none"/>
                <w:lang w:val="en-US" w:eastAsia="zh-CN"/>
              </w:rPr>
              <w:t>未提供本项目描述的不得分。</w:t>
            </w:r>
          </w:p>
          <w:p>
            <w:pPr>
              <w:widowControl/>
              <w:spacing w:line="500" w:lineRule="exact"/>
              <w:ind w:firstLine="480" w:firstLineChars="200"/>
              <w:rPr>
                <w:rFonts w:hint="eastAsia" w:ascii="宋体" w:hAnsi="宋体" w:eastAsia="宋体" w:cs="宋体"/>
                <w:color w:val="auto"/>
                <w:sz w:val="24"/>
                <w:szCs w:val="24"/>
                <w:highlight w:val="none"/>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技术偏离项，共</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分，报价产品每项低于磋商文件要求的微小偏离扣</w:t>
            </w:r>
            <w:r>
              <w:rPr>
                <w:rFonts w:hint="eastAsia" w:ascii="宋体" w:hAnsi="宋体" w:cs="宋体"/>
                <w:color w:val="auto"/>
                <w:sz w:val="24"/>
                <w:highlight w:val="none"/>
                <w:lang w:val="en-US" w:eastAsia="zh-CN"/>
              </w:rPr>
              <w:t>0.5</w:t>
            </w:r>
            <w:r>
              <w:rPr>
                <w:rFonts w:hint="eastAsia" w:ascii="宋体" w:hAnsi="宋体" w:cs="宋体"/>
                <w:color w:val="auto"/>
                <w:sz w:val="24"/>
                <w:highlight w:val="none"/>
              </w:rPr>
              <w:t>分，扣完为止，若无偏离或高于磋商文件要求的得</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分。</w:t>
            </w:r>
            <w:r>
              <w:rPr>
                <w:rFonts w:hint="eastAsia" w:ascii="宋体" w:hAnsi="宋体" w:eastAsia="宋体" w:cs="宋体"/>
                <w:b w:val="0"/>
                <w:bCs/>
                <w:color w:val="auto"/>
                <w:sz w:val="24"/>
                <w:szCs w:val="24"/>
                <w:highlight w:val="none"/>
              </w:rPr>
              <w:t>对</w:t>
            </w:r>
            <w:r>
              <w:rPr>
                <w:rFonts w:hint="eastAsia" w:ascii="宋体" w:hAnsi="宋体" w:eastAsia="宋体" w:cs="宋体"/>
                <w:b w:val="0"/>
                <w:bCs/>
                <w:color w:val="auto"/>
                <w:sz w:val="24"/>
                <w:szCs w:val="24"/>
                <w:highlight w:val="none"/>
                <w:lang w:val="en-US" w:eastAsia="zh-CN"/>
              </w:rPr>
              <w:t>竞争性磋商文件</w:t>
            </w:r>
            <w:r>
              <w:rPr>
                <w:rFonts w:hint="eastAsia" w:ascii="宋体" w:hAnsi="宋体" w:eastAsia="宋体" w:cs="宋体"/>
                <w:b w:val="0"/>
                <w:bCs/>
                <w:color w:val="auto"/>
                <w:sz w:val="24"/>
                <w:szCs w:val="24"/>
                <w:highlight w:val="none"/>
              </w:rPr>
              <w:t>技术要求不做任何响应的，认定为负偏离以及有负偏离而未注明的，每发现一项扣</w:t>
            </w:r>
            <w:r>
              <w:rPr>
                <w:rFonts w:hint="eastAsia" w:ascii="宋体" w:hAnsi="宋体" w:eastAsia="宋体" w:cs="宋体"/>
                <w:b w:val="0"/>
                <w:bCs/>
                <w:color w:val="auto"/>
                <w:sz w:val="24"/>
                <w:szCs w:val="24"/>
                <w:highlight w:val="none"/>
                <w:lang w:val="en-US" w:eastAsia="zh-CN"/>
              </w:rPr>
              <w:t>2</w:t>
            </w:r>
            <w:r>
              <w:rPr>
                <w:rFonts w:hint="eastAsia" w:ascii="宋体" w:hAnsi="宋体" w:eastAsia="宋体" w:cs="宋体"/>
                <w:b w:val="0"/>
                <w:bCs/>
                <w:color w:val="auto"/>
                <w:sz w:val="24"/>
                <w:szCs w:val="24"/>
                <w:highlight w:val="none"/>
              </w:rPr>
              <w:t>分，扣完为止</w:t>
            </w:r>
            <w:r>
              <w:rPr>
                <w:rFonts w:hint="eastAsia" w:ascii="宋体" w:hAnsi="宋体" w:cs="宋体"/>
                <w:color w:val="auto"/>
                <w:sz w:val="24"/>
                <w:highlight w:val="none"/>
              </w:rPr>
              <w:t>。</w:t>
            </w:r>
          </w:p>
        </w:tc>
        <w:tc>
          <w:tcPr>
            <w:tcW w:w="595" w:type="pct"/>
            <w:tcBorders>
              <w:left w:val="single" w:color="auto" w:sz="4" w:space="0"/>
              <w:right w:val="single" w:color="auto" w:sz="4" w:space="0"/>
            </w:tcBorders>
            <w:noWrap/>
            <w:vAlign w:val="center"/>
          </w:tcPr>
          <w:p>
            <w:pPr>
              <w:pageBreakBefore w:val="0"/>
              <w:kinsoku/>
              <w:overflowPunct/>
              <w:bidi w:val="0"/>
              <w:snapToGrid/>
              <w:spacing w:line="480" w:lineRule="exact"/>
              <w:jc w:val="center"/>
              <w:textAlignment w:val="auto"/>
              <w:rPr>
                <w:rFonts w:hint="eastAsia" w:ascii="宋体" w:hAnsi="宋体" w:eastAsia="宋体" w:cs="宋体"/>
                <w:b w:val="0"/>
                <w:bCs/>
                <w:color w:val="auto"/>
                <w:kern w:val="2"/>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566" w:type="pct"/>
            <w:vMerge w:val="continue"/>
            <w:tcBorders>
              <w:left w:val="single" w:color="auto" w:sz="4" w:space="0"/>
              <w:right w:val="single" w:color="auto" w:sz="4" w:space="0"/>
            </w:tcBorders>
            <w:noWrap/>
            <w:vAlign w:val="center"/>
          </w:tcPr>
          <w:p>
            <w:pPr>
              <w:widowControl/>
              <w:spacing w:line="500" w:lineRule="exact"/>
              <w:rPr>
                <w:rFonts w:hint="eastAsia" w:ascii="宋体" w:hAnsi="宋体" w:eastAsia="宋体" w:cs="宋体"/>
                <w:color w:val="auto"/>
                <w:sz w:val="24"/>
                <w:szCs w:val="24"/>
                <w:highlight w:val="none"/>
              </w:rPr>
            </w:pPr>
          </w:p>
        </w:tc>
        <w:tc>
          <w:tcPr>
            <w:tcW w:w="1152" w:type="dxa"/>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cs="宋体"/>
                <w:color w:val="auto"/>
                <w:sz w:val="24"/>
                <w:highlight w:val="none"/>
                <w:lang w:val="en-US" w:eastAsia="zh-CN"/>
              </w:rPr>
              <w:t>样品（10分）</w:t>
            </w:r>
          </w:p>
        </w:tc>
        <w:tc>
          <w:tcPr>
            <w:tcW w:w="6233" w:type="dxa"/>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评委</w:t>
            </w:r>
            <w:r>
              <w:rPr>
                <w:rFonts w:hint="eastAsia" w:ascii="宋体" w:hAnsi="宋体" w:cs="宋体"/>
                <w:color w:val="auto"/>
                <w:sz w:val="24"/>
                <w:highlight w:val="none"/>
              </w:rPr>
              <w:t xml:space="preserve">根据供应商提供样品的外观、防伪、印刷工艺、材质、色泽 等效果进行评审： </w:t>
            </w:r>
          </w:p>
          <w:p>
            <w:pPr>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cs="宋体"/>
                <w:color w:val="auto"/>
                <w:sz w:val="24"/>
                <w:highlight w:val="none"/>
                <w:lang w:val="zh-CN"/>
              </w:rPr>
            </w:pPr>
            <w:r>
              <w:rPr>
                <w:rFonts w:hint="eastAsia" w:ascii="宋体" w:hAnsi="宋体" w:cs="宋体"/>
                <w:color w:val="auto"/>
                <w:sz w:val="24"/>
                <w:highlight w:val="none"/>
                <w:lang w:val="en-US" w:eastAsia="zh-CN"/>
              </w:rPr>
              <w:t>1.</w:t>
            </w:r>
            <w:r>
              <w:rPr>
                <w:rFonts w:hint="eastAsia" w:ascii="宋体" w:hAnsi="宋体" w:cs="宋体"/>
                <w:color w:val="auto"/>
                <w:sz w:val="24"/>
                <w:highlight w:val="none"/>
                <w:lang w:val="zh-CN"/>
              </w:rPr>
              <w:t>样品外观设计、防伪设计美观，工艺先进，材质、厚度、手感、字迹、墨迹、颜色等印刷质量优于</w:t>
            </w:r>
            <w:r>
              <w:rPr>
                <w:rFonts w:hint="eastAsia" w:ascii="宋体" w:hAnsi="宋体" w:cs="宋体"/>
                <w:color w:val="auto"/>
                <w:sz w:val="24"/>
                <w:highlight w:val="none"/>
                <w:lang w:val="en-US" w:eastAsia="zh-CN"/>
              </w:rPr>
              <w:t>磋商</w:t>
            </w:r>
            <w:r>
              <w:rPr>
                <w:rFonts w:hint="eastAsia" w:ascii="宋体" w:hAnsi="宋体" w:cs="宋体"/>
                <w:color w:val="auto"/>
                <w:sz w:val="24"/>
                <w:highlight w:val="none"/>
                <w:lang w:val="zh-CN"/>
              </w:rPr>
              <w:t>文件要求，得</w:t>
            </w:r>
            <w:r>
              <w:rPr>
                <w:rFonts w:hint="eastAsia" w:ascii="宋体" w:hAnsi="宋体" w:cs="宋体"/>
                <w:color w:val="auto"/>
                <w:sz w:val="24"/>
                <w:highlight w:val="none"/>
                <w:lang w:val="en-US" w:eastAsia="zh-CN"/>
              </w:rPr>
              <w:t>10</w:t>
            </w:r>
            <w:r>
              <w:rPr>
                <w:rFonts w:hint="eastAsia" w:ascii="宋体" w:hAnsi="宋体" w:cs="宋体"/>
                <w:color w:val="auto"/>
                <w:sz w:val="24"/>
                <w:highlight w:val="none"/>
                <w:lang w:val="zh-CN"/>
              </w:rPr>
              <w:t>分；</w:t>
            </w:r>
          </w:p>
          <w:p>
            <w:pPr>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cs="宋体"/>
                <w:color w:val="auto"/>
                <w:sz w:val="24"/>
                <w:highlight w:val="none"/>
                <w:lang w:val="zh-CN"/>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lang w:val="zh-CN"/>
              </w:rPr>
              <w:t>样品用材优于项目需求，外观设计及印刷工艺精美的，得</w:t>
            </w:r>
            <w:r>
              <w:rPr>
                <w:rFonts w:hint="eastAsia" w:ascii="宋体" w:hAnsi="宋体" w:cs="宋体"/>
                <w:color w:val="auto"/>
                <w:sz w:val="24"/>
                <w:highlight w:val="none"/>
                <w:lang w:val="en-US" w:eastAsia="zh-CN"/>
              </w:rPr>
              <w:t>8</w:t>
            </w:r>
            <w:r>
              <w:rPr>
                <w:rFonts w:hint="eastAsia" w:ascii="宋体" w:hAnsi="宋体" w:cs="宋体"/>
                <w:color w:val="auto"/>
                <w:sz w:val="24"/>
                <w:highlight w:val="none"/>
                <w:lang w:val="zh-CN"/>
              </w:rPr>
              <w:t>分；</w:t>
            </w:r>
          </w:p>
          <w:p>
            <w:pPr>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cs="宋体"/>
                <w:color w:val="auto"/>
                <w:sz w:val="24"/>
                <w:highlight w:val="none"/>
                <w:lang w:val="zh-CN"/>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lang w:val="zh-CN"/>
              </w:rPr>
              <w:t>样品整体质量仅能满足项目需求的，</w:t>
            </w:r>
            <w:r>
              <w:rPr>
                <w:rFonts w:hint="eastAsia" w:ascii="宋体" w:hAnsi="宋体" w:cs="宋体"/>
                <w:color w:val="auto"/>
                <w:sz w:val="24"/>
                <w:highlight w:val="none"/>
                <w:lang w:val="en-US" w:eastAsia="zh-CN"/>
              </w:rPr>
              <w:t>且</w:t>
            </w:r>
            <w:r>
              <w:rPr>
                <w:rFonts w:hint="eastAsia" w:ascii="宋体" w:hAnsi="宋体" w:cs="宋体"/>
                <w:color w:val="auto"/>
                <w:sz w:val="24"/>
                <w:highlight w:val="none"/>
                <w:lang w:val="zh-CN"/>
              </w:rPr>
              <w:t>质量、印刷品质粗糙，得</w:t>
            </w:r>
            <w:r>
              <w:rPr>
                <w:rFonts w:hint="eastAsia" w:ascii="宋体" w:hAnsi="宋体" w:cs="宋体"/>
                <w:color w:val="auto"/>
                <w:sz w:val="24"/>
                <w:highlight w:val="none"/>
                <w:lang w:val="en-US" w:eastAsia="zh-CN"/>
              </w:rPr>
              <w:t>5</w:t>
            </w:r>
            <w:r>
              <w:rPr>
                <w:rFonts w:hint="eastAsia" w:ascii="宋体" w:hAnsi="宋体" w:cs="宋体"/>
                <w:color w:val="auto"/>
                <w:sz w:val="24"/>
                <w:highlight w:val="none"/>
                <w:lang w:val="zh-CN"/>
              </w:rPr>
              <w:t>分；</w:t>
            </w:r>
          </w:p>
          <w:p>
            <w:pPr>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4.</w:t>
            </w:r>
            <w:r>
              <w:rPr>
                <w:rFonts w:hint="eastAsia" w:ascii="宋体" w:hAnsi="宋体" w:cs="宋体"/>
                <w:color w:val="auto"/>
                <w:sz w:val="24"/>
                <w:highlight w:val="none"/>
                <w:lang w:val="zh-CN"/>
              </w:rPr>
              <w:t>提供样品不全的</w:t>
            </w:r>
            <w:r>
              <w:rPr>
                <w:rFonts w:hint="eastAsia" w:ascii="宋体" w:hAnsi="宋体" w:cs="宋体"/>
                <w:color w:val="auto"/>
                <w:sz w:val="24"/>
                <w:highlight w:val="none"/>
                <w:lang w:val="en-US" w:eastAsia="zh-CN"/>
              </w:rPr>
              <w:t>得3分；</w:t>
            </w:r>
          </w:p>
          <w:p>
            <w:pPr>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highlight w:val="none"/>
                <w:lang w:val="en-US" w:eastAsia="zh-CN"/>
              </w:rPr>
              <w:t>5.</w:t>
            </w:r>
            <w:r>
              <w:rPr>
                <w:rFonts w:hint="eastAsia" w:ascii="宋体" w:hAnsi="宋体" w:cs="宋体"/>
                <w:color w:val="auto"/>
                <w:sz w:val="24"/>
                <w:highlight w:val="none"/>
                <w:lang w:val="zh-CN"/>
              </w:rPr>
              <w:t>未提供</w:t>
            </w:r>
            <w:r>
              <w:rPr>
                <w:rFonts w:hint="eastAsia" w:ascii="宋体" w:hAnsi="宋体" w:cs="宋体"/>
                <w:color w:val="auto"/>
                <w:sz w:val="24"/>
                <w:highlight w:val="none"/>
                <w:lang w:val="en-US" w:eastAsia="zh-CN"/>
              </w:rPr>
              <w:t>样品的</w:t>
            </w:r>
            <w:r>
              <w:rPr>
                <w:rFonts w:hint="eastAsia" w:ascii="宋体" w:hAnsi="宋体" w:cs="宋体"/>
                <w:color w:val="auto"/>
                <w:sz w:val="24"/>
                <w:highlight w:val="none"/>
                <w:lang w:val="zh-CN"/>
              </w:rPr>
              <w:t>，</w:t>
            </w:r>
            <w:r>
              <w:rPr>
                <w:rFonts w:hint="eastAsia" w:ascii="宋体" w:hAnsi="宋体" w:cs="宋体"/>
                <w:color w:val="auto"/>
                <w:sz w:val="24"/>
                <w:highlight w:val="none"/>
                <w:lang w:val="en-US" w:eastAsia="zh-CN"/>
              </w:rPr>
              <w:t>该项</w:t>
            </w:r>
            <w:r>
              <w:rPr>
                <w:rFonts w:hint="eastAsia" w:ascii="宋体" w:hAnsi="宋体" w:cs="宋体"/>
                <w:color w:val="auto"/>
                <w:sz w:val="24"/>
                <w:highlight w:val="none"/>
                <w:lang w:val="zh-CN"/>
              </w:rPr>
              <w:t>不得分。</w:t>
            </w:r>
          </w:p>
        </w:tc>
        <w:tc>
          <w:tcPr>
            <w:tcW w:w="595" w:type="pct"/>
            <w:tcBorders>
              <w:left w:val="single" w:color="auto" w:sz="4" w:space="0"/>
              <w:right w:val="single" w:color="auto" w:sz="4" w:space="0"/>
            </w:tcBorders>
            <w:noWrap/>
            <w:vAlign w:val="center"/>
          </w:tcPr>
          <w:p>
            <w:pPr>
              <w:pageBreakBefore w:val="0"/>
              <w:kinsoku/>
              <w:overflowPunct/>
              <w:bidi w:val="0"/>
              <w:snapToGrid/>
              <w:spacing w:line="480" w:lineRule="exact"/>
              <w:jc w:val="center"/>
              <w:textAlignment w:val="auto"/>
              <w:rPr>
                <w:rFonts w:hint="eastAsia" w:ascii="宋体" w:hAnsi="宋体" w:eastAsia="宋体" w:cs="宋体"/>
                <w:b w:val="0"/>
                <w:bCs/>
                <w:color w:val="auto"/>
                <w:kern w:val="2"/>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566" w:type="pct"/>
            <w:vMerge w:val="continue"/>
            <w:tcBorders>
              <w:left w:val="single" w:color="auto" w:sz="4" w:space="0"/>
              <w:right w:val="single" w:color="auto" w:sz="4" w:space="0"/>
            </w:tcBorders>
            <w:noWrap/>
            <w:vAlign w:val="center"/>
          </w:tcPr>
          <w:p>
            <w:pPr>
              <w:widowControl/>
              <w:spacing w:line="500" w:lineRule="exact"/>
              <w:rPr>
                <w:rFonts w:hint="eastAsia" w:ascii="宋体" w:hAnsi="宋体" w:eastAsia="宋体" w:cs="宋体"/>
                <w:color w:val="auto"/>
                <w:sz w:val="24"/>
                <w:szCs w:val="24"/>
                <w:highlight w:val="none"/>
              </w:rPr>
            </w:pPr>
          </w:p>
        </w:tc>
        <w:tc>
          <w:tcPr>
            <w:tcW w:w="1152" w:type="dxa"/>
            <w:tcBorders>
              <w:left w:val="single" w:color="auto" w:sz="4" w:space="0"/>
              <w:right w:val="single" w:color="auto" w:sz="4" w:space="0"/>
            </w:tcBorders>
            <w:noWrap/>
            <w:vAlign w:val="center"/>
          </w:tcPr>
          <w:p>
            <w:pPr>
              <w:widowControl/>
              <w:spacing w:line="500" w:lineRule="exact"/>
              <w:jc w:val="center"/>
              <w:rPr>
                <w:rFonts w:hint="eastAsia" w:ascii="宋体" w:hAnsi="宋体" w:eastAsia="宋体" w:cs="宋体"/>
                <w:color w:val="auto"/>
                <w:sz w:val="24"/>
                <w:szCs w:val="24"/>
                <w:highlight w:val="none"/>
              </w:rPr>
            </w:pPr>
            <w:r>
              <w:rPr>
                <w:rFonts w:ascii="宋体" w:hAnsi="宋体" w:eastAsia="宋体" w:cs="宋体"/>
                <w:color w:val="auto"/>
                <w:sz w:val="24"/>
                <w:szCs w:val="24"/>
                <w:highlight w:val="none"/>
              </w:rPr>
              <w:t>拟投入本项目的</w:t>
            </w:r>
            <w:r>
              <w:rPr>
                <w:rFonts w:hint="eastAsia" w:ascii="宋体" w:hAnsi="宋体" w:eastAsia="宋体" w:cs="宋体"/>
                <w:color w:val="auto"/>
                <w:sz w:val="24"/>
                <w:szCs w:val="24"/>
                <w:highlight w:val="none"/>
                <w:lang w:val="en-US" w:eastAsia="zh-CN"/>
              </w:rPr>
              <w:t>设</w:t>
            </w:r>
            <w:r>
              <w:rPr>
                <w:rFonts w:ascii="宋体" w:hAnsi="宋体" w:eastAsia="宋体" w:cs="宋体"/>
                <w:color w:val="auto"/>
                <w:sz w:val="24"/>
                <w:szCs w:val="24"/>
                <w:highlight w:val="none"/>
              </w:rPr>
              <w:t>备</w:t>
            </w:r>
            <w:r>
              <w:rPr>
                <w:rFonts w:hint="eastAsia" w:ascii="宋体" w:hAnsi="宋体" w:eastAsia="宋体" w:cs="宋体"/>
                <w:color w:val="auto"/>
                <w:sz w:val="24"/>
                <w:szCs w:val="24"/>
                <w:highlight w:val="none"/>
                <w:lang w:val="en-US" w:eastAsia="zh-CN"/>
              </w:rPr>
              <w:t>和场地情况（10分）</w:t>
            </w:r>
          </w:p>
        </w:tc>
        <w:tc>
          <w:tcPr>
            <w:tcW w:w="6233" w:type="dxa"/>
            <w:tcBorders>
              <w:left w:val="single" w:color="auto" w:sz="4" w:space="0"/>
              <w:right w:val="single" w:color="auto" w:sz="4" w:space="0"/>
            </w:tcBorders>
            <w:noWrap/>
            <w:vAlign w:val="center"/>
          </w:tcPr>
          <w:p>
            <w:pPr>
              <w:keepNext w:val="0"/>
              <w:keepLines w:val="0"/>
              <w:pageBreakBefore w:val="0"/>
              <w:widowControl/>
              <w:kinsoku/>
              <w:wordWrap w:val="0"/>
              <w:overflowPunct/>
              <w:topLinePunct w:val="0"/>
              <w:autoSpaceDE/>
              <w:autoSpaceDN/>
              <w:bidi w:val="0"/>
              <w:adjustRightInd/>
              <w:spacing w:line="500" w:lineRule="exact"/>
              <w:ind w:firstLine="420" w:firstLineChars="175"/>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1、根据</w:t>
            </w:r>
            <w:r>
              <w:rPr>
                <w:rFonts w:ascii="宋体" w:hAnsi="宋体" w:eastAsia="宋体" w:cs="宋体"/>
                <w:color w:val="auto"/>
                <w:sz w:val="24"/>
                <w:szCs w:val="24"/>
                <w:highlight w:val="none"/>
              </w:rPr>
              <w:t>供应商提供的主要生产设备与拟投入本项目包含但不限于：设计、排版、印刷、装订等设备数量、性能进行综合评价，满分</w:t>
            </w:r>
            <w:r>
              <w:rPr>
                <w:rFonts w:hint="eastAsia" w:ascii="宋体" w:hAnsi="宋体" w:eastAsia="宋体" w:cs="宋体"/>
                <w:color w:val="auto"/>
                <w:sz w:val="24"/>
                <w:szCs w:val="24"/>
                <w:highlight w:val="none"/>
                <w:lang w:val="en-US" w:eastAsia="zh-CN"/>
              </w:rPr>
              <w:t>5</w:t>
            </w:r>
            <w:r>
              <w:rPr>
                <w:rFonts w:ascii="宋体" w:hAnsi="宋体" w:eastAsia="宋体" w:cs="宋体"/>
                <w:color w:val="auto"/>
                <w:sz w:val="24"/>
                <w:szCs w:val="24"/>
                <w:highlight w:val="none"/>
              </w:rPr>
              <w:t>分，</w:t>
            </w:r>
            <w:r>
              <w:rPr>
                <w:rFonts w:hint="eastAsia" w:ascii="宋体" w:hAnsi="宋体" w:eastAsia="宋体" w:cs="宋体"/>
                <w:color w:val="auto"/>
                <w:sz w:val="24"/>
                <w:szCs w:val="24"/>
                <w:highlight w:val="none"/>
              </w:rPr>
              <w:t>在此基础上根据以上评审因素，每有一处弱项扣</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分，扣完为止，响应文件中无相关描述的，本项不得分</w:t>
            </w:r>
            <w:r>
              <w:rPr>
                <w:rFonts w:hint="eastAsia" w:ascii="宋体" w:hAnsi="宋体" w:eastAsia="宋体" w:cs="宋体"/>
                <w:color w:val="auto"/>
                <w:sz w:val="24"/>
                <w:szCs w:val="24"/>
                <w:highlight w:val="none"/>
                <w:lang w:eastAsia="zh-CN"/>
              </w:rPr>
              <w:t>。</w:t>
            </w:r>
          </w:p>
          <w:p>
            <w:pPr>
              <w:keepNext w:val="0"/>
              <w:keepLines w:val="0"/>
              <w:pageBreakBefore w:val="0"/>
              <w:widowControl/>
              <w:kinsoku/>
              <w:wordWrap w:val="0"/>
              <w:overflowPunct/>
              <w:topLinePunct w:val="0"/>
              <w:autoSpaceDE/>
              <w:autoSpaceDN/>
              <w:bidi w:val="0"/>
              <w:adjustRightInd/>
              <w:spacing w:line="500" w:lineRule="exact"/>
              <w:ind w:firstLine="420" w:firstLineChars="175"/>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注：供应商需提供相关设备自有或租赁情况的证明材料（购买或租赁发票单据或合同复印件）及照片彩图并加盖公章，未提供相关证明材料或若无此项描述的不得分。</w:t>
            </w:r>
          </w:p>
          <w:p>
            <w:pPr>
              <w:widowControl/>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cs="宋体"/>
                <w:color w:val="auto"/>
                <w:sz w:val="24"/>
                <w:highlight w:val="none"/>
              </w:rPr>
              <w:t>根据经营场所平面图情况，厂房情况，是否具备存放的专用库房</w:t>
            </w:r>
            <w:r>
              <w:rPr>
                <w:rFonts w:hint="eastAsia" w:ascii="宋体" w:hAnsi="宋体" w:cs="宋体"/>
                <w:color w:val="auto"/>
                <w:sz w:val="24"/>
                <w:highlight w:val="none"/>
                <w:lang w:eastAsia="zh-CN"/>
              </w:rPr>
              <w:t>，</w:t>
            </w:r>
            <w:r>
              <w:rPr>
                <w:rFonts w:hint="eastAsia" w:ascii="宋体" w:hAnsi="宋体" w:cs="宋体"/>
                <w:color w:val="auto"/>
                <w:sz w:val="24"/>
                <w:highlight w:val="none"/>
              </w:rPr>
              <w:t>以及防火防盗、安全保密措施等进行评审</w:t>
            </w:r>
            <w:r>
              <w:rPr>
                <w:rFonts w:hint="eastAsia" w:ascii="宋体" w:hAnsi="宋体" w:cs="宋体"/>
                <w:color w:val="auto"/>
                <w:sz w:val="24"/>
                <w:highlight w:val="none"/>
                <w:lang w:eastAsia="zh-CN"/>
              </w:rPr>
              <w:t>，</w:t>
            </w:r>
            <w:r>
              <w:rPr>
                <w:rFonts w:hint="eastAsia" w:ascii="宋体" w:hAnsi="宋体" w:cs="宋体"/>
                <w:color w:val="auto"/>
                <w:sz w:val="24"/>
                <w:highlight w:val="none"/>
              </w:rPr>
              <w:t>需在响应文件中提供相关经营场所所有权或使用权或租赁合同等证明文件复印件</w:t>
            </w:r>
            <w:r>
              <w:rPr>
                <w:rFonts w:hint="eastAsia" w:ascii="宋体" w:hAnsi="宋体" w:cs="宋体"/>
                <w:color w:val="auto"/>
                <w:sz w:val="24"/>
                <w:highlight w:val="none"/>
                <w:lang w:eastAsia="zh-CN"/>
              </w:rPr>
              <w:t>，</w:t>
            </w:r>
            <w:r>
              <w:rPr>
                <w:rFonts w:hint="eastAsia" w:ascii="宋体" w:hAnsi="宋体" w:cs="宋体"/>
                <w:color w:val="auto"/>
                <w:sz w:val="24"/>
                <w:highlight w:val="none"/>
              </w:rPr>
              <w:t>经营场所、厂房情况能够满足生产，具备存放的专用库房满足存放需求，防火防盗、安全保密措施合理有效得5分</w:t>
            </w:r>
            <w:r>
              <w:rPr>
                <w:rFonts w:hint="eastAsia" w:ascii="宋体" w:hAnsi="宋体" w:cs="宋体"/>
                <w:color w:val="auto"/>
                <w:sz w:val="24"/>
                <w:highlight w:val="none"/>
                <w:lang w:eastAsia="zh-CN"/>
              </w:rPr>
              <w:t>，</w:t>
            </w:r>
            <w:r>
              <w:rPr>
                <w:rFonts w:hint="eastAsia" w:ascii="宋体" w:hAnsi="宋体" w:eastAsia="宋体" w:cs="宋体"/>
                <w:color w:val="auto"/>
                <w:sz w:val="24"/>
                <w:szCs w:val="24"/>
                <w:highlight w:val="none"/>
              </w:rPr>
              <w:t>在此基础上根据以上评审因素，每有一处弱项扣</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分，扣完为止，响应文件中无相关描述的，本项不得分</w:t>
            </w:r>
            <w:r>
              <w:rPr>
                <w:rFonts w:hint="eastAsia" w:ascii="宋体" w:hAnsi="宋体" w:eastAsia="宋体" w:cs="宋体"/>
                <w:color w:val="auto"/>
                <w:sz w:val="24"/>
                <w:szCs w:val="24"/>
                <w:highlight w:val="none"/>
                <w:lang w:eastAsia="zh-CN"/>
              </w:rPr>
              <w:t>。</w:t>
            </w:r>
          </w:p>
        </w:tc>
        <w:tc>
          <w:tcPr>
            <w:tcW w:w="595" w:type="pct"/>
            <w:tcBorders>
              <w:left w:val="single" w:color="auto" w:sz="4" w:space="0"/>
              <w:right w:val="single" w:color="auto" w:sz="4" w:space="0"/>
            </w:tcBorders>
            <w:noWrap/>
            <w:vAlign w:val="center"/>
          </w:tcPr>
          <w:p>
            <w:pPr>
              <w:pageBreakBefore w:val="0"/>
              <w:kinsoku/>
              <w:overflowPunct/>
              <w:bidi w:val="0"/>
              <w:snapToGrid/>
              <w:spacing w:line="480" w:lineRule="exact"/>
              <w:jc w:val="center"/>
              <w:textAlignment w:val="auto"/>
              <w:rPr>
                <w:rFonts w:hint="eastAsia" w:ascii="宋体" w:hAnsi="宋体" w:eastAsia="宋体" w:cs="宋体"/>
                <w:b w:val="0"/>
                <w:bCs/>
                <w:color w:val="auto"/>
                <w:kern w:val="2"/>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566" w:type="pct"/>
            <w:vMerge w:val="continue"/>
            <w:tcBorders>
              <w:left w:val="single" w:color="auto" w:sz="4" w:space="0"/>
              <w:right w:val="single" w:color="auto" w:sz="4" w:space="0"/>
            </w:tcBorders>
            <w:noWrap/>
            <w:vAlign w:val="center"/>
          </w:tcPr>
          <w:p>
            <w:pPr>
              <w:widowControl/>
              <w:spacing w:line="500" w:lineRule="exact"/>
              <w:rPr>
                <w:rFonts w:hint="eastAsia" w:ascii="宋体" w:hAnsi="宋体" w:eastAsia="宋体" w:cs="宋体"/>
                <w:color w:val="auto"/>
                <w:sz w:val="24"/>
                <w:szCs w:val="24"/>
                <w:highlight w:val="none"/>
              </w:rPr>
            </w:pPr>
          </w:p>
        </w:tc>
        <w:tc>
          <w:tcPr>
            <w:tcW w:w="1152" w:type="dxa"/>
            <w:tcBorders>
              <w:left w:val="single" w:color="auto" w:sz="4" w:space="0"/>
              <w:right w:val="single" w:color="auto" w:sz="4" w:space="0"/>
            </w:tcBorders>
            <w:noWrap/>
            <w:vAlign w:val="center"/>
          </w:tcPr>
          <w:p>
            <w:pPr>
              <w:widowControl/>
              <w:spacing w:line="500" w:lineRule="exact"/>
              <w:rPr>
                <w:rFonts w:hint="eastAsia" w:ascii="宋体" w:hAnsi="宋体" w:eastAsia="宋体" w:cs="宋体"/>
                <w:color w:val="auto"/>
                <w:sz w:val="24"/>
                <w:szCs w:val="24"/>
                <w:highlight w:val="none"/>
              </w:rPr>
            </w:pPr>
            <w:r>
              <w:rPr>
                <w:rFonts w:hint="eastAsia" w:ascii="宋体" w:hAnsi="宋体" w:cs="宋体"/>
                <w:color w:val="auto"/>
                <w:sz w:val="24"/>
                <w:highlight w:val="none"/>
              </w:rPr>
              <w:t>供货方案（</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分）</w:t>
            </w:r>
          </w:p>
        </w:tc>
        <w:tc>
          <w:tcPr>
            <w:tcW w:w="6233" w:type="dxa"/>
            <w:tcBorders>
              <w:left w:val="single" w:color="auto" w:sz="4" w:space="0"/>
              <w:right w:val="single" w:color="auto" w:sz="4" w:space="0"/>
            </w:tcBorders>
            <w:noWrap/>
            <w:vAlign w:val="center"/>
          </w:tcPr>
          <w:p>
            <w:pPr>
              <w:widowControl/>
              <w:spacing w:line="50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zh-CN"/>
              </w:rPr>
              <w:t>1</w:t>
            </w:r>
            <w:r>
              <w:rPr>
                <w:rFonts w:hint="eastAsia" w:ascii="宋体" w:hAnsi="宋体" w:cs="宋体"/>
                <w:color w:val="auto"/>
                <w:sz w:val="24"/>
                <w:highlight w:val="none"/>
                <w:lang w:val="en-US" w:eastAsia="zh-CN"/>
              </w:rPr>
              <w:t>.</w:t>
            </w:r>
            <w:r>
              <w:rPr>
                <w:rFonts w:hint="eastAsia" w:ascii="宋体" w:hAnsi="宋体"/>
                <w:color w:val="auto"/>
                <w:sz w:val="24"/>
                <w:szCs w:val="24"/>
                <w:highlight w:val="none"/>
                <w:lang w:val="zh-CN"/>
              </w:rPr>
              <w:t>供货方案，</w:t>
            </w:r>
            <w:r>
              <w:rPr>
                <w:rFonts w:hint="eastAsia" w:ascii="宋体" w:hAnsi="宋体"/>
                <w:color w:val="auto"/>
                <w:sz w:val="24"/>
                <w:szCs w:val="24"/>
                <w:highlight w:val="none"/>
                <w:lang w:val="en-US" w:eastAsia="zh-CN"/>
              </w:rPr>
              <w:t>包括但不仅限于</w:t>
            </w:r>
            <w:r>
              <w:rPr>
                <w:rFonts w:ascii="宋体" w:hAnsi="宋体" w:eastAsia="宋体" w:cs="宋体"/>
                <w:color w:val="auto"/>
                <w:sz w:val="24"/>
                <w:szCs w:val="24"/>
                <w:highlight w:val="none"/>
              </w:rPr>
              <w:t>配送方案、配送方式、包装方式以及在配送过程中对成品的保护措施</w:t>
            </w:r>
            <w:r>
              <w:rPr>
                <w:rFonts w:hint="eastAsia" w:ascii="宋体" w:hAnsi="宋体" w:eastAsia="宋体" w:cs="宋体"/>
                <w:color w:val="auto"/>
                <w:sz w:val="24"/>
                <w:szCs w:val="24"/>
                <w:highlight w:val="none"/>
                <w:lang w:val="en-US" w:eastAsia="zh-CN"/>
              </w:rPr>
              <w:t>等，</w:t>
            </w:r>
            <w:r>
              <w:rPr>
                <w:rFonts w:hint="eastAsia" w:ascii="宋体" w:hAnsi="宋体"/>
                <w:color w:val="auto"/>
                <w:sz w:val="24"/>
                <w:szCs w:val="24"/>
                <w:highlight w:val="none"/>
                <w:lang w:val="zh-CN"/>
              </w:rPr>
              <w:t>内容具体全面的，得</w:t>
            </w:r>
            <w:r>
              <w:rPr>
                <w:rFonts w:hint="eastAsia" w:ascii="宋体" w:hAnsi="宋体"/>
                <w:color w:val="auto"/>
                <w:sz w:val="24"/>
                <w:szCs w:val="24"/>
                <w:highlight w:val="none"/>
                <w:lang w:val="en-US" w:eastAsia="zh-CN"/>
              </w:rPr>
              <w:t>3</w:t>
            </w:r>
            <w:r>
              <w:rPr>
                <w:rFonts w:hint="eastAsia" w:ascii="宋体" w:hAnsi="宋体"/>
                <w:color w:val="auto"/>
                <w:sz w:val="24"/>
                <w:szCs w:val="24"/>
                <w:highlight w:val="none"/>
                <w:lang w:val="zh-CN"/>
              </w:rPr>
              <w:t>分；内容全面，但可操作性差的得</w:t>
            </w:r>
            <w:r>
              <w:rPr>
                <w:rFonts w:hint="eastAsia" w:ascii="宋体" w:hAnsi="宋体"/>
                <w:color w:val="auto"/>
                <w:sz w:val="24"/>
                <w:szCs w:val="24"/>
                <w:highlight w:val="none"/>
                <w:lang w:val="en-US" w:eastAsia="zh-CN"/>
              </w:rPr>
              <w:t>2</w:t>
            </w:r>
            <w:r>
              <w:rPr>
                <w:rFonts w:hint="eastAsia" w:ascii="宋体" w:hAnsi="宋体"/>
                <w:color w:val="auto"/>
                <w:sz w:val="24"/>
                <w:szCs w:val="24"/>
                <w:highlight w:val="none"/>
                <w:lang w:val="zh-CN"/>
              </w:rPr>
              <w:t>分；内容不够详实有缺项的，得1分；</w:t>
            </w:r>
            <w:r>
              <w:rPr>
                <w:rFonts w:hint="eastAsia" w:ascii="宋体" w:hAnsi="宋体" w:eastAsia="宋体" w:cs="宋体"/>
                <w:color w:val="auto"/>
                <w:sz w:val="24"/>
                <w:szCs w:val="24"/>
                <w:highlight w:val="none"/>
              </w:rPr>
              <w:t>响应文件中无相关描述的，本项不得分</w:t>
            </w:r>
            <w:r>
              <w:rPr>
                <w:rFonts w:hint="eastAsia" w:ascii="宋体" w:hAnsi="宋体" w:cs="宋体"/>
                <w:color w:val="auto"/>
                <w:sz w:val="24"/>
                <w:highlight w:val="none"/>
                <w:lang w:val="zh-CN"/>
              </w:rPr>
              <w:t>。</w:t>
            </w:r>
          </w:p>
          <w:p>
            <w:pPr>
              <w:widowControl/>
              <w:spacing w:line="500" w:lineRule="exact"/>
              <w:ind w:firstLine="480" w:firstLineChars="200"/>
              <w:rPr>
                <w:rFonts w:hint="eastAsia" w:ascii="宋体" w:hAnsi="宋体" w:eastAsia="宋体" w:cs="宋体"/>
                <w:color w:val="auto"/>
                <w:sz w:val="24"/>
                <w:szCs w:val="24"/>
                <w:highlight w:val="none"/>
              </w:rPr>
            </w:pPr>
            <w:r>
              <w:rPr>
                <w:rFonts w:hint="eastAsia" w:ascii="宋体" w:hAnsi="宋体" w:cs="宋体"/>
                <w:color w:val="auto"/>
                <w:sz w:val="24"/>
                <w:highlight w:val="none"/>
                <w:lang w:val="zh-CN"/>
              </w:rPr>
              <w:t>2</w:t>
            </w:r>
            <w:r>
              <w:rPr>
                <w:rFonts w:hint="eastAsia" w:ascii="宋体" w:hAnsi="宋体" w:cs="宋体"/>
                <w:color w:val="auto"/>
                <w:sz w:val="24"/>
                <w:highlight w:val="none"/>
                <w:lang w:val="en-US" w:eastAsia="zh-CN"/>
              </w:rPr>
              <w:t>.</w:t>
            </w:r>
            <w:r>
              <w:rPr>
                <w:rFonts w:hint="eastAsia" w:ascii="宋体" w:hAnsi="宋体" w:cs="宋体"/>
                <w:color w:val="auto"/>
                <w:sz w:val="24"/>
                <w:highlight w:val="none"/>
                <w:lang w:val="zh-CN"/>
              </w:rPr>
              <w:t>供货周期保证措施完善、详细，能明确保障供货安装周期目标的实现得</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val="zh-CN"/>
              </w:rPr>
              <w:t>分；供货周期保证措施基本可行，能基本确保供货周期目标的实现得1分；</w:t>
            </w:r>
            <w:r>
              <w:rPr>
                <w:rFonts w:hint="eastAsia" w:ascii="宋体" w:hAnsi="宋体" w:eastAsia="宋体" w:cs="宋体"/>
                <w:color w:val="auto"/>
                <w:sz w:val="24"/>
                <w:szCs w:val="24"/>
                <w:highlight w:val="none"/>
              </w:rPr>
              <w:t>响应文件中无相关描述的，本项不得分</w:t>
            </w:r>
            <w:r>
              <w:rPr>
                <w:rFonts w:hint="eastAsia" w:ascii="宋体" w:hAnsi="宋体" w:cs="宋体"/>
                <w:color w:val="auto"/>
                <w:sz w:val="24"/>
                <w:szCs w:val="24"/>
                <w:highlight w:val="none"/>
                <w:lang w:eastAsia="zh-CN"/>
              </w:rPr>
              <w:t>。</w:t>
            </w:r>
            <w:r>
              <w:rPr>
                <w:rFonts w:hint="eastAsia" w:ascii="宋体" w:hAnsi="宋体" w:cs="宋体"/>
                <w:color w:val="auto"/>
                <w:sz w:val="24"/>
                <w:highlight w:val="none"/>
              </w:rPr>
              <w:t xml:space="preserve"> </w:t>
            </w:r>
          </w:p>
        </w:tc>
        <w:tc>
          <w:tcPr>
            <w:tcW w:w="595" w:type="pct"/>
            <w:tcBorders>
              <w:left w:val="single" w:color="auto" w:sz="4" w:space="0"/>
              <w:right w:val="single" w:color="auto" w:sz="4" w:space="0"/>
            </w:tcBorders>
            <w:noWrap/>
            <w:vAlign w:val="center"/>
          </w:tcPr>
          <w:p>
            <w:pPr>
              <w:pageBreakBefore w:val="0"/>
              <w:kinsoku/>
              <w:overflowPunct/>
              <w:bidi w:val="0"/>
              <w:snapToGrid/>
              <w:spacing w:line="480" w:lineRule="exact"/>
              <w:jc w:val="center"/>
              <w:textAlignment w:val="auto"/>
              <w:rPr>
                <w:rFonts w:hint="eastAsia" w:ascii="宋体" w:hAnsi="宋体" w:eastAsia="宋体" w:cs="宋体"/>
                <w:b w:val="0"/>
                <w:bCs/>
                <w:color w:val="auto"/>
                <w:kern w:val="2"/>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566" w:type="pct"/>
            <w:vMerge w:val="continue"/>
            <w:tcBorders>
              <w:left w:val="single" w:color="auto" w:sz="4" w:space="0"/>
              <w:right w:val="single" w:color="auto" w:sz="4" w:space="0"/>
            </w:tcBorders>
            <w:noWrap/>
            <w:vAlign w:val="center"/>
          </w:tcPr>
          <w:p>
            <w:pPr>
              <w:widowControl/>
              <w:spacing w:line="500" w:lineRule="exact"/>
              <w:rPr>
                <w:rFonts w:hint="eastAsia" w:ascii="宋体" w:hAnsi="宋体" w:eastAsia="宋体" w:cs="宋体"/>
                <w:color w:val="auto"/>
                <w:sz w:val="24"/>
                <w:szCs w:val="24"/>
                <w:highlight w:val="none"/>
              </w:rPr>
            </w:pPr>
          </w:p>
        </w:tc>
        <w:tc>
          <w:tcPr>
            <w:tcW w:w="1152" w:type="dxa"/>
            <w:tcBorders>
              <w:left w:val="single" w:color="auto" w:sz="4" w:space="0"/>
              <w:right w:val="single" w:color="auto" w:sz="4" w:space="0"/>
            </w:tcBorders>
            <w:noWrap/>
            <w:vAlign w:val="center"/>
          </w:tcPr>
          <w:p>
            <w:pPr>
              <w:widowControl/>
              <w:spacing w:line="500" w:lineRule="exact"/>
              <w:jc w:val="center"/>
              <w:rPr>
                <w:rFonts w:hint="eastAsia" w:ascii="宋体" w:hAnsi="宋体" w:eastAsia="宋体" w:cs="宋体"/>
                <w:color w:val="auto"/>
                <w:sz w:val="24"/>
                <w:szCs w:val="24"/>
                <w:highlight w:val="none"/>
              </w:rPr>
            </w:pPr>
            <w:r>
              <w:rPr>
                <w:rFonts w:hint="eastAsia" w:ascii="宋体" w:hAnsi="宋体" w:cs="宋体"/>
                <w:color w:val="auto"/>
                <w:sz w:val="24"/>
                <w:highlight w:val="none"/>
                <w:lang w:val="en-US" w:eastAsia="zh-CN"/>
              </w:rPr>
              <w:t>项目人员配备（5分）</w:t>
            </w:r>
          </w:p>
        </w:tc>
        <w:tc>
          <w:tcPr>
            <w:tcW w:w="6233" w:type="dxa"/>
            <w:tcBorders>
              <w:left w:val="single" w:color="auto" w:sz="4" w:space="0"/>
              <w:right w:val="single" w:color="auto" w:sz="4" w:space="0"/>
            </w:tcBorders>
            <w:noWrap/>
            <w:vAlign w:val="center"/>
          </w:tcPr>
          <w:p>
            <w:pPr>
              <w:widowControl/>
              <w:spacing w:line="500" w:lineRule="exact"/>
              <w:ind w:firstLine="480" w:firstLineChars="200"/>
              <w:rPr>
                <w:rFonts w:hint="eastAsia" w:ascii="宋体" w:hAnsi="宋体" w:eastAsia="宋体" w:cs="宋体"/>
                <w:color w:val="auto"/>
                <w:sz w:val="24"/>
                <w:szCs w:val="24"/>
                <w:highlight w:val="none"/>
              </w:rPr>
            </w:pPr>
            <w:r>
              <w:rPr>
                <w:rFonts w:hint="eastAsia" w:ascii="宋体" w:hAnsi="宋体" w:cs="宋体"/>
                <w:color w:val="auto"/>
                <w:sz w:val="24"/>
                <w:highlight w:val="none"/>
              </w:rPr>
              <w:t>对供应商工作人员情况（</w:t>
            </w:r>
            <w:r>
              <w:rPr>
                <w:rFonts w:hint="eastAsia" w:ascii="宋体" w:hAnsi="宋体" w:cs="宋体"/>
                <w:color w:val="auto"/>
                <w:sz w:val="24"/>
                <w:highlight w:val="none"/>
                <w:lang w:val="en-US" w:eastAsia="zh-CN"/>
              </w:rPr>
              <w:t>数量、</w:t>
            </w:r>
            <w:r>
              <w:rPr>
                <w:rFonts w:hint="eastAsia" w:ascii="宋体" w:hAnsi="宋体" w:cs="宋体"/>
                <w:color w:val="auto"/>
                <w:sz w:val="24"/>
                <w:highlight w:val="none"/>
              </w:rPr>
              <w:t>工作经验、综合素质）进行综合打分</w:t>
            </w:r>
            <w:r>
              <w:rPr>
                <w:rFonts w:hint="eastAsia" w:ascii="宋体" w:hAnsi="宋体" w:cs="宋体"/>
                <w:color w:val="auto"/>
                <w:sz w:val="24"/>
                <w:highlight w:val="none"/>
                <w:lang w:eastAsia="zh-CN"/>
              </w:rPr>
              <w:t>；</w:t>
            </w:r>
            <w:r>
              <w:rPr>
                <w:rFonts w:hint="eastAsia" w:ascii="宋体" w:hAnsi="宋体" w:cs="宋体"/>
                <w:color w:val="auto"/>
                <w:sz w:val="24"/>
                <w:highlight w:val="none"/>
              </w:rPr>
              <w:t>配备的人员</w:t>
            </w:r>
            <w:r>
              <w:rPr>
                <w:rFonts w:hint="eastAsia" w:ascii="宋体" w:hAnsi="宋体" w:cs="宋体"/>
                <w:color w:val="auto"/>
                <w:sz w:val="24"/>
                <w:highlight w:val="none"/>
                <w:lang w:val="en-US" w:eastAsia="zh-CN"/>
              </w:rPr>
              <w:t>数量充足、</w:t>
            </w:r>
            <w:r>
              <w:rPr>
                <w:rFonts w:hint="eastAsia" w:ascii="宋体" w:hAnsi="宋体" w:cs="宋体"/>
                <w:color w:val="auto"/>
                <w:sz w:val="24"/>
                <w:highlight w:val="none"/>
              </w:rPr>
              <w:t>技术力量雄厚，相关服务经验丰富，相关人员</w:t>
            </w:r>
            <w:r>
              <w:rPr>
                <w:rFonts w:hint="eastAsia" w:ascii="宋体" w:hAnsi="宋体" w:cs="宋体"/>
                <w:color w:val="auto"/>
                <w:sz w:val="24"/>
                <w:highlight w:val="none"/>
                <w:lang w:val="en-US" w:eastAsia="zh-CN"/>
              </w:rPr>
              <w:t>技术水平</w:t>
            </w:r>
            <w:r>
              <w:rPr>
                <w:rFonts w:hint="eastAsia" w:ascii="宋体" w:hAnsi="宋体" w:cs="宋体"/>
                <w:color w:val="auto"/>
                <w:sz w:val="24"/>
                <w:highlight w:val="none"/>
              </w:rPr>
              <w:t>证明材料详实，得</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分；</w:t>
            </w:r>
            <w:r>
              <w:rPr>
                <w:rFonts w:hint="eastAsia" w:ascii="宋体" w:hAnsi="宋体" w:eastAsia="宋体" w:cs="宋体"/>
                <w:color w:val="auto"/>
                <w:sz w:val="24"/>
                <w:szCs w:val="24"/>
                <w:highlight w:val="none"/>
              </w:rPr>
              <w:t>在此基础上根据以上评审因素，每有一处弱项扣</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分，扣完为止，响应文件中无相关描述的，本项不得分</w:t>
            </w:r>
            <w:r>
              <w:rPr>
                <w:rFonts w:hint="eastAsia" w:ascii="宋体" w:hAnsi="宋体" w:eastAsia="宋体" w:cs="宋体"/>
                <w:color w:val="auto"/>
                <w:sz w:val="24"/>
                <w:szCs w:val="24"/>
                <w:highlight w:val="none"/>
                <w:lang w:eastAsia="zh-CN"/>
              </w:rPr>
              <w:t>。</w:t>
            </w:r>
          </w:p>
        </w:tc>
        <w:tc>
          <w:tcPr>
            <w:tcW w:w="595" w:type="pct"/>
            <w:tcBorders>
              <w:left w:val="single" w:color="auto" w:sz="4" w:space="0"/>
              <w:right w:val="single" w:color="auto" w:sz="4" w:space="0"/>
            </w:tcBorders>
            <w:noWrap/>
            <w:vAlign w:val="center"/>
          </w:tcPr>
          <w:p>
            <w:pPr>
              <w:pageBreakBefore w:val="0"/>
              <w:kinsoku/>
              <w:overflowPunct/>
              <w:bidi w:val="0"/>
              <w:snapToGrid/>
              <w:spacing w:line="480" w:lineRule="exact"/>
              <w:jc w:val="center"/>
              <w:textAlignment w:val="auto"/>
              <w:rPr>
                <w:rFonts w:hint="eastAsia" w:ascii="宋体" w:hAnsi="宋体" w:eastAsia="宋体" w:cs="宋体"/>
                <w:b w:val="0"/>
                <w:bCs/>
                <w:color w:val="auto"/>
                <w:kern w:val="2"/>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566" w:type="pct"/>
            <w:vMerge w:val="continue"/>
            <w:tcBorders>
              <w:left w:val="single" w:color="auto" w:sz="4" w:space="0"/>
              <w:right w:val="single" w:color="auto" w:sz="4" w:space="0"/>
            </w:tcBorders>
            <w:noWrap/>
            <w:vAlign w:val="center"/>
          </w:tcPr>
          <w:p>
            <w:pPr>
              <w:widowControl/>
              <w:spacing w:line="500" w:lineRule="exact"/>
              <w:rPr>
                <w:rFonts w:hint="eastAsia" w:ascii="宋体" w:hAnsi="宋体" w:eastAsia="宋体" w:cs="宋体"/>
                <w:color w:val="auto"/>
                <w:sz w:val="24"/>
                <w:szCs w:val="24"/>
                <w:highlight w:val="none"/>
              </w:rPr>
            </w:pPr>
          </w:p>
        </w:tc>
        <w:tc>
          <w:tcPr>
            <w:tcW w:w="1152" w:type="dxa"/>
            <w:tcBorders>
              <w:left w:val="single" w:color="auto" w:sz="4" w:space="0"/>
              <w:right w:val="single" w:color="auto" w:sz="4" w:space="0"/>
            </w:tcBorders>
            <w:noWrap/>
            <w:vAlign w:val="center"/>
          </w:tcPr>
          <w:p>
            <w:pPr>
              <w:widowControl/>
              <w:spacing w:line="500" w:lineRule="exact"/>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服务</w:t>
            </w:r>
            <w:r>
              <w:rPr>
                <w:rFonts w:hint="eastAsia" w:ascii="宋体" w:hAnsi="宋体" w:eastAsia="宋体" w:cs="宋体"/>
                <w:color w:val="auto"/>
                <w:sz w:val="24"/>
                <w:szCs w:val="24"/>
                <w:highlight w:val="none"/>
                <w:lang w:val="en-US" w:eastAsia="zh-CN"/>
              </w:rPr>
              <w:t>保证措施（</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分）</w:t>
            </w:r>
          </w:p>
        </w:tc>
        <w:tc>
          <w:tcPr>
            <w:tcW w:w="6233" w:type="dxa"/>
            <w:tcBorders>
              <w:left w:val="single" w:color="auto" w:sz="4" w:space="0"/>
              <w:right w:val="single" w:color="auto" w:sz="4" w:space="0"/>
            </w:tcBorders>
            <w:noWrap/>
            <w:vAlign w:val="center"/>
          </w:tcPr>
          <w:p>
            <w:pPr>
              <w:widowControl/>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对供应商提供的</w:t>
            </w:r>
            <w:r>
              <w:rPr>
                <w:rFonts w:hint="eastAsia" w:ascii="宋体" w:hAnsi="宋体" w:cs="宋体"/>
                <w:color w:val="auto"/>
                <w:sz w:val="24"/>
                <w:szCs w:val="24"/>
                <w:highlight w:val="none"/>
                <w:lang w:val="en-US" w:eastAsia="zh-CN"/>
              </w:rPr>
              <w:t>服务保障</w:t>
            </w:r>
            <w:r>
              <w:rPr>
                <w:rFonts w:hint="eastAsia" w:ascii="宋体" w:hAnsi="宋体" w:eastAsia="宋体" w:cs="宋体"/>
                <w:color w:val="auto"/>
                <w:sz w:val="24"/>
                <w:szCs w:val="24"/>
                <w:highlight w:val="none"/>
              </w:rPr>
              <w:t>保证措施进行评审：有详细、合理、切合实际的服务质量保证体系，质量控制措施完善、可实施性强，得</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分；在此基础上根据以上评审因素，每有一处弱项扣</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分，扣完为止，响应文件中无相关描述的，本项不得分</w:t>
            </w:r>
            <w:r>
              <w:rPr>
                <w:rFonts w:hint="eastAsia" w:ascii="宋体" w:hAnsi="宋体" w:eastAsia="宋体" w:cs="宋体"/>
                <w:color w:val="auto"/>
                <w:sz w:val="24"/>
                <w:szCs w:val="24"/>
                <w:highlight w:val="none"/>
                <w:lang w:eastAsia="zh-CN"/>
              </w:rPr>
              <w:t>。</w:t>
            </w:r>
          </w:p>
        </w:tc>
        <w:tc>
          <w:tcPr>
            <w:tcW w:w="595" w:type="pct"/>
            <w:tcBorders>
              <w:left w:val="single" w:color="auto" w:sz="4" w:space="0"/>
              <w:right w:val="single" w:color="auto" w:sz="4" w:space="0"/>
            </w:tcBorders>
            <w:noWrap/>
            <w:vAlign w:val="center"/>
          </w:tcPr>
          <w:p>
            <w:pPr>
              <w:pageBreakBefore w:val="0"/>
              <w:kinsoku/>
              <w:overflowPunct/>
              <w:bidi w:val="0"/>
              <w:snapToGrid/>
              <w:spacing w:line="480" w:lineRule="exact"/>
              <w:jc w:val="center"/>
              <w:textAlignment w:val="auto"/>
              <w:rPr>
                <w:rFonts w:hint="eastAsia" w:ascii="宋体" w:hAnsi="宋体" w:eastAsia="宋体" w:cs="宋体"/>
                <w:b w:val="0"/>
                <w:bCs/>
                <w:color w:val="auto"/>
                <w:kern w:val="2"/>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566" w:type="pct"/>
            <w:vMerge w:val="continue"/>
            <w:tcBorders>
              <w:left w:val="single" w:color="auto" w:sz="4" w:space="0"/>
              <w:bottom w:val="single" w:color="auto" w:sz="4" w:space="0"/>
              <w:right w:val="single" w:color="auto" w:sz="4" w:space="0"/>
            </w:tcBorders>
            <w:noWrap/>
            <w:vAlign w:val="center"/>
          </w:tcPr>
          <w:p>
            <w:pPr>
              <w:widowControl/>
              <w:spacing w:line="500" w:lineRule="exact"/>
              <w:rPr>
                <w:rFonts w:hint="eastAsia" w:ascii="宋体" w:hAnsi="宋体" w:eastAsia="宋体" w:cs="宋体"/>
                <w:color w:val="auto"/>
                <w:sz w:val="24"/>
                <w:szCs w:val="24"/>
                <w:highlight w:val="none"/>
              </w:rPr>
            </w:pPr>
          </w:p>
        </w:tc>
        <w:tc>
          <w:tcPr>
            <w:tcW w:w="1152" w:type="dxa"/>
            <w:tcBorders>
              <w:left w:val="single" w:color="auto" w:sz="4" w:space="0"/>
              <w:bottom w:val="single" w:color="auto" w:sz="4" w:space="0"/>
              <w:right w:val="single" w:color="auto" w:sz="4" w:space="0"/>
            </w:tcBorders>
            <w:noWrap/>
            <w:vAlign w:val="center"/>
          </w:tcPr>
          <w:p>
            <w:pPr>
              <w:widowControl/>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售后服务</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tc>
        <w:tc>
          <w:tcPr>
            <w:tcW w:w="6233" w:type="dxa"/>
            <w:tcBorders>
              <w:left w:val="single" w:color="auto" w:sz="4" w:space="0"/>
              <w:bottom w:val="single" w:color="auto" w:sz="4" w:space="0"/>
              <w:right w:val="single" w:color="auto" w:sz="4" w:space="0"/>
            </w:tcBorders>
            <w:noWrap/>
            <w:vAlign w:val="center"/>
          </w:tcPr>
          <w:p>
            <w:pPr>
              <w:widowControl/>
              <w:spacing w:line="50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根据售后服务方案（包含技术人员配置、应急响应时间承诺、服务标准承诺等）进行评审： </w:t>
            </w:r>
          </w:p>
          <w:p>
            <w:pPr>
              <w:widowControl/>
              <w:spacing w:line="500" w:lineRule="exact"/>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1.</w:t>
            </w:r>
            <w:r>
              <w:rPr>
                <w:rFonts w:hint="eastAsia" w:ascii="宋体" w:hAnsi="宋体" w:cs="宋体"/>
                <w:color w:val="auto"/>
                <w:sz w:val="24"/>
                <w:highlight w:val="none"/>
              </w:rPr>
              <w:t>供应商的售后服务体系完善，本地</w:t>
            </w:r>
            <w:r>
              <w:rPr>
                <w:rFonts w:hint="eastAsia" w:ascii="宋体" w:hAnsi="宋体" w:cs="宋体"/>
                <w:color w:val="auto"/>
                <w:sz w:val="24"/>
                <w:highlight w:val="none"/>
                <w:lang w:val="en-US" w:eastAsia="zh-CN"/>
              </w:rPr>
              <w:t>化服务能力强</w:t>
            </w:r>
            <w:r>
              <w:rPr>
                <w:rFonts w:hint="eastAsia" w:ascii="宋体" w:hAnsi="宋体" w:cs="宋体"/>
                <w:color w:val="auto"/>
                <w:sz w:val="24"/>
                <w:highlight w:val="none"/>
              </w:rPr>
              <w:t>，且描述详细、清晰，技术支撑材料详实，补印、改版反应时间迅速，售后服务人员力量雄厚且提供了相关售后服务人员身份证明资料的，得</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 xml:space="preserve">分； </w:t>
            </w:r>
            <w:r>
              <w:rPr>
                <w:rFonts w:hint="eastAsia" w:ascii="宋体" w:hAnsi="宋体" w:cs="宋体"/>
                <w:color w:val="auto"/>
                <w:sz w:val="24"/>
                <w:highlight w:val="none"/>
                <w:lang w:val="en-US" w:eastAsia="zh-CN"/>
              </w:rPr>
              <w:t xml:space="preserve">        </w:t>
            </w:r>
          </w:p>
          <w:p>
            <w:pPr>
              <w:widowControl/>
              <w:spacing w:line="50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 xml:space="preserve">2.供应商的售后服务体系较完善，描述合理，本地化服务能力基本满足售后需求，有技术支撑材料，补印、改版反应时间合理，售后服务人员充足且提供了相关售后服务人员身份证明资料的得8分； </w:t>
            </w:r>
          </w:p>
          <w:p>
            <w:pPr>
              <w:widowControl/>
              <w:spacing w:line="500" w:lineRule="exact"/>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 xml:space="preserve">3.供应商的售后服务体系简略或缺失，本地化服务能力一般，无技术支撑材料，得5分。 </w:t>
            </w:r>
          </w:p>
          <w:p>
            <w:pPr>
              <w:widowControl/>
              <w:spacing w:line="500" w:lineRule="exact"/>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 xml:space="preserve">4.供应商的售后服务体系简略或缺失，无本地化服务能力，无技术支撑材料，得3分。 </w:t>
            </w:r>
          </w:p>
          <w:p>
            <w:pPr>
              <w:widowControl/>
              <w:spacing w:line="500" w:lineRule="exact"/>
              <w:ind w:firstLine="480" w:firstLineChars="200"/>
              <w:rPr>
                <w:rFonts w:hint="eastAsia" w:ascii="宋体" w:hAnsi="宋体" w:eastAsia="宋体" w:cs="宋体"/>
                <w:color w:val="auto"/>
                <w:sz w:val="24"/>
                <w:szCs w:val="24"/>
                <w:highlight w:val="none"/>
              </w:rPr>
            </w:pPr>
            <w:r>
              <w:rPr>
                <w:rFonts w:hint="eastAsia" w:ascii="宋体" w:hAnsi="宋体" w:cs="宋体"/>
                <w:color w:val="auto"/>
                <w:sz w:val="24"/>
                <w:highlight w:val="none"/>
                <w:lang w:val="en-US" w:eastAsia="zh-CN"/>
              </w:rPr>
              <w:t>5.未提供售后服务方案的，不得分。</w:t>
            </w:r>
          </w:p>
        </w:tc>
        <w:tc>
          <w:tcPr>
            <w:tcW w:w="595" w:type="pct"/>
            <w:tcBorders>
              <w:left w:val="single" w:color="auto" w:sz="4" w:space="0"/>
              <w:bottom w:val="single" w:color="auto" w:sz="4" w:space="0"/>
              <w:right w:val="single" w:color="auto" w:sz="4" w:space="0"/>
            </w:tcBorders>
            <w:noWrap/>
            <w:vAlign w:val="center"/>
          </w:tcPr>
          <w:p>
            <w:pPr>
              <w:pageBreakBefore w:val="0"/>
              <w:kinsoku/>
              <w:overflowPunct/>
              <w:bidi w:val="0"/>
              <w:snapToGrid/>
              <w:spacing w:line="480" w:lineRule="exact"/>
              <w:jc w:val="center"/>
              <w:textAlignment w:val="auto"/>
              <w:rPr>
                <w:rFonts w:hint="eastAsia" w:ascii="宋体" w:hAnsi="宋体" w:eastAsia="宋体" w:cs="宋体"/>
                <w:b w:val="0"/>
                <w:bCs/>
                <w:color w:val="auto"/>
                <w:kern w:val="2"/>
                <w:sz w:val="24"/>
                <w:szCs w:val="24"/>
                <w:highlight w:val="none"/>
                <w:lang w:val="en-US" w:eastAsia="zh-CN" w:bidi="ar-SA"/>
              </w:rPr>
            </w:pPr>
          </w:p>
        </w:tc>
      </w:tr>
    </w:tbl>
    <w:p>
      <w:pPr>
        <w:pStyle w:val="46"/>
        <w:spacing w:line="480" w:lineRule="exact"/>
        <w:ind w:left="0" w:firstLine="0"/>
        <w:jc w:val="left"/>
        <w:rPr>
          <w:rFonts w:hint="eastAsia" w:ascii="方正姚体" w:hAnsi="方正姚体" w:eastAsia="方正姚体" w:cs="方正姚体"/>
          <w:color w:val="auto"/>
          <w:sz w:val="24"/>
          <w:highlight w:val="none"/>
        </w:rPr>
      </w:pPr>
      <w:r>
        <w:rPr>
          <w:rFonts w:hint="eastAsia" w:ascii="宋体" w:hAnsi="宋体" w:cs="宋体"/>
          <w:color w:val="auto"/>
          <w:sz w:val="24"/>
          <w:highlight w:val="none"/>
        </w:rPr>
        <w:t>说明：该表的位置应封装在</w:t>
      </w:r>
      <w:r>
        <w:rPr>
          <w:rFonts w:hint="eastAsia" w:ascii="宋体" w:hAnsi="宋体" w:cs="宋体"/>
          <w:color w:val="auto"/>
          <w:sz w:val="24"/>
          <w:highlight w:val="none"/>
          <w:lang w:eastAsia="zh-CN"/>
        </w:rPr>
        <w:t>响应文件</w:t>
      </w:r>
      <w:r>
        <w:rPr>
          <w:rFonts w:hint="eastAsia" w:ascii="宋体" w:hAnsi="宋体" w:cs="宋体"/>
          <w:color w:val="auto"/>
          <w:sz w:val="24"/>
          <w:highlight w:val="none"/>
        </w:rPr>
        <w:t>（响应文件）目录之前。</w:t>
      </w:r>
    </w:p>
    <w:p>
      <w:pPr>
        <w:rPr>
          <w:color w:val="auto"/>
          <w:highlight w:val="none"/>
        </w:rPr>
      </w:pPr>
      <w:r>
        <w:rPr>
          <w:color w:val="auto"/>
          <w:highlight w:val="none"/>
        </w:rPr>
        <w:br w:type="page"/>
      </w:r>
    </w:p>
    <w:p>
      <w:pPr>
        <w:pStyle w:val="6"/>
        <w:rPr>
          <w:color w:val="auto"/>
          <w:highlight w:val="none"/>
        </w:rPr>
      </w:pPr>
    </w:p>
    <w:p>
      <w:pPr>
        <w:pStyle w:val="4"/>
        <w:numPr>
          <w:ilvl w:val="0"/>
          <w:numId w:val="0"/>
        </w:numPr>
        <w:spacing w:line="480" w:lineRule="exact"/>
        <w:ind w:leftChars="177"/>
        <w:jc w:val="center"/>
        <w:rPr>
          <w:rFonts w:hint="eastAsia" w:ascii="宋体" w:hAnsi="宋体" w:eastAsia="宋体" w:cs="宋体"/>
          <w:color w:val="auto"/>
          <w:highlight w:val="none"/>
        </w:rPr>
      </w:pPr>
      <w:bookmarkStart w:id="271" w:name="_Toc7206"/>
      <w:r>
        <w:rPr>
          <w:rFonts w:hint="eastAsia" w:ascii="宋体" w:hAnsi="宋体" w:cs="宋体"/>
          <w:color w:val="auto"/>
          <w:highlight w:val="none"/>
          <w:lang w:val="en-US" w:eastAsia="zh-CN"/>
        </w:rPr>
        <w:t>三、</w:t>
      </w:r>
      <w:r>
        <w:rPr>
          <w:rFonts w:hint="eastAsia" w:ascii="宋体" w:hAnsi="宋体" w:eastAsia="宋体" w:cs="宋体"/>
          <w:color w:val="auto"/>
          <w:highlight w:val="none"/>
        </w:rPr>
        <w:t>报价一览表</w:t>
      </w:r>
      <w:bookmarkEnd w:id="266"/>
      <w:bookmarkEnd w:id="267"/>
      <w:bookmarkEnd w:id="268"/>
      <w:bookmarkEnd w:id="271"/>
    </w:p>
    <w:p>
      <w:pPr>
        <w:numPr>
          <w:ilvl w:val="0"/>
          <w:numId w:val="0"/>
        </w:numPr>
        <w:ind w:leftChars="177"/>
        <w:rPr>
          <w:color w:val="auto"/>
          <w:highlight w:val="none"/>
        </w:rPr>
      </w:pPr>
    </w:p>
    <w:p>
      <w:pPr>
        <w:pStyle w:val="10"/>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Theme="minorEastAsia" w:hAnsiTheme="minorEastAsia" w:eastAsiaTheme="minorEastAsia" w:cstheme="minorEastAsia"/>
          <w:color w:val="auto"/>
          <w:sz w:val="24"/>
          <w:szCs w:val="24"/>
          <w:highlight w:val="none"/>
          <w:lang w:eastAsia="zh-CN"/>
        </w:rPr>
      </w:pPr>
      <w:bookmarkStart w:id="272" w:name="_Hlt520356241"/>
      <w:bookmarkEnd w:id="272"/>
      <w:bookmarkStart w:id="273" w:name="_Ref467988698"/>
      <w:bookmarkStart w:id="274" w:name="_Toc480942349"/>
      <w:bookmarkStart w:id="275" w:name="_Toc520356217"/>
      <w:bookmarkStart w:id="276" w:name="_Toc216582813"/>
      <w:r>
        <w:rPr>
          <w:rFonts w:hint="eastAsia" w:asciiTheme="minorEastAsia" w:hAnsiTheme="minorEastAsia" w:eastAsiaTheme="minorEastAsia" w:cstheme="minorEastAsia"/>
          <w:color w:val="auto"/>
          <w:sz w:val="24"/>
          <w:szCs w:val="24"/>
          <w:highlight w:val="none"/>
        </w:rPr>
        <w:t>项目名称：</w:t>
      </w:r>
      <w:r>
        <w:rPr>
          <w:rFonts w:hint="eastAsia" w:asciiTheme="minorEastAsia" w:hAnsiTheme="minorEastAsia" w:eastAsiaTheme="minorEastAsia" w:cstheme="minorEastAsia"/>
          <w:color w:val="auto"/>
          <w:sz w:val="24"/>
          <w:szCs w:val="24"/>
          <w:highlight w:val="none"/>
          <w:lang w:eastAsia="zh-CN"/>
        </w:rPr>
        <w:t>临沂大学2024年毕业证学位证印刷品采购项目</w:t>
      </w:r>
    </w:p>
    <w:p>
      <w:pPr>
        <w:pStyle w:val="10"/>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项目编号：</w:t>
      </w:r>
      <w:r>
        <w:rPr>
          <w:rFonts w:hint="eastAsia" w:asciiTheme="minorEastAsia" w:hAnsiTheme="minorEastAsia" w:eastAsiaTheme="minorEastAsia" w:cstheme="minorEastAsia"/>
          <w:color w:val="auto"/>
          <w:sz w:val="24"/>
          <w:szCs w:val="24"/>
          <w:highlight w:val="none"/>
          <w:lang w:eastAsia="zh-CN"/>
        </w:rPr>
        <w:t>SDGP370000000202402001848</w:t>
      </w:r>
    </w:p>
    <w:tbl>
      <w:tblPr>
        <w:tblStyle w:val="29"/>
        <w:tblW w:w="9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7"/>
        <w:gridCol w:w="7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6" w:hRule="atLeast"/>
          <w:jc w:val="center"/>
        </w:trPr>
        <w:tc>
          <w:tcPr>
            <w:tcW w:w="2477" w:type="dxa"/>
            <w:vMerge w:val="restart"/>
            <w:tcBorders>
              <w:top w:val="single" w:color="auto" w:sz="12" w:space="0"/>
              <w:left w:val="single" w:color="auto" w:sz="12" w:space="0"/>
            </w:tcBorders>
            <w:noWrap w:val="0"/>
            <w:vAlign w:val="center"/>
          </w:tcPr>
          <w:p>
            <w:pPr>
              <w:tabs>
                <w:tab w:val="left" w:pos="1337"/>
              </w:tabs>
              <w:spacing w:line="480" w:lineRule="exact"/>
              <w:ind w:firstLine="738" w:firstLineChars="350"/>
              <w:rPr>
                <w:rFonts w:ascii="宋体" w:hAnsi="宋体" w:cs="宋体"/>
                <w:b/>
                <w:bCs/>
                <w:color w:val="auto"/>
                <w:szCs w:val="21"/>
                <w:highlight w:val="none"/>
              </w:rPr>
            </w:pPr>
            <w:r>
              <w:rPr>
                <w:rFonts w:hint="eastAsia" w:ascii="宋体" w:hAnsi="宋体" w:cs="宋体"/>
                <w:b/>
                <w:bCs/>
                <w:color w:val="auto"/>
                <w:szCs w:val="21"/>
                <w:highlight w:val="none"/>
              </w:rPr>
              <w:t>总价</w:t>
            </w:r>
          </w:p>
        </w:tc>
        <w:tc>
          <w:tcPr>
            <w:tcW w:w="7102" w:type="dxa"/>
            <w:tcBorders>
              <w:top w:val="single" w:color="auto" w:sz="12" w:space="0"/>
              <w:bottom w:val="single" w:color="auto" w:sz="4" w:space="0"/>
              <w:right w:val="single" w:color="auto" w:sz="12" w:space="0"/>
            </w:tcBorders>
            <w:noWrap w:val="0"/>
            <w:vAlign w:val="center"/>
          </w:tcPr>
          <w:p>
            <w:pPr>
              <w:tabs>
                <w:tab w:val="left" w:pos="1337"/>
              </w:tabs>
              <w:spacing w:line="480" w:lineRule="exact"/>
              <w:rPr>
                <w:rFonts w:ascii="宋体" w:hAnsi="宋体" w:cs="宋体"/>
                <w:b/>
                <w:bCs/>
                <w:color w:val="auto"/>
                <w:szCs w:val="21"/>
                <w:highlight w:val="none"/>
              </w:rPr>
            </w:pPr>
            <w:r>
              <w:rPr>
                <w:rFonts w:hint="eastAsia" w:ascii="宋体" w:hAnsi="宋体" w:cs="宋体"/>
                <w:b/>
                <w:color w:val="auto"/>
                <w:szCs w:val="21"/>
                <w:highlight w:val="none"/>
              </w:rPr>
              <w:t>大写：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2477" w:type="dxa"/>
            <w:vMerge w:val="continue"/>
            <w:tcBorders>
              <w:left w:val="single" w:color="auto" w:sz="12" w:space="0"/>
            </w:tcBorders>
            <w:noWrap w:val="0"/>
            <w:vAlign w:val="center"/>
          </w:tcPr>
          <w:p>
            <w:pPr>
              <w:tabs>
                <w:tab w:val="left" w:pos="1337"/>
              </w:tabs>
              <w:spacing w:line="480" w:lineRule="exact"/>
              <w:ind w:firstLine="422" w:firstLineChars="200"/>
              <w:rPr>
                <w:rFonts w:ascii="宋体" w:hAnsi="宋体" w:cs="宋体"/>
                <w:b/>
                <w:bCs/>
                <w:color w:val="auto"/>
                <w:szCs w:val="21"/>
                <w:highlight w:val="none"/>
              </w:rPr>
            </w:pPr>
          </w:p>
        </w:tc>
        <w:tc>
          <w:tcPr>
            <w:tcW w:w="7102" w:type="dxa"/>
            <w:tcBorders>
              <w:right w:val="single" w:color="auto" w:sz="12" w:space="0"/>
            </w:tcBorders>
            <w:noWrap w:val="0"/>
            <w:vAlign w:val="top"/>
          </w:tcPr>
          <w:p>
            <w:pPr>
              <w:tabs>
                <w:tab w:val="left" w:pos="1337"/>
              </w:tabs>
              <w:spacing w:line="480" w:lineRule="exact"/>
              <w:rPr>
                <w:rFonts w:ascii="宋体" w:hAnsi="宋体" w:cs="宋体"/>
                <w:b/>
                <w:color w:val="auto"/>
                <w:szCs w:val="21"/>
                <w:highlight w:val="none"/>
              </w:rPr>
            </w:pPr>
            <w:r>
              <w:rPr>
                <w:rFonts w:hint="eastAsia" w:ascii="宋体" w:hAnsi="宋体" w:cs="宋体"/>
                <w:b/>
                <w:color w:val="auto"/>
                <w:szCs w:val="21"/>
                <w:highlight w:val="none"/>
              </w:rPr>
              <w:t>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3" w:hRule="atLeast"/>
          <w:jc w:val="center"/>
        </w:trPr>
        <w:tc>
          <w:tcPr>
            <w:tcW w:w="9579" w:type="dxa"/>
            <w:gridSpan w:val="2"/>
            <w:tcBorders>
              <w:left w:val="single" w:color="auto" w:sz="12" w:space="0"/>
              <w:right w:val="single" w:color="auto" w:sz="12" w:space="0"/>
            </w:tcBorders>
            <w:noWrap w:val="0"/>
            <w:vAlign w:val="center"/>
          </w:tcPr>
          <w:p>
            <w:pPr>
              <w:tabs>
                <w:tab w:val="left" w:pos="1337"/>
              </w:tabs>
              <w:spacing w:line="480" w:lineRule="exact"/>
              <w:ind w:firstLine="632" w:firstLineChars="300"/>
              <w:rPr>
                <w:rFonts w:ascii="宋体" w:hAnsi="宋体" w:cs="宋体"/>
                <w:b/>
                <w:color w:val="auto"/>
                <w:szCs w:val="21"/>
                <w:highlight w:val="none"/>
              </w:rPr>
            </w:pPr>
            <w:r>
              <w:rPr>
                <w:rFonts w:hint="eastAsia" w:ascii="宋体" w:hAnsi="宋体" w:cs="宋体"/>
                <w:b/>
                <w:color w:val="auto"/>
                <w:szCs w:val="21"/>
                <w:highlight w:val="none"/>
              </w:rPr>
              <w:t>交付日期</w:t>
            </w:r>
            <w:r>
              <w:rPr>
                <w:rFonts w:hint="eastAsia" w:ascii="宋体" w:hAnsi="宋体" w:cs="宋体"/>
                <w:b/>
                <w:color w:val="auto"/>
                <w:szCs w:val="21"/>
                <w:highlight w:val="none"/>
                <w:lang w:eastAsia="zh-CN"/>
              </w:rPr>
              <w:t>（</w:t>
            </w:r>
            <w:r>
              <w:rPr>
                <w:rFonts w:hint="eastAsia" w:ascii="宋体" w:hAnsi="宋体" w:cs="宋体"/>
                <w:b/>
                <w:color w:val="auto"/>
                <w:szCs w:val="21"/>
                <w:highlight w:val="none"/>
              </w:rPr>
              <w:t>服务期限</w:t>
            </w:r>
            <w:r>
              <w:rPr>
                <w:rFonts w:hint="eastAsia" w:ascii="宋体" w:hAnsi="宋体" w:cs="宋体"/>
                <w:b/>
                <w:color w:val="auto"/>
                <w:szCs w:val="21"/>
                <w:highlight w:val="none"/>
                <w:lang w:eastAsia="zh-CN"/>
              </w:rPr>
              <w:t>）</w:t>
            </w:r>
            <w:r>
              <w:rPr>
                <w:rFonts w:hint="eastAsia" w:ascii="宋体" w:hAnsi="宋体" w:cs="宋体"/>
                <w:b/>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3" w:hRule="atLeast"/>
          <w:jc w:val="center"/>
        </w:trPr>
        <w:tc>
          <w:tcPr>
            <w:tcW w:w="9579" w:type="dxa"/>
            <w:gridSpan w:val="2"/>
            <w:tcBorders>
              <w:left w:val="single" w:color="auto" w:sz="12" w:space="0"/>
              <w:bottom w:val="single" w:color="auto" w:sz="12" w:space="0"/>
              <w:right w:val="single" w:color="auto" w:sz="12" w:space="0"/>
            </w:tcBorders>
            <w:noWrap w:val="0"/>
            <w:vAlign w:val="center"/>
          </w:tcPr>
          <w:p>
            <w:pPr>
              <w:tabs>
                <w:tab w:val="left" w:pos="1337"/>
              </w:tabs>
              <w:spacing w:line="480" w:lineRule="exact"/>
              <w:ind w:firstLine="632" w:firstLineChars="300"/>
              <w:rPr>
                <w:rFonts w:hint="eastAsia" w:ascii="宋体" w:hAnsi="宋体" w:eastAsia="宋体" w:cs="宋体"/>
                <w:b/>
                <w:color w:val="auto"/>
                <w:szCs w:val="21"/>
                <w:highlight w:val="none"/>
                <w:lang w:val="en-US" w:eastAsia="zh-CN"/>
              </w:rPr>
            </w:pPr>
            <w:r>
              <w:rPr>
                <w:rFonts w:hint="eastAsia" w:ascii="宋体" w:hAnsi="宋体" w:cs="宋体"/>
                <w:b/>
                <w:color w:val="auto"/>
                <w:szCs w:val="21"/>
                <w:highlight w:val="none"/>
                <w:lang w:val="en-US" w:eastAsia="zh-CN"/>
              </w:rPr>
              <w:t>质保期：</w:t>
            </w:r>
          </w:p>
        </w:tc>
      </w:tr>
    </w:tbl>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说明：1、报价表务必填写清楚，准确无误；</w:t>
      </w:r>
    </w:p>
    <w:p>
      <w:pPr>
        <w:keepNext w:val="0"/>
        <w:keepLines w:val="0"/>
        <w:pageBreakBefore w:val="0"/>
        <w:widowControl w:val="0"/>
        <w:kinsoku/>
        <w:wordWrap/>
        <w:overflowPunct/>
        <w:topLinePunct w:val="0"/>
        <w:autoSpaceDE/>
        <w:autoSpaceDN/>
        <w:bidi w:val="0"/>
        <w:adjustRightInd/>
        <w:snapToGrid/>
        <w:spacing w:line="500" w:lineRule="exact"/>
        <w:ind w:firstLine="720" w:firstLineChars="3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2、本表不够可按相同格式加以扩展。</w:t>
      </w:r>
    </w:p>
    <w:p>
      <w:pPr>
        <w:spacing w:line="480" w:lineRule="exact"/>
        <w:ind w:firstLine="723" w:firstLineChars="300"/>
        <w:rPr>
          <w:rFonts w:hint="default" w:ascii="宋体" w:hAnsi="宋体" w:eastAsia="宋体" w:cs="宋体"/>
          <w:b/>
          <w:bCs/>
          <w:color w:val="auto"/>
          <w:sz w:val="24"/>
          <w:highlight w:val="none"/>
          <w:lang w:val="en-US" w:eastAsia="zh-CN"/>
        </w:rPr>
      </w:pPr>
      <w:r>
        <w:rPr>
          <w:rFonts w:hint="eastAsia" w:ascii="宋体" w:hAnsi="宋体" w:cs="宋体"/>
          <w:b/>
          <w:bCs/>
          <w:color w:val="auto"/>
          <w:sz w:val="24"/>
          <w:highlight w:val="none"/>
          <w:lang w:val="en-US" w:eastAsia="zh-CN"/>
        </w:rPr>
        <w:t>3、大小写不一致以大写为准；若大写错误以报价分析（分项）表（或采购清单）为准。</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Theme="minorEastAsia" w:hAnsiTheme="minorEastAsia" w:eastAsiaTheme="minorEastAsia" w:cstheme="minorEastAsia"/>
          <w:color w:val="auto"/>
          <w:spacing w:val="15"/>
          <w:sz w:val="24"/>
          <w:szCs w:val="24"/>
          <w:highlight w:val="none"/>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供应商名称：（公章）</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法定代表人或供应商全权代表：（签字或印章）</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日  期：    年  月  日</w:t>
      </w:r>
    </w:p>
    <w:p>
      <w:pPr>
        <w:tabs>
          <w:tab w:val="left" w:pos="567"/>
          <w:tab w:val="left" w:pos="1146"/>
          <w:tab w:val="left" w:pos="1719"/>
          <w:tab w:val="left" w:pos="2483"/>
        </w:tabs>
        <w:spacing w:before="120" w:line="480" w:lineRule="exact"/>
        <w:ind w:left="377" w:leftChars="46" w:hanging="280" w:hangingChars="117"/>
        <w:rPr>
          <w:rFonts w:ascii="宋体" w:hAnsi="宋体" w:cs="宋体"/>
          <w:color w:val="auto"/>
          <w:sz w:val="24"/>
          <w:szCs w:val="21"/>
          <w:highlight w:val="none"/>
        </w:rPr>
      </w:pPr>
    </w:p>
    <w:p>
      <w:pPr>
        <w:rPr>
          <w:rFonts w:hint="eastAsia" w:hAnsi="宋体" w:cs="宋体"/>
          <w:color w:val="auto"/>
          <w:sz w:val="24"/>
          <w:szCs w:val="24"/>
          <w:highlight w:val="none"/>
        </w:rPr>
      </w:pPr>
      <w:r>
        <w:rPr>
          <w:rFonts w:hint="eastAsia" w:hAnsi="宋体" w:cs="宋体"/>
          <w:color w:val="auto"/>
          <w:sz w:val="24"/>
          <w:szCs w:val="24"/>
          <w:highlight w:val="none"/>
        </w:rPr>
        <w:br w:type="page"/>
      </w:r>
    </w:p>
    <w:p>
      <w:pPr>
        <w:pStyle w:val="15"/>
        <w:spacing w:line="480" w:lineRule="exact"/>
        <w:ind w:firstLine="480" w:firstLineChars="200"/>
        <w:rPr>
          <w:rFonts w:hint="eastAsia" w:hAnsi="宋体" w:cs="宋体"/>
          <w:color w:val="auto"/>
          <w:sz w:val="24"/>
          <w:szCs w:val="24"/>
          <w:highlight w:val="none"/>
        </w:rPr>
      </w:pPr>
    </w:p>
    <w:p>
      <w:pPr>
        <w:pStyle w:val="4"/>
        <w:bidi w:val="0"/>
        <w:rPr>
          <w:rFonts w:ascii="宋体" w:hAnsi="宋体" w:eastAsia="宋体" w:cs="宋体"/>
          <w:color w:val="auto"/>
          <w:sz w:val="24"/>
          <w:highlight w:val="none"/>
        </w:rPr>
      </w:pPr>
      <w:bookmarkStart w:id="277" w:name="_Toc23154"/>
      <w:bookmarkStart w:id="278" w:name="_Toc45562505"/>
      <w:bookmarkStart w:id="279" w:name="_Toc68259631"/>
      <w:bookmarkStart w:id="280" w:name="_Toc46235130"/>
      <w:r>
        <w:rPr>
          <w:rFonts w:hint="eastAsia" w:ascii="宋体" w:hAnsi="宋体" w:eastAsia="宋体" w:cs="宋体"/>
          <w:color w:val="auto"/>
          <w:highlight w:val="none"/>
        </w:rPr>
        <w:t>四、资格证明文件</w:t>
      </w:r>
      <w:bookmarkEnd w:id="277"/>
      <w:bookmarkEnd w:id="278"/>
      <w:bookmarkEnd w:id="279"/>
      <w:bookmarkEnd w:id="280"/>
    </w:p>
    <w:p>
      <w:pPr>
        <w:pStyle w:val="5"/>
        <w:spacing w:line="480" w:lineRule="exact"/>
        <w:rPr>
          <w:rFonts w:hAnsi="宋体" w:cs="宋体"/>
          <w:color w:val="auto"/>
          <w:highlight w:val="none"/>
          <w:u w:val="none"/>
        </w:rPr>
      </w:pPr>
      <w:bookmarkStart w:id="281" w:name="_Toc518923109"/>
      <w:bookmarkStart w:id="282" w:name="_Toc46235131"/>
      <w:r>
        <w:rPr>
          <w:rFonts w:hint="eastAsia" w:hAnsi="宋体" w:cs="宋体"/>
          <w:color w:val="auto"/>
          <w:highlight w:val="none"/>
          <w:u w:val="none"/>
        </w:rPr>
        <w:t>2.法人或者其他组织的营业执照等证明文件或自然人的身份证明</w:t>
      </w:r>
      <w:bookmarkEnd w:id="281"/>
      <w:bookmarkEnd w:id="282"/>
    </w:p>
    <w:p>
      <w:pPr>
        <w:tabs>
          <w:tab w:val="left" w:pos="5580"/>
        </w:tabs>
        <w:spacing w:line="480" w:lineRule="exact"/>
        <w:rPr>
          <w:rFonts w:ascii="宋体" w:hAnsi="宋体" w:cs="宋体"/>
          <w:color w:val="auto"/>
          <w:sz w:val="24"/>
          <w:szCs w:val="20"/>
          <w:highlight w:val="none"/>
        </w:rPr>
      </w:pPr>
      <w:r>
        <w:rPr>
          <w:rFonts w:hint="eastAsia" w:ascii="宋体" w:hAnsi="宋体" w:cs="宋体"/>
          <w:color w:val="auto"/>
          <w:sz w:val="24"/>
          <w:szCs w:val="20"/>
          <w:highlight w:val="none"/>
        </w:rPr>
        <w:t>说明：1.提供有效的营业执照等证明文件复印件。</w:t>
      </w:r>
    </w:p>
    <w:p>
      <w:pPr>
        <w:tabs>
          <w:tab w:val="left" w:pos="5580"/>
        </w:tabs>
        <w:spacing w:line="480" w:lineRule="exact"/>
        <w:ind w:firstLine="720" w:firstLineChars="300"/>
        <w:rPr>
          <w:rFonts w:ascii="宋体" w:hAnsi="宋体" w:cs="宋体"/>
          <w:color w:val="auto"/>
          <w:sz w:val="24"/>
          <w:szCs w:val="20"/>
          <w:highlight w:val="none"/>
        </w:rPr>
      </w:pPr>
      <w:r>
        <w:rPr>
          <w:rFonts w:hint="eastAsia" w:ascii="宋体" w:hAnsi="宋体" w:cs="宋体"/>
          <w:color w:val="auto"/>
          <w:sz w:val="24"/>
          <w:szCs w:val="20"/>
          <w:highlight w:val="none"/>
        </w:rPr>
        <w:t>2. 供应商为自然人的，应提供身份证明的复印件。</w:t>
      </w:r>
    </w:p>
    <w:p>
      <w:pPr>
        <w:tabs>
          <w:tab w:val="left" w:pos="5580"/>
        </w:tabs>
        <w:spacing w:line="480" w:lineRule="exact"/>
        <w:ind w:firstLine="720" w:firstLineChars="300"/>
        <w:rPr>
          <w:rFonts w:ascii="宋体" w:hAnsi="宋体" w:cs="宋体"/>
          <w:color w:val="auto"/>
          <w:sz w:val="24"/>
          <w:szCs w:val="20"/>
          <w:highlight w:val="none"/>
        </w:rPr>
      </w:pPr>
      <w:r>
        <w:rPr>
          <w:rFonts w:hint="eastAsia" w:ascii="宋体" w:hAnsi="宋体" w:cs="宋体"/>
          <w:color w:val="auto"/>
          <w:sz w:val="24"/>
          <w:szCs w:val="20"/>
          <w:highlight w:val="none"/>
        </w:rPr>
        <w:t>3.联合体响应文件应提供联合体各方满足以上要求的证明文件。</w:t>
      </w:r>
    </w:p>
    <w:p>
      <w:pPr>
        <w:tabs>
          <w:tab w:val="left" w:pos="5580"/>
        </w:tabs>
        <w:spacing w:line="480" w:lineRule="exact"/>
        <w:rPr>
          <w:rFonts w:ascii="宋体" w:hAnsi="宋体" w:cs="宋体"/>
          <w:color w:val="auto"/>
          <w:sz w:val="24"/>
          <w:szCs w:val="20"/>
          <w:highlight w:val="none"/>
        </w:rPr>
      </w:pPr>
      <w:bookmarkStart w:id="283" w:name="_Toc2583670"/>
      <w:bookmarkStart w:id="284" w:name="_Toc46235132"/>
      <w:bookmarkStart w:id="285" w:name="_Toc518923110"/>
    </w:p>
    <w:p>
      <w:pPr>
        <w:pStyle w:val="5"/>
        <w:spacing w:line="480" w:lineRule="exact"/>
        <w:rPr>
          <w:rFonts w:hAnsi="宋体" w:cs="宋体"/>
          <w:color w:val="auto"/>
          <w:highlight w:val="none"/>
          <w:u w:val="none"/>
        </w:rPr>
      </w:pPr>
      <w:r>
        <w:rPr>
          <w:rFonts w:hint="eastAsia" w:hAnsi="宋体" w:cs="宋体"/>
          <w:color w:val="auto"/>
          <w:highlight w:val="none"/>
          <w:u w:val="none"/>
        </w:rPr>
        <w:t>3.法定代表人或负责人身份证明书</w:t>
      </w:r>
      <w:bookmarkEnd w:id="283"/>
      <w:bookmarkEnd w:id="284"/>
    </w:p>
    <w:p>
      <w:pPr>
        <w:tabs>
          <w:tab w:val="left" w:pos="5580"/>
        </w:tabs>
        <w:spacing w:line="480" w:lineRule="exact"/>
        <w:ind w:left="1100" w:leftChars="-29" w:hanging="1161"/>
        <w:rPr>
          <w:rFonts w:ascii="宋体" w:hAnsi="宋体" w:cs="宋体"/>
          <w:color w:val="auto"/>
          <w:sz w:val="24"/>
          <w:szCs w:val="20"/>
          <w:highlight w:val="none"/>
        </w:rPr>
      </w:pPr>
      <w:r>
        <w:rPr>
          <w:rFonts w:hint="eastAsia" w:ascii="宋体" w:hAnsi="宋体" w:cs="宋体"/>
          <w:color w:val="auto"/>
          <w:sz w:val="24"/>
          <w:szCs w:val="20"/>
          <w:highlight w:val="none"/>
          <w:u w:val="single"/>
        </w:rPr>
        <w:t>致：临沂市沂蒙国际招标有限公司</w:t>
      </w:r>
      <w:r>
        <w:rPr>
          <w:rFonts w:hint="eastAsia" w:ascii="宋体" w:hAnsi="宋体" w:cs="宋体"/>
          <w:color w:val="auto"/>
          <w:sz w:val="24"/>
          <w:szCs w:val="20"/>
          <w:highlight w:val="none"/>
        </w:rPr>
        <w:t>：</w:t>
      </w:r>
    </w:p>
    <w:p>
      <w:pPr>
        <w:tabs>
          <w:tab w:val="left" w:pos="5580"/>
        </w:tabs>
        <w:spacing w:line="480" w:lineRule="exact"/>
        <w:ind w:left="-113" w:leftChars="-54" w:firstLine="480" w:firstLineChars="200"/>
        <w:rPr>
          <w:rFonts w:ascii="宋体" w:hAnsi="宋体" w:cs="宋体"/>
          <w:color w:val="auto"/>
          <w:sz w:val="24"/>
          <w:szCs w:val="20"/>
          <w:highlight w:val="none"/>
        </w:rPr>
      </w:pPr>
      <w:r>
        <w:rPr>
          <w:rFonts w:hint="eastAsia" w:ascii="宋体" w:hAnsi="宋体" w:cs="宋体"/>
          <w:color w:val="auto"/>
          <w:sz w:val="24"/>
          <w:szCs w:val="20"/>
          <w:highlight w:val="none"/>
          <w:u w:val="single"/>
        </w:rPr>
        <w:t>（姓名、性别、年龄、身份证号码）</w:t>
      </w:r>
      <w:r>
        <w:rPr>
          <w:rFonts w:hint="eastAsia" w:ascii="宋体" w:hAnsi="宋体" w:cs="宋体"/>
          <w:color w:val="auto"/>
          <w:sz w:val="24"/>
          <w:szCs w:val="20"/>
          <w:highlight w:val="none"/>
        </w:rPr>
        <w:t>在我单位任</w:t>
      </w:r>
      <w:r>
        <w:rPr>
          <w:rFonts w:hint="eastAsia" w:ascii="宋体" w:hAnsi="宋体" w:cs="宋体"/>
          <w:color w:val="auto"/>
          <w:sz w:val="24"/>
          <w:szCs w:val="20"/>
          <w:highlight w:val="none"/>
          <w:u w:val="single"/>
        </w:rPr>
        <w:t>（董事长、总经理等）</w:t>
      </w:r>
      <w:r>
        <w:rPr>
          <w:rFonts w:hint="eastAsia" w:ascii="宋体" w:hAnsi="宋体" w:cs="宋体"/>
          <w:color w:val="auto"/>
          <w:sz w:val="24"/>
          <w:szCs w:val="20"/>
          <w:highlight w:val="none"/>
        </w:rPr>
        <w:t>职务，是我单位的法定代表人/负责人。</w:t>
      </w:r>
    </w:p>
    <w:p>
      <w:pPr>
        <w:tabs>
          <w:tab w:val="left" w:pos="5580"/>
        </w:tabs>
        <w:spacing w:line="480" w:lineRule="exact"/>
        <w:ind w:left="1080" w:leftChars="257" w:hanging="540"/>
        <w:rPr>
          <w:rFonts w:ascii="宋体" w:hAnsi="宋体" w:cs="宋体"/>
          <w:color w:val="auto"/>
          <w:sz w:val="24"/>
          <w:szCs w:val="20"/>
          <w:highlight w:val="none"/>
        </w:rPr>
      </w:pPr>
    </w:p>
    <w:p>
      <w:pPr>
        <w:tabs>
          <w:tab w:val="left" w:pos="5580"/>
        </w:tabs>
        <w:spacing w:line="480" w:lineRule="exact"/>
        <w:ind w:left="1080" w:leftChars="257" w:hanging="540"/>
        <w:rPr>
          <w:rFonts w:ascii="宋体" w:hAnsi="宋体" w:cs="宋体"/>
          <w:color w:val="auto"/>
          <w:sz w:val="24"/>
          <w:szCs w:val="20"/>
          <w:highlight w:val="none"/>
        </w:rPr>
      </w:pPr>
      <w:r>
        <w:rPr>
          <w:rFonts w:hint="eastAsia" w:ascii="宋体" w:hAnsi="宋体" w:cs="宋体"/>
          <w:color w:val="auto"/>
          <w:sz w:val="24"/>
          <w:szCs w:val="20"/>
          <w:highlight w:val="none"/>
        </w:rPr>
        <w:t>特此证明。</w:t>
      </w:r>
    </w:p>
    <w:p>
      <w:pPr>
        <w:spacing w:line="480" w:lineRule="exact"/>
        <w:rPr>
          <w:rFonts w:ascii="宋体" w:hAnsi="宋体" w:cs="宋体"/>
          <w:color w:val="auto"/>
          <w:sz w:val="24"/>
          <w:highlight w:val="none"/>
        </w:rPr>
      </w:pPr>
    </w:p>
    <w:p>
      <w:pPr>
        <w:tabs>
          <w:tab w:val="left" w:pos="5580"/>
        </w:tabs>
        <w:spacing w:line="480" w:lineRule="exact"/>
        <w:ind w:left="-540" w:leftChars="-257" w:firstLine="900" w:firstLineChars="375"/>
        <w:rPr>
          <w:rFonts w:ascii="宋体" w:hAnsi="宋体" w:cs="宋体"/>
          <w:color w:val="auto"/>
          <w:sz w:val="24"/>
          <w:szCs w:val="20"/>
          <w:highlight w:val="none"/>
        </w:rPr>
      </w:pPr>
      <w:r>
        <w:rPr>
          <w:rFonts w:hint="eastAsia" w:ascii="宋体" w:hAnsi="宋体" w:cs="宋体"/>
          <w:color w:val="auto"/>
          <w:sz w:val="24"/>
          <w:szCs w:val="20"/>
          <w:highlight w:val="none"/>
        </w:rPr>
        <w:t>供应商（盖公章）：</w:t>
      </w:r>
    </w:p>
    <w:p>
      <w:pPr>
        <w:tabs>
          <w:tab w:val="left" w:pos="5580"/>
        </w:tabs>
        <w:spacing w:line="480" w:lineRule="exact"/>
        <w:ind w:firstLine="360" w:firstLineChars="150"/>
        <w:rPr>
          <w:rFonts w:ascii="宋体" w:hAnsi="宋体" w:cs="宋体"/>
          <w:color w:val="auto"/>
          <w:sz w:val="24"/>
          <w:szCs w:val="20"/>
          <w:highlight w:val="none"/>
        </w:rPr>
      </w:pPr>
    </w:p>
    <w:p>
      <w:pPr>
        <w:tabs>
          <w:tab w:val="left" w:pos="5580"/>
        </w:tabs>
        <w:spacing w:line="480" w:lineRule="exact"/>
        <w:ind w:left="-540" w:leftChars="-257" w:firstLine="900" w:firstLineChars="375"/>
        <w:rPr>
          <w:rFonts w:ascii="宋体" w:hAnsi="宋体" w:cs="宋体"/>
          <w:color w:val="auto"/>
          <w:sz w:val="24"/>
          <w:szCs w:val="20"/>
          <w:highlight w:val="none"/>
        </w:rPr>
      </w:pPr>
      <w:r>
        <w:rPr>
          <w:rFonts w:hint="eastAsia" w:ascii="宋体" w:hAnsi="宋体" w:cs="宋体"/>
          <w:color w:val="auto"/>
          <w:sz w:val="24"/>
          <w:szCs w:val="20"/>
          <w:highlight w:val="none"/>
        </w:rPr>
        <w:t>注：自然人响应文件的无需提供</w:t>
      </w:r>
    </w:p>
    <w:p>
      <w:pPr>
        <w:tabs>
          <w:tab w:val="left" w:pos="5580"/>
        </w:tabs>
        <w:spacing w:line="480" w:lineRule="exact"/>
        <w:ind w:firstLine="360" w:firstLineChars="150"/>
        <w:rPr>
          <w:rFonts w:ascii="宋体" w:hAnsi="宋体" w:cs="宋体"/>
          <w:color w:val="auto"/>
          <w:sz w:val="24"/>
          <w:szCs w:val="20"/>
          <w:highlight w:val="none"/>
        </w:rPr>
      </w:pPr>
    </w:p>
    <w:p>
      <w:pPr>
        <w:pStyle w:val="5"/>
        <w:spacing w:line="480" w:lineRule="exact"/>
        <w:rPr>
          <w:rFonts w:hAnsi="宋体" w:cs="宋体"/>
          <w:color w:val="auto"/>
          <w:highlight w:val="none"/>
          <w:u w:val="none"/>
        </w:rPr>
      </w:pPr>
      <w:bookmarkStart w:id="286" w:name="_Toc46235133"/>
      <w:r>
        <w:rPr>
          <w:rFonts w:hint="eastAsia" w:hAnsi="宋体" w:cs="宋体"/>
          <w:color w:val="auto"/>
          <w:highlight w:val="none"/>
          <w:u w:val="none"/>
        </w:rPr>
        <w:t>4.法定代表人或负责人授权书</w:t>
      </w:r>
      <w:bookmarkEnd w:id="285"/>
      <w:bookmarkEnd w:id="286"/>
    </w:p>
    <w:p>
      <w:pPr>
        <w:tabs>
          <w:tab w:val="left" w:pos="5580"/>
        </w:tabs>
        <w:spacing w:line="480" w:lineRule="exact"/>
        <w:ind w:firstLine="480"/>
        <w:rPr>
          <w:rFonts w:ascii="宋体" w:hAnsi="宋体" w:cs="宋体"/>
          <w:color w:val="auto"/>
          <w:sz w:val="24"/>
          <w:szCs w:val="20"/>
          <w:highlight w:val="none"/>
        </w:rPr>
      </w:pPr>
      <w:r>
        <w:rPr>
          <w:rFonts w:hint="eastAsia" w:ascii="宋体" w:hAnsi="宋体" w:cs="宋体"/>
          <w:color w:val="auto"/>
          <w:sz w:val="24"/>
          <w:szCs w:val="20"/>
          <w:highlight w:val="none"/>
        </w:rPr>
        <w:t>本授权书声明：注册于</w:t>
      </w:r>
      <w:r>
        <w:rPr>
          <w:rFonts w:hint="eastAsia" w:ascii="宋体" w:hAnsi="宋体" w:cs="宋体"/>
          <w:color w:val="auto"/>
          <w:sz w:val="24"/>
          <w:szCs w:val="20"/>
          <w:highlight w:val="none"/>
          <w:u w:val="single"/>
        </w:rPr>
        <w:t>（国家或地区的名称）</w:t>
      </w:r>
      <w:r>
        <w:rPr>
          <w:rFonts w:hint="eastAsia" w:ascii="宋体" w:hAnsi="宋体" w:cs="宋体"/>
          <w:color w:val="auto"/>
          <w:sz w:val="24"/>
          <w:szCs w:val="20"/>
          <w:highlight w:val="none"/>
        </w:rPr>
        <w:t>的（</w:t>
      </w:r>
      <w:r>
        <w:rPr>
          <w:rFonts w:hint="eastAsia" w:ascii="宋体" w:hAnsi="宋体" w:cs="宋体"/>
          <w:i/>
          <w:color w:val="auto"/>
          <w:sz w:val="24"/>
          <w:szCs w:val="20"/>
          <w:highlight w:val="none"/>
          <w:u w:val="single"/>
        </w:rPr>
        <w:t>供应商</w:t>
      </w:r>
      <w:r>
        <w:rPr>
          <w:rFonts w:hint="eastAsia" w:ascii="宋体" w:hAnsi="宋体" w:cs="宋体"/>
          <w:color w:val="auto"/>
          <w:sz w:val="24"/>
          <w:szCs w:val="20"/>
          <w:highlight w:val="none"/>
        </w:rPr>
        <w:t>）的在下面签字的（</w:t>
      </w:r>
      <w:r>
        <w:rPr>
          <w:rFonts w:hint="eastAsia" w:ascii="宋体" w:hAnsi="宋体" w:cs="宋体"/>
          <w:i/>
          <w:color w:val="auto"/>
          <w:sz w:val="24"/>
          <w:szCs w:val="20"/>
          <w:highlight w:val="none"/>
          <w:u w:val="single"/>
        </w:rPr>
        <w:t>法定代表人</w:t>
      </w:r>
      <w:r>
        <w:rPr>
          <w:rFonts w:hint="eastAsia" w:ascii="宋体" w:hAnsi="宋体" w:cs="宋体"/>
          <w:color w:val="auto"/>
          <w:sz w:val="24"/>
          <w:szCs w:val="20"/>
          <w:highlight w:val="none"/>
          <w:u w:val="single"/>
        </w:rPr>
        <w:t>/负责人</w:t>
      </w:r>
      <w:r>
        <w:rPr>
          <w:rFonts w:hint="eastAsia" w:ascii="宋体" w:hAnsi="宋体" w:cs="宋体"/>
          <w:i/>
          <w:color w:val="auto"/>
          <w:sz w:val="24"/>
          <w:szCs w:val="20"/>
          <w:highlight w:val="none"/>
          <w:u w:val="single"/>
        </w:rPr>
        <w:t>姓名、职务</w:t>
      </w:r>
      <w:r>
        <w:rPr>
          <w:rFonts w:hint="eastAsia" w:ascii="宋体" w:hAnsi="宋体" w:cs="宋体"/>
          <w:color w:val="auto"/>
          <w:sz w:val="24"/>
          <w:szCs w:val="20"/>
          <w:highlight w:val="none"/>
        </w:rPr>
        <w:t>）代表我单位授权（</w:t>
      </w:r>
      <w:r>
        <w:rPr>
          <w:rFonts w:hint="eastAsia" w:ascii="宋体" w:hAnsi="宋体" w:cs="宋体"/>
          <w:i/>
          <w:color w:val="auto"/>
          <w:sz w:val="24"/>
          <w:szCs w:val="20"/>
          <w:highlight w:val="none"/>
          <w:u w:val="single"/>
        </w:rPr>
        <w:t>单位名称</w:t>
      </w:r>
      <w:r>
        <w:rPr>
          <w:rFonts w:hint="eastAsia" w:ascii="宋体" w:hAnsi="宋体" w:cs="宋体"/>
          <w:color w:val="auto"/>
          <w:sz w:val="24"/>
          <w:szCs w:val="20"/>
          <w:highlight w:val="none"/>
        </w:rPr>
        <w:t>）的在下面签字的（</w:t>
      </w:r>
      <w:r>
        <w:rPr>
          <w:rFonts w:hint="eastAsia" w:ascii="宋体" w:hAnsi="宋体" w:cs="宋体"/>
          <w:i/>
          <w:color w:val="auto"/>
          <w:sz w:val="24"/>
          <w:szCs w:val="20"/>
          <w:highlight w:val="none"/>
          <w:u w:val="single"/>
        </w:rPr>
        <w:t>被授权人的姓名、职务</w:t>
      </w:r>
      <w:r>
        <w:rPr>
          <w:rFonts w:hint="eastAsia" w:ascii="宋体" w:hAnsi="宋体" w:cs="宋体"/>
          <w:color w:val="auto"/>
          <w:sz w:val="24"/>
          <w:szCs w:val="20"/>
          <w:highlight w:val="none"/>
        </w:rPr>
        <w:t>）为我单位的合法代理人，就（</w:t>
      </w:r>
      <w:r>
        <w:rPr>
          <w:rFonts w:hint="eastAsia" w:ascii="宋体" w:hAnsi="宋体" w:cs="宋体"/>
          <w:i/>
          <w:color w:val="auto"/>
          <w:sz w:val="24"/>
          <w:szCs w:val="20"/>
          <w:highlight w:val="none"/>
          <w:u w:val="single"/>
        </w:rPr>
        <w:t>项目名称</w:t>
      </w:r>
      <w:r>
        <w:rPr>
          <w:rFonts w:hint="eastAsia" w:ascii="宋体" w:hAnsi="宋体" w:cs="宋体"/>
          <w:color w:val="auto"/>
          <w:sz w:val="24"/>
          <w:szCs w:val="20"/>
          <w:highlight w:val="none"/>
        </w:rPr>
        <w:t>）的（</w:t>
      </w:r>
      <w:r>
        <w:rPr>
          <w:rFonts w:hint="eastAsia" w:ascii="宋体" w:hAnsi="宋体" w:cs="宋体"/>
          <w:i/>
          <w:color w:val="auto"/>
          <w:sz w:val="24"/>
          <w:szCs w:val="20"/>
          <w:highlight w:val="none"/>
          <w:u w:val="single"/>
        </w:rPr>
        <w:t>包号</w:t>
      </w:r>
      <w:r>
        <w:rPr>
          <w:rFonts w:hint="eastAsia" w:ascii="宋体" w:hAnsi="宋体" w:cs="宋体"/>
          <w:color w:val="auto"/>
          <w:sz w:val="24"/>
          <w:szCs w:val="20"/>
          <w:highlight w:val="none"/>
        </w:rPr>
        <w:t>）响应文件，以我单位名义处理一切与之有关的事务。</w:t>
      </w:r>
      <w:r>
        <w:rPr>
          <w:rFonts w:hint="eastAsia" w:ascii="宋体" w:hAnsi="宋体" w:cs="宋体"/>
          <w:color w:val="auto"/>
          <w:sz w:val="24"/>
          <w:szCs w:val="20"/>
          <w:highlight w:val="none"/>
        </w:rPr>
        <w:cr/>
      </w:r>
      <w:r>
        <w:rPr>
          <w:rFonts w:hint="eastAsia" w:ascii="宋体" w:hAnsi="宋体" w:cs="宋体"/>
          <w:color w:val="auto"/>
          <w:sz w:val="24"/>
          <w:szCs w:val="20"/>
          <w:highlight w:val="none"/>
        </w:rPr>
        <w:t>　　</w:t>
      </w:r>
    </w:p>
    <w:p>
      <w:pPr>
        <w:tabs>
          <w:tab w:val="left" w:pos="5580"/>
        </w:tabs>
        <w:spacing w:line="480" w:lineRule="exact"/>
        <w:ind w:left="-540" w:leftChars="-257" w:firstLine="900" w:firstLineChars="375"/>
        <w:rPr>
          <w:rFonts w:ascii="宋体" w:hAnsi="宋体" w:cs="宋体"/>
          <w:color w:val="auto"/>
          <w:sz w:val="24"/>
          <w:szCs w:val="20"/>
          <w:highlight w:val="none"/>
          <w:u w:val="single"/>
        </w:rPr>
      </w:pPr>
      <w:r>
        <w:rPr>
          <w:rFonts w:hint="eastAsia" w:ascii="宋体" w:hAnsi="宋体" w:cs="宋体"/>
          <w:color w:val="auto"/>
          <w:sz w:val="24"/>
          <w:szCs w:val="20"/>
          <w:highlight w:val="none"/>
        </w:rPr>
        <w:t>本授权书于年月日签字生效</w:t>
      </w:r>
      <w:r>
        <w:rPr>
          <w:rFonts w:hint="eastAsia" w:ascii="宋体" w:hAnsi="宋体" w:cs="宋体"/>
          <w:color w:val="auto"/>
          <w:sz w:val="24"/>
          <w:szCs w:val="20"/>
          <w:highlight w:val="none"/>
          <w:lang w:eastAsia="zh-CN"/>
        </w:rPr>
        <w:t>，</w:t>
      </w:r>
      <w:r>
        <w:rPr>
          <w:rFonts w:hint="eastAsia" w:ascii="宋体" w:hAnsi="宋体" w:cs="宋体"/>
          <w:color w:val="auto"/>
          <w:sz w:val="24"/>
          <w:szCs w:val="20"/>
          <w:highlight w:val="none"/>
        </w:rPr>
        <w:t>特此声明。</w:t>
      </w:r>
      <w:r>
        <w:rPr>
          <w:rFonts w:hint="eastAsia" w:ascii="宋体" w:hAnsi="宋体" w:cs="宋体"/>
          <w:color w:val="auto"/>
          <w:sz w:val="24"/>
          <w:szCs w:val="20"/>
          <w:highlight w:val="none"/>
        </w:rPr>
        <w:cr/>
      </w:r>
      <w:r>
        <w:rPr>
          <w:rFonts w:hint="eastAsia" w:ascii="宋体" w:hAnsi="宋体" w:cs="宋体"/>
          <w:color w:val="auto"/>
          <w:sz w:val="24"/>
          <w:szCs w:val="20"/>
          <w:highlight w:val="none"/>
        </w:rPr>
        <w:cr/>
      </w:r>
      <w:r>
        <w:rPr>
          <w:rFonts w:hint="eastAsia" w:ascii="宋体" w:hAnsi="宋体" w:cs="宋体"/>
          <w:color w:val="auto"/>
          <w:sz w:val="24"/>
          <w:szCs w:val="20"/>
          <w:highlight w:val="none"/>
        </w:rPr>
        <w:t xml:space="preserve">       供应商（盖单位公章）：</w:t>
      </w:r>
    </w:p>
    <w:p>
      <w:pPr>
        <w:tabs>
          <w:tab w:val="left" w:pos="5580"/>
        </w:tabs>
        <w:spacing w:line="480" w:lineRule="exact"/>
        <w:ind w:left="-540" w:leftChars="-257" w:firstLine="900" w:firstLineChars="375"/>
        <w:rPr>
          <w:rFonts w:ascii="宋体" w:hAnsi="宋体" w:cs="宋体"/>
          <w:color w:val="auto"/>
          <w:sz w:val="24"/>
          <w:szCs w:val="20"/>
          <w:highlight w:val="none"/>
          <w:u w:val="single"/>
        </w:rPr>
      </w:pPr>
      <w:r>
        <w:rPr>
          <w:rFonts w:hint="eastAsia" w:ascii="宋体" w:hAnsi="宋体" w:cs="宋体"/>
          <w:color w:val="auto"/>
          <w:sz w:val="24"/>
          <w:szCs w:val="20"/>
          <w:highlight w:val="none"/>
        </w:rPr>
        <w:t>法定代表人/负责人</w:t>
      </w:r>
      <w:r>
        <w:rPr>
          <w:rFonts w:hint="eastAsia" w:ascii="宋体" w:hAnsi="宋体" w:cs="宋体"/>
          <w:color w:val="auto"/>
          <w:sz w:val="24"/>
          <w:szCs w:val="20"/>
          <w:highlight w:val="none"/>
          <w:lang w:eastAsia="zh-CN"/>
        </w:rPr>
        <w:t>（</w:t>
      </w:r>
      <w:r>
        <w:rPr>
          <w:rFonts w:hint="eastAsia" w:ascii="宋体" w:hAnsi="宋体" w:cs="宋体"/>
          <w:color w:val="auto"/>
          <w:sz w:val="24"/>
          <w:szCs w:val="20"/>
          <w:highlight w:val="none"/>
        </w:rPr>
        <w:t>签章</w:t>
      </w:r>
      <w:r>
        <w:rPr>
          <w:rFonts w:hint="eastAsia" w:ascii="宋体" w:hAnsi="宋体" w:cs="宋体"/>
          <w:color w:val="auto"/>
          <w:sz w:val="24"/>
          <w:szCs w:val="20"/>
          <w:highlight w:val="none"/>
          <w:lang w:eastAsia="zh-CN"/>
        </w:rPr>
        <w:t>）</w:t>
      </w:r>
      <w:r>
        <w:rPr>
          <w:rFonts w:hint="eastAsia" w:ascii="宋体" w:hAnsi="宋体" w:cs="宋体"/>
          <w:color w:val="auto"/>
          <w:sz w:val="24"/>
          <w:szCs w:val="20"/>
          <w:highlight w:val="none"/>
        </w:rPr>
        <w:t>：</w:t>
      </w:r>
    </w:p>
    <w:p>
      <w:pPr>
        <w:tabs>
          <w:tab w:val="left" w:pos="5580"/>
        </w:tabs>
        <w:spacing w:line="480" w:lineRule="exact"/>
        <w:ind w:left="-540" w:leftChars="-257" w:firstLine="900" w:firstLineChars="375"/>
        <w:rPr>
          <w:rFonts w:ascii="宋体" w:hAnsi="宋体" w:cs="宋体"/>
          <w:color w:val="auto"/>
          <w:sz w:val="24"/>
          <w:szCs w:val="20"/>
          <w:highlight w:val="none"/>
          <w:u w:val="single"/>
        </w:rPr>
      </w:pPr>
      <w:r>
        <w:rPr>
          <w:rFonts w:hint="eastAsia" w:ascii="宋体" w:hAnsi="宋体" w:cs="宋体"/>
          <w:color w:val="auto"/>
          <w:sz w:val="24"/>
          <w:szCs w:val="20"/>
          <w:highlight w:val="none"/>
        </w:rPr>
        <w:t>法定代表人/负责人身份证号码：</w:t>
      </w:r>
    </w:p>
    <w:p>
      <w:pPr>
        <w:tabs>
          <w:tab w:val="left" w:pos="5580"/>
        </w:tabs>
        <w:spacing w:line="480" w:lineRule="exact"/>
        <w:ind w:firstLine="360" w:firstLineChars="150"/>
        <w:rPr>
          <w:rFonts w:ascii="宋体" w:hAnsi="宋体" w:cs="宋体"/>
          <w:color w:val="auto"/>
          <w:sz w:val="24"/>
          <w:szCs w:val="20"/>
          <w:highlight w:val="none"/>
        </w:rPr>
      </w:pPr>
      <w:r>
        <w:rPr>
          <w:rFonts w:hint="eastAsia" w:ascii="宋体" w:hAnsi="宋体" w:cs="宋体"/>
          <w:color w:val="auto"/>
          <w:sz w:val="24"/>
          <w:szCs w:val="20"/>
          <w:highlight w:val="none"/>
        </w:rPr>
        <w:t>委托代理人身份证号码：</w:t>
      </w:r>
    </w:p>
    <w:p>
      <w:pPr>
        <w:spacing w:line="480" w:lineRule="exact"/>
        <w:ind w:left="120" w:right="-20"/>
        <w:jc w:val="left"/>
        <w:rPr>
          <w:rFonts w:ascii="宋体" w:hAnsi="宋体" w:cs="宋体"/>
          <w:color w:val="auto"/>
          <w:kern w:val="0"/>
          <w:position w:val="-3"/>
          <w:sz w:val="24"/>
          <w:highlight w:val="none"/>
        </w:rPr>
      </w:pPr>
    </w:p>
    <w:p>
      <w:pPr>
        <w:keepNext w:val="0"/>
        <w:keepLines w:val="0"/>
        <w:pageBreakBefore w:val="0"/>
        <w:widowControl w:val="0"/>
        <w:kinsoku/>
        <w:wordWrap/>
        <w:topLinePunct w:val="0"/>
        <w:bidi w:val="0"/>
        <w:snapToGrid/>
        <w:spacing w:line="360" w:lineRule="auto"/>
        <w:ind w:left="120" w:leftChars="57" w:right="-20" w:firstLine="240" w:firstLineChars="100"/>
        <w:jc w:val="left"/>
        <w:rPr>
          <w:rFonts w:hint="eastAsia" w:ascii="宋体" w:hAnsi="宋体" w:cs="宋体"/>
          <w:color w:val="auto"/>
          <w:kern w:val="0"/>
          <w:position w:val="-3"/>
          <w:sz w:val="24"/>
          <w:highlight w:val="none"/>
          <w:lang w:val="en-US" w:eastAsia="zh-CN"/>
        </w:rPr>
      </w:pPr>
      <w:r>
        <w:rPr>
          <w:rFonts w:hint="eastAsia" w:ascii="宋体" w:hAnsi="宋体" w:cs="宋体"/>
          <w:color w:val="auto"/>
          <w:kern w:val="0"/>
          <w:position w:val="-3"/>
          <w:sz w:val="24"/>
          <w:highlight w:val="none"/>
        </w:rPr>
        <w:t>注：</w:t>
      </w:r>
      <w:r>
        <w:rPr>
          <w:rFonts w:hint="eastAsia" w:ascii="宋体" w:hAnsi="宋体" w:cs="宋体"/>
          <w:color w:val="auto"/>
          <w:kern w:val="0"/>
          <w:position w:val="-3"/>
          <w:sz w:val="24"/>
          <w:highlight w:val="none"/>
          <w:lang w:eastAsia="zh-CN"/>
        </w:rPr>
        <w:t>（</w:t>
      </w:r>
      <w:r>
        <w:rPr>
          <w:rFonts w:hint="eastAsia" w:ascii="宋体" w:hAnsi="宋体" w:cs="宋体"/>
          <w:color w:val="auto"/>
          <w:kern w:val="0"/>
          <w:position w:val="-3"/>
          <w:sz w:val="24"/>
          <w:highlight w:val="none"/>
          <w:lang w:val="en-US" w:eastAsia="zh-CN"/>
        </w:rPr>
        <w:t>1</w:t>
      </w:r>
      <w:r>
        <w:rPr>
          <w:rFonts w:hint="eastAsia" w:ascii="宋体" w:hAnsi="宋体" w:cs="宋体"/>
          <w:color w:val="auto"/>
          <w:kern w:val="0"/>
          <w:position w:val="-3"/>
          <w:sz w:val="24"/>
          <w:highlight w:val="none"/>
          <w:lang w:eastAsia="zh-CN"/>
        </w:rPr>
        <w:t>）</w:t>
      </w:r>
      <w:r>
        <w:rPr>
          <w:rFonts w:hint="eastAsia" w:ascii="宋体" w:hAnsi="宋体" w:cs="宋体"/>
          <w:color w:val="auto"/>
          <w:kern w:val="0"/>
          <w:position w:val="-3"/>
          <w:sz w:val="24"/>
          <w:highlight w:val="none"/>
        </w:rPr>
        <w:t>自然人响应文件的无需提供</w:t>
      </w:r>
      <w:r>
        <w:rPr>
          <w:rFonts w:hint="eastAsia" w:ascii="宋体" w:hAnsi="宋体" w:cs="宋体"/>
          <w:color w:val="auto"/>
          <w:kern w:val="0"/>
          <w:position w:val="-3"/>
          <w:sz w:val="24"/>
          <w:highlight w:val="none"/>
          <w:lang w:val="en-US" w:eastAsia="zh-CN"/>
        </w:rPr>
        <w:t>。</w:t>
      </w:r>
    </w:p>
    <w:p>
      <w:pPr>
        <w:pStyle w:val="37"/>
        <w:keepNext w:val="0"/>
        <w:keepLines w:val="0"/>
        <w:pageBreakBefore w:val="0"/>
        <w:widowControl w:val="0"/>
        <w:kinsoku/>
        <w:wordWrap/>
        <w:topLinePunct w:val="0"/>
        <w:bidi w:val="0"/>
        <w:snapToGrid/>
        <w:spacing w:line="360" w:lineRule="auto"/>
        <w:ind w:firstLine="723" w:firstLineChars="300"/>
        <w:rPr>
          <w:rFonts w:hint="eastAsia" w:ascii="宋体" w:hAnsi="宋体" w:eastAsia="宋体" w:cs="宋体"/>
          <w:b/>
          <w:bCs/>
          <w:color w:val="auto"/>
          <w:kern w:val="0"/>
          <w:position w:val="-3"/>
          <w:sz w:val="24"/>
          <w:szCs w:val="24"/>
          <w:highlight w:val="none"/>
          <w:lang w:val="en-US" w:eastAsia="zh-CN" w:bidi="ar-SA"/>
        </w:rPr>
      </w:pPr>
      <w:r>
        <w:rPr>
          <w:rFonts w:hint="eastAsia" w:ascii="宋体" w:hAnsi="宋体" w:eastAsia="宋体" w:cs="宋体"/>
          <w:b/>
          <w:bCs/>
          <w:color w:val="auto"/>
          <w:kern w:val="0"/>
          <w:position w:val="-3"/>
          <w:sz w:val="24"/>
          <w:szCs w:val="24"/>
          <w:highlight w:val="none"/>
          <w:lang w:val="en-US" w:eastAsia="zh-CN" w:bidi="ar-SA"/>
        </w:rPr>
        <w:t>（2）委托代理人须为投标单位正式员工，并附该员工投标前6个月内任意3个月的社保缴纳记录证明。若为新公司成立不足3个月，可提供成立以来的社保缴纳记录证明即可。</w:t>
      </w:r>
      <w:bookmarkStart w:id="287" w:name="_Toc46235134"/>
    </w:p>
    <w:p>
      <w:pPr>
        <w:pStyle w:val="37"/>
        <w:keepNext w:val="0"/>
        <w:keepLines w:val="0"/>
        <w:pageBreakBefore w:val="0"/>
        <w:widowControl w:val="0"/>
        <w:kinsoku/>
        <w:wordWrap/>
        <w:topLinePunct w:val="0"/>
        <w:bidi w:val="0"/>
        <w:snapToGrid/>
        <w:spacing w:line="360" w:lineRule="auto"/>
        <w:ind w:firstLine="723" w:firstLineChars="300"/>
        <w:rPr>
          <w:rFonts w:hint="eastAsia" w:ascii="宋体" w:hAnsi="宋体" w:eastAsia="宋体" w:cs="宋体"/>
          <w:b/>
          <w:bCs/>
          <w:color w:val="auto"/>
          <w:kern w:val="0"/>
          <w:position w:val="-3"/>
          <w:sz w:val="24"/>
          <w:szCs w:val="24"/>
          <w:highlight w:val="none"/>
          <w:lang w:val="en-US" w:eastAsia="zh-CN" w:bidi="ar-SA"/>
        </w:rPr>
      </w:pPr>
    </w:p>
    <w:p>
      <w:pPr>
        <w:pStyle w:val="5"/>
        <w:spacing w:line="480" w:lineRule="exact"/>
        <w:rPr>
          <w:rFonts w:hAnsi="宋体" w:cs="宋体"/>
          <w:color w:val="auto"/>
          <w:highlight w:val="none"/>
          <w:u w:val="none"/>
        </w:rPr>
      </w:pPr>
      <w:r>
        <w:rPr>
          <w:rFonts w:hint="eastAsia" w:hAnsi="宋体" w:cs="宋体"/>
          <w:color w:val="auto"/>
          <w:highlight w:val="none"/>
          <w:u w:val="none"/>
        </w:rPr>
        <w:t>5.具有良好的商业信誉和健全的财务会计制度的</w:t>
      </w:r>
      <w:bookmarkEnd w:id="287"/>
      <w:r>
        <w:rPr>
          <w:rFonts w:hint="eastAsia" w:hAnsi="宋体" w:cs="宋体"/>
          <w:color w:val="auto"/>
          <w:highlight w:val="none"/>
          <w:u w:val="none"/>
        </w:rPr>
        <w:t>证明文件</w:t>
      </w:r>
    </w:p>
    <w:p>
      <w:pPr>
        <w:tabs>
          <w:tab w:val="left" w:pos="5580"/>
        </w:tabs>
        <w:spacing w:line="480" w:lineRule="exact"/>
        <w:ind w:left="1080" w:leftChars="257" w:hanging="540"/>
        <w:rPr>
          <w:rFonts w:ascii="宋体" w:hAnsi="宋体" w:cs="宋体"/>
          <w:color w:val="auto"/>
          <w:sz w:val="24"/>
          <w:highlight w:val="none"/>
        </w:rPr>
      </w:pPr>
      <w:r>
        <w:rPr>
          <w:rFonts w:hint="eastAsia" w:ascii="宋体" w:hAnsi="宋体" w:cs="宋体"/>
          <w:color w:val="auto"/>
          <w:sz w:val="24"/>
          <w:highlight w:val="none"/>
        </w:rPr>
        <w:t>说明：</w:t>
      </w:r>
    </w:p>
    <w:p>
      <w:pPr>
        <w:tabs>
          <w:tab w:val="left" w:pos="5580"/>
        </w:tabs>
        <w:spacing w:line="480" w:lineRule="exact"/>
        <w:ind w:firstLine="480" w:firstLineChars="200"/>
        <w:rPr>
          <w:rFonts w:ascii="宋体" w:hAnsi="宋体" w:cs="宋体"/>
          <w:bCs/>
          <w:color w:val="auto"/>
          <w:sz w:val="24"/>
          <w:highlight w:val="none"/>
        </w:rPr>
      </w:pPr>
      <w:bookmarkStart w:id="288" w:name="_Toc518923111"/>
      <w:r>
        <w:rPr>
          <w:rFonts w:hint="eastAsia" w:ascii="宋体" w:hAnsi="宋体" w:cs="宋体"/>
          <w:color w:val="auto"/>
          <w:sz w:val="24"/>
          <w:highlight w:val="none"/>
        </w:rPr>
        <w:t>1、如提供本单位上年度经会计师事务所出具的审计报告复印件，须加盖</w:t>
      </w:r>
      <w:r>
        <w:rPr>
          <w:rFonts w:hint="eastAsia" w:ascii="宋体" w:hAnsi="宋体" w:cs="宋体"/>
          <w:bCs/>
          <w:color w:val="auto"/>
          <w:sz w:val="24"/>
          <w:highlight w:val="none"/>
        </w:rPr>
        <w:t>本单位章。</w:t>
      </w:r>
    </w:p>
    <w:p>
      <w:pPr>
        <w:tabs>
          <w:tab w:val="left" w:pos="5580"/>
        </w:tabs>
        <w:spacing w:line="48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如提供银行出具的证明文件。银行证明文件可提供原件，也可提供银行在开标日前三个月内开具证明文件的复印件。若提供的是复印件，采购人或采购代理机构保留审核原件的权利。银行出具的证明文件应能说明该供应商与银行之间业务往来正常，企业信誉良好等。</w:t>
      </w:r>
    </w:p>
    <w:p>
      <w:pPr>
        <w:tabs>
          <w:tab w:val="left" w:pos="5580"/>
        </w:tabs>
        <w:spacing w:line="48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3、如果是联合体响应文件，联合体各方均需提供上述证明。</w:t>
      </w:r>
    </w:p>
    <w:p>
      <w:pPr>
        <w:tabs>
          <w:tab w:val="left" w:pos="5580"/>
        </w:tabs>
        <w:spacing w:line="48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4、如采用合格的磋商担保函的，可提供磋商担保函复印件替代。</w:t>
      </w:r>
    </w:p>
    <w:p>
      <w:pPr>
        <w:tabs>
          <w:tab w:val="left" w:pos="5580"/>
        </w:tabs>
        <w:wordWrap w:val="0"/>
        <w:spacing w:line="520" w:lineRule="exact"/>
        <w:ind w:firstLine="480" w:firstLineChars="200"/>
        <w:rPr>
          <w:rFonts w:hint="eastAsia" w:ascii="宋体" w:hAnsi="宋体"/>
          <w:color w:val="auto"/>
          <w:sz w:val="24"/>
          <w:highlight w:val="none"/>
        </w:rPr>
      </w:pPr>
      <w:r>
        <w:rPr>
          <w:rFonts w:hint="eastAsia" w:ascii="宋体" w:hAnsi="宋体"/>
          <w:color w:val="auto"/>
          <w:sz w:val="24"/>
          <w:highlight w:val="none"/>
        </w:rPr>
        <w:t>5、如采用承诺方式的，承诺函格式下载地址：</w:t>
      </w:r>
      <w:r>
        <w:rPr>
          <w:rFonts w:hint="eastAsia" w:ascii="宋体" w:hAnsi="宋体"/>
          <w:color w:val="auto"/>
          <w:sz w:val="24"/>
          <w:highlight w:val="none"/>
        </w:rPr>
        <w:fldChar w:fldCharType="begin"/>
      </w:r>
      <w:r>
        <w:rPr>
          <w:rFonts w:hint="eastAsia" w:ascii="宋体" w:hAnsi="宋体"/>
          <w:color w:val="auto"/>
          <w:sz w:val="24"/>
          <w:highlight w:val="none"/>
        </w:rPr>
        <w:instrText xml:space="preserve"> HYPERLINK "http://www.ymzb.com/news/?1868.html。" </w:instrText>
      </w:r>
      <w:r>
        <w:rPr>
          <w:rFonts w:hint="eastAsia" w:ascii="宋体" w:hAnsi="宋体"/>
          <w:color w:val="auto"/>
          <w:sz w:val="24"/>
          <w:highlight w:val="none"/>
        </w:rPr>
        <w:fldChar w:fldCharType="separate"/>
      </w:r>
      <w:r>
        <w:rPr>
          <w:rStyle w:val="35"/>
          <w:rFonts w:hint="eastAsia" w:ascii="宋体" w:hAnsi="宋体"/>
          <w:color w:val="auto"/>
          <w:sz w:val="24"/>
          <w:highlight w:val="none"/>
        </w:rPr>
        <w:t>http://www.ymzb.com/news/?1868.html。</w:t>
      </w:r>
      <w:r>
        <w:rPr>
          <w:rFonts w:hint="eastAsia" w:ascii="宋体" w:hAnsi="宋体"/>
          <w:color w:val="auto"/>
          <w:sz w:val="24"/>
          <w:highlight w:val="none"/>
        </w:rPr>
        <w:fldChar w:fldCharType="end"/>
      </w:r>
    </w:p>
    <w:p>
      <w:pPr>
        <w:pStyle w:val="6"/>
        <w:rPr>
          <w:rFonts w:hint="eastAsia"/>
          <w:color w:val="auto"/>
          <w:highlight w:val="none"/>
        </w:rPr>
      </w:pPr>
    </w:p>
    <w:p>
      <w:pPr>
        <w:pStyle w:val="5"/>
        <w:spacing w:line="480" w:lineRule="exact"/>
        <w:rPr>
          <w:rFonts w:hAnsi="宋体" w:cs="宋体"/>
          <w:color w:val="auto"/>
          <w:highlight w:val="none"/>
          <w:u w:val="none"/>
        </w:rPr>
      </w:pPr>
      <w:bookmarkStart w:id="289" w:name="_Toc46235135"/>
      <w:r>
        <w:rPr>
          <w:rFonts w:hint="eastAsia" w:hAnsi="宋体" w:cs="宋体"/>
          <w:color w:val="auto"/>
          <w:highlight w:val="none"/>
          <w:u w:val="none"/>
        </w:rPr>
        <w:t>6.</w:t>
      </w:r>
      <w:bookmarkEnd w:id="289"/>
      <w:r>
        <w:rPr>
          <w:rFonts w:hint="eastAsia" w:hAnsi="宋体" w:cs="宋体"/>
          <w:color w:val="auto"/>
          <w:highlight w:val="none"/>
          <w:u w:val="none"/>
        </w:rPr>
        <w:t>依法缴纳税收和社会保障资金承诺函</w:t>
      </w:r>
    </w:p>
    <w:p>
      <w:pPr>
        <w:spacing w:line="271" w:lineRule="auto"/>
        <w:rPr>
          <w:rFonts w:ascii="仿宋"/>
          <w:color w:val="auto"/>
          <w:sz w:val="21"/>
          <w:highlight w:val="none"/>
        </w:rPr>
      </w:pPr>
    </w:p>
    <w:p>
      <w:pPr>
        <w:spacing w:line="480" w:lineRule="exact"/>
        <w:rPr>
          <w:rFonts w:hint="eastAsia" w:ascii="宋体" w:hAnsi="宋体" w:cs="宋体"/>
          <w:color w:val="auto"/>
          <w:sz w:val="24"/>
          <w:highlight w:val="none"/>
        </w:rPr>
      </w:pPr>
      <w:r>
        <w:rPr>
          <w:rFonts w:hint="eastAsia" w:ascii="宋体" w:hAnsi="宋体" w:cs="宋体"/>
          <w:color w:val="auto"/>
          <w:sz w:val="24"/>
          <w:highlight w:val="none"/>
        </w:rPr>
        <w:t>致</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临沂大学/临沂市沂蒙国际招标有限公司</w:t>
      </w:r>
      <w:r>
        <w:rPr>
          <w:rFonts w:hint="eastAsia" w:ascii="宋体" w:hAnsi="宋体" w:cs="宋体"/>
          <w:color w:val="auto"/>
          <w:sz w:val="24"/>
          <w:highlight w:val="none"/>
        </w:rPr>
        <w:t>:</w:t>
      </w:r>
    </w:p>
    <w:p>
      <w:pPr>
        <w:spacing w:line="48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我方在参加</w:t>
      </w:r>
      <w:r>
        <w:rPr>
          <w:rFonts w:hint="eastAsia" w:ascii="宋体" w:hAnsi="宋体" w:cs="宋体"/>
          <w:i/>
          <w:iCs/>
          <w:color w:val="auto"/>
          <w:sz w:val="24"/>
          <w:highlight w:val="none"/>
          <w:u w:val="single"/>
        </w:rPr>
        <w:t>项目名称</w:t>
      </w:r>
      <w:r>
        <w:rPr>
          <w:rFonts w:hint="eastAsia" w:ascii="宋体" w:hAnsi="宋体" w:cs="宋体"/>
          <w:i/>
          <w:iCs/>
          <w:color w:val="auto"/>
          <w:sz w:val="24"/>
          <w:highlight w:val="none"/>
          <w:u w:val="single"/>
          <w:lang w:eastAsia="zh-CN"/>
        </w:rPr>
        <w:t>（</w:t>
      </w:r>
      <w:r>
        <w:rPr>
          <w:rFonts w:hint="eastAsia" w:ascii="宋体" w:hAnsi="宋体" w:cs="宋体"/>
          <w:i/>
          <w:iCs/>
          <w:color w:val="auto"/>
          <w:sz w:val="24"/>
          <w:highlight w:val="none"/>
          <w:u w:val="single"/>
        </w:rPr>
        <w:t>项目编号、包号</w:t>
      </w:r>
      <w:r>
        <w:rPr>
          <w:rFonts w:hint="eastAsia" w:ascii="宋体" w:hAnsi="宋体" w:cs="宋体"/>
          <w:i/>
          <w:iCs/>
          <w:color w:val="auto"/>
          <w:sz w:val="24"/>
          <w:highlight w:val="none"/>
          <w:u w:val="single"/>
          <w:lang w:eastAsia="zh-CN"/>
        </w:rPr>
        <w:t>）</w:t>
      </w:r>
      <w:r>
        <w:rPr>
          <w:rFonts w:hint="eastAsia" w:ascii="宋体" w:hAnsi="宋体" w:cs="宋体"/>
          <w:color w:val="auto"/>
          <w:sz w:val="24"/>
          <w:highlight w:val="none"/>
        </w:rPr>
        <w:t>政府采购活动前，已依法缴纳税收和社会保障资金，符合《中华人民共和国政府采购法实施条例》第十七条第一款第二项规定和</w:t>
      </w:r>
      <w:r>
        <w:rPr>
          <w:rFonts w:hint="eastAsia" w:ascii="宋体" w:hAnsi="宋体" w:cs="宋体"/>
          <w:color w:val="auto"/>
          <w:sz w:val="24"/>
          <w:highlight w:val="none"/>
          <w:lang w:val="en-US" w:eastAsia="zh-CN"/>
        </w:rPr>
        <w:t>磋商文件</w:t>
      </w:r>
      <w:r>
        <w:rPr>
          <w:rFonts w:hint="eastAsia" w:ascii="宋体" w:hAnsi="宋体" w:cs="宋体"/>
          <w:color w:val="auto"/>
          <w:sz w:val="24"/>
          <w:highlight w:val="none"/>
        </w:rPr>
        <w:t>关于缴纳税收和社会保障资金的资格要求。</w:t>
      </w:r>
    </w:p>
    <w:p>
      <w:pPr>
        <w:spacing w:line="48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特此承诺。</w:t>
      </w:r>
    </w:p>
    <w:p>
      <w:pPr>
        <w:spacing w:line="48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我方对上述承诺真实性、合法性、有效性负责，如有虚假承诺，依法承担相应责任并接受处罚。</w:t>
      </w:r>
    </w:p>
    <w:p>
      <w:pPr>
        <w:spacing w:line="480" w:lineRule="exact"/>
        <w:ind w:left="0" w:leftChars="0" w:firstLine="4620" w:firstLineChars="1925"/>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供应商全称: </w:t>
      </w:r>
      <w:r>
        <w:rPr>
          <w:rFonts w:hint="eastAsia" w:ascii="宋体" w:hAnsi="宋体" w:cs="宋体"/>
          <w:color w:val="auto"/>
          <w:sz w:val="24"/>
          <w:highlight w:val="none"/>
          <w:lang w:eastAsia="zh-CN"/>
        </w:rPr>
        <w:t>（</w:t>
      </w:r>
      <w:r>
        <w:rPr>
          <w:rFonts w:hint="eastAsia" w:ascii="宋体" w:hAnsi="宋体" w:eastAsia="宋体" w:cs="宋体"/>
          <w:color w:val="auto"/>
          <w:sz w:val="24"/>
          <w:highlight w:val="none"/>
        </w:rPr>
        <w:t>盖公司公章</w:t>
      </w:r>
      <w:r>
        <w:rPr>
          <w:rFonts w:hint="eastAsia" w:ascii="宋体" w:hAnsi="宋体" w:cs="宋体"/>
          <w:color w:val="auto"/>
          <w:sz w:val="24"/>
          <w:highlight w:val="none"/>
          <w:lang w:eastAsia="zh-CN"/>
        </w:rPr>
        <w:t>）</w:t>
      </w:r>
      <w:r>
        <w:rPr>
          <w:rFonts w:hint="eastAsia" w:ascii="宋体" w:hAnsi="宋体" w:eastAsia="宋体" w:cs="宋体"/>
          <w:color w:val="auto"/>
          <w:sz w:val="24"/>
          <w:highlight w:val="none"/>
        </w:rPr>
        <w:t xml:space="preserve"> </w:t>
      </w:r>
    </w:p>
    <w:p>
      <w:pPr>
        <w:spacing w:line="480" w:lineRule="exact"/>
        <w:ind w:left="0" w:leftChars="0" w:firstLine="4620" w:firstLineChars="1925"/>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p>
    <w:p>
      <w:pPr>
        <w:spacing w:line="480" w:lineRule="exact"/>
        <w:rPr>
          <w:rFonts w:hint="eastAsia" w:ascii="宋体" w:hAnsi="宋体" w:cs="宋体"/>
          <w:color w:val="auto"/>
          <w:sz w:val="24"/>
          <w:highlight w:val="none"/>
        </w:rPr>
      </w:pPr>
      <w:r>
        <w:rPr>
          <w:rFonts w:hint="eastAsia" w:ascii="宋体" w:hAnsi="宋体" w:cs="宋体"/>
          <w:color w:val="auto"/>
          <w:sz w:val="24"/>
          <w:highlight w:val="none"/>
        </w:rPr>
        <w:t>注:</w:t>
      </w:r>
    </w:p>
    <w:p>
      <w:pPr>
        <w:spacing w:line="480" w:lineRule="exact"/>
        <w:ind w:left="0" w:leftChars="0" w:firstLine="420" w:firstLineChars="175"/>
        <w:rPr>
          <w:rFonts w:hint="eastAsia" w:ascii="宋体" w:hAnsi="宋体" w:eastAsia="宋体" w:cs="宋体"/>
          <w:color w:val="auto"/>
          <w:sz w:val="24"/>
          <w:highlight w:val="none"/>
        </w:rPr>
      </w:pPr>
      <w:r>
        <w:rPr>
          <w:rFonts w:hint="eastAsia" w:ascii="宋体" w:hAnsi="宋体" w:eastAsia="宋体" w:cs="宋体"/>
          <w:color w:val="auto"/>
          <w:sz w:val="24"/>
          <w:highlight w:val="none"/>
        </w:rPr>
        <w:t>1.依法免税或不需要缴纳社会保障资金的供应商，应提供相关证明材料。</w:t>
      </w:r>
    </w:p>
    <w:p>
      <w:pPr>
        <w:spacing w:line="480" w:lineRule="exact"/>
        <w:ind w:left="0" w:leftChars="0" w:firstLine="420" w:firstLineChars="175"/>
        <w:rPr>
          <w:rFonts w:hint="eastAsia" w:ascii="宋体" w:hAnsi="宋体" w:eastAsia="宋体" w:cs="宋体"/>
          <w:color w:val="auto"/>
          <w:sz w:val="24"/>
          <w:highlight w:val="none"/>
        </w:rPr>
      </w:pPr>
      <w:r>
        <w:rPr>
          <w:rFonts w:hint="eastAsia" w:ascii="宋体" w:hAnsi="宋体" w:eastAsia="宋体" w:cs="宋体"/>
          <w:color w:val="auto"/>
          <w:sz w:val="24"/>
          <w:highlight w:val="none"/>
        </w:rPr>
        <w:t>2.未在山东省内缴纳税收和社会保障资金的供应商，须按采购文件要求提供缴纳税收和社会保障资金的证明材料。</w:t>
      </w:r>
    </w:p>
    <w:p>
      <w:pPr>
        <w:spacing w:line="480" w:lineRule="exact"/>
        <w:ind w:left="0" w:leftChars="0" w:firstLine="422" w:firstLineChars="175"/>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3.供应商必须在“中国山东政府采购网”（以供应商身份登录，网址http://www.ccgp-shandong.gov.cn/sdgp2017/login.jsp）提前查询本单位缴纳税收和社保保障资金情况，未在“中国山东政府采购网”注册的供应商须先注册并完善相关信息后再查询。</w:t>
      </w:r>
    </w:p>
    <w:p>
      <w:pPr>
        <w:spacing w:line="480" w:lineRule="exact"/>
        <w:ind w:left="0" w:leftChars="0" w:firstLine="422" w:firstLineChars="175"/>
        <w:rPr>
          <w:rFonts w:hint="default"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val="en-US" w:eastAsia="zh-CN"/>
        </w:rPr>
        <w:t>4.供应商对于“中国山东政府采购网”自查反馈有税收和社保资金缴费信息的，视为“有依法缴纳税收和社会保障资金的良好记录”；对于反馈无相关信息的，必须提供近三个月依法缴纳税收和社会保障</w:t>
      </w:r>
      <w:r>
        <w:rPr>
          <w:rFonts w:hint="default" w:ascii="宋体" w:hAnsi="宋体" w:eastAsia="宋体" w:cs="宋体"/>
          <w:b/>
          <w:bCs/>
          <w:color w:val="auto"/>
          <w:sz w:val="24"/>
          <w:highlight w:val="none"/>
          <w:lang w:eastAsia="zh-CN"/>
        </w:rPr>
        <w:t>资金的证明材料，否则按未缴纳处理。</w:t>
      </w:r>
    </w:p>
    <w:p>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color w:val="auto"/>
          <w:sz w:val="24"/>
          <w:szCs w:val="24"/>
          <w:highlight w:val="none"/>
          <w:lang w:val="en-US" w:eastAsia="zh-CN"/>
        </w:rPr>
      </w:pPr>
    </w:p>
    <w:p>
      <w:pPr>
        <w:pStyle w:val="5"/>
        <w:spacing w:line="480" w:lineRule="exact"/>
        <w:rPr>
          <w:rFonts w:hAnsi="宋体" w:cs="宋体"/>
          <w:color w:val="auto"/>
          <w:highlight w:val="none"/>
        </w:rPr>
      </w:pPr>
      <w:bookmarkStart w:id="290" w:name="_Toc518923112"/>
      <w:bookmarkStart w:id="291" w:name="_Toc46235136"/>
      <w:r>
        <w:rPr>
          <w:rFonts w:hint="eastAsia" w:hAnsi="宋体" w:cs="宋体"/>
          <w:color w:val="auto"/>
          <w:highlight w:val="none"/>
          <w:u w:val="none"/>
        </w:rPr>
        <w:t>7.参加政府采购活动前3年内</w:t>
      </w:r>
      <w:bookmarkEnd w:id="290"/>
      <w:bookmarkStart w:id="292" w:name="_Toc518923113"/>
      <w:r>
        <w:rPr>
          <w:rFonts w:hint="eastAsia" w:hAnsi="宋体" w:cs="宋体"/>
          <w:color w:val="auto"/>
          <w:highlight w:val="none"/>
          <w:u w:val="none"/>
        </w:rPr>
        <w:t>在经营活动中没有重大违法记录的</w:t>
      </w:r>
      <w:bookmarkEnd w:id="292"/>
      <w:r>
        <w:rPr>
          <w:rFonts w:hint="eastAsia" w:hAnsi="宋体" w:cs="宋体"/>
          <w:color w:val="auto"/>
          <w:highlight w:val="none"/>
          <w:u w:val="none"/>
        </w:rPr>
        <w:t>书面声明</w:t>
      </w:r>
      <w:bookmarkEnd w:id="291"/>
    </w:p>
    <w:p>
      <w:pPr>
        <w:pStyle w:val="15"/>
        <w:spacing w:line="480" w:lineRule="exact"/>
        <w:ind w:firstLine="480" w:firstLineChars="200"/>
        <w:rPr>
          <w:rFonts w:hAnsi="宋体" w:cs="宋体"/>
          <w:color w:val="auto"/>
          <w:sz w:val="24"/>
          <w:szCs w:val="24"/>
          <w:highlight w:val="none"/>
        </w:rPr>
      </w:pPr>
      <w:r>
        <w:rPr>
          <w:rFonts w:hint="eastAsia" w:hAnsi="宋体" w:cs="宋体"/>
          <w:color w:val="auto"/>
          <w:sz w:val="24"/>
          <w:szCs w:val="24"/>
          <w:highlight w:val="none"/>
        </w:rPr>
        <w:t>本单位郑重声明：</w:t>
      </w:r>
    </w:p>
    <w:p>
      <w:pPr>
        <w:pStyle w:val="15"/>
        <w:spacing w:line="480" w:lineRule="exact"/>
        <w:ind w:firstLine="480" w:firstLineChars="200"/>
        <w:rPr>
          <w:rFonts w:hAnsi="宋体" w:cs="宋体"/>
          <w:color w:val="auto"/>
          <w:sz w:val="24"/>
          <w:szCs w:val="24"/>
          <w:highlight w:val="none"/>
        </w:rPr>
      </w:pPr>
      <w:r>
        <w:rPr>
          <w:rFonts w:hint="eastAsia" w:hAnsi="宋体" w:cs="宋体"/>
          <w:color w:val="auto"/>
          <w:sz w:val="24"/>
          <w:szCs w:val="24"/>
          <w:highlight w:val="none"/>
        </w:rPr>
        <w:t>我单位在参加采购活动前三年内在经营活动中没有《政府采购法》第二十二条第一款第</w:t>
      </w:r>
      <w:r>
        <w:rPr>
          <w:rFonts w:hint="eastAsia" w:hAnsi="宋体" w:cs="宋体"/>
          <w:color w:val="auto"/>
          <w:sz w:val="24"/>
          <w:szCs w:val="24"/>
          <w:highlight w:val="none"/>
          <w:lang w:eastAsia="zh-CN"/>
        </w:rPr>
        <w:t>（</w:t>
      </w:r>
      <w:r>
        <w:rPr>
          <w:rFonts w:hint="eastAsia" w:hAnsi="宋体" w:cs="宋体"/>
          <w:color w:val="auto"/>
          <w:sz w:val="24"/>
          <w:szCs w:val="24"/>
          <w:highlight w:val="none"/>
        </w:rPr>
        <w:t>五</w:t>
      </w:r>
      <w:r>
        <w:rPr>
          <w:rFonts w:hint="eastAsia" w:hAnsi="宋体" w:cs="宋体"/>
          <w:color w:val="auto"/>
          <w:sz w:val="24"/>
          <w:szCs w:val="24"/>
          <w:highlight w:val="none"/>
          <w:lang w:eastAsia="zh-CN"/>
        </w:rPr>
        <w:t>）</w:t>
      </w:r>
      <w:r>
        <w:rPr>
          <w:rFonts w:hint="eastAsia" w:hAnsi="宋体" w:cs="宋体"/>
          <w:color w:val="auto"/>
          <w:sz w:val="24"/>
          <w:szCs w:val="24"/>
          <w:highlight w:val="none"/>
        </w:rPr>
        <w:t>项所称重大违法记录，包括：</w:t>
      </w:r>
    </w:p>
    <w:p>
      <w:pPr>
        <w:pStyle w:val="15"/>
        <w:spacing w:line="480" w:lineRule="exact"/>
        <w:ind w:firstLine="480" w:firstLineChars="200"/>
        <w:rPr>
          <w:rFonts w:hAnsi="宋体" w:cs="宋体"/>
          <w:color w:val="auto"/>
          <w:sz w:val="24"/>
          <w:szCs w:val="24"/>
          <w:highlight w:val="none"/>
        </w:rPr>
      </w:pPr>
      <w:r>
        <w:rPr>
          <w:rFonts w:hint="eastAsia" w:hAnsi="宋体" w:cs="宋体"/>
          <w:color w:val="auto"/>
          <w:sz w:val="24"/>
          <w:szCs w:val="24"/>
          <w:highlight w:val="none"/>
        </w:rPr>
        <w:t>我单位或者其法定代表人、董事、监事、高级管理人员未因经营活动中的违法行为受到刑事处罚或者责令停产停业、吊销许可证或者执照、较大数额罚款等行政处罚。</w:t>
      </w:r>
    </w:p>
    <w:p>
      <w:pPr>
        <w:pStyle w:val="15"/>
        <w:spacing w:line="480" w:lineRule="exact"/>
        <w:ind w:firstLine="480" w:firstLineChars="200"/>
        <w:rPr>
          <w:rFonts w:hAnsi="宋体" w:cs="宋体"/>
          <w:color w:val="auto"/>
          <w:sz w:val="24"/>
          <w:szCs w:val="24"/>
          <w:highlight w:val="none"/>
        </w:rPr>
      </w:pPr>
      <w:r>
        <w:rPr>
          <w:rFonts w:hint="eastAsia" w:hAnsi="宋体" w:cs="宋体"/>
          <w:color w:val="auto"/>
          <w:sz w:val="24"/>
          <w:szCs w:val="24"/>
          <w:highlight w:val="none"/>
        </w:rPr>
        <w:t>特此声明！</w:t>
      </w:r>
    </w:p>
    <w:p>
      <w:pPr>
        <w:pStyle w:val="15"/>
        <w:spacing w:line="480" w:lineRule="exact"/>
        <w:ind w:firstLine="480" w:firstLineChars="200"/>
        <w:rPr>
          <w:rFonts w:hAnsi="宋体" w:cs="宋体"/>
          <w:color w:val="auto"/>
          <w:sz w:val="24"/>
          <w:szCs w:val="24"/>
          <w:highlight w:val="none"/>
        </w:rPr>
      </w:pPr>
    </w:p>
    <w:p>
      <w:pPr>
        <w:pStyle w:val="15"/>
        <w:spacing w:line="480" w:lineRule="exact"/>
        <w:ind w:firstLine="480" w:firstLineChars="200"/>
        <w:rPr>
          <w:rFonts w:hAnsi="宋体" w:cs="宋体"/>
          <w:color w:val="auto"/>
          <w:sz w:val="24"/>
          <w:szCs w:val="24"/>
          <w:highlight w:val="none"/>
        </w:rPr>
      </w:pPr>
      <w:r>
        <w:rPr>
          <w:rFonts w:hint="eastAsia" w:hAnsi="宋体" w:cs="宋体"/>
          <w:color w:val="auto"/>
          <w:sz w:val="24"/>
          <w:szCs w:val="24"/>
          <w:highlight w:val="none"/>
        </w:rPr>
        <w:t>供应商名称</w:t>
      </w:r>
      <w:r>
        <w:rPr>
          <w:rFonts w:hint="eastAsia" w:hAnsi="宋体" w:cs="宋体"/>
          <w:color w:val="auto"/>
          <w:sz w:val="24"/>
          <w:szCs w:val="24"/>
          <w:highlight w:val="none"/>
          <w:lang w:eastAsia="zh-CN"/>
        </w:rPr>
        <w:t>（</w:t>
      </w:r>
      <w:r>
        <w:rPr>
          <w:rFonts w:hint="eastAsia" w:hAnsi="宋体" w:cs="宋体"/>
          <w:color w:val="auto"/>
          <w:sz w:val="24"/>
          <w:szCs w:val="24"/>
          <w:highlight w:val="none"/>
        </w:rPr>
        <w:t>公章</w:t>
      </w:r>
      <w:r>
        <w:rPr>
          <w:rFonts w:hint="eastAsia" w:hAnsi="宋体" w:cs="宋体"/>
          <w:color w:val="auto"/>
          <w:sz w:val="24"/>
          <w:szCs w:val="24"/>
          <w:highlight w:val="none"/>
          <w:lang w:eastAsia="zh-CN"/>
        </w:rPr>
        <w:t>）</w:t>
      </w:r>
      <w:r>
        <w:rPr>
          <w:rFonts w:hint="eastAsia" w:hAnsi="宋体" w:cs="宋体"/>
          <w:color w:val="auto"/>
          <w:sz w:val="24"/>
          <w:szCs w:val="24"/>
          <w:highlight w:val="none"/>
        </w:rPr>
        <w:t>：______________</w:t>
      </w:r>
    </w:p>
    <w:p>
      <w:pPr>
        <w:pStyle w:val="15"/>
        <w:spacing w:line="480" w:lineRule="exact"/>
        <w:ind w:firstLine="480" w:firstLineChars="200"/>
        <w:rPr>
          <w:rFonts w:hAnsi="宋体" w:cs="宋体"/>
          <w:color w:val="auto"/>
          <w:sz w:val="24"/>
          <w:szCs w:val="24"/>
          <w:highlight w:val="none"/>
        </w:rPr>
      </w:pPr>
      <w:r>
        <w:rPr>
          <w:rFonts w:hint="eastAsia" w:hAnsi="宋体" w:cs="宋体"/>
          <w:color w:val="auto"/>
          <w:sz w:val="24"/>
          <w:szCs w:val="24"/>
          <w:highlight w:val="none"/>
        </w:rPr>
        <w:t>法定代表人或负责人或其授权代表</w:t>
      </w:r>
      <w:r>
        <w:rPr>
          <w:rFonts w:hint="eastAsia" w:hAnsi="宋体" w:cs="宋体"/>
          <w:color w:val="auto"/>
          <w:sz w:val="24"/>
          <w:szCs w:val="24"/>
          <w:highlight w:val="none"/>
          <w:lang w:eastAsia="zh-CN"/>
        </w:rPr>
        <w:t>（</w:t>
      </w:r>
      <w:r>
        <w:rPr>
          <w:rFonts w:hint="eastAsia" w:hAnsi="宋体" w:cs="宋体"/>
          <w:color w:val="auto"/>
          <w:sz w:val="24"/>
          <w:szCs w:val="24"/>
          <w:highlight w:val="none"/>
        </w:rPr>
        <w:t>签字或盖章</w:t>
      </w:r>
      <w:r>
        <w:rPr>
          <w:rFonts w:hint="eastAsia" w:hAnsi="宋体" w:cs="宋体"/>
          <w:color w:val="auto"/>
          <w:sz w:val="24"/>
          <w:szCs w:val="24"/>
          <w:highlight w:val="none"/>
          <w:lang w:eastAsia="zh-CN"/>
        </w:rPr>
        <w:t>）</w:t>
      </w:r>
      <w:r>
        <w:rPr>
          <w:rFonts w:hint="eastAsia" w:hAnsi="宋体" w:cs="宋体"/>
          <w:color w:val="auto"/>
          <w:sz w:val="24"/>
          <w:szCs w:val="24"/>
          <w:highlight w:val="none"/>
        </w:rPr>
        <w:t>：______________</w:t>
      </w:r>
    </w:p>
    <w:p>
      <w:pPr>
        <w:pStyle w:val="15"/>
        <w:spacing w:line="480" w:lineRule="exact"/>
        <w:ind w:firstLine="480" w:firstLineChars="200"/>
        <w:rPr>
          <w:rFonts w:hAnsi="宋体" w:cs="宋体"/>
          <w:color w:val="auto"/>
          <w:sz w:val="24"/>
          <w:szCs w:val="24"/>
          <w:highlight w:val="none"/>
        </w:rPr>
      </w:pPr>
      <w:r>
        <w:rPr>
          <w:rFonts w:hint="eastAsia" w:hAnsi="宋体" w:cs="宋体"/>
          <w:color w:val="auto"/>
          <w:sz w:val="24"/>
          <w:szCs w:val="24"/>
          <w:highlight w:val="none"/>
        </w:rPr>
        <w:t>日期：______年____月____日</w:t>
      </w:r>
    </w:p>
    <w:p>
      <w:pPr>
        <w:pStyle w:val="15"/>
        <w:spacing w:line="480" w:lineRule="exact"/>
        <w:ind w:firstLine="420" w:firstLineChars="200"/>
        <w:rPr>
          <w:rFonts w:hAnsi="宋体" w:cs="宋体"/>
          <w:color w:val="auto"/>
          <w:highlight w:val="none"/>
        </w:rPr>
      </w:pPr>
    </w:p>
    <w:p>
      <w:pPr>
        <w:tabs>
          <w:tab w:val="left" w:pos="5580"/>
        </w:tabs>
        <w:spacing w:line="480" w:lineRule="exact"/>
        <w:ind w:left="1080" w:leftChars="257" w:hanging="540"/>
        <w:rPr>
          <w:rFonts w:ascii="宋体" w:hAnsi="宋体" w:cs="宋体"/>
          <w:color w:val="auto"/>
          <w:sz w:val="24"/>
          <w:szCs w:val="20"/>
          <w:highlight w:val="none"/>
        </w:rPr>
      </w:pPr>
      <w:r>
        <w:rPr>
          <w:rFonts w:hint="eastAsia" w:ascii="宋体" w:hAnsi="宋体" w:cs="宋体"/>
          <w:color w:val="auto"/>
          <w:sz w:val="24"/>
          <w:szCs w:val="20"/>
          <w:highlight w:val="none"/>
        </w:rPr>
        <w:t>说明：1供应商应按照相关法规规定如实作出说明。</w:t>
      </w:r>
    </w:p>
    <w:p>
      <w:pPr>
        <w:pStyle w:val="15"/>
        <w:tabs>
          <w:tab w:val="left" w:pos="5580"/>
        </w:tabs>
        <w:spacing w:line="480" w:lineRule="exact"/>
        <w:ind w:left="645" w:leftChars="307" w:firstLine="600" w:firstLineChars="250"/>
        <w:rPr>
          <w:rFonts w:hAnsi="宋体" w:cs="宋体"/>
          <w:color w:val="auto"/>
          <w:sz w:val="24"/>
          <w:highlight w:val="none"/>
        </w:rPr>
      </w:pPr>
      <w:r>
        <w:rPr>
          <w:rFonts w:hint="eastAsia" w:hAnsi="宋体" w:cs="宋体"/>
          <w:color w:val="auto"/>
          <w:sz w:val="24"/>
          <w:highlight w:val="none"/>
        </w:rPr>
        <w:t>2．按照磋商文件的规定加盖本单位章（自然人投标的无需盖章，需要签字）。</w:t>
      </w:r>
    </w:p>
    <w:p>
      <w:pPr>
        <w:tabs>
          <w:tab w:val="left" w:pos="5580"/>
        </w:tabs>
        <w:spacing w:line="480" w:lineRule="exact"/>
        <w:ind w:left="1080" w:leftChars="257" w:hanging="540"/>
        <w:rPr>
          <w:rFonts w:ascii="宋体" w:hAnsi="宋体" w:cs="宋体"/>
          <w:color w:val="auto"/>
          <w:sz w:val="24"/>
          <w:szCs w:val="20"/>
          <w:highlight w:val="none"/>
        </w:rPr>
      </w:pPr>
      <w:r>
        <w:rPr>
          <w:rFonts w:hint="eastAsia" w:ascii="宋体" w:hAnsi="宋体" w:cs="宋体"/>
          <w:color w:val="auto"/>
          <w:sz w:val="24"/>
          <w:szCs w:val="20"/>
          <w:highlight w:val="none"/>
        </w:rPr>
        <w:t xml:space="preserve">      3.如果是联合体响应文件，联合体各方均需提供上述证明。</w:t>
      </w:r>
    </w:p>
    <w:p>
      <w:pPr>
        <w:rPr>
          <w:color w:val="auto"/>
          <w:highlight w:val="none"/>
        </w:rPr>
      </w:pPr>
      <w:bookmarkStart w:id="293" w:name="_Toc518923114"/>
    </w:p>
    <w:p>
      <w:pPr>
        <w:pStyle w:val="5"/>
        <w:spacing w:line="600" w:lineRule="exact"/>
        <w:rPr>
          <w:color w:val="auto"/>
          <w:highlight w:val="none"/>
        </w:rPr>
      </w:pPr>
      <w:bookmarkStart w:id="294" w:name="_Toc60669160"/>
      <w:bookmarkStart w:id="295" w:name="_Toc51257752"/>
      <w:bookmarkStart w:id="296" w:name="_Toc4198"/>
      <w:bookmarkStart w:id="297" w:name="_Toc46235137"/>
      <w:r>
        <w:rPr>
          <w:rFonts w:hint="eastAsia"/>
          <w:color w:val="auto"/>
          <w:highlight w:val="none"/>
          <w:lang w:val="en-US" w:eastAsia="zh-CN"/>
        </w:rPr>
        <w:t>8</w:t>
      </w:r>
      <w:r>
        <w:rPr>
          <w:rFonts w:hint="eastAsia"/>
          <w:color w:val="auto"/>
          <w:highlight w:val="none"/>
        </w:rPr>
        <w:t>.</w:t>
      </w:r>
      <w:bookmarkEnd w:id="294"/>
      <w:bookmarkEnd w:id="295"/>
      <w:r>
        <w:rPr>
          <w:rFonts w:hint="eastAsia"/>
          <w:color w:val="auto"/>
          <w:highlight w:val="none"/>
        </w:rPr>
        <w:t>落实政府采购政策需满足的资格要求</w:t>
      </w:r>
      <w:bookmarkEnd w:id="296"/>
    </w:p>
    <w:p>
      <w:pPr>
        <w:pStyle w:val="5"/>
        <w:spacing w:before="120" w:line="600" w:lineRule="exact"/>
        <w:rPr>
          <w:color w:val="auto"/>
          <w:highlight w:val="none"/>
        </w:rPr>
      </w:pPr>
      <w:bookmarkStart w:id="298" w:name="_Toc28869"/>
      <w:bookmarkStart w:id="299" w:name="_Toc60669161"/>
      <w:r>
        <w:rPr>
          <w:rFonts w:hint="eastAsia"/>
          <w:color w:val="auto"/>
          <w:highlight w:val="none"/>
          <w:lang w:val="en-US" w:eastAsia="zh-CN"/>
        </w:rPr>
        <w:t>8</w:t>
      </w:r>
      <w:r>
        <w:rPr>
          <w:rFonts w:hint="eastAsia"/>
          <w:color w:val="auto"/>
          <w:highlight w:val="none"/>
        </w:rPr>
        <w:t>.1、中小企业声明函</w:t>
      </w:r>
      <w:bookmarkEnd w:id="298"/>
      <w:bookmarkEnd w:id="299"/>
    </w:p>
    <w:p>
      <w:pPr>
        <w:tabs>
          <w:tab w:val="left" w:pos="146"/>
        </w:tabs>
        <w:spacing w:before="240" w:line="369" w:lineRule="auto"/>
        <w:ind w:left="11" w:right="260" w:firstLine="490"/>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本公司（联合体） 郑重声明，根据《政府采购促进中小企业发展管理办  法》（财库﹝2020﹞46号）的规定，本公司</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rPr>
        <w:t>（联合体） 参加（单位名称）的</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rPr>
        <w:tab/>
      </w:r>
      <w:r>
        <w:rPr>
          <w:rFonts w:hint="eastAsia" w:ascii="宋体" w:hAnsi="宋体" w:eastAsia="宋体" w:cs="宋体"/>
          <w:color w:val="auto"/>
          <w:spacing w:val="0"/>
          <w:sz w:val="24"/>
          <w:szCs w:val="24"/>
          <w:highlight w:val="none"/>
          <w:u w:val="single"/>
        </w:rPr>
        <w:t xml:space="preserve">（项目名称） </w:t>
      </w:r>
      <w:r>
        <w:rPr>
          <w:rFonts w:hint="eastAsia" w:ascii="宋体" w:hAnsi="宋体" w:eastAsia="宋体" w:cs="宋体"/>
          <w:color w:val="auto"/>
          <w:spacing w:val="0"/>
          <w:sz w:val="24"/>
          <w:szCs w:val="24"/>
          <w:highlight w:val="none"/>
        </w:rPr>
        <w:t>采购活动，服务全部由符合政策要求的中小企业承接 。相关企业（含联合体中的中小企业、签订分包意向协议的中小企业） 的具体情况如下：</w:t>
      </w:r>
    </w:p>
    <w:p>
      <w:pPr>
        <w:spacing w:line="369" w:lineRule="auto"/>
        <w:ind w:left="23" w:right="301" w:firstLine="495"/>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1.</w:t>
      </w:r>
      <w:r>
        <w:rPr>
          <w:rFonts w:ascii="宋体" w:hAnsi="宋体" w:eastAsia="宋体" w:cs="宋体"/>
          <w:color w:val="auto"/>
          <w:spacing w:val="0"/>
          <w:sz w:val="24"/>
          <w:szCs w:val="24"/>
          <w:highlight w:val="none"/>
          <w:u w:val="single" w:color="auto"/>
        </w:rPr>
        <w:t xml:space="preserve">（标的名称） </w:t>
      </w:r>
      <w:r>
        <w:rPr>
          <w:rFonts w:ascii="宋体" w:hAnsi="宋体" w:eastAsia="宋体" w:cs="宋体"/>
          <w:color w:val="auto"/>
          <w:spacing w:val="0"/>
          <w:sz w:val="24"/>
          <w:szCs w:val="24"/>
          <w:highlight w:val="none"/>
        </w:rPr>
        <w:t>，属于（</w:t>
      </w:r>
      <w:r>
        <w:rPr>
          <w:rFonts w:hint="eastAsia" w:ascii="宋体" w:hAnsi="宋体" w:eastAsia="宋体" w:cs="宋体"/>
          <w:color w:val="auto"/>
          <w:spacing w:val="0"/>
          <w:sz w:val="24"/>
          <w:szCs w:val="24"/>
          <w:highlight w:val="none"/>
          <w:lang w:val="en-US" w:eastAsia="zh-CN"/>
        </w:rPr>
        <w:t>工业</w:t>
      </w:r>
      <w:r>
        <w:rPr>
          <w:rFonts w:ascii="宋体" w:hAnsi="宋体" w:eastAsia="宋体" w:cs="宋体"/>
          <w:color w:val="auto"/>
          <w:spacing w:val="0"/>
          <w:sz w:val="24"/>
          <w:szCs w:val="24"/>
          <w:highlight w:val="none"/>
          <w:u w:val="none" w:color="auto"/>
        </w:rPr>
        <w:t>）</w:t>
      </w:r>
      <w:r>
        <w:rPr>
          <w:rFonts w:ascii="宋体" w:hAnsi="宋体" w:eastAsia="宋体" w:cs="宋体"/>
          <w:color w:val="auto"/>
          <w:spacing w:val="0"/>
          <w:sz w:val="24"/>
          <w:szCs w:val="24"/>
          <w:highlight w:val="none"/>
        </w:rPr>
        <w:t>；承建（承接） 企业为</w:t>
      </w:r>
      <w:r>
        <w:rPr>
          <w:rFonts w:ascii="宋体" w:hAnsi="宋体" w:eastAsia="宋体" w:cs="宋体"/>
          <w:color w:val="auto"/>
          <w:spacing w:val="0"/>
          <w:sz w:val="24"/>
          <w:szCs w:val="24"/>
          <w:highlight w:val="none"/>
          <w:u w:val="single" w:color="auto"/>
        </w:rPr>
        <w:t xml:space="preserve">（企业名称） </w:t>
      </w:r>
      <w:r>
        <w:rPr>
          <w:rFonts w:ascii="宋体" w:hAnsi="宋体" w:eastAsia="宋体" w:cs="宋体"/>
          <w:color w:val="auto"/>
          <w:spacing w:val="0"/>
          <w:sz w:val="24"/>
          <w:szCs w:val="24"/>
          <w:highlight w:val="none"/>
        </w:rPr>
        <w:t>， 从业人员</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人，营业收入为</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万元，资产总额为</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万元，属于</w:t>
      </w:r>
      <w:r>
        <w:rPr>
          <w:rFonts w:ascii="宋体" w:hAnsi="宋体" w:eastAsia="宋体" w:cs="宋体"/>
          <w:color w:val="auto"/>
          <w:spacing w:val="0"/>
          <w:sz w:val="24"/>
          <w:szCs w:val="24"/>
          <w:highlight w:val="none"/>
          <w:u w:val="single" w:color="auto"/>
        </w:rPr>
        <w:t>（中型</w:t>
      </w:r>
      <w:r>
        <w:rPr>
          <w:rFonts w:ascii="宋体" w:hAnsi="宋体" w:eastAsia="宋体" w:cs="宋体"/>
          <w:color w:val="auto"/>
          <w:spacing w:val="0"/>
          <w:sz w:val="24"/>
          <w:szCs w:val="24"/>
          <w:highlight w:val="none"/>
        </w:rPr>
        <w:t xml:space="preserve"> </w:t>
      </w:r>
      <w:r>
        <w:rPr>
          <w:rFonts w:ascii="宋体" w:hAnsi="宋体" w:eastAsia="宋体" w:cs="宋体"/>
          <w:color w:val="auto"/>
          <w:spacing w:val="0"/>
          <w:sz w:val="24"/>
          <w:szCs w:val="24"/>
          <w:highlight w:val="none"/>
          <w:u w:val="single" w:color="auto"/>
        </w:rPr>
        <w:t xml:space="preserve">企业、小型企业、微型企业） </w:t>
      </w:r>
      <w:r>
        <w:rPr>
          <w:rFonts w:ascii="宋体" w:hAnsi="宋体" w:eastAsia="宋体" w:cs="宋体"/>
          <w:color w:val="auto"/>
          <w:spacing w:val="0"/>
          <w:sz w:val="24"/>
          <w:szCs w:val="24"/>
          <w:highlight w:val="none"/>
        </w:rPr>
        <w:t>；</w:t>
      </w:r>
    </w:p>
    <w:p>
      <w:pPr>
        <w:spacing w:before="243" w:line="521" w:lineRule="exact"/>
        <w:ind w:firstLine="528"/>
        <w:rPr>
          <w:rFonts w:ascii="宋体" w:hAnsi="宋体" w:eastAsia="宋体" w:cs="宋体"/>
          <w:color w:val="auto"/>
          <w:spacing w:val="0"/>
          <w:sz w:val="24"/>
          <w:szCs w:val="24"/>
          <w:highlight w:val="none"/>
        </w:rPr>
      </w:pPr>
      <w:r>
        <w:rPr>
          <w:rFonts w:ascii="宋体" w:hAnsi="宋体" w:eastAsia="宋体" w:cs="宋体"/>
          <w:color w:val="auto"/>
          <w:spacing w:val="0"/>
          <w:position w:val="21"/>
          <w:sz w:val="24"/>
          <w:szCs w:val="24"/>
          <w:highlight w:val="none"/>
        </w:rPr>
        <w:t>以上企业，不属于大企业的分支机构，不存在控股股东为大企业的情形，</w:t>
      </w:r>
    </w:p>
    <w:p>
      <w:pPr>
        <w:spacing w:line="204" w:lineRule="auto"/>
        <w:ind w:firstLine="25"/>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也不存在与大企业的负责人为同一人的情形。</w:t>
      </w:r>
    </w:p>
    <w:p>
      <w:pPr>
        <w:spacing w:before="256" w:line="185" w:lineRule="auto"/>
        <w:ind w:firstLine="502"/>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本企业对上述声明内容的真实性负责。如有虚假，将依法承担相应责任。</w:t>
      </w:r>
    </w:p>
    <w:p>
      <w:pPr>
        <w:spacing w:line="297" w:lineRule="auto"/>
        <w:rPr>
          <w:rFonts w:ascii="宋体"/>
          <w:color w:val="auto"/>
          <w:spacing w:val="0"/>
          <w:sz w:val="21"/>
          <w:highlight w:val="none"/>
        </w:rPr>
      </w:pPr>
    </w:p>
    <w:p>
      <w:pPr>
        <w:spacing w:line="298" w:lineRule="auto"/>
        <w:rPr>
          <w:rFonts w:ascii="宋体"/>
          <w:color w:val="auto"/>
          <w:sz w:val="21"/>
          <w:highlight w:val="none"/>
        </w:rPr>
      </w:pPr>
    </w:p>
    <w:p>
      <w:pPr>
        <w:spacing w:before="78" w:line="509" w:lineRule="exact"/>
        <w:ind w:firstLine="4083"/>
        <w:rPr>
          <w:rFonts w:ascii="宋体" w:hAnsi="宋体" w:eastAsia="宋体" w:cs="宋体"/>
          <w:color w:val="auto"/>
          <w:sz w:val="24"/>
          <w:szCs w:val="24"/>
          <w:highlight w:val="none"/>
        </w:rPr>
      </w:pPr>
      <w:r>
        <w:rPr>
          <w:rFonts w:ascii="宋体" w:hAnsi="宋体" w:eastAsia="宋体" w:cs="宋体"/>
          <w:color w:val="auto"/>
          <w:spacing w:val="-1"/>
          <w:position w:val="20"/>
          <w:sz w:val="24"/>
          <w:szCs w:val="24"/>
          <w:highlight w:val="none"/>
        </w:rPr>
        <w:t>企业名称（盖章</w:t>
      </w:r>
      <w:r>
        <w:rPr>
          <w:rFonts w:ascii="宋体" w:hAnsi="宋体" w:eastAsia="宋体" w:cs="宋体"/>
          <w:color w:val="auto"/>
          <w:spacing w:val="-67"/>
          <w:position w:val="20"/>
          <w:sz w:val="24"/>
          <w:szCs w:val="24"/>
          <w:highlight w:val="none"/>
        </w:rPr>
        <w:t>）</w:t>
      </w:r>
      <w:r>
        <w:rPr>
          <w:rFonts w:ascii="宋体" w:hAnsi="宋体" w:eastAsia="宋体" w:cs="宋体"/>
          <w:color w:val="auto"/>
          <w:spacing w:val="-19"/>
          <w:position w:val="20"/>
          <w:sz w:val="24"/>
          <w:szCs w:val="24"/>
          <w:highlight w:val="none"/>
        </w:rPr>
        <w:t xml:space="preserve"> </w:t>
      </w:r>
      <w:r>
        <w:rPr>
          <w:rFonts w:ascii="宋体" w:hAnsi="宋体" w:eastAsia="宋体" w:cs="宋体"/>
          <w:color w:val="auto"/>
          <w:spacing w:val="-67"/>
          <w:position w:val="20"/>
          <w:sz w:val="24"/>
          <w:szCs w:val="24"/>
          <w:highlight w:val="none"/>
        </w:rPr>
        <w:t>：</w:t>
      </w:r>
    </w:p>
    <w:p>
      <w:pPr>
        <w:spacing w:line="204" w:lineRule="auto"/>
        <w:ind w:firstLine="4120"/>
        <w:rPr>
          <w:rFonts w:ascii="宋体" w:hAnsi="宋体" w:eastAsia="宋体" w:cs="宋体"/>
          <w:color w:val="auto"/>
          <w:sz w:val="24"/>
          <w:szCs w:val="24"/>
          <w:highlight w:val="none"/>
        </w:rPr>
      </w:pPr>
      <w:r>
        <w:rPr>
          <w:rFonts w:ascii="宋体" w:hAnsi="宋体" w:eastAsia="宋体" w:cs="宋体"/>
          <w:color w:val="auto"/>
          <w:spacing w:val="-17"/>
          <w:sz w:val="24"/>
          <w:szCs w:val="24"/>
          <w:highlight w:val="none"/>
        </w:rPr>
        <w:t>日期：</w:t>
      </w:r>
    </w:p>
    <w:p>
      <w:pPr>
        <w:pStyle w:val="2"/>
        <w:spacing w:line="480" w:lineRule="exact"/>
        <w:rPr>
          <w:rFonts w:hint="eastAsia" w:hAnsi="宋体" w:cs="宋体"/>
          <w:color w:val="auto"/>
          <w:sz w:val="21"/>
          <w:szCs w:val="21"/>
          <w:highlight w:val="none"/>
        </w:rPr>
      </w:pPr>
      <w:r>
        <w:rPr>
          <w:rFonts w:hint="eastAsia" w:hAnsi="宋体" w:cs="宋体"/>
          <w:color w:val="auto"/>
          <w:sz w:val="21"/>
          <w:szCs w:val="21"/>
          <w:highlight w:val="none"/>
        </w:rPr>
        <w:t>填写说明：</w:t>
      </w:r>
    </w:p>
    <w:p>
      <w:pPr>
        <w:pStyle w:val="2"/>
        <w:spacing w:line="480" w:lineRule="exact"/>
        <w:ind w:firstLine="420" w:firstLineChars="200"/>
        <w:rPr>
          <w:rFonts w:hint="eastAsia" w:hAnsi="宋体" w:cs="宋体"/>
          <w:color w:val="auto"/>
          <w:sz w:val="21"/>
          <w:szCs w:val="21"/>
          <w:highlight w:val="none"/>
          <w:lang w:val="zh-CN"/>
        </w:rPr>
      </w:pPr>
      <w:r>
        <w:rPr>
          <w:rFonts w:hint="eastAsia" w:hAnsi="宋体" w:cs="宋体"/>
          <w:color w:val="auto"/>
          <w:sz w:val="21"/>
          <w:szCs w:val="21"/>
          <w:highlight w:val="none"/>
        </w:rPr>
        <w:t>1、从</w:t>
      </w:r>
      <w:r>
        <w:rPr>
          <w:rFonts w:hint="eastAsia" w:hAnsi="宋体" w:cs="宋体"/>
          <w:color w:val="auto"/>
          <w:sz w:val="21"/>
          <w:szCs w:val="21"/>
          <w:highlight w:val="none"/>
          <w:lang w:val="zh-CN"/>
        </w:rPr>
        <w:t>业人员、营业收入、资产总额填报上一年度数据，无上一年度数据的新成立企业可不填报；</w:t>
      </w:r>
    </w:p>
    <w:p>
      <w:pPr>
        <w:pStyle w:val="2"/>
        <w:spacing w:line="480" w:lineRule="exact"/>
        <w:ind w:firstLine="420" w:firstLineChars="200"/>
        <w:rPr>
          <w:rFonts w:hint="eastAsia" w:hAnsi="宋体" w:cs="宋体"/>
          <w:color w:val="auto"/>
          <w:sz w:val="21"/>
          <w:szCs w:val="21"/>
          <w:highlight w:val="none"/>
        </w:rPr>
      </w:pPr>
      <w:r>
        <w:rPr>
          <w:rFonts w:hint="eastAsia" w:hAnsi="宋体" w:cs="宋体"/>
          <w:color w:val="auto"/>
          <w:sz w:val="21"/>
          <w:szCs w:val="21"/>
          <w:highlight w:val="none"/>
        </w:rPr>
        <w:t>2、企业类型认定标准：本项目以</w:t>
      </w:r>
      <w:r>
        <w:rPr>
          <w:rFonts w:hint="eastAsia" w:hAnsi="宋体" w:cs="宋体"/>
          <w:color w:val="auto"/>
          <w:sz w:val="21"/>
          <w:szCs w:val="21"/>
          <w:highlight w:val="none"/>
          <w:lang w:val="en-US" w:eastAsia="zh-CN"/>
        </w:rPr>
        <w:t>工业为准</w:t>
      </w:r>
      <w:r>
        <w:rPr>
          <w:rFonts w:hint="eastAsia" w:hAnsi="宋体" w:cs="宋体"/>
          <w:color w:val="auto"/>
          <w:sz w:val="21"/>
          <w:szCs w:val="21"/>
          <w:highlight w:val="none"/>
        </w:rPr>
        <w:t>。</w:t>
      </w:r>
      <w:r>
        <w:rPr>
          <w:rFonts w:hint="eastAsia" w:hAnsi="宋体" w:cs="宋体"/>
          <w:color w:val="auto"/>
          <w:sz w:val="21"/>
          <w:szCs w:val="21"/>
          <w:highlight w:val="none"/>
          <w:lang w:val="en-US" w:eastAsia="zh-CN"/>
        </w:rPr>
        <w:t>认定标准为：</w:t>
      </w:r>
      <w:r>
        <w:rPr>
          <w:rFonts w:hint="eastAsia" w:hAnsi="宋体" w:cs="宋体"/>
          <w:color w:val="auto"/>
          <w:sz w:val="21"/>
          <w:szCs w:val="21"/>
          <w:highlight w:val="none"/>
        </w:rPr>
        <w:t>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pStyle w:val="2"/>
        <w:wordWrap w:val="0"/>
        <w:spacing w:line="480" w:lineRule="exact"/>
        <w:ind w:firstLine="420" w:firstLineChars="200"/>
        <w:rPr>
          <w:rFonts w:hint="eastAsia" w:hAnsi="宋体" w:cs="宋体"/>
          <w:color w:val="auto"/>
          <w:sz w:val="21"/>
          <w:szCs w:val="21"/>
          <w:highlight w:val="none"/>
        </w:rPr>
      </w:pPr>
      <w:r>
        <w:rPr>
          <w:rFonts w:hint="eastAsia" w:hAnsi="宋体" w:cs="宋体"/>
          <w:color w:val="auto"/>
          <w:sz w:val="21"/>
          <w:szCs w:val="21"/>
          <w:highlight w:val="none"/>
        </w:rPr>
        <w:t xml:space="preserve"> 3、为保证自行认定企业类型的准确性，供应商可通过国务院客户端小程序自行测试企业类型；登录国务院客户端小程序</w:t>
      </w:r>
      <w:r>
        <w:rPr>
          <w:rFonts w:hint="eastAsia" w:hAnsi="宋体" w:cs="宋体"/>
          <w:color w:val="auto"/>
          <w:sz w:val="21"/>
          <w:szCs w:val="21"/>
          <w:highlight w:val="none"/>
          <w:lang w:eastAsia="zh-CN"/>
        </w:rPr>
        <w:t>－</w:t>
      </w:r>
      <w:r>
        <w:rPr>
          <w:rFonts w:hint="eastAsia" w:hAnsi="宋体" w:cs="宋体"/>
          <w:color w:val="auto"/>
          <w:sz w:val="21"/>
          <w:szCs w:val="21"/>
          <w:highlight w:val="none"/>
        </w:rPr>
        <w:t>企业</w:t>
      </w:r>
      <w:r>
        <w:rPr>
          <w:rFonts w:hint="eastAsia" w:hAnsi="宋体" w:cs="宋体"/>
          <w:color w:val="auto"/>
          <w:sz w:val="21"/>
          <w:szCs w:val="21"/>
          <w:highlight w:val="none"/>
          <w:lang w:eastAsia="zh-CN"/>
        </w:rPr>
        <w:t>－</w:t>
      </w:r>
      <w:r>
        <w:rPr>
          <w:rFonts w:hint="eastAsia" w:hAnsi="宋体" w:cs="宋体"/>
          <w:color w:val="auto"/>
          <w:sz w:val="21"/>
          <w:szCs w:val="21"/>
          <w:highlight w:val="none"/>
        </w:rPr>
        <w:t>涉企查询更多</w:t>
      </w:r>
      <w:r>
        <w:rPr>
          <w:rFonts w:hint="eastAsia" w:hAnsi="宋体" w:cs="宋体"/>
          <w:color w:val="auto"/>
          <w:sz w:val="21"/>
          <w:szCs w:val="21"/>
          <w:highlight w:val="none"/>
          <w:lang w:eastAsia="zh-CN"/>
        </w:rPr>
        <w:t>－</w:t>
      </w:r>
      <w:r>
        <w:rPr>
          <w:rFonts w:hint="eastAsia" w:hAnsi="宋体" w:cs="宋体"/>
          <w:color w:val="auto"/>
          <w:sz w:val="21"/>
          <w:szCs w:val="21"/>
          <w:highlight w:val="none"/>
        </w:rPr>
        <w:t>中小企业规模类型自测。</w:t>
      </w:r>
    </w:p>
    <w:p>
      <w:pPr>
        <w:pStyle w:val="5"/>
        <w:spacing w:line="600" w:lineRule="exact"/>
        <w:rPr>
          <w:rFonts w:hint="eastAsia" w:eastAsia="宋体"/>
          <w:color w:val="auto"/>
          <w:highlight w:val="none"/>
          <w:u w:val="none"/>
          <w:lang w:eastAsia="zh-CN"/>
        </w:rPr>
      </w:pPr>
      <w:r>
        <w:rPr>
          <w:rFonts w:hint="eastAsia"/>
          <w:color w:val="auto"/>
          <w:highlight w:val="none"/>
          <w:u w:val="none"/>
          <w:lang w:val="en-US" w:eastAsia="zh-CN"/>
        </w:rPr>
        <w:t>8.2</w:t>
      </w:r>
      <w:r>
        <w:rPr>
          <w:rFonts w:hint="eastAsia"/>
          <w:color w:val="auto"/>
          <w:highlight w:val="none"/>
          <w:u w:val="none"/>
        </w:rPr>
        <w:t>、残疾人福利性单位声明函</w:t>
      </w:r>
      <w:r>
        <w:rPr>
          <w:rFonts w:hint="eastAsia"/>
          <w:color w:val="auto"/>
          <w:highlight w:val="none"/>
          <w:u w:val="none"/>
          <w:lang w:eastAsia="zh-CN"/>
        </w:rPr>
        <w:t>（</w:t>
      </w:r>
      <w:r>
        <w:rPr>
          <w:rFonts w:hint="eastAsia"/>
          <w:color w:val="auto"/>
          <w:highlight w:val="none"/>
          <w:u w:val="none"/>
          <w:lang w:val="en-US" w:eastAsia="zh-CN"/>
        </w:rPr>
        <w:t>如果是请提供</w:t>
      </w:r>
      <w:r>
        <w:rPr>
          <w:rFonts w:hint="eastAsia"/>
          <w:color w:val="auto"/>
          <w:highlight w:val="none"/>
          <w:u w:val="none"/>
          <w:lang w:eastAsia="zh-CN"/>
        </w:rPr>
        <w:t>）</w:t>
      </w:r>
    </w:p>
    <w:p>
      <w:pPr>
        <w:spacing w:line="480" w:lineRule="exact"/>
        <w:ind w:firstLine="567"/>
        <w:rPr>
          <w:rFonts w:ascii="宋体" w:hAnsi="宋体" w:cs="宋体"/>
          <w:color w:val="auto"/>
          <w:kern w:val="0"/>
          <w:sz w:val="24"/>
          <w:szCs w:val="20"/>
          <w:highlight w:val="none"/>
        </w:rPr>
      </w:pPr>
      <w:r>
        <w:rPr>
          <w:rFonts w:hint="eastAsia" w:ascii="宋体" w:hAnsi="宋体" w:cs="宋体"/>
          <w:color w:val="auto"/>
          <w:kern w:val="0"/>
          <w:sz w:val="24"/>
          <w:szCs w:val="20"/>
          <w:highlight w:val="none"/>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或者提供其他残疾人福利性单位制造的货物（不包括使用非残疾人福利性单位注册商标的货物）。</w:t>
      </w:r>
    </w:p>
    <w:p>
      <w:pPr>
        <w:spacing w:line="480" w:lineRule="exact"/>
        <w:ind w:left="1080" w:leftChars="257" w:hanging="540"/>
        <w:rPr>
          <w:rFonts w:ascii="宋体" w:hAnsi="宋体" w:cs="宋体"/>
          <w:color w:val="auto"/>
          <w:kern w:val="0"/>
          <w:sz w:val="24"/>
          <w:szCs w:val="20"/>
          <w:highlight w:val="none"/>
        </w:rPr>
      </w:pPr>
      <w:r>
        <w:rPr>
          <w:rFonts w:hint="eastAsia" w:ascii="宋体" w:hAnsi="宋体" w:cs="宋体"/>
          <w:color w:val="auto"/>
          <w:kern w:val="0"/>
          <w:sz w:val="24"/>
          <w:szCs w:val="20"/>
          <w:highlight w:val="none"/>
        </w:rPr>
        <w:t>本单位对上述声明的真实性负责。如有虚假，将依法承担相应责任。</w:t>
      </w:r>
    </w:p>
    <w:p>
      <w:pPr>
        <w:pStyle w:val="5"/>
        <w:spacing w:line="600" w:lineRule="exact"/>
        <w:rPr>
          <w:color w:val="auto"/>
          <w:highlight w:val="none"/>
          <w:u w:val="none"/>
        </w:rPr>
      </w:pPr>
      <w:r>
        <w:rPr>
          <w:rFonts w:hint="eastAsia"/>
          <w:color w:val="auto"/>
          <w:highlight w:val="none"/>
          <w:u w:val="none"/>
          <w:lang w:val="en-US" w:eastAsia="zh-CN"/>
        </w:rPr>
        <w:t>8.3</w:t>
      </w:r>
      <w:r>
        <w:rPr>
          <w:rFonts w:hint="eastAsia"/>
          <w:color w:val="auto"/>
          <w:highlight w:val="none"/>
          <w:u w:val="none"/>
        </w:rPr>
        <w:t>、省级以上监狱管理局、戒毒管理局（含新疆生产建设兵团） 出具的属于监狱企业的证明文件复印件</w:t>
      </w:r>
      <w:r>
        <w:rPr>
          <w:rFonts w:hint="eastAsia"/>
          <w:color w:val="auto"/>
          <w:highlight w:val="none"/>
          <w:u w:val="none"/>
          <w:lang w:eastAsia="zh-CN"/>
        </w:rPr>
        <w:t>（</w:t>
      </w:r>
      <w:r>
        <w:rPr>
          <w:rFonts w:hint="eastAsia"/>
          <w:color w:val="auto"/>
          <w:highlight w:val="none"/>
          <w:u w:val="none"/>
          <w:lang w:val="en-US" w:eastAsia="zh-CN"/>
        </w:rPr>
        <w:t>如果是请提供</w:t>
      </w:r>
      <w:r>
        <w:rPr>
          <w:rFonts w:hint="eastAsia"/>
          <w:color w:val="auto"/>
          <w:highlight w:val="none"/>
          <w:u w:val="none"/>
          <w:lang w:eastAsia="zh-CN"/>
        </w:rPr>
        <w:t>）</w:t>
      </w:r>
    </w:p>
    <w:p>
      <w:pPr>
        <w:pageBreakBefore w:val="0"/>
        <w:widowControl w:val="0"/>
        <w:kinsoku/>
        <w:wordWrap/>
        <w:overflowPunct/>
        <w:topLinePunct w:val="0"/>
        <w:bidi w:val="0"/>
        <w:spacing w:line="500" w:lineRule="exact"/>
        <w:textAlignment w:val="auto"/>
        <w:rPr>
          <w:rFonts w:hint="eastAsia" w:asciiTheme="minorEastAsia" w:hAnsiTheme="minorEastAsia" w:eastAsiaTheme="minorEastAsia" w:cstheme="minorEastAsia"/>
          <w:color w:val="auto"/>
          <w:sz w:val="24"/>
          <w:szCs w:val="24"/>
          <w:highlight w:val="none"/>
        </w:rPr>
      </w:pPr>
    </w:p>
    <w:p>
      <w:pPr>
        <w:pStyle w:val="5"/>
        <w:spacing w:line="480" w:lineRule="exact"/>
        <w:rPr>
          <w:rFonts w:hAnsi="宋体" w:cs="宋体"/>
          <w:color w:val="auto"/>
          <w:highlight w:val="none"/>
          <w:u w:val="none"/>
        </w:rPr>
      </w:pPr>
      <w:r>
        <w:rPr>
          <w:rFonts w:hint="eastAsia" w:cs="宋体"/>
          <w:color w:val="auto"/>
          <w:highlight w:val="none"/>
          <w:u w:val="none"/>
          <w:lang w:val="en-US" w:eastAsia="zh-CN"/>
        </w:rPr>
        <w:t>9</w:t>
      </w:r>
      <w:r>
        <w:rPr>
          <w:rFonts w:hint="eastAsia" w:hAnsi="宋体" w:cs="宋体"/>
          <w:color w:val="auto"/>
          <w:highlight w:val="none"/>
          <w:u w:val="none"/>
        </w:rPr>
        <w:t>.</w:t>
      </w:r>
      <w:bookmarkEnd w:id="293"/>
      <w:bookmarkEnd w:id="297"/>
      <w:r>
        <w:rPr>
          <w:rFonts w:hint="eastAsia" w:hAnsi="宋体" w:cs="宋体"/>
          <w:color w:val="auto"/>
          <w:highlight w:val="none"/>
          <w:u w:val="none"/>
        </w:rPr>
        <w:t>供应商反商业贿赂承诺书</w:t>
      </w:r>
    </w:p>
    <w:bookmarkEnd w:id="288"/>
    <w:p>
      <w:pPr>
        <w:pStyle w:val="10"/>
        <w:autoSpaceDE w:val="0"/>
        <w:autoSpaceDN w:val="0"/>
        <w:adjustRightInd w:val="0"/>
        <w:snapToGrid w:val="0"/>
        <w:spacing w:before="0" w:line="480" w:lineRule="exact"/>
        <w:ind w:left="-420" w:leftChars="-200" w:right="-470" w:rightChars="-224" w:firstLine="439" w:firstLineChars="183"/>
        <w:rPr>
          <w:color w:val="auto"/>
          <w:highlight w:val="none"/>
        </w:rPr>
      </w:pPr>
      <w:bookmarkStart w:id="300" w:name="_Toc518923115"/>
      <w:r>
        <w:rPr>
          <w:color w:val="auto"/>
          <w:highlight w:val="none"/>
        </w:rPr>
        <w:t>为贯彻落实中央和省市关于治理商业贿赂的有关精神，进一步净化政府采购市场、规范政府采购行为，共同维护和营造竞争有序的政府采购市场，我们作为参加政府采购的供应商就反商业贿赂向社会郑重承诺：</w:t>
      </w:r>
    </w:p>
    <w:p>
      <w:pPr>
        <w:pStyle w:val="10"/>
        <w:autoSpaceDE w:val="0"/>
        <w:autoSpaceDN w:val="0"/>
        <w:adjustRightInd w:val="0"/>
        <w:snapToGrid w:val="0"/>
        <w:spacing w:before="0" w:line="480" w:lineRule="exact"/>
        <w:ind w:left="-420" w:leftChars="-200" w:right="-470" w:rightChars="-224" w:firstLine="439" w:firstLineChars="183"/>
        <w:rPr>
          <w:color w:val="auto"/>
          <w:highlight w:val="none"/>
        </w:rPr>
      </w:pPr>
      <w:r>
        <w:rPr>
          <w:color w:val="auto"/>
          <w:highlight w:val="none"/>
        </w:rPr>
        <w:t>一、认真学习并遵守国家相关的法律、法规及社会公德，树立质量为本的理念，诚实守信，依法参与政府采购活动，</w:t>
      </w:r>
      <w:r>
        <w:rPr>
          <w:rFonts w:hint="eastAsia"/>
          <w:color w:val="auto"/>
          <w:highlight w:val="none"/>
        </w:rPr>
        <w:t>坚决杜绝</w:t>
      </w:r>
      <w:r>
        <w:rPr>
          <w:color w:val="auto"/>
          <w:highlight w:val="none"/>
        </w:rPr>
        <w:t>不正当交易行为。</w:t>
      </w:r>
    </w:p>
    <w:p>
      <w:pPr>
        <w:pStyle w:val="10"/>
        <w:autoSpaceDE w:val="0"/>
        <w:autoSpaceDN w:val="0"/>
        <w:adjustRightInd w:val="0"/>
        <w:snapToGrid w:val="0"/>
        <w:spacing w:before="0" w:line="480" w:lineRule="exact"/>
        <w:ind w:left="-420" w:leftChars="-200" w:right="-470" w:rightChars="-224" w:firstLine="439" w:firstLineChars="183"/>
        <w:rPr>
          <w:color w:val="auto"/>
          <w:highlight w:val="none"/>
        </w:rPr>
      </w:pPr>
      <w:r>
        <w:rPr>
          <w:color w:val="auto"/>
          <w:highlight w:val="none"/>
        </w:rPr>
        <w:t>二、在政府采购活动中，自觉遵守政府采购的法律法规，依法依规进行政府采购项目</w:t>
      </w:r>
      <w:r>
        <w:rPr>
          <w:rFonts w:hint="eastAsia"/>
          <w:color w:val="auto"/>
          <w:highlight w:val="none"/>
        </w:rPr>
        <w:t>的</w:t>
      </w:r>
      <w:r>
        <w:rPr>
          <w:color w:val="auto"/>
          <w:highlight w:val="none"/>
        </w:rPr>
        <w:t>投标及公平交易</w:t>
      </w:r>
      <w:r>
        <w:rPr>
          <w:rFonts w:hint="eastAsia"/>
          <w:color w:val="auto"/>
          <w:highlight w:val="none"/>
        </w:rPr>
        <w:t>行为</w:t>
      </w:r>
      <w:r>
        <w:rPr>
          <w:color w:val="auto"/>
          <w:highlight w:val="none"/>
        </w:rPr>
        <w:t>，</w:t>
      </w:r>
      <w:r>
        <w:rPr>
          <w:rFonts w:hint="eastAsia"/>
          <w:color w:val="auto"/>
          <w:highlight w:val="none"/>
        </w:rPr>
        <w:t>树</w:t>
      </w:r>
      <w:r>
        <w:rPr>
          <w:color w:val="auto"/>
          <w:highlight w:val="none"/>
        </w:rPr>
        <w:t>立投标诚信、价格诚信、合同诚信、履约诚信、服务诚信等</w:t>
      </w:r>
      <w:r>
        <w:rPr>
          <w:rFonts w:hint="eastAsia"/>
          <w:color w:val="auto"/>
          <w:highlight w:val="none"/>
        </w:rPr>
        <w:t>企业</w:t>
      </w:r>
      <w:r>
        <w:rPr>
          <w:color w:val="auto"/>
          <w:highlight w:val="none"/>
        </w:rPr>
        <w:t>诚信体系。</w:t>
      </w:r>
    </w:p>
    <w:p>
      <w:pPr>
        <w:pStyle w:val="10"/>
        <w:autoSpaceDE w:val="0"/>
        <w:autoSpaceDN w:val="0"/>
        <w:adjustRightInd w:val="0"/>
        <w:snapToGrid w:val="0"/>
        <w:spacing w:before="0" w:line="480" w:lineRule="exact"/>
        <w:ind w:left="-420" w:leftChars="-200" w:right="-470" w:rightChars="-224" w:firstLine="439" w:firstLineChars="183"/>
        <w:rPr>
          <w:color w:val="auto"/>
          <w:highlight w:val="none"/>
        </w:rPr>
      </w:pPr>
      <w:r>
        <w:rPr>
          <w:color w:val="auto"/>
          <w:highlight w:val="none"/>
        </w:rPr>
        <w:t>三、</w:t>
      </w:r>
      <w:r>
        <w:rPr>
          <w:rFonts w:hint="eastAsia"/>
          <w:color w:val="auto"/>
          <w:highlight w:val="none"/>
        </w:rPr>
        <w:t>杜绝</w:t>
      </w:r>
      <w:r>
        <w:rPr>
          <w:color w:val="auto"/>
          <w:highlight w:val="none"/>
        </w:rPr>
        <w:t>弄虚作假，骗取政府采购供应商资格；</w:t>
      </w:r>
      <w:r>
        <w:rPr>
          <w:rFonts w:hint="eastAsia"/>
          <w:color w:val="auto"/>
          <w:highlight w:val="none"/>
        </w:rPr>
        <w:t>杜绝</w:t>
      </w:r>
      <w:r>
        <w:rPr>
          <w:color w:val="auto"/>
          <w:highlight w:val="none"/>
        </w:rPr>
        <w:t>提供虚假资质文件谋取中标或成交；</w:t>
      </w:r>
      <w:r>
        <w:rPr>
          <w:rFonts w:hint="eastAsia"/>
          <w:color w:val="auto"/>
          <w:highlight w:val="none"/>
        </w:rPr>
        <w:t>杜绝</w:t>
      </w:r>
      <w:r>
        <w:rPr>
          <w:color w:val="auto"/>
          <w:highlight w:val="none"/>
        </w:rPr>
        <w:t>出</w:t>
      </w:r>
      <w:r>
        <w:rPr>
          <w:rFonts w:hint="eastAsia"/>
          <w:color w:val="auto"/>
          <w:highlight w:val="none"/>
        </w:rPr>
        <w:t>借</w:t>
      </w:r>
      <w:r>
        <w:rPr>
          <w:color w:val="auto"/>
          <w:highlight w:val="none"/>
        </w:rPr>
        <w:t>、转让、出卖资质（资格）证书；</w:t>
      </w:r>
      <w:r>
        <w:rPr>
          <w:rFonts w:hint="eastAsia"/>
          <w:color w:val="auto"/>
          <w:highlight w:val="none"/>
        </w:rPr>
        <w:t>杜绝</w:t>
      </w:r>
      <w:r>
        <w:rPr>
          <w:color w:val="auto"/>
          <w:highlight w:val="none"/>
        </w:rPr>
        <w:t>他人以本企业名义承接或承揽政府采购业务。</w:t>
      </w:r>
    </w:p>
    <w:p>
      <w:pPr>
        <w:pStyle w:val="10"/>
        <w:autoSpaceDE w:val="0"/>
        <w:autoSpaceDN w:val="0"/>
        <w:adjustRightInd w:val="0"/>
        <w:snapToGrid w:val="0"/>
        <w:spacing w:before="0" w:line="480" w:lineRule="exact"/>
        <w:ind w:left="-420" w:leftChars="-200" w:right="-470" w:rightChars="-224" w:firstLine="439" w:firstLineChars="183"/>
        <w:rPr>
          <w:color w:val="auto"/>
          <w:highlight w:val="none"/>
        </w:rPr>
      </w:pPr>
      <w:r>
        <w:rPr>
          <w:color w:val="auto"/>
          <w:highlight w:val="none"/>
        </w:rPr>
        <w:t>四、</w:t>
      </w:r>
      <w:r>
        <w:rPr>
          <w:rFonts w:hint="eastAsia"/>
          <w:color w:val="auto"/>
          <w:highlight w:val="none"/>
        </w:rPr>
        <w:t>杜绝</w:t>
      </w:r>
      <w:r>
        <w:rPr>
          <w:color w:val="auto"/>
          <w:highlight w:val="none"/>
        </w:rPr>
        <w:t>采取</w:t>
      </w:r>
      <w:r>
        <w:rPr>
          <w:rFonts w:hint="eastAsia"/>
          <w:color w:val="auto"/>
          <w:highlight w:val="none"/>
        </w:rPr>
        <w:t>或参与</w:t>
      </w:r>
      <w:r>
        <w:rPr>
          <w:color w:val="auto"/>
          <w:highlight w:val="none"/>
        </w:rPr>
        <w:t>“围标、陪标</w:t>
      </w:r>
      <w:r>
        <w:rPr>
          <w:rFonts w:hint="eastAsia"/>
          <w:color w:val="auto"/>
          <w:highlight w:val="none"/>
        </w:rPr>
        <w:t>、串标</w:t>
      </w:r>
      <w:r>
        <w:rPr>
          <w:color w:val="auto"/>
          <w:highlight w:val="none"/>
        </w:rPr>
        <w:t>”等</w:t>
      </w:r>
      <w:r>
        <w:rPr>
          <w:rFonts w:hint="eastAsia"/>
          <w:color w:val="auto"/>
          <w:highlight w:val="none"/>
        </w:rPr>
        <w:t>违法行为</w:t>
      </w:r>
      <w:r>
        <w:rPr>
          <w:color w:val="auto"/>
          <w:highlight w:val="none"/>
        </w:rPr>
        <w:t>获得政府采购订单；</w:t>
      </w:r>
      <w:r>
        <w:rPr>
          <w:rFonts w:hint="eastAsia"/>
          <w:color w:val="auto"/>
          <w:highlight w:val="none"/>
        </w:rPr>
        <w:t>杜绝</w:t>
      </w:r>
      <w:r>
        <w:rPr>
          <w:color w:val="auto"/>
          <w:highlight w:val="none"/>
        </w:rPr>
        <w:t>采取不正当手段诋毁、排挤其他供应商参与竞争。</w:t>
      </w:r>
    </w:p>
    <w:p>
      <w:pPr>
        <w:pStyle w:val="10"/>
        <w:autoSpaceDE w:val="0"/>
        <w:autoSpaceDN w:val="0"/>
        <w:adjustRightInd w:val="0"/>
        <w:snapToGrid w:val="0"/>
        <w:spacing w:before="0" w:line="480" w:lineRule="exact"/>
        <w:ind w:left="-420" w:leftChars="-200" w:right="-470" w:rightChars="-224" w:firstLine="439" w:firstLineChars="183"/>
        <w:rPr>
          <w:color w:val="auto"/>
          <w:highlight w:val="none"/>
        </w:rPr>
      </w:pPr>
      <w:r>
        <w:rPr>
          <w:color w:val="auto"/>
          <w:highlight w:val="none"/>
        </w:rPr>
        <w:t>五、在政府采购活动中，</w:t>
      </w:r>
      <w:r>
        <w:rPr>
          <w:rFonts w:hint="eastAsia"/>
          <w:color w:val="auto"/>
          <w:highlight w:val="none"/>
        </w:rPr>
        <w:t>承诺</w:t>
      </w:r>
      <w:r>
        <w:rPr>
          <w:color w:val="auto"/>
          <w:highlight w:val="none"/>
        </w:rPr>
        <w:t>不与采购人、采购代理机构及其工作人员和其他供应商串通，损害国家利益、社会公共利益和其他相关人的合法权益。</w:t>
      </w:r>
    </w:p>
    <w:p>
      <w:pPr>
        <w:pStyle w:val="10"/>
        <w:autoSpaceDE w:val="0"/>
        <w:autoSpaceDN w:val="0"/>
        <w:adjustRightInd w:val="0"/>
        <w:snapToGrid w:val="0"/>
        <w:spacing w:before="0" w:line="480" w:lineRule="exact"/>
        <w:ind w:left="-420" w:leftChars="-200" w:right="-470" w:rightChars="-224" w:firstLine="439" w:firstLineChars="183"/>
        <w:rPr>
          <w:color w:val="auto"/>
          <w:highlight w:val="none"/>
        </w:rPr>
      </w:pPr>
      <w:r>
        <w:rPr>
          <w:color w:val="auto"/>
          <w:highlight w:val="none"/>
        </w:rPr>
        <w:t>六、</w:t>
      </w:r>
      <w:r>
        <w:rPr>
          <w:rFonts w:hint="eastAsia"/>
          <w:color w:val="auto"/>
          <w:highlight w:val="none"/>
        </w:rPr>
        <w:t>杜绝</w:t>
      </w:r>
      <w:r>
        <w:rPr>
          <w:color w:val="auto"/>
          <w:highlight w:val="none"/>
        </w:rPr>
        <w:t>向采购人、采购代理机构工作人员、评审委员会成员及其他相关人员行贿或者采取其他不正当手段谋取不合法利益，具体包括：不得赠送礼金、礼品，有价证券、购物券、回扣、佣金、咨询费、劳务费、赞助费、宣传费以及支付旅游费用、报销各种消费凭证等。</w:t>
      </w:r>
    </w:p>
    <w:p>
      <w:pPr>
        <w:pStyle w:val="10"/>
        <w:autoSpaceDE w:val="0"/>
        <w:autoSpaceDN w:val="0"/>
        <w:adjustRightInd w:val="0"/>
        <w:snapToGrid w:val="0"/>
        <w:spacing w:before="0" w:line="480" w:lineRule="exact"/>
        <w:ind w:left="-420" w:leftChars="-200" w:right="-470" w:rightChars="-224" w:firstLine="439" w:firstLineChars="183"/>
        <w:rPr>
          <w:color w:val="auto"/>
          <w:highlight w:val="none"/>
        </w:rPr>
      </w:pPr>
      <w:r>
        <w:rPr>
          <w:color w:val="auto"/>
          <w:highlight w:val="none"/>
        </w:rPr>
        <w:t>七、按规定与采购人签订政府采购合同，并严格按合同履约，为采购人提供符合质量标准规定的货物、工程和服务，不销售</w:t>
      </w:r>
      <w:r>
        <w:rPr>
          <w:rFonts w:hint="eastAsia"/>
          <w:color w:val="auto"/>
          <w:highlight w:val="none"/>
        </w:rPr>
        <w:t>假冒</w:t>
      </w:r>
      <w:r>
        <w:rPr>
          <w:color w:val="auto"/>
          <w:highlight w:val="none"/>
        </w:rPr>
        <w:t>、走私货物；不擅自变更或终止、转让、转包政府采购合同；主动配合政府采购项目的验收工作。</w:t>
      </w:r>
    </w:p>
    <w:p>
      <w:pPr>
        <w:pStyle w:val="10"/>
        <w:autoSpaceDE w:val="0"/>
        <w:autoSpaceDN w:val="0"/>
        <w:adjustRightInd w:val="0"/>
        <w:snapToGrid w:val="0"/>
        <w:spacing w:before="0" w:line="480" w:lineRule="exact"/>
        <w:ind w:left="-420" w:leftChars="-200" w:right="-470" w:rightChars="-224" w:firstLine="439" w:firstLineChars="183"/>
        <w:rPr>
          <w:color w:val="auto"/>
          <w:highlight w:val="none"/>
        </w:rPr>
      </w:pPr>
      <w:r>
        <w:rPr>
          <w:color w:val="auto"/>
          <w:highlight w:val="none"/>
        </w:rPr>
        <w:t>八、自觉接受政府采购监管部门的监督管理，积极配合检查和调查，并如实反映情况和提供材料。</w:t>
      </w:r>
    </w:p>
    <w:p>
      <w:pPr>
        <w:pStyle w:val="10"/>
        <w:autoSpaceDE w:val="0"/>
        <w:autoSpaceDN w:val="0"/>
        <w:adjustRightInd w:val="0"/>
        <w:snapToGrid w:val="0"/>
        <w:spacing w:before="0" w:line="480" w:lineRule="exact"/>
        <w:ind w:left="-420" w:leftChars="-200" w:right="-470" w:rightChars="-224" w:firstLine="439" w:firstLineChars="183"/>
        <w:rPr>
          <w:color w:val="auto"/>
          <w:highlight w:val="none"/>
        </w:rPr>
      </w:pPr>
      <w:r>
        <w:rPr>
          <w:color w:val="auto"/>
          <w:highlight w:val="none"/>
        </w:rPr>
        <w:t>我们将严格遵守上述承诺事项，自愿接受主管（监管）部门和社会各方面的监督， 如有违反，自愿接受执法执纪机关和监督管理部门的处理。</w:t>
      </w:r>
    </w:p>
    <w:p>
      <w:pPr>
        <w:pStyle w:val="10"/>
        <w:autoSpaceDE w:val="0"/>
        <w:autoSpaceDN w:val="0"/>
        <w:adjustRightInd w:val="0"/>
        <w:snapToGrid w:val="0"/>
        <w:spacing w:before="0" w:line="480" w:lineRule="exact"/>
        <w:ind w:left="-420" w:leftChars="-200" w:right="-470" w:rightChars="-224" w:firstLine="439" w:firstLineChars="183"/>
        <w:rPr>
          <w:color w:val="auto"/>
          <w:highlight w:val="none"/>
        </w:rPr>
      </w:pPr>
    </w:p>
    <w:p>
      <w:pPr>
        <w:pStyle w:val="10"/>
        <w:autoSpaceDE w:val="0"/>
        <w:autoSpaceDN w:val="0"/>
        <w:adjustRightInd w:val="0"/>
        <w:snapToGrid w:val="0"/>
        <w:spacing w:before="0" w:line="480" w:lineRule="exact"/>
        <w:ind w:right="-470" w:rightChars="-224" w:firstLine="2400" w:firstLineChars="1000"/>
        <w:rPr>
          <w:color w:val="auto"/>
          <w:highlight w:val="none"/>
        </w:rPr>
      </w:pPr>
      <w:r>
        <w:rPr>
          <w:color w:val="auto"/>
          <w:highlight w:val="none"/>
        </w:rPr>
        <w:t>承诺单位（公章）：</w:t>
      </w:r>
    </w:p>
    <w:p>
      <w:pPr>
        <w:pStyle w:val="10"/>
        <w:autoSpaceDE w:val="0"/>
        <w:autoSpaceDN w:val="0"/>
        <w:adjustRightInd w:val="0"/>
        <w:snapToGrid w:val="0"/>
        <w:spacing w:before="0" w:line="480" w:lineRule="exact"/>
        <w:ind w:right="-470" w:rightChars="-224" w:firstLine="1680" w:firstLineChars="700"/>
        <w:rPr>
          <w:color w:val="auto"/>
          <w:highlight w:val="none"/>
        </w:rPr>
      </w:pPr>
      <w:r>
        <w:rPr>
          <w:color w:val="auto"/>
          <w:highlight w:val="none"/>
        </w:rPr>
        <w:t>法定代表人或委托代理人：</w:t>
      </w:r>
    </w:p>
    <w:p>
      <w:pPr>
        <w:autoSpaceDE w:val="0"/>
        <w:autoSpaceDN w:val="0"/>
        <w:adjustRightInd w:val="0"/>
        <w:snapToGrid w:val="0"/>
        <w:spacing w:line="480" w:lineRule="exact"/>
        <w:ind w:left="-420" w:leftChars="-200" w:right="-470" w:rightChars="-224" w:firstLine="6885" w:firstLineChars="3279"/>
        <w:rPr>
          <w:rFonts w:ascii="华文细黑" w:hAnsi="华文细黑" w:eastAsia="华文细黑" w:cs="华文细黑"/>
          <w:color w:val="auto"/>
          <w:sz w:val="30"/>
          <w:szCs w:val="30"/>
          <w:highlight w:val="none"/>
        </w:rPr>
      </w:pPr>
      <w:r>
        <w:rPr>
          <w:color w:val="auto"/>
          <w:highlight w:val="none"/>
        </w:rPr>
        <w:t>年</w:t>
      </w:r>
      <w:r>
        <w:rPr>
          <w:color w:val="auto"/>
          <w:highlight w:val="none"/>
        </w:rPr>
        <w:tab/>
      </w:r>
      <w:r>
        <w:rPr>
          <w:rFonts w:hint="eastAsia"/>
          <w:color w:val="auto"/>
          <w:highlight w:val="none"/>
        </w:rPr>
        <w:t xml:space="preserve">  </w:t>
      </w:r>
      <w:r>
        <w:rPr>
          <w:color w:val="auto"/>
          <w:highlight w:val="none"/>
        </w:rPr>
        <w:t>月</w:t>
      </w:r>
      <w:r>
        <w:rPr>
          <w:rFonts w:hint="eastAsia"/>
          <w:color w:val="auto"/>
          <w:highlight w:val="none"/>
        </w:rPr>
        <w:t xml:space="preserve">   </w:t>
      </w:r>
      <w:r>
        <w:rPr>
          <w:color w:val="auto"/>
          <w:highlight w:val="none"/>
        </w:rPr>
        <w:t>日</w:t>
      </w:r>
    </w:p>
    <w:p>
      <w:pPr>
        <w:tabs>
          <w:tab w:val="left" w:pos="5580"/>
        </w:tabs>
        <w:spacing w:line="480" w:lineRule="exact"/>
        <w:ind w:left="1260" w:leftChars="344" w:hanging="538"/>
        <w:rPr>
          <w:rFonts w:ascii="宋体" w:hAnsi="宋体" w:cs="宋体"/>
          <w:color w:val="auto"/>
          <w:sz w:val="24"/>
          <w:szCs w:val="20"/>
          <w:highlight w:val="none"/>
        </w:rPr>
      </w:pPr>
    </w:p>
    <w:p>
      <w:pPr>
        <w:rPr>
          <w:rFonts w:ascii="宋体" w:hAnsi="宋体" w:cs="宋体"/>
          <w:color w:val="auto"/>
          <w:sz w:val="24"/>
          <w:szCs w:val="20"/>
          <w:highlight w:val="none"/>
        </w:rPr>
      </w:pPr>
      <w:r>
        <w:rPr>
          <w:rFonts w:ascii="宋体" w:hAnsi="宋体" w:cs="宋体"/>
          <w:color w:val="auto"/>
          <w:sz w:val="24"/>
          <w:szCs w:val="20"/>
          <w:highlight w:val="none"/>
        </w:rPr>
        <w:br w:type="page"/>
      </w:r>
    </w:p>
    <w:p>
      <w:pPr>
        <w:pStyle w:val="4"/>
        <w:spacing w:line="480" w:lineRule="exact"/>
        <w:ind w:left="774" w:hanging="722" w:hangingChars="257"/>
        <w:rPr>
          <w:rFonts w:ascii="宋体" w:hAnsi="宋体" w:eastAsia="宋体" w:cs="宋体"/>
          <w:color w:val="auto"/>
          <w:highlight w:val="none"/>
        </w:rPr>
      </w:pPr>
      <w:bookmarkStart w:id="301" w:name="_Toc46235139"/>
      <w:bookmarkStart w:id="302" w:name="_Toc68259632"/>
      <w:bookmarkStart w:id="303" w:name="_Toc6115"/>
      <w:r>
        <w:rPr>
          <w:rFonts w:hint="eastAsia" w:ascii="宋体" w:hAnsi="宋体" w:eastAsia="宋体" w:cs="宋体"/>
          <w:color w:val="auto"/>
          <w:highlight w:val="none"/>
        </w:rPr>
        <w:t>五、商务及技术文件</w:t>
      </w:r>
      <w:bookmarkEnd w:id="300"/>
      <w:bookmarkEnd w:id="301"/>
      <w:bookmarkEnd w:id="302"/>
      <w:bookmarkEnd w:id="303"/>
    </w:p>
    <w:p>
      <w:pPr>
        <w:pStyle w:val="5"/>
        <w:spacing w:line="480" w:lineRule="exact"/>
        <w:rPr>
          <w:rFonts w:hAnsi="宋体" w:cs="宋体"/>
          <w:color w:val="auto"/>
          <w:highlight w:val="none"/>
          <w:u w:val="none"/>
        </w:rPr>
      </w:pPr>
      <w:bookmarkStart w:id="304" w:name="_Hlt520355504"/>
      <w:bookmarkEnd w:id="304"/>
      <w:bookmarkStart w:id="305" w:name="_Toc518923116"/>
      <w:bookmarkStart w:id="306" w:name="_Toc46235140"/>
      <w:r>
        <w:rPr>
          <w:rFonts w:hint="eastAsia" w:cs="宋体"/>
          <w:color w:val="auto"/>
          <w:highlight w:val="none"/>
          <w:u w:val="none"/>
          <w:lang w:val="en-US" w:eastAsia="zh-CN"/>
        </w:rPr>
        <w:t>10</w:t>
      </w:r>
      <w:r>
        <w:rPr>
          <w:rFonts w:hint="eastAsia" w:hAnsi="宋体" w:cs="宋体"/>
          <w:color w:val="auto"/>
          <w:highlight w:val="none"/>
          <w:u w:val="none"/>
        </w:rPr>
        <w:t>.响应文件</w:t>
      </w:r>
      <w:bookmarkEnd w:id="273"/>
      <w:bookmarkEnd w:id="274"/>
      <w:r>
        <w:rPr>
          <w:rFonts w:hint="eastAsia" w:hAnsi="宋体" w:cs="宋体"/>
          <w:color w:val="auto"/>
          <w:highlight w:val="none"/>
          <w:u w:val="none"/>
        </w:rPr>
        <w:t>书</w:t>
      </w:r>
      <w:bookmarkEnd w:id="275"/>
      <w:bookmarkEnd w:id="276"/>
      <w:bookmarkEnd w:id="305"/>
      <w:bookmarkEnd w:id="306"/>
    </w:p>
    <w:p>
      <w:pPr>
        <w:keepNext w:val="0"/>
        <w:keepLines w:val="0"/>
        <w:pageBreakBefore w:val="0"/>
        <w:widowControl w:val="0"/>
        <w:tabs>
          <w:tab w:val="left" w:pos="5580"/>
        </w:tabs>
        <w:kinsoku/>
        <w:wordWrap/>
        <w:overflowPunct/>
        <w:topLinePunct w:val="0"/>
        <w:autoSpaceDE/>
        <w:autoSpaceDN/>
        <w:bidi w:val="0"/>
        <w:adjustRightInd/>
        <w:snapToGrid/>
        <w:spacing w:line="480" w:lineRule="exact"/>
        <w:ind w:left="1080" w:hanging="1080"/>
        <w:textAlignment w:val="auto"/>
        <w:rPr>
          <w:rFonts w:ascii="宋体" w:hAnsi="宋体" w:cs="宋体"/>
          <w:color w:val="auto"/>
          <w:sz w:val="24"/>
          <w:highlight w:val="none"/>
        </w:rPr>
      </w:pPr>
      <w:r>
        <w:rPr>
          <w:rFonts w:hint="eastAsia" w:ascii="宋体" w:hAnsi="宋体" w:cs="宋体"/>
          <w:color w:val="auto"/>
          <w:sz w:val="24"/>
          <w:highlight w:val="none"/>
        </w:rPr>
        <w:t>致：</w:t>
      </w:r>
      <w:r>
        <w:rPr>
          <w:rFonts w:hint="eastAsia" w:ascii="宋体" w:hAnsi="宋体" w:cs="宋体"/>
          <w:color w:val="auto"/>
          <w:sz w:val="24"/>
          <w:szCs w:val="20"/>
          <w:highlight w:val="none"/>
          <w:u w:val="single"/>
        </w:rPr>
        <w:t>临沂市沂蒙国际招标有限公司</w:t>
      </w:r>
    </w:p>
    <w:p>
      <w:pPr>
        <w:keepNext w:val="0"/>
        <w:keepLines w:val="0"/>
        <w:pageBreakBefore w:val="0"/>
        <w:widowControl w:val="0"/>
        <w:tabs>
          <w:tab w:val="left" w:pos="5580"/>
        </w:tabs>
        <w:kinsoku/>
        <w:wordWrap/>
        <w:overflowPunct/>
        <w:topLinePunct w:val="0"/>
        <w:autoSpaceDE/>
        <w:autoSpaceDN/>
        <w:bidi w:val="0"/>
        <w:adjustRightInd/>
        <w:snapToGrid/>
        <w:spacing w:line="480" w:lineRule="exact"/>
        <w:ind w:left="2" w:leftChars="1" w:firstLine="480" w:firstLineChars="200"/>
        <w:textAlignment w:val="auto"/>
        <w:rPr>
          <w:rFonts w:ascii="宋体" w:hAnsi="宋体" w:cs="宋体"/>
          <w:color w:val="auto"/>
          <w:sz w:val="24"/>
          <w:szCs w:val="20"/>
          <w:highlight w:val="none"/>
        </w:rPr>
      </w:pPr>
      <w:r>
        <w:rPr>
          <w:rFonts w:hint="eastAsia" w:ascii="宋体" w:hAnsi="宋体" w:cs="宋体"/>
          <w:color w:val="auto"/>
          <w:sz w:val="24"/>
          <w:szCs w:val="20"/>
          <w:highlight w:val="none"/>
        </w:rPr>
        <w:t>根据贵方</w:t>
      </w:r>
      <w:r>
        <w:rPr>
          <w:rFonts w:hint="eastAsia" w:ascii="宋体" w:hAnsi="宋体" w:cs="宋体"/>
          <w:color w:val="auto"/>
          <w:sz w:val="24"/>
          <w:szCs w:val="20"/>
          <w:highlight w:val="none"/>
          <w:lang w:eastAsia="zh-CN"/>
        </w:rPr>
        <w:t>（</w:t>
      </w:r>
      <w:r>
        <w:rPr>
          <w:rFonts w:hint="eastAsia" w:ascii="宋体" w:hAnsi="宋体" w:cs="宋体"/>
          <w:i/>
          <w:color w:val="auto"/>
          <w:sz w:val="24"/>
          <w:szCs w:val="20"/>
          <w:highlight w:val="none"/>
          <w:u w:val="single"/>
        </w:rPr>
        <w:t>项目名称</w:t>
      </w:r>
      <w:r>
        <w:rPr>
          <w:rFonts w:hint="eastAsia" w:ascii="宋体" w:hAnsi="宋体" w:cs="宋体"/>
          <w:i/>
          <w:color w:val="auto"/>
          <w:sz w:val="24"/>
          <w:szCs w:val="20"/>
          <w:highlight w:val="none"/>
          <w:u w:val="single"/>
          <w:lang w:eastAsia="zh-CN"/>
        </w:rPr>
        <w:t>）</w:t>
      </w:r>
      <w:r>
        <w:rPr>
          <w:rFonts w:hint="eastAsia" w:ascii="宋体" w:hAnsi="宋体" w:cs="宋体"/>
          <w:color w:val="auto"/>
          <w:sz w:val="24"/>
          <w:szCs w:val="20"/>
          <w:highlight w:val="none"/>
        </w:rPr>
        <w:t>项目的响应文件邀请</w:t>
      </w:r>
      <w:r>
        <w:rPr>
          <w:rFonts w:hint="eastAsia" w:ascii="宋体" w:hAnsi="宋体" w:cs="宋体"/>
          <w:color w:val="auto"/>
          <w:sz w:val="24"/>
          <w:szCs w:val="20"/>
          <w:highlight w:val="none"/>
          <w:lang w:eastAsia="zh-CN"/>
        </w:rPr>
        <w:t>（</w:t>
      </w:r>
      <w:r>
        <w:rPr>
          <w:rFonts w:hint="eastAsia" w:ascii="宋体" w:hAnsi="宋体" w:cs="宋体"/>
          <w:i/>
          <w:color w:val="auto"/>
          <w:sz w:val="24"/>
          <w:szCs w:val="20"/>
          <w:highlight w:val="none"/>
          <w:u w:val="single"/>
        </w:rPr>
        <w:t>项目编号</w:t>
      </w:r>
      <w:r>
        <w:rPr>
          <w:rFonts w:hint="eastAsia" w:ascii="宋体" w:hAnsi="宋体" w:cs="宋体"/>
          <w:i/>
          <w:color w:val="auto"/>
          <w:sz w:val="24"/>
          <w:szCs w:val="20"/>
          <w:highlight w:val="none"/>
          <w:u w:val="single"/>
          <w:lang w:eastAsia="zh-CN"/>
        </w:rPr>
        <w:t>），</w:t>
      </w:r>
      <w:r>
        <w:rPr>
          <w:rFonts w:hint="eastAsia" w:ascii="宋体" w:hAnsi="宋体" w:cs="宋体"/>
          <w:color w:val="auto"/>
          <w:sz w:val="24"/>
          <w:szCs w:val="20"/>
          <w:highlight w:val="none"/>
        </w:rPr>
        <w:t>签字代表</w:t>
      </w:r>
      <w:r>
        <w:rPr>
          <w:rFonts w:hint="eastAsia" w:ascii="宋体" w:hAnsi="宋体" w:cs="宋体"/>
          <w:color w:val="auto"/>
          <w:sz w:val="24"/>
          <w:szCs w:val="20"/>
          <w:highlight w:val="none"/>
          <w:lang w:eastAsia="zh-CN"/>
        </w:rPr>
        <w:t>（</w:t>
      </w:r>
      <w:r>
        <w:rPr>
          <w:rFonts w:hint="eastAsia" w:ascii="宋体" w:hAnsi="宋体" w:cs="宋体"/>
          <w:i/>
          <w:color w:val="auto"/>
          <w:sz w:val="24"/>
          <w:szCs w:val="20"/>
          <w:highlight w:val="none"/>
          <w:u w:val="single"/>
        </w:rPr>
        <w:t>姓名、职务</w:t>
      </w:r>
      <w:r>
        <w:rPr>
          <w:rFonts w:hint="eastAsia" w:ascii="宋体" w:hAnsi="宋体" w:cs="宋体"/>
          <w:i/>
          <w:color w:val="auto"/>
          <w:sz w:val="24"/>
          <w:szCs w:val="20"/>
          <w:highlight w:val="none"/>
          <w:u w:val="single"/>
          <w:lang w:eastAsia="zh-CN"/>
        </w:rPr>
        <w:t>）</w:t>
      </w:r>
      <w:r>
        <w:rPr>
          <w:rFonts w:hint="eastAsia" w:ascii="宋体" w:hAnsi="宋体" w:cs="宋体"/>
          <w:color w:val="auto"/>
          <w:sz w:val="24"/>
          <w:szCs w:val="20"/>
          <w:highlight w:val="none"/>
        </w:rPr>
        <w:t>经正式授权并代表供应商（</w:t>
      </w:r>
      <w:r>
        <w:rPr>
          <w:rFonts w:hint="eastAsia" w:ascii="宋体" w:hAnsi="宋体" w:cs="宋体"/>
          <w:i/>
          <w:color w:val="auto"/>
          <w:sz w:val="24"/>
          <w:szCs w:val="20"/>
          <w:highlight w:val="none"/>
          <w:u w:val="single"/>
        </w:rPr>
        <w:t>名称、地址</w:t>
      </w:r>
      <w:r>
        <w:rPr>
          <w:rFonts w:hint="eastAsia" w:ascii="宋体" w:hAnsi="宋体" w:cs="宋体"/>
          <w:color w:val="auto"/>
          <w:sz w:val="24"/>
          <w:szCs w:val="20"/>
          <w:highlight w:val="none"/>
        </w:rPr>
        <w:t>）据此，签字代表宣布同意如下：</w:t>
      </w:r>
    </w:p>
    <w:p>
      <w:pPr>
        <w:pStyle w:val="15"/>
        <w:keepNext w:val="0"/>
        <w:keepLines w:val="0"/>
        <w:pageBreakBefore w:val="0"/>
        <w:widowControl w:val="0"/>
        <w:tabs>
          <w:tab w:val="left" w:pos="720"/>
          <w:tab w:val="left" w:pos="900"/>
        </w:tabs>
        <w:kinsoku/>
        <w:wordWrap/>
        <w:overflowPunct/>
        <w:topLinePunct w:val="0"/>
        <w:autoSpaceDE/>
        <w:autoSpaceDN/>
        <w:bidi w:val="0"/>
        <w:adjustRightInd/>
        <w:snapToGrid/>
        <w:spacing w:line="480" w:lineRule="exact"/>
        <w:ind w:firstLine="420" w:firstLineChars="175"/>
        <w:textAlignment w:val="auto"/>
        <w:rPr>
          <w:rFonts w:hAnsi="宋体" w:cs="宋体"/>
          <w:color w:val="auto"/>
          <w:sz w:val="24"/>
          <w:highlight w:val="none"/>
          <w:u w:val="single"/>
        </w:rPr>
      </w:pPr>
      <w:r>
        <w:rPr>
          <w:rFonts w:hint="eastAsia" w:hAnsi="宋体" w:cs="宋体"/>
          <w:color w:val="auto"/>
          <w:sz w:val="24"/>
          <w:highlight w:val="none"/>
        </w:rPr>
        <w:t>（1）附报价价格表中规定</w:t>
      </w:r>
      <w:r>
        <w:rPr>
          <w:rFonts w:hint="eastAsia" w:hAnsi="宋体" w:cs="宋体"/>
          <w:color w:val="auto"/>
          <w:sz w:val="24"/>
          <w:highlight w:val="none"/>
          <w:u w:val="none"/>
        </w:rPr>
        <w:t>的应提供服务的总价详见报价一览表，</w:t>
      </w:r>
      <w:r>
        <w:rPr>
          <w:rFonts w:hint="eastAsia" w:hAnsi="宋体" w:cs="宋体"/>
          <w:color w:val="auto"/>
          <w:sz w:val="24"/>
          <w:highlight w:val="none"/>
          <w:u w:val="none"/>
          <w:lang w:val="en-US" w:eastAsia="zh-CN"/>
        </w:rPr>
        <w:t>均由我公司承担</w:t>
      </w:r>
      <w:r>
        <w:rPr>
          <w:rFonts w:hint="eastAsia" w:hAnsi="宋体" w:cs="宋体"/>
          <w:color w:val="auto"/>
          <w:sz w:val="24"/>
          <w:highlight w:val="none"/>
        </w:rPr>
        <w:t>。</w:t>
      </w:r>
    </w:p>
    <w:p>
      <w:pPr>
        <w:keepNext w:val="0"/>
        <w:keepLines w:val="0"/>
        <w:pageBreakBefore w:val="0"/>
        <w:widowControl w:val="0"/>
        <w:tabs>
          <w:tab w:val="left" w:pos="5580"/>
        </w:tabs>
        <w:kinsoku/>
        <w:wordWrap/>
        <w:overflowPunct/>
        <w:topLinePunct w:val="0"/>
        <w:autoSpaceDE/>
        <w:autoSpaceDN/>
        <w:bidi w:val="0"/>
        <w:adjustRightInd/>
        <w:snapToGrid/>
        <w:spacing w:line="480" w:lineRule="exact"/>
        <w:ind w:firstLine="420" w:firstLineChars="175"/>
        <w:textAlignment w:val="auto"/>
        <w:rPr>
          <w:rFonts w:ascii="宋体" w:hAnsi="宋体" w:cs="宋体"/>
          <w:color w:val="auto"/>
          <w:sz w:val="24"/>
          <w:szCs w:val="20"/>
          <w:highlight w:val="none"/>
        </w:rPr>
      </w:pPr>
      <w:r>
        <w:rPr>
          <w:rFonts w:hint="eastAsia" w:ascii="宋体" w:hAnsi="宋体" w:cs="宋体"/>
          <w:color w:val="auto"/>
          <w:sz w:val="24"/>
          <w:szCs w:val="20"/>
          <w:highlight w:val="none"/>
        </w:rPr>
        <w:t>（2）本响应文件有效期为自响应文件截止之日起个日历日。</w:t>
      </w:r>
    </w:p>
    <w:p>
      <w:pPr>
        <w:keepNext w:val="0"/>
        <w:keepLines w:val="0"/>
        <w:pageBreakBefore w:val="0"/>
        <w:widowControl w:val="0"/>
        <w:tabs>
          <w:tab w:val="left" w:pos="5580"/>
        </w:tabs>
        <w:kinsoku/>
        <w:wordWrap/>
        <w:overflowPunct/>
        <w:topLinePunct w:val="0"/>
        <w:autoSpaceDE/>
        <w:autoSpaceDN/>
        <w:bidi w:val="0"/>
        <w:adjustRightInd/>
        <w:snapToGrid/>
        <w:spacing w:line="480" w:lineRule="exact"/>
        <w:ind w:firstLine="420" w:firstLineChars="175"/>
        <w:textAlignment w:val="auto"/>
        <w:rPr>
          <w:rFonts w:ascii="宋体" w:hAnsi="宋体" w:cs="宋体"/>
          <w:color w:val="auto"/>
          <w:sz w:val="24"/>
          <w:szCs w:val="20"/>
          <w:highlight w:val="none"/>
          <w:u w:val="single"/>
        </w:rPr>
      </w:pPr>
      <w:r>
        <w:rPr>
          <w:rFonts w:hint="eastAsia" w:ascii="宋体" w:hAnsi="宋体" w:cs="宋体"/>
          <w:color w:val="auto"/>
          <w:sz w:val="24"/>
          <w:szCs w:val="20"/>
          <w:highlight w:val="none"/>
        </w:rPr>
        <w:t>（3）联合体中的大中型企业和其他自然人、法人或者其他组织，与联合体中的小型、微型企业之间</w:t>
      </w:r>
      <w:r>
        <w:rPr>
          <w:rFonts w:hint="eastAsia" w:ascii="宋体" w:hAnsi="宋体" w:cs="宋体"/>
          <w:color w:val="auto"/>
          <w:sz w:val="24"/>
          <w:szCs w:val="20"/>
          <w:highlight w:val="none"/>
          <w:u w:val="single"/>
        </w:rPr>
        <w:t xml:space="preserve">  </w:t>
      </w:r>
      <w:r>
        <w:rPr>
          <w:rFonts w:hint="eastAsia" w:ascii="宋体" w:hAnsi="宋体" w:cs="宋体"/>
          <w:color w:val="auto"/>
          <w:sz w:val="24"/>
          <w:szCs w:val="20"/>
          <w:highlight w:val="none"/>
          <w:u w:val="single"/>
          <w:lang w:val="en-US" w:eastAsia="zh-CN"/>
        </w:rPr>
        <w:t>/</w:t>
      </w:r>
      <w:r>
        <w:rPr>
          <w:rFonts w:hint="eastAsia" w:ascii="宋体" w:hAnsi="宋体" w:cs="宋体"/>
          <w:color w:val="auto"/>
          <w:sz w:val="24"/>
          <w:szCs w:val="20"/>
          <w:highlight w:val="none"/>
          <w:u w:val="single"/>
        </w:rPr>
        <w:t xml:space="preserve"> （</w:t>
      </w:r>
      <w:r>
        <w:rPr>
          <w:rFonts w:hint="eastAsia" w:ascii="宋体" w:hAnsi="宋体" w:cs="宋体"/>
          <w:color w:val="auto"/>
          <w:sz w:val="24"/>
          <w:szCs w:val="20"/>
          <w:highlight w:val="none"/>
        </w:rPr>
        <w:t>存在、不存在）投资关系（如果联合体的话）。</w:t>
      </w:r>
    </w:p>
    <w:p>
      <w:pPr>
        <w:keepNext w:val="0"/>
        <w:keepLines w:val="0"/>
        <w:pageBreakBefore w:val="0"/>
        <w:widowControl w:val="0"/>
        <w:tabs>
          <w:tab w:val="left" w:pos="5580"/>
        </w:tabs>
        <w:kinsoku/>
        <w:wordWrap/>
        <w:overflowPunct/>
        <w:topLinePunct w:val="0"/>
        <w:autoSpaceDE/>
        <w:autoSpaceDN/>
        <w:bidi w:val="0"/>
        <w:adjustRightInd/>
        <w:snapToGrid/>
        <w:spacing w:line="480" w:lineRule="exact"/>
        <w:ind w:firstLine="420" w:firstLineChars="175"/>
        <w:textAlignment w:val="auto"/>
        <w:rPr>
          <w:rFonts w:ascii="宋体" w:hAnsi="宋体" w:cs="宋体"/>
          <w:color w:val="auto"/>
          <w:sz w:val="24"/>
          <w:szCs w:val="20"/>
          <w:highlight w:val="none"/>
        </w:rPr>
      </w:pPr>
      <w:r>
        <w:rPr>
          <w:rFonts w:hint="eastAsia" w:ascii="宋体" w:hAnsi="宋体" w:cs="宋体"/>
          <w:color w:val="auto"/>
          <w:sz w:val="24"/>
          <w:szCs w:val="20"/>
          <w:highlight w:val="none"/>
        </w:rPr>
        <w:t>（4）已详细审查全部竞争性磋商文件，包括所有补充通知（如果有的话），完全理解并同意放弃对这方面有不明、误解和质疑的</w:t>
      </w:r>
      <w:r>
        <w:rPr>
          <w:rFonts w:hint="eastAsia" w:ascii="宋体" w:hAnsi="宋体" w:cs="宋体"/>
          <w:color w:val="auto"/>
          <w:sz w:val="24"/>
          <w:szCs w:val="20"/>
          <w:highlight w:val="none"/>
          <w:lang w:eastAsia="zh-CN"/>
        </w:rPr>
        <w:t>权利</w:t>
      </w:r>
      <w:r>
        <w:rPr>
          <w:rFonts w:hint="eastAsia" w:ascii="宋体" w:hAnsi="宋体" w:cs="宋体"/>
          <w:color w:val="auto"/>
          <w:sz w:val="24"/>
          <w:szCs w:val="20"/>
          <w:highlight w:val="none"/>
        </w:rPr>
        <w:t>。</w:t>
      </w:r>
    </w:p>
    <w:p>
      <w:pPr>
        <w:keepNext w:val="0"/>
        <w:keepLines w:val="0"/>
        <w:pageBreakBefore w:val="0"/>
        <w:widowControl w:val="0"/>
        <w:tabs>
          <w:tab w:val="left" w:pos="5580"/>
        </w:tabs>
        <w:kinsoku/>
        <w:wordWrap/>
        <w:overflowPunct/>
        <w:topLinePunct w:val="0"/>
        <w:autoSpaceDE/>
        <w:autoSpaceDN/>
        <w:bidi w:val="0"/>
        <w:adjustRightInd/>
        <w:snapToGrid/>
        <w:spacing w:line="480" w:lineRule="exact"/>
        <w:ind w:firstLine="420" w:firstLineChars="175"/>
        <w:textAlignment w:val="auto"/>
        <w:rPr>
          <w:rFonts w:ascii="宋体" w:hAnsi="宋体" w:cs="宋体"/>
          <w:color w:val="auto"/>
          <w:sz w:val="24"/>
          <w:szCs w:val="20"/>
          <w:highlight w:val="none"/>
        </w:rPr>
      </w:pPr>
      <w:r>
        <w:rPr>
          <w:rFonts w:hint="eastAsia" w:ascii="宋体" w:hAnsi="宋体" w:cs="宋体"/>
          <w:color w:val="auto"/>
          <w:sz w:val="24"/>
          <w:szCs w:val="20"/>
          <w:highlight w:val="none"/>
        </w:rPr>
        <w:t>（5）我方不是为本项目提供整体设计、规范编制或者项目管理、监理、检测等服务的供应商，我方不是采购代理机构的附属机构。</w:t>
      </w:r>
    </w:p>
    <w:p>
      <w:pPr>
        <w:keepNext w:val="0"/>
        <w:keepLines w:val="0"/>
        <w:pageBreakBefore w:val="0"/>
        <w:widowControl w:val="0"/>
        <w:tabs>
          <w:tab w:val="left" w:pos="5580"/>
        </w:tabs>
        <w:kinsoku/>
        <w:wordWrap/>
        <w:overflowPunct/>
        <w:topLinePunct w:val="0"/>
        <w:autoSpaceDE/>
        <w:autoSpaceDN/>
        <w:bidi w:val="0"/>
        <w:adjustRightInd/>
        <w:snapToGrid/>
        <w:spacing w:line="480" w:lineRule="exact"/>
        <w:ind w:firstLine="420" w:firstLineChars="175"/>
        <w:textAlignment w:val="auto"/>
        <w:rPr>
          <w:rFonts w:ascii="宋体" w:hAnsi="宋体" w:cs="宋体"/>
          <w:color w:val="auto"/>
          <w:sz w:val="24"/>
          <w:szCs w:val="20"/>
          <w:highlight w:val="none"/>
        </w:rPr>
      </w:pPr>
      <w:r>
        <w:rPr>
          <w:rFonts w:hint="eastAsia" w:ascii="宋体" w:hAnsi="宋体" w:cs="宋体"/>
          <w:color w:val="auto"/>
          <w:sz w:val="24"/>
          <w:szCs w:val="20"/>
          <w:highlight w:val="none"/>
        </w:rPr>
        <w:t>（6）按照贵方可能要求，提供与其响应文件有关的一切数据或资料，完全理解贵方不一定接受最低价的响应文件或收到的任何响应文件。</w:t>
      </w:r>
    </w:p>
    <w:p>
      <w:pPr>
        <w:keepNext w:val="0"/>
        <w:keepLines w:val="0"/>
        <w:pageBreakBefore w:val="0"/>
        <w:widowControl w:val="0"/>
        <w:tabs>
          <w:tab w:val="left" w:pos="5580"/>
        </w:tabs>
        <w:kinsoku/>
        <w:wordWrap/>
        <w:overflowPunct/>
        <w:topLinePunct w:val="0"/>
        <w:autoSpaceDE/>
        <w:autoSpaceDN/>
        <w:bidi w:val="0"/>
        <w:adjustRightInd/>
        <w:snapToGrid/>
        <w:spacing w:line="480" w:lineRule="exact"/>
        <w:ind w:firstLine="420" w:firstLineChars="175"/>
        <w:textAlignment w:val="auto"/>
        <w:rPr>
          <w:rFonts w:ascii="宋体" w:hAnsi="宋体" w:cs="宋体"/>
          <w:color w:val="auto"/>
          <w:sz w:val="24"/>
          <w:szCs w:val="20"/>
          <w:highlight w:val="none"/>
        </w:rPr>
      </w:pPr>
      <w:r>
        <w:rPr>
          <w:rFonts w:hint="eastAsia" w:ascii="宋体" w:hAnsi="宋体" w:cs="宋体"/>
          <w:color w:val="auto"/>
          <w:sz w:val="24"/>
          <w:szCs w:val="20"/>
          <w:highlight w:val="none"/>
        </w:rPr>
        <w:t>（7）我方保证所提供宣传内容、方案不侵犯他人知识产权，否则，由此产生的一切法律责任由我方承担。</w:t>
      </w:r>
    </w:p>
    <w:p>
      <w:pPr>
        <w:keepNext w:val="0"/>
        <w:keepLines w:val="0"/>
        <w:pageBreakBefore w:val="0"/>
        <w:widowControl w:val="0"/>
        <w:tabs>
          <w:tab w:val="left" w:pos="5580"/>
        </w:tabs>
        <w:kinsoku/>
        <w:wordWrap/>
        <w:overflowPunct/>
        <w:topLinePunct w:val="0"/>
        <w:autoSpaceDE/>
        <w:autoSpaceDN/>
        <w:bidi w:val="0"/>
        <w:adjustRightInd/>
        <w:snapToGrid/>
        <w:spacing w:line="480" w:lineRule="exact"/>
        <w:ind w:firstLine="420" w:firstLineChars="175"/>
        <w:textAlignment w:val="auto"/>
        <w:rPr>
          <w:rFonts w:ascii="宋体" w:hAnsi="宋体" w:cs="宋体"/>
          <w:color w:val="auto"/>
          <w:sz w:val="24"/>
          <w:szCs w:val="20"/>
          <w:highlight w:val="none"/>
        </w:rPr>
      </w:pPr>
      <w:r>
        <w:rPr>
          <w:rFonts w:hint="eastAsia" w:ascii="宋体" w:hAnsi="宋体" w:cs="宋体"/>
          <w:color w:val="auto"/>
          <w:sz w:val="24"/>
          <w:szCs w:val="20"/>
          <w:highlight w:val="none"/>
        </w:rPr>
        <w:t>（8）在领取成交通知书的同时按磋商文件规定的形式，向贵方一次性支付成交服务费。</w:t>
      </w:r>
    </w:p>
    <w:p>
      <w:pPr>
        <w:keepNext w:val="0"/>
        <w:keepLines w:val="0"/>
        <w:pageBreakBefore w:val="0"/>
        <w:widowControl w:val="0"/>
        <w:tabs>
          <w:tab w:val="left" w:pos="5580"/>
        </w:tabs>
        <w:kinsoku/>
        <w:wordWrap/>
        <w:overflowPunct/>
        <w:topLinePunct w:val="0"/>
        <w:autoSpaceDE/>
        <w:autoSpaceDN/>
        <w:bidi w:val="0"/>
        <w:adjustRightInd/>
        <w:snapToGrid/>
        <w:spacing w:line="480" w:lineRule="exact"/>
        <w:ind w:firstLine="420" w:firstLineChars="175"/>
        <w:textAlignment w:val="auto"/>
        <w:rPr>
          <w:rFonts w:ascii="宋体" w:hAnsi="宋体" w:cs="宋体"/>
          <w:color w:val="auto"/>
          <w:sz w:val="24"/>
          <w:szCs w:val="20"/>
          <w:highlight w:val="none"/>
        </w:rPr>
      </w:pPr>
      <w:r>
        <w:rPr>
          <w:rFonts w:hint="eastAsia" w:ascii="宋体" w:hAnsi="宋体" w:cs="宋体"/>
          <w:color w:val="auto"/>
          <w:sz w:val="24"/>
          <w:szCs w:val="20"/>
          <w:highlight w:val="none"/>
        </w:rPr>
        <w:t>（9） 按照竞争性磋商文件的规定履行合同责任和义务。</w:t>
      </w:r>
    </w:p>
    <w:p>
      <w:pPr>
        <w:keepNext w:val="0"/>
        <w:keepLines w:val="0"/>
        <w:pageBreakBefore w:val="0"/>
        <w:widowControl w:val="0"/>
        <w:tabs>
          <w:tab w:val="left" w:pos="5580"/>
        </w:tabs>
        <w:kinsoku/>
        <w:wordWrap/>
        <w:overflowPunct/>
        <w:topLinePunct w:val="0"/>
        <w:autoSpaceDE/>
        <w:autoSpaceDN/>
        <w:bidi w:val="0"/>
        <w:adjustRightInd/>
        <w:snapToGrid/>
        <w:spacing w:line="480" w:lineRule="exact"/>
        <w:ind w:left="359" w:leftChars="68" w:hanging="216" w:hangingChars="90"/>
        <w:textAlignment w:val="auto"/>
        <w:rPr>
          <w:rFonts w:ascii="宋体" w:hAnsi="宋体" w:cs="宋体"/>
          <w:color w:val="auto"/>
          <w:sz w:val="24"/>
          <w:szCs w:val="20"/>
          <w:highlight w:val="none"/>
        </w:rPr>
      </w:pPr>
      <w:r>
        <w:rPr>
          <w:rFonts w:hint="eastAsia" w:ascii="宋体" w:hAnsi="宋体" w:cs="宋体"/>
          <w:color w:val="auto"/>
          <w:sz w:val="24"/>
          <w:szCs w:val="20"/>
          <w:highlight w:val="none"/>
        </w:rPr>
        <w:t>与本响应文件有关的一切正式往来信函请寄：</w:t>
      </w:r>
    </w:p>
    <w:p>
      <w:pPr>
        <w:keepNext w:val="0"/>
        <w:keepLines w:val="0"/>
        <w:pageBreakBefore w:val="0"/>
        <w:widowControl w:val="0"/>
        <w:tabs>
          <w:tab w:val="left" w:pos="5580"/>
        </w:tabs>
        <w:kinsoku/>
        <w:wordWrap/>
        <w:overflowPunct/>
        <w:topLinePunct w:val="0"/>
        <w:autoSpaceDE/>
        <w:autoSpaceDN/>
        <w:bidi w:val="0"/>
        <w:adjustRightInd/>
        <w:snapToGrid/>
        <w:spacing w:line="480" w:lineRule="exact"/>
        <w:ind w:left="1080" w:leftChars="257" w:hanging="540"/>
        <w:textAlignment w:val="auto"/>
        <w:rPr>
          <w:rFonts w:ascii="宋体" w:hAnsi="宋体" w:cs="宋体"/>
          <w:color w:val="auto"/>
          <w:sz w:val="24"/>
          <w:szCs w:val="20"/>
          <w:highlight w:val="none"/>
        </w:rPr>
      </w:pPr>
      <w:r>
        <w:rPr>
          <w:rFonts w:hint="eastAsia" w:ascii="宋体" w:hAnsi="宋体" w:cs="宋体"/>
          <w:color w:val="auto"/>
          <w:sz w:val="24"/>
          <w:szCs w:val="20"/>
          <w:highlight w:val="none"/>
        </w:rPr>
        <w:t>地址：     传真：</w:t>
      </w:r>
    </w:p>
    <w:p>
      <w:pPr>
        <w:keepNext w:val="0"/>
        <w:keepLines w:val="0"/>
        <w:pageBreakBefore w:val="0"/>
        <w:widowControl w:val="0"/>
        <w:tabs>
          <w:tab w:val="left" w:pos="5580"/>
        </w:tabs>
        <w:kinsoku/>
        <w:wordWrap/>
        <w:overflowPunct/>
        <w:topLinePunct w:val="0"/>
        <w:autoSpaceDE/>
        <w:autoSpaceDN/>
        <w:bidi w:val="0"/>
        <w:adjustRightInd/>
        <w:snapToGrid/>
        <w:spacing w:line="480" w:lineRule="exact"/>
        <w:ind w:left="1080" w:leftChars="257" w:hanging="540"/>
        <w:textAlignment w:val="auto"/>
        <w:rPr>
          <w:rFonts w:ascii="宋体" w:hAnsi="宋体" w:cs="宋体"/>
          <w:b/>
          <w:color w:val="auto"/>
          <w:sz w:val="24"/>
          <w:szCs w:val="20"/>
          <w:highlight w:val="none"/>
        </w:rPr>
      </w:pPr>
      <w:r>
        <w:rPr>
          <w:rFonts w:hint="eastAsia" w:ascii="宋体" w:hAnsi="宋体" w:cs="宋体"/>
          <w:color w:val="auto"/>
          <w:sz w:val="24"/>
          <w:szCs w:val="20"/>
          <w:highlight w:val="none"/>
        </w:rPr>
        <w:t>电话：     电子函件：</w:t>
      </w:r>
    </w:p>
    <w:p>
      <w:pPr>
        <w:pStyle w:val="15"/>
        <w:keepNext w:val="0"/>
        <w:keepLines w:val="0"/>
        <w:pageBreakBefore w:val="0"/>
        <w:widowControl w:val="0"/>
        <w:tabs>
          <w:tab w:val="left" w:pos="5580"/>
        </w:tabs>
        <w:kinsoku/>
        <w:wordWrap/>
        <w:overflowPunct/>
        <w:topLinePunct w:val="0"/>
        <w:autoSpaceDE/>
        <w:autoSpaceDN/>
        <w:bidi w:val="0"/>
        <w:adjustRightInd/>
        <w:snapToGrid/>
        <w:spacing w:line="480" w:lineRule="exact"/>
        <w:ind w:left="1080" w:leftChars="257" w:hanging="540"/>
        <w:textAlignment w:val="auto"/>
        <w:rPr>
          <w:rFonts w:hAnsi="宋体" w:cs="宋体"/>
          <w:color w:val="auto"/>
          <w:sz w:val="24"/>
          <w:highlight w:val="none"/>
        </w:rPr>
      </w:pPr>
      <w:r>
        <w:rPr>
          <w:rFonts w:hint="eastAsia" w:hAnsi="宋体" w:cs="宋体"/>
          <w:color w:val="auto"/>
          <w:sz w:val="24"/>
          <w:highlight w:val="none"/>
        </w:rPr>
        <w:t>法定代表人或其委托代理人签字：-----------------</w:t>
      </w:r>
    </w:p>
    <w:p>
      <w:pPr>
        <w:pStyle w:val="15"/>
        <w:keepNext w:val="0"/>
        <w:keepLines w:val="0"/>
        <w:pageBreakBefore w:val="0"/>
        <w:widowControl w:val="0"/>
        <w:tabs>
          <w:tab w:val="left" w:pos="5580"/>
        </w:tabs>
        <w:kinsoku/>
        <w:wordWrap/>
        <w:overflowPunct/>
        <w:topLinePunct w:val="0"/>
        <w:autoSpaceDE/>
        <w:autoSpaceDN/>
        <w:bidi w:val="0"/>
        <w:adjustRightInd/>
        <w:snapToGrid/>
        <w:spacing w:line="480" w:lineRule="exact"/>
        <w:ind w:left="1080" w:leftChars="257" w:hanging="540"/>
        <w:textAlignment w:val="auto"/>
        <w:rPr>
          <w:rFonts w:hAnsi="宋体" w:cs="宋体"/>
          <w:color w:val="auto"/>
          <w:sz w:val="24"/>
          <w:highlight w:val="none"/>
        </w:rPr>
      </w:pPr>
      <w:r>
        <w:rPr>
          <w:rFonts w:hint="eastAsia" w:hAnsi="宋体" w:cs="宋体"/>
          <w:color w:val="auto"/>
          <w:sz w:val="24"/>
          <w:highlight w:val="none"/>
        </w:rPr>
        <w:t>供应商名称（全称）：-----------------</w:t>
      </w:r>
    </w:p>
    <w:p>
      <w:pPr>
        <w:pStyle w:val="15"/>
        <w:keepNext w:val="0"/>
        <w:keepLines w:val="0"/>
        <w:pageBreakBefore w:val="0"/>
        <w:widowControl w:val="0"/>
        <w:tabs>
          <w:tab w:val="left" w:pos="5580"/>
        </w:tabs>
        <w:kinsoku/>
        <w:wordWrap/>
        <w:overflowPunct/>
        <w:topLinePunct w:val="0"/>
        <w:autoSpaceDE/>
        <w:autoSpaceDN/>
        <w:bidi w:val="0"/>
        <w:adjustRightInd/>
        <w:snapToGrid/>
        <w:spacing w:line="480" w:lineRule="exact"/>
        <w:ind w:left="1080" w:leftChars="257" w:hanging="540"/>
        <w:textAlignment w:val="auto"/>
        <w:rPr>
          <w:rFonts w:hAnsi="宋体" w:cs="宋体"/>
          <w:color w:val="auto"/>
          <w:sz w:val="24"/>
          <w:highlight w:val="none"/>
        </w:rPr>
      </w:pPr>
      <w:r>
        <w:rPr>
          <w:rFonts w:hint="eastAsia" w:hAnsi="宋体" w:cs="宋体"/>
          <w:color w:val="auto"/>
          <w:sz w:val="24"/>
          <w:highlight w:val="none"/>
        </w:rPr>
        <w:t xml:space="preserve">供应商开户银行（全称）：　　　　　　 </w:t>
      </w:r>
    </w:p>
    <w:p>
      <w:pPr>
        <w:pStyle w:val="15"/>
        <w:keepNext w:val="0"/>
        <w:keepLines w:val="0"/>
        <w:pageBreakBefore w:val="0"/>
        <w:widowControl w:val="0"/>
        <w:tabs>
          <w:tab w:val="left" w:pos="5580"/>
        </w:tabs>
        <w:kinsoku/>
        <w:wordWrap/>
        <w:overflowPunct/>
        <w:topLinePunct w:val="0"/>
        <w:autoSpaceDE/>
        <w:autoSpaceDN/>
        <w:bidi w:val="0"/>
        <w:adjustRightInd/>
        <w:snapToGrid/>
        <w:spacing w:line="480" w:lineRule="exact"/>
        <w:ind w:left="1080" w:leftChars="257" w:hanging="540"/>
        <w:textAlignment w:val="auto"/>
        <w:rPr>
          <w:rFonts w:hAnsi="宋体" w:cs="宋体"/>
          <w:color w:val="auto"/>
          <w:sz w:val="24"/>
          <w:highlight w:val="none"/>
        </w:rPr>
      </w:pPr>
      <w:r>
        <w:rPr>
          <w:rFonts w:hint="eastAsia" w:hAnsi="宋体" w:cs="宋体"/>
          <w:color w:val="auto"/>
          <w:sz w:val="24"/>
          <w:highlight w:val="none"/>
        </w:rPr>
        <w:t>供应商银行帐号：　　　　　　　　 　　</w:t>
      </w:r>
    </w:p>
    <w:p>
      <w:pPr>
        <w:pStyle w:val="15"/>
        <w:keepNext w:val="0"/>
        <w:keepLines w:val="0"/>
        <w:pageBreakBefore w:val="0"/>
        <w:widowControl w:val="0"/>
        <w:tabs>
          <w:tab w:val="left" w:pos="5580"/>
        </w:tabs>
        <w:kinsoku/>
        <w:wordWrap/>
        <w:overflowPunct/>
        <w:topLinePunct w:val="0"/>
        <w:autoSpaceDE/>
        <w:autoSpaceDN/>
        <w:bidi w:val="0"/>
        <w:adjustRightInd/>
        <w:snapToGrid/>
        <w:spacing w:line="480" w:lineRule="exact"/>
        <w:ind w:left="1080" w:leftChars="257" w:hanging="540"/>
        <w:textAlignment w:val="auto"/>
        <w:rPr>
          <w:rFonts w:hAnsi="宋体" w:cs="宋体"/>
          <w:color w:val="auto"/>
          <w:sz w:val="24"/>
          <w:highlight w:val="none"/>
        </w:rPr>
      </w:pPr>
      <w:r>
        <w:rPr>
          <w:rFonts w:hint="eastAsia" w:hAnsi="宋体" w:cs="宋体"/>
          <w:color w:val="auto"/>
          <w:sz w:val="24"/>
          <w:highlight w:val="none"/>
        </w:rPr>
        <w:t>供应商单位章：-------------------------</w:t>
      </w:r>
    </w:p>
    <w:p>
      <w:pPr>
        <w:pStyle w:val="15"/>
        <w:keepNext w:val="0"/>
        <w:keepLines w:val="0"/>
        <w:pageBreakBefore w:val="0"/>
        <w:widowControl w:val="0"/>
        <w:tabs>
          <w:tab w:val="left" w:pos="5580"/>
        </w:tabs>
        <w:kinsoku/>
        <w:wordWrap/>
        <w:overflowPunct/>
        <w:topLinePunct w:val="0"/>
        <w:autoSpaceDE/>
        <w:autoSpaceDN/>
        <w:bidi w:val="0"/>
        <w:adjustRightInd/>
        <w:snapToGrid/>
        <w:spacing w:line="480" w:lineRule="exact"/>
        <w:ind w:left="1080" w:leftChars="257" w:hanging="540"/>
        <w:textAlignment w:val="auto"/>
        <w:rPr>
          <w:rFonts w:hint="eastAsia" w:hAnsi="宋体" w:cs="宋体"/>
          <w:color w:val="auto"/>
          <w:sz w:val="24"/>
          <w:highlight w:val="none"/>
        </w:rPr>
      </w:pPr>
      <w:r>
        <w:rPr>
          <w:rFonts w:hint="eastAsia" w:hAnsi="宋体" w:cs="宋体"/>
          <w:color w:val="auto"/>
          <w:sz w:val="24"/>
          <w:highlight w:val="none"/>
        </w:rPr>
        <w:t>日期</w:t>
      </w:r>
      <w:r>
        <w:rPr>
          <w:rFonts w:hint="eastAsia" w:hAnsi="宋体" w:cs="宋体"/>
          <w:color w:val="auto"/>
          <w:sz w:val="24"/>
          <w:highlight w:val="none"/>
          <w:lang w:eastAsia="zh-CN"/>
        </w:rPr>
        <w:t>－</w:t>
      </w:r>
      <w:r>
        <w:rPr>
          <w:rFonts w:hint="eastAsia" w:hAnsi="宋体" w:cs="宋体"/>
          <w:color w:val="auto"/>
          <w:sz w:val="24"/>
          <w:highlight w:val="none"/>
        </w:rPr>
        <w:t>：------------------------------</w:t>
      </w:r>
    </w:p>
    <w:p>
      <w:pPr>
        <w:pStyle w:val="5"/>
        <w:pageBreakBefore w:val="0"/>
        <w:widowControl w:val="0"/>
        <w:numPr>
          <w:ilvl w:val="0"/>
          <w:numId w:val="0"/>
        </w:numPr>
        <w:kinsoku/>
        <w:wordWrap/>
        <w:overflowPunct/>
        <w:topLinePunct w:val="0"/>
        <w:bidi w:val="0"/>
        <w:spacing w:line="500" w:lineRule="exact"/>
        <w:textAlignment w:val="auto"/>
        <w:rPr>
          <w:rFonts w:hint="eastAsia" w:cs="宋体"/>
          <w:color w:val="auto"/>
          <w:highlight w:val="none"/>
          <w:u w:val="none"/>
          <w:lang w:val="en-US" w:eastAsia="zh-CN"/>
        </w:rPr>
      </w:pPr>
      <w:bookmarkStart w:id="307" w:name="_Hlt520356243"/>
      <w:bookmarkEnd w:id="307"/>
      <w:bookmarkStart w:id="308" w:name="_Hlt520355938"/>
      <w:bookmarkEnd w:id="308"/>
      <w:bookmarkStart w:id="309" w:name="_Toc46136868"/>
      <w:bookmarkStart w:id="310" w:name="_Toc46238285"/>
      <w:bookmarkStart w:id="311" w:name="_Toc46136865"/>
      <w:bookmarkStart w:id="312" w:name="_Toc46238282"/>
      <w:r>
        <w:rPr>
          <w:rFonts w:hint="eastAsia" w:ascii="宋体" w:hAnsi="宋体" w:eastAsia="宋体" w:cs="宋体"/>
          <w:b/>
          <w:color w:val="auto"/>
          <w:kern w:val="0"/>
          <w:sz w:val="24"/>
          <w:szCs w:val="20"/>
          <w:highlight w:val="none"/>
          <w:lang w:val="en-US" w:eastAsia="zh-CN" w:bidi="ar-SA"/>
        </w:rPr>
        <w:t>1</w:t>
      </w:r>
      <w:r>
        <w:rPr>
          <w:rFonts w:hint="eastAsia" w:cs="宋体"/>
          <w:b/>
          <w:color w:val="auto"/>
          <w:kern w:val="0"/>
          <w:sz w:val="24"/>
          <w:szCs w:val="20"/>
          <w:highlight w:val="none"/>
          <w:lang w:val="en-US" w:eastAsia="zh-CN" w:bidi="ar-SA"/>
        </w:rPr>
        <w:t>1</w:t>
      </w:r>
      <w:r>
        <w:rPr>
          <w:rFonts w:hint="eastAsia" w:ascii="宋体" w:hAnsi="宋体" w:eastAsia="宋体" w:cs="宋体"/>
          <w:b/>
          <w:color w:val="auto"/>
          <w:kern w:val="0"/>
          <w:sz w:val="24"/>
          <w:szCs w:val="20"/>
          <w:highlight w:val="none"/>
          <w:lang w:val="en-US" w:eastAsia="zh-CN" w:bidi="ar-SA"/>
        </w:rPr>
        <w:t>.</w:t>
      </w:r>
      <w:r>
        <w:rPr>
          <w:rFonts w:hint="eastAsia" w:cs="宋体"/>
          <w:color w:val="auto"/>
          <w:highlight w:val="none"/>
          <w:u w:val="none"/>
          <w:lang w:val="en-US" w:eastAsia="zh-CN"/>
        </w:rPr>
        <w:t>分项报价表</w:t>
      </w:r>
    </w:p>
    <w:p>
      <w:pPr>
        <w:spacing w:line="600" w:lineRule="exact"/>
        <w:jc w:val="left"/>
        <w:rPr>
          <w:rFonts w:ascii="宋体" w:hAnsi="宋体" w:cs="宋体"/>
          <w:color w:val="auto"/>
          <w:kern w:val="0"/>
          <w:position w:val="-2"/>
          <w:szCs w:val="21"/>
          <w:highlight w:val="none"/>
        </w:rPr>
      </w:pPr>
      <w:r>
        <w:rPr>
          <w:rFonts w:hint="eastAsia" w:ascii="宋体" w:hAnsi="宋体"/>
          <w:color w:val="auto"/>
          <w:sz w:val="24"/>
          <w:highlight w:val="none"/>
        </w:rPr>
        <w:t>项目编号、包号</w:t>
      </w:r>
      <w:r>
        <w:rPr>
          <w:rFonts w:ascii="宋体" w:hAnsi="宋体"/>
          <w:color w:val="auto"/>
          <w:sz w:val="24"/>
          <w:highlight w:val="none"/>
        </w:rPr>
        <w:t xml:space="preserve">: </w:t>
      </w:r>
      <w:r>
        <w:rPr>
          <w:rFonts w:hint="eastAsia" w:ascii="宋体" w:hAnsi="宋体"/>
          <w:color w:val="auto"/>
          <w:sz w:val="24"/>
          <w:highlight w:val="none"/>
        </w:rPr>
        <w:t>　　报价单位：人民币元</w:t>
      </w:r>
    </w:p>
    <w:tbl>
      <w:tblPr>
        <w:tblStyle w:val="29"/>
        <w:tblW w:w="9875" w:type="dxa"/>
        <w:tblInd w:w="-55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70"/>
        <w:gridCol w:w="1116"/>
        <w:gridCol w:w="810"/>
        <w:gridCol w:w="810"/>
        <w:gridCol w:w="1082"/>
        <w:gridCol w:w="1063"/>
        <w:gridCol w:w="1063"/>
        <w:gridCol w:w="1063"/>
        <w:gridCol w:w="189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970" w:type="dxa"/>
            <w:tcBorders>
              <w:top w:val="single" w:color="000000" w:sz="4" w:space="0"/>
              <w:left w:val="single" w:color="000000" w:sz="4" w:space="0"/>
              <w:bottom w:val="single" w:color="000000" w:sz="4" w:space="0"/>
              <w:right w:val="single" w:color="000000" w:sz="4" w:space="0"/>
            </w:tcBorders>
            <w:noWrap w:val="0"/>
            <w:vAlign w:val="center"/>
          </w:tcPr>
          <w:p>
            <w:pPr>
              <w:spacing w:after="200" w:line="600" w:lineRule="exact"/>
              <w:ind w:left="124" w:right="-20"/>
              <w:jc w:val="center"/>
              <w:rPr>
                <w:rFonts w:ascii="宋体" w:hAnsi="宋体" w:cs="宋体"/>
                <w:color w:val="auto"/>
                <w:kern w:val="0"/>
                <w:position w:val="-2"/>
                <w:szCs w:val="21"/>
                <w:highlight w:val="none"/>
                <w:lang w:eastAsia="en-US"/>
              </w:rPr>
            </w:pPr>
            <w:r>
              <w:rPr>
                <w:rFonts w:hint="eastAsia" w:ascii="宋体" w:hAnsi="宋体" w:cs="宋体"/>
                <w:color w:val="auto"/>
                <w:kern w:val="0"/>
                <w:position w:val="-2"/>
                <w:szCs w:val="21"/>
                <w:highlight w:val="none"/>
                <w:lang w:eastAsia="en-US"/>
              </w:rPr>
              <w:t>编号</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spacing w:after="200" w:line="600" w:lineRule="exact"/>
              <w:ind w:left="124" w:right="-20"/>
              <w:jc w:val="center"/>
              <w:rPr>
                <w:rFonts w:ascii="宋体" w:hAnsi="宋体" w:cs="宋体"/>
                <w:color w:val="auto"/>
                <w:kern w:val="0"/>
                <w:position w:val="-2"/>
                <w:szCs w:val="21"/>
                <w:highlight w:val="none"/>
                <w:lang w:eastAsia="en-US"/>
              </w:rPr>
            </w:pPr>
            <w:r>
              <w:rPr>
                <w:rFonts w:hint="eastAsia" w:ascii="宋体" w:hAnsi="宋体" w:cs="宋体"/>
                <w:color w:val="auto"/>
                <w:kern w:val="0"/>
                <w:position w:val="-2"/>
                <w:szCs w:val="21"/>
                <w:highlight w:val="none"/>
                <w:lang w:eastAsia="en-US"/>
              </w:rPr>
              <w:t>货物名称</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pacing w:after="200" w:line="600" w:lineRule="exact"/>
              <w:ind w:left="124" w:right="-20"/>
              <w:jc w:val="center"/>
              <w:rPr>
                <w:rFonts w:ascii="宋体" w:hAnsi="宋体" w:cs="宋体"/>
                <w:color w:val="auto"/>
                <w:kern w:val="0"/>
                <w:position w:val="-2"/>
                <w:szCs w:val="21"/>
                <w:highlight w:val="none"/>
                <w:lang w:eastAsia="en-US"/>
              </w:rPr>
            </w:pPr>
            <w:r>
              <w:rPr>
                <w:rFonts w:hint="eastAsia" w:ascii="宋体" w:hAnsi="宋体" w:cs="宋体"/>
                <w:color w:val="auto"/>
                <w:kern w:val="0"/>
                <w:position w:val="-2"/>
                <w:szCs w:val="21"/>
                <w:highlight w:val="none"/>
                <w:lang w:eastAsia="en-US"/>
              </w:rPr>
              <w:t>数量</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pacing w:after="200" w:line="600" w:lineRule="exact"/>
              <w:ind w:left="124" w:right="-20"/>
              <w:jc w:val="center"/>
              <w:rPr>
                <w:rFonts w:ascii="宋体" w:hAnsi="宋体" w:cs="宋体"/>
                <w:color w:val="auto"/>
                <w:kern w:val="0"/>
                <w:position w:val="-2"/>
                <w:szCs w:val="21"/>
                <w:highlight w:val="none"/>
                <w:lang w:eastAsia="en-US"/>
              </w:rPr>
            </w:pPr>
            <w:r>
              <w:rPr>
                <w:rFonts w:hint="eastAsia" w:ascii="宋体" w:hAnsi="宋体" w:cs="宋体"/>
                <w:color w:val="auto"/>
                <w:kern w:val="0"/>
                <w:position w:val="-2"/>
                <w:szCs w:val="21"/>
                <w:highlight w:val="none"/>
                <w:lang w:eastAsia="en-US"/>
              </w:rPr>
              <w:t>单位</w:t>
            </w:r>
          </w:p>
        </w:tc>
        <w:tc>
          <w:tcPr>
            <w:tcW w:w="1082" w:type="dxa"/>
            <w:tcBorders>
              <w:top w:val="single" w:color="000000" w:sz="4" w:space="0"/>
              <w:left w:val="single" w:color="000000" w:sz="4" w:space="0"/>
              <w:bottom w:val="single" w:color="000000" w:sz="4" w:space="0"/>
              <w:right w:val="single" w:color="000000" w:sz="4" w:space="0"/>
            </w:tcBorders>
            <w:noWrap w:val="0"/>
            <w:vAlign w:val="center"/>
          </w:tcPr>
          <w:p>
            <w:pPr>
              <w:spacing w:after="200" w:line="600" w:lineRule="exact"/>
              <w:ind w:left="124" w:right="-20"/>
              <w:jc w:val="center"/>
              <w:rPr>
                <w:rFonts w:hint="eastAsia" w:ascii="宋体" w:hAnsi="宋体" w:eastAsia="宋体" w:cs="宋体"/>
                <w:color w:val="auto"/>
                <w:kern w:val="0"/>
                <w:position w:val="-2"/>
                <w:szCs w:val="21"/>
                <w:highlight w:val="none"/>
                <w:lang w:eastAsia="zh-CN"/>
              </w:rPr>
            </w:pPr>
            <w:r>
              <w:rPr>
                <w:rFonts w:hint="eastAsia" w:ascii="宋体" w:hAnsi="宋体" w:cs="宋体"/>
                <w:color w:val="auto"/>
                <w:kern w:val="0"/>
                <w:position w:val="-2"/>
                <w:szCs w:val="21"/>
                <w:highlight w:val="none"/>
                <w:lang w:val="en-US" w:eastAsia="zh-CN"/>
              </w:rPr>
              <w:t>规格</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spacing w:after="200" w:line="600" w:lineRule="exact"/>
              <w:ind w:left="124" w:right="-20"/>
              <w:jc w:val="center"/>
              <w:rPr>
                <w:rFonts w:hint="default" w:ascii="宋体" w:hAnsi="宋体" w:eastAsia="宋体" w:cs="宋体"/>
                <w:color w:val="auto"/>
                <w:kern w:val="0"/>
                <w:position w:val="-2"/>
                <w:szCs w:val="21"/>
                <w:highlight w:val="none"/>
                <w:lang w:val="en-US" w:eastAsia="zh-CN"/>
              </w:rPr>
            </w:pPr>
            <w:r>
              <w:rPr>
                <w:rFonts w:hint="eastAsia" w:ascii="宋体" w:hAnsi="宋体" w:cs="宋体"/>
                <w:color w:val="auto"/>
                <w:kern w:val="0"/>
                <w:position w:val="-2"/>
                <w:szCs w:val="21"/>
                <w:highlight w:val="none"/>
                <w:lang w:val="en-US" w:eastAsia="zh-CN"/>
              </w:rPr>
              <w:t>技术参数</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spacing w:after="200" w:line="600" w:lineRule="exact"/>
              <w:ind w:left="124" w:right="-20"/>
              <w:jc w:val="center"/>
              <w:rPr>
                <w:rFonts w:ascii="宋体" w:hAnsi="宋体" w:cs="宋体"/>
                <w:color w:val="auto"/>
                <w:kern w:val="0"/>
                <w:position w:val="-2"/>
                <w:szCs w:val="21"/>
                <w:highlight w:val="none"/>
                <w:lang w:eastAsia="en-US"/>
              </w:rPr>
            </w:pPr>
            <w:r>
              <w:rPr>
                <w:rFonts w:hint="eastAsia" w:ascii="宋体" w:hAnsi="宋体" w:cs="宋体"/>
                <w:color w:val="auto"/>
                <w:kern w:val="0"/>
                <w:position w:val="-2"/>
                <w:szCs w:val="21"/>
                <w:highlight w:val="none"/>
                <w:lang w:eastAsia="en-US"/>
              </w:rPr>
              <w:t>单价</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spacing w:after="200" w:line="600" w:lineRule="exact"/>
              <w:ind w:left="124" w:right="-20"/>
              <w:jc w:val="center"/>
              <w:rPr>
                <w:rFonts w:ascii="宋体" w:hAnsi="宋体" w:cs="宋体"/>
                <w:color w:val="auto"/>
                <w:kern w:val="0"/>
                <w:position w:val="-2"/>
                <w:szCs w:val="21"/>
                <w:highlight w:val="none"/>
                <w:lang w:eastAsia="en-US"/>
              </w:rPr>
            </w:pPr>
            <w:r>
              <w:rPr>
                <w:rFonts w:hint="eastAsia" w:ascii="宋体" w:hAnsi="宋体" w:cs="宋体"/>
                <w:color w:val="auto"/>
                <w:kern w:val="0"/>
                <w:position w:val="-2"/>
                <w:szCs w:val="21"/>
                <w:highlight w:val="none"/>
                <w:lang w:eastAsia="en-US"/>
              </w:rPr>
              <w:t>合价</w:t>
            </w:r>
          </w:p>
        </w:tc>
        <w:tc>
          <w:tcPr>
            <w:tcW w:w="1898" w:type="dxa"/>
            <w:tcBorders>
              <w:top w:val="single" w:color="000000" w:sz="4" w:space="0"/>
              <w:left w:val="single" w:color="000000" w:sz="4" w:space="0"/>
              <w:bottom w:val="single" w:color="000000" w:sz="4" w:space="0"/>
              <w:right w:val="single" w:color="000000" w:sz="4" w:space="0"/>
            </w:tcBorders>
            <w:noWrap w:val="0"/>
            <w:vAlign w:val="center"/>
          </w:tcPr>
          <w:p>
            <w:pPr>
              <w:spacing w:after="200" w:line="600" w:lineRule="exact"/>
              <w:ind w:left="124" w:right="-20"/>
              <w:jc w:val="center"/>
              <w:rPr>
                <w:rFonts w:ascii="宋体" w:hAnsi="宋体" w:cs="宋体"/>
                <w:color w:val="auto"/>
                <w:kern w:val="0"/>
                <w:position w:val="-2"/>
                <w:szCs w:val="21"/>
                <w:highlight w:val="none"/>
                <w:lang w:eastAsia="en-US"/>
              </w:rPr>
            </w:pPr>
            <w:r>
              <w:rPr>
                <w:rFonts w:hint="eastAsia" w:ascii="宋体" w:hAnsi="宋体" w:cs="宋体"/>
                <w:color w:val="auto"/>
                <w:kern w:val="0"/>
                <w:position w:val="-2"/>
                <w:szCs w:val="21"/>
                <w:highlight w:val="none"/>
                <w:lang w:eastAsia="en-US"/>
              </w:rPr>
              <w:t>是否为小微企业产品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970" w:type="dxa"/>
            <w:tcBorders>
              <w:top w:val="single" w:color="000000" w:sz="4" w:space="0"/>
              <w:left w:val="single" w:color="000000" w:sz="4" w:space="0"/>
              <w:bottom w:val="single" w:color="000000" w:sz="4" w:space="0"/>
              <w:right w:val="single" w:color="000000" w:sz="4" w:space="0"/>
            </w:tcBorders>
            <w:noWrap w:val="0"/>
            <w:vAlign w:val="top"/>
          </w:tcPr>
          <w:p>
            <w:pPr>
              <w:spacing w:after="200" w:line="600" w:lineRule="exact"/>
              <w:ind w:left="124" w:right="-20"/>
              <w:jc w:val="left"/>
              <w:rPr>
                <w:rFonts w:ascii="宋体" w:hAnsi="宋体" w:cs="宋体"/>
                <w:color w:val="auto"/>
                <w:kern w:val="0"/>
                <w:position w:val="-2"/>
                <w:szCs w:val="21"/>
                <w:highlight w:val="none"/>
                <w:lang w:eastAsia="en-US"/>
              </w:rPr>
            </w:pPr>
            <w:r>
              <w:rPr>
                <w:rFonts w:hint="eastAsia" w:ascii="宋体" w:hAnsi="宋体" w:cs="宋体"/>
                <w:color w:val="auto"/>
                <w:kern w:val="0"/>
                <w:position w:val="-2"/>
                <w:szCs w:val="21"/>
                <w:highlight w:val="none"/>
              </w:rPr>
              <w:t>1</w:t>
            </w:r>
            <w:r>
              <w:rPr>
                <w:rFonts w:hint="eastAsia" w:ascii="宋体" w:hAnsi="宋体" w:cs="宋体"/>
                <w:color w:val="auto"/>
                <w:kern w:val="0"/>
                <w:position w:val="-2"/>
                <w:szCs w:val="21"/>
                <w:highlight w:val="none"/>
                <w:lang w:eastAsia="en-US"/>
              </w:rPr>
              <w:t>.1</w:t>
            </w:r>
          </w:p>
        </w:tc>
        <w:tc>
          <w:tcPr>
            <w:tcW w:w="1116" w:type="dxa"/>
            <w:tcBorders>
              <w:top w:val="single" w:color="000000" w:sz="4" w:space="0"/>
              <w:left w:val="single" w:color="000000" w:sz="4" w:space="0"/>
              <w:bottom w:val="single" w:color="000000" w:sz="4" w:space="0"/>
              <w:right w:val="single" w:color="000000" w:sz="4" w:space="0"/>
            </w:tcBorders>
            <w:noWrap w:val="0"/>
            <w:vAlign w:val="top"/>
          </w:tcPr>
          <w:p>
            <w:pPr>
              <w:spacing w:after="200" w:line="600" w:lineRule="exact"/>
              <w:ind w:left="124" w:right="-20"/>
              <w:jc w:val="left"/>
              <w:rPr>
                <w:rFonts w:ascii="宋体" w:hAnsi="宋体" w:cs="宋体"/>
                <w:color w:val="auto"/>
                <w:kern w:val="0"/>
                <w:position w:val="-2"/>
                <w:szCs w:val="21"/>
                <w:highlight w:val="none"/>
                <w:lang w:eastAsia="en-US"/>
              </w:rPr>
            </w:pPr>
          </w:p>
        </w:tc>
        <w:tc>
          <w:tcPr>
            <w:tcW w:w="810" w:type="dxa"/>
            <w:tcBorders>
              <w:top w:val="single" w:color="000000" w:sz="4" w:space="0"/>
              <w:left w:val="single" w:color="000000" w:sz="4" w:space="0"/>
              <w:bottom w:val="single" w:color="000000" w:sz="4" w:space="0"/>
              <w:right w:val="single" w:color="000000" w:sz="4" w:space="0"/>
            </w:tcBorders>
            <w:noWrap w:val="0"/>
            <w:vAlign w:val="top"/>
          </w:tcPr>
          <w:p>
            <w:pPr>
              <w:spacing w:after="200" w:line="600" w:lineRule="exact"/>
              <w:ind w:left="124" w:right="-20"/>
              <w:jc w:val="left"/>
              <w:rPr>
                <w:rFonts w:ascii="宋体" w:hAnsi="宋体" w:cs="宋体"/>
                <w:color w:val="auto"/>
                <w:kern w:val="0"/>
                <w:position w:val="-2"/>
                <w:szCs w:val="21"/>
                <w:highlight w:val="none"/>
                <w:lang w:eastAsia="en-US"/>
              </w:rPr>
            </w:pPr>
          </w:p>
        </w:tc>
        <w:tc>
          <w:tcPr>
            <w:tcW w:w="810" w:type="dxa"/>
            <w:tcBorders>
              <w:top w:val="single" w:color="000000" w:sz="4" w:space="0"/>
              <w:left w:val="single" w:color="000000" w:sz="4" w:space="0"/>
              <w:bottom w:val="single" w:color="000000" w:sz="4" w:space="0"/>
              <w:right w:val="single" w:color="000000" w:sz="4" w:space="0"/>
            </w:tcBorders>
            <w:noWrap w:val="0"/>
            <w:vAlign w:val="top"/>
          </w:tcPr>
          <w:p>
            <w:pPr>
              <w:spacing w:after="200" w:line="600" w:lineRule="exact"/>
              <w:ind w:left="124" w:right="-20"/>
              <w:jc w:val="left"/>
              <w:rPr>
                <w:rFonts w:ascii="宋体" w:hAnsi="宋体" w:cs="宋体"/>
                <w:color w:val="auto"/>
                <w:kern w:val="0"/>
                <w:position w:val="-2"/>
                <w:szCs w:val="21"/>
                <w:highlight w:val="none"/>
                <w:lang w:eastAsia="en-US"/>
              </w:rPr>
            </w:pPr>
          </w:p>
        </w:tc>
        <w:tc>
          <w:tcPr>
            <w:tcW w:w="1082" w:type="dxa"/>
            <w:tcBorders>
              <w:top w:val="single" w:color="000000" w:sz="4" w:space="0"/>
              <w:left w:val="single" w:color="000000" w:sz="4" w:space="0"/>
              <w:bottom w:val="single" w:color="000000" w:sz="4" w:space="0"/>
              <w:right w:val="single" w:color="000000" w:sz="4" w:space="0"/>
            </w:tcBorders>
            <w:noWrap w:val="0"/>
            <w:vAlign w:val="top"/>
          </w:tcPr>
          <w:p>
            <w:pPr>
              <w:spacing w:after="200" w:line="600" w:lineRule="exact"/>
              <w:ind w:left="124" w:right="-20"/>
              <w:jc w:val="left"/>
              <w:rPr>
                <w:rFonts w:ascii="宋体" w:hAnsi="宋体" w:cs="宋体"/>
                <w:color w:val="auto"/>
                <w:kern w:val="0"/>
                <w:position w:val="-2"/>
                <w:szCs w:val="21"/>
                <w:highlight w:val="none"/>
                <w:lang w:eastAsia="en-US"/>
              </w:rPr>
            </w:pPr>
          </w:p>
        </w:tc>
        <w:tc>
          <w:tcPr>
            <w:tcW w:w="1063" w:type="dxa"/>
            <w:tcBorders>
              <w:top w:val="single" w:color="000000" w:sz="4" w:space="0"/>
              <w:left w:val="single" w:color="000000" w:sz="4" w:space="0"/>
              <w:bottom w:val="single" w:color="000000" w:sz="4" w:space="0"/>
              <w:right w:val="single" w:color="000000" w:sz="4" w:space="0"/>
            </w:tcBorders>
            <w:noWrap w:val="0"/>
            <w:vAlign w:val="top"/>
          </w:tcPr>
          <w:p>
            <w:pPr>
              <w:spacing w:after="200" w:line="600" w:lineRule="exact"/>
              <w:ind w:left="124" w:right="-20"/>
              <w:jc w:val="left"/>
              <w:rPr>
                <w:rFonts w:ascii="宋体" w:hAnsi="宋体" w:cs="宋体"/>
                <w:color w:val="auto"/>
                <w:kern w:val="0"/>
                <w:position w:val="-2"/>
                <w:szCs w:val="21"/>
                <w:highlight w:val="none"/>
                <w:lang w:eastAsia="en-US"/>
              </w:rPr>
            </w:pPr>
          </w:p>
        </w:tc>
        <w:tc>
          <w:tcPr>
            <w:tcW w:w="1063" w:type="dxa"/>
            <w:tcBorders>
              <w:top w:val="single" w:color="000000" w:sz="4" w:space="0"/>
              <w:left w:val="single" w:color="000000" w:sz="4" w:space="0"/>
              <w:bottom w:val="single" w:color="000000" w:sz="4" w:space="0"/>
              <w:right w:val="single" w:color="000000" w:sz="4" w:space="0"/>
            </w:tcBorders>
            <w:noWrap w:val="0"/>
            <w:vAlign w:val="top"/>
          </w:tcPr>
          <w:p>
            <w:pPr>
              <w:spacing w:after="200" w:line="600" w:lineRule="exact"/>
              <w:ind w:left="124" w:right="-20"/>
              <w:jc w:val="left"/>
              <w:rPr>
                <w:rFonts w:ascii="宋体" w:hAnsi="宋体" w:cs="宋体"/>
                <w:color w:val="auto"/>
                <w:kern w:val="0"/>
                <w:position w:val="-2"/>
                <w:szCs w:val="21"/>
                <w:highlight w:val="none"/>
                <w:lang w:eastAsia="en-US"/>
              </w:rPr>
            </w:pPr>
          </w:p>
        </w:tc>
        <w:tc>
          <w:tcPr>
            <w:tcW w:w="1063" w:type="dxa"/>
            <w:tcBorders>
              <w:top w:val="single" w:color="000000" w:sz="4" w:space="0"/>
              <w:left w:val="single" w:color="000000" w:sz="4" w:space="0"/>
              <w:bottom w:val="single" w:color="000000" w:sz="4" w:space="0"/>
              <w:right w:val="single" w:color="000000" w:sz="4" w:space="0"/>
            </w:tcBorders>
            <w:noWrap w:val="0"/>
            <w:vAlign w:val="top"/>
          </w:tcPr>
          <w:p>
            <w:pPr>
              <w:spacing w:after="200" w:line="600" w:lineRule="exact"/>
              <w:ind w:left="124" w:right="-20"/>
              <w:jc w:val="left"/>
              <w:rPr>
                <w:rFonts w:ascii="宋体" w:hAnsi="宋体" w:cs="宋体"/>
                <w:color w:val="auto"/>
                <w:kern w:val="0"/>
                <w:position w:val="-2"/>
                <w:szCs w:val="21"/>
                <w:highlight w:val="none"/>
                <w:lang w:eastAsia="en-US"/>
              </w:rPr>
            </w:pPr>
          </w:p>
        </w:tc>
        <w:tc>
          <w:tcPr>
            <w:tcW w:w="1898" w:type="dxa"/>
            <w:tcBorders>
              <w:top w:val="single" w:color="000000" w:sz="4" w:space="0"/>
              <w:left w:val="single" w:color="000000" w:sz="4" w:space="0"/>
              <w:bottom w:val="single" w:color="000000" w:sz="4" w:space="0"/>
              <w:right w:val="single" w:color="000000" w:sz="4" w:space="0"/>
            </w:tcBorders>
            <w:noWrap w:val="0"/>
            <w:vAlign w:val="top"/>
          </w:tcPr>
          <w:p>
            <w:pPr>
              <w:spacing w:after="200" w:line="600" w:lineRule="exact"/>
              <w:ind w:left="124" w:right="-20"/>
              <w:jc w:val="left"/>
              <w:rPr>
                <w:rFonts w:ascii="宋体" w:hAnsi="宋体" w:cs="宋体"/>
                <w:color w:val="auto"/>
                <w:kern w:val="0"/>
                <w:position w:val="-2"/>
                <w:szCs w:val="21"/>
                <w:highlight w:val="none"/>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970" w:type="dxa"/>
            <w:tcBorders>
              <w:top w:val="single" w:color="000000" w:sz="4" w:space="0"/>
              <w:left w:val="single" w:color="000000" w:sz="4" w:space="0"/>
              <w:bottom w:val="single" w:color="000000" w:sz="4" w:space="0"/>
              <w:right w:val="single" w:color="000000" w:sz="4" w:space="0"/>
            </w:tcBorders>
            <w:noWrap w:val="0"/>
            <w:vAlign w:val="top"/>
          </w:tcPr>
          <w:p>
            <w:pPr>
              <w:spacing w:after="200" w:line="600" w:lineRule="exact"/>
              <w:ind w:left="124" w:right="-20"/>
              <w:jc w:val="left"/>
              <w:rPr>
                <w:rFonts w:ascii="宋体" w:hAnsi="宋体" w:cs="宋体"/>
                <w:color w:val="auto"/>
                <w:kern w:val="0"/>
                <w:position w:val="-2"/>
                <w:szCs w:val="21"/>
                <w:highlight w:val="none"/>
                <w:lang w:eastAsia="en-US"/>
              </w:rPr>
            </w:pPr>
            <w:r>
              <w:rPr>
                <w:rFonts w:hint="eastAsia" w:ascii="宋体" w:hAnsi="宋体" w:cs="宋体"/>
                <w:color w:val="auto"/>
                <w:kern w:val="0"/>
                <w:position w:val="-2"/>
                <w:szCs w:val="21"/>
                <w:highlight w:val="none"/>
              </w:rPr>
              <w:t>1</w:t>
            </w:r>
            <w:r>
              <w:rPr>
                <w:rFonts w:hint="eastAsia" w:ascii="宋体" w:hAnsi="宋体" w:cs="宋体"/>
                <w:color w:val="auto"/>
                <w:kern w:val="0"/>
                <w:position w:val="-2"/>
                <w:szCs w:val="21"/>
                <w:highlight w:val="none"/>
                <w:lang w:eastAsia="en-US"/>
              </w:rPr>
              <w:t>.2</w:t>
            </w:r>
          </w:p>
        </w:tc>
        <w:tc>
          <w:tcPr>
            <w:tcW w:w="1116" w:type="dxa"/>
            <w:tcBorders>
              <w:top w:val="single" w:color="000000" w:sz="4" w:space="0"/>
              <w:left w:val="single" w:color="000000" w:sz="4" w:space="0"/>
              <w:bottom w:val="single" w:color="000000" w:sz="4" w:space="0"/>
              <w:right w:val="single" w:color="000000" w:sz="4" w:space="0"/>
            </w:tcBorders>
            <w:noWrap w:val="0"/>
            <w:vAlign w:val="top"/>
          </w:tcPr>
          <w:p>
            <w:pPr>
              <w:spacing w:after="200" w:line="600" w:lineRule="exact"/>
              <w:ind w:left="124" w:right="-20"/>
              <w:jc w:val="left"/>
              <w:rPr>
                <w:rFonts w:ascii="宋体" w:hAnsi="宋体" w:cs="宋体"/>
                <w:color w:val="auto"/>
                <w:kern w:val="0"/>
                <w:position w:val="-2"/>
                <w:szCs w:val="21"/>
                <w:highlight w:val="none"/>
                <w:lang w:eastAsia="en-US"/>
              </w:rPr>
            </w:pPr>
          </w:p>
        </w:tc>
        <w:tc>
          <w:tcPr>
            <w:tcW w:w="810" w:type="dxa"/>
            <w:tcBorders>
              <w:top w:val="single" w:color="000000" w:sz="4" w:space="0"/>
              <w:left w:val="single" w:color="000000" w:sz="4" w:space="0"/>
              <w:bottom w:val="single" w:color="000000" w:sz="4" w:space="0"/>
              <w:right w:val="single" w:color="000000" w:sz="4" w:space="0"/>
            </w:tcBorders>
            <w:noWrap w:val="0"/>
            <w:vAlign w:val="top"/>
          </w:tcPr>
          <w:p>
            <w:pPr>
              <w:spacing w:after="200" w:line="600" w:lineRule="exact"/>
              <w:ind w:left="124" w:right="-20"/>
              <w:jc w:val="left"/>
              <w:rPr>
                <w:rFonts w:ascii="宋体" w:hAnsi="宋体" w:cs="宋体"/>
                <w:color w:val="auto"/>
                <w:kern w:val="0"/>
                <w:position w:val="-2"/>
                <w:szCs w:val="21"/>
                <w:highlight w:val="none"/>
                <w:lang w:eastAsia="en-US"/>
              </w:rPr>
            </w:pPr>
          </w:p>
        </w:tc>
        <w:tc>
          <w:tcPr>
            <w:tcW w:w="810" w:type="dxa"/>
            <w:tcBorders>
              <w:top w:val="single" w:color="000000" w:sz="4" w:space="0"/>
              <w:left w:val="single" w:color="000000" w:sz="4" w:space="0"/>
              <w:bottom w:val="single" w:color="000000" w:sz="4" w:space="0"/>
              <w:right w:val="single" w:color="000000" w:sz="4" w:space="0"/>
            </w:tcBorders>
            <w:noWrap w:val="0"/>
            <w:vAlign w:val="top"/>
          </w:tcPr>
          <w:p>
            <w:pPr>
              <w:spacing w:after="200" w:line="600" w:lineRule="exact"/>
              <w:ind w:left="124" w:right="-20"/>
              <w:jc w:val="left"/>
              <w:rPr>
                <w:rFonts w:ascii="宋体" w:hAnsi="宋体" w:cs="宋体"/>
                <w:color w:val="auto"/>
                <w:kern w:val="0"/>
                <w:position w:val="-2"/>
                <w:szCs w:val="21"/>
                <w:highlight w:val="none"/>
                <w:lang w:eastAsia="en-US"/>
              </w:rPr>
            </w:pPr>
          </w:p>
        </w:tc>
        <w:tc>
          <w:tcPr>
            <w:tcW w:w="1082" w:type="dxa"/>
            <w:tcBorders>
              <w:top w:val="single" w:color="000000" w:sz="4" w:space="0"/>
              <w:left w:val="single" w:color="000000" w:sz="4" w:space="0"/>
              <w:bottom w:val="single" w:color="000000" w:sz="4" w:space="0"/>
              <w:right w:val="single" w:color="000000" w:sz="4" w:space="0"/>
            </w:tcBorders>
            <w:noWrap w:val="0"/>
            <w:vAlign w:val="top"/>
          </w:tcPr>
          <w:p>
            <w:pPr>
              <w:spacing w:after="200" w:line="600" w:lineRule="exact"/>
              <w:ind w:left="124" w:right="-20"/>
              <w:jc w:val="left"/>
              <w:rPr>
                <w:rFonts w:ascii="宋体" w:hAnsi="宋体" w:cs="宋体"/>
                <w:color w:val="auto"/>
                <w:kern w:val="0"/>
                <w:position w:val="-2"/>
                <w:szCs w:val="21"/>
                <w:highlight w:val="none"/>
                <w:lang w:eastAsia="en-US"/>
              </w:rPr>
            </w:pPr>
          </w:p>
        </w:tc>
        <w:tc>
          <w:tcPr>
            <w:tcW w:w="1063" w:type="dxa"/>
            <w:tcBorders>
              <w:top w:val="single" w:color="000000" w:sz="4" w:space="0"/>
              <w:left w:val="single" w:color="000000" w:sz="4" w:space="0"/>
              <w:bottom w:val="single" w:color="000000" w:sz="4" w:space="0"/>
              <w:right w:val="single" w:color="000000" w:sz="4" w:space="0"/>
            </w:tcBorders>
            <w:noWrap w:val="0"/>
            <w:vAlign w:val="top"/>
          </w:tcPr>
          <w:p>
            <w:pPr>
              <w:spacing w:after="200" w:line="600" w:lineRule="exact"/>
              <w:ind w:left="124" w:right="-20"/>
              <w:jc w:val="left"/>
              <w:rPr>
                <w:rFonts w:ascii="宋体" w:hAnsi="宋体" w:cs="宋体"/>
                <w:color w:val="auto"/>
                <w:kern w:val="0"/>
                <w:position w:val="-2"/>
                <w:szCs w:val="21"/>
                <w:highlight w:val="none"/>
                <w:lang w:eastAsia="en-US"/>
              </w:rPr>
            </w:pPr>
          </w:p>
        </w:tc>
        <w:tc>
          <w:tcPr>
            <w:tcW w:w="1063" w:type="dxa"/>
            <w:tcBorders>
              <w:top w:val="single" w:color="000000" w:sz="4" w:space="0"/>
              <w:left w:val="single" w:color="000000" w:sz="4" w:space="0"/>
              <w:bottom w:val="single" w:color="000000" w:sz="4" w:space="0"/>
              <w:right w:val="single" w:color="000000" w:sz="4" w:space="0"/>
            </w:tcBorders>
            <w:noWrap w:val="0"/>
            <w:vAlign w:val="top"/>
          </w:tcPr>
          <w:p>
            <w:pPr>
              <w:spacing w:after="200" w:line="600" w:lineRule="exact"/>
              <w:ind w:left="124" w:right="-20"/>
              <w:jc w:val="left"/>
              <w:rPr>
                <w:rFonts w:ascii="宋体" w:hAnsi="宋体" w:cs="宋体"/>
                <w:color w:val="auto"/>
                <w:kern w:val="0"/>
                <w:position w:val="-2"/>
                <w:szCs w:val="21"/>
                <w:highlight w:val="none"/>
                <w:lang w:eastAsia="en-US"/>
              </w:rPr>
            </w:pPr>
          </w:p>
        </w:tc>
        <w:tc>
          <w:tcPr>
            <w:tcW w:w="1063" w:type="dxa"/>
            <w:tcBorders>
              <w:top w:val="single" w:color="000000" w:sz="4" w:space="0"/>
              <w:left w:val="single" w:color="000000" w:sz="4" w:space="0"/>
              <w:bottom w:val="single" w:color="000000" w:sz="4" w:space="0"/>
              <w:right w:val="single" w:color="000000" w:sz="4" w:space="0"/>
            </w:tcBorders>
            <w:noWrap w:val="0"/>
            <w:vAlign w:val="top"/>
          </w:tcPr>
          <w:p>
            <w:pPr>
              <w:spacing w:after="200" w:line="600" w:lineRule="exact"/>
              <w:ind w:left="124" w:right="-20"/>
              <w:jc w:val="left"/>
              <w:rPr>
                <w:rFonts w:ascii="宋体" w:hAnsi="宋体" w:cs="宋体"/>
                <w:color w:val="auto"/>
                <w:kern w:val="0"/>
                <w:position w:val="-2"/>
                <w:szCs w:val="21"/>
                <w:highlight w:val="none"/>
                <w:lang w:eastAsia="en-US"/>
              </w:rPr>
            </w:pPr>
          </w:p>
        </w:tc>
        <w:tc>
          <w:tcPr>
            <w:tcW w:w="1898" w:type="dxa"/>
            <w:tcBorders>
              <w:top w:val="single" w:color="000000" w:sz="4" w:space="0"/>
              <w:left w:val="single" w:color="000000" w:sz="4" w:space="0"/>
              <w:bottom w:val="single" w:color="000000" w:sz="4" w:space="0"/>
              <w:right w:val="single" w:color="000000" w:sz="4" w:space="0"/>
            </w:tcBorders>
            <w:noWrap w:val="0"/>
            <w:vAlign w:val="top"/>
          </w:tcPr>
          <w:p>
            <w:pPr>
              <w:spacing w:after="200" w:line="600" w:lineRule="exact"/>
              <w:ind w:left="124" w:right="-20"/>
              <w:jc w:val="left"/>
              <w:rPr>
                <w:rFonts w:ascii="宋体" w:hAnsi="宋体" w:cs="宋体"/>
                <w:color w:val="auto"/>
                <w:kern w:val="0"/>
                <w:position w:val="-2"/>
                <w:szCs w:val="21"/>
                <w:highlight w:val="none"/>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6" w:hRule="atLeast"/>
        </w:trPr>
        <w:tc>
          <w:tcPr>
            <w:tcW w:w="970" w:type="dxa"/>
            <w:tcBorders>
              <w:top w:val="single" w:color="000000" w:sz="4" w:space="0"/>
              <w:left w:val="single" w:color="000000" w:sz="4" w:space="0"/>
              <w:bottom w:val="single" w:color="000000" w:sz="4" w:space="0"/>
              <w:right w:val="single" w:color="000000" w:sz="4" w:space="0"/>
            </w:tcBorders>
            <w:noWrap w:val="0"/>
            <w:vAlign w:val="top"/>
          </w:tcPr>
          <w:p>
            <w:pPr>
              <w:spacing w:after="200" w:line="600" w:lineRule="exact"/>
              <w:ind w:left="124" w:right="-20"/>
              <w:jc w:val="left"/>
              <w:rPr>
                <w:rFonts w:ascii="宋体" w:hAnsi="宋体" w:cs="宋体"/>
                <w:color w:val="auto"/>
                <w:kern w:val="0"/>
                <w:position w:val="-2"/>
                <w:szCs w:val="21"/>
                <w:highlight w:val="none"/>
                <w:lang w:eastAsia="en-US"/>
              </w:rPr>
            </w:pPr>
            <w:r>
              <w:rPr>
                <w:rFonts w:hint="eastAsia" w:ascii="宋体" w:hAnsi="宋体" w:cs="宋体"/>
                <w:color w:val="auto"/>
                <w:kern w:val="0"/>
                <w:position w:val="-2"/>
                <w:szCs w:val="21"/>
                <w:highlight w:val="none"/>
              </w:rPr>
              <w:t>1</w:t>
            </w:r>
            <w:r>
              <w:rPr>
                <w:rFonts w:hint="eastAsia" w:ascii="宋体" w:hAnsi="宋体" w:cs="宋体"/>
                <w:color w:val="auto"/>
                <w:kern w:val="0"/>
                <w:position w:val="-2"/>
                <w:szCs w:val="21"/>
                <w:highlight w:val="none"/>
                <w:lang w:eastAsia="en-US"/>
              </w:rPr>
              <w:t>.3</w:t>
            </w:r>
          </w:p>
        </w:tc>
        <w:tc>
          <w:tcPr>
            <w:tcW w:w="1116" w:type="dxa"/>
            <w:tcBorders>
              <w:top w:val="single" w:color="000000" w:sz="4" w:space="0"/>
              <w:left w:val="single" w:color="000000" w:sz="4" w:space="0"/>
              <w:bottom w:val="single" w:color="000000" w:sz="4" w:space="0"/>
              <w:right w:val="single" w:color="000000" w:sz="4" w:space="0"/>
            </w:tcBorders>
            <w:noWrap w:val="0"/>
            <w:vAlign w:val="top"/>
          </w:tcPr>
          <w:p>
            <w:pPr>
              <w:spacing w:after="200" w:line="600" w:lineRule="exact"/>
              <w:ind w:left="124" w:right="-20"/>
              <w:jc w:val="left"/>
              <w:rPr>
                <w:rFonts w:ascii="宋体" w:hAnsi="宋体" w:cs="宋体"/>
                <w:color w:val="auto"/>
                <w:kern w:val="0"/>
                <w:position w:val="-2"/>
                <w:szCs w:val="21"/>
                <w:highlight w:val="none"/>
              </w:rPr>
            </w:pPr>
            <w:r>
              <w:rPr>
                <w:rFonts w:hint="eastAsia" w:ascii="宋体" w:hAnsi="宋体" w:cs="宋体"/>
                <w:color w:val="auto"/>
                <w:kern w:val="0"/>
                <w:position w:val="-2"/>
                <w:szCs w:val="21"/>
                <w:highlight w:val="none"/>
              </w:rPr>
              <w:t>…</w:t>
            </w:r>
          </w:p>
        </w:tc>
        <w:tc>
          <w:tcPr>
            <w:tcW w:w="810" w:type="dxa"/>
            <w:tcBorders>
              <w:top w:val="single" w:color="000000" w:sz="4" w:space="0"/>
              <w:left w:val="single" w:color="000000" w:sz="4" w:space="0"/>
              <w:bottom w:val="single" w:color="000000" w:sz="4" w:space="0"/>
              <w:right w:val="single" w:color="000000" w:sz="4" w:space="0"/>
            </w:tcBorders>
            <w:noWrap w:val="0"/>
            <w:vAlign w:val="top"/>
          </w:tcPr>
          <w:p>
            <w:pPr>
              <w:spacing w:after="200" w:line="600" w:lineRule="exact"/>
              <w:ind w:left="124" w:right="-20"/>
              <w:jc w:val="left"/>
              <w:rPr>
                <w:rFonts w:ascii="宋体" w:hAnsi="宋体" w:cs="宋体"/>
                <w:color w:val="auto"/>
                <w:kern w:val="0"/>
                <w:position w:val="-2"/>
                <w:szCs w:val="21"/>
                <w:highlight w:val="none"/>
                <w:lang w:eastAsia="en-US"/>
              </w:rPr>
            </w:pPr>
          </w:p>
        </w:tc>
        <w:tc>
          <w:tcPr>
            <w:tcW w:w="810" w:type="dxa"/>
            <w:tcBorders>
              <w:top w:val="single" w:color="000000" w:sz="4" w:space="0"/>
              <w:left w:val="single" w:color="000000" w:sz="4" w:space="0"/>
              <w:bottom w:val="single" w:color="000000" w:sz="4" w:space="0"/>
              <w:right w:val="single" w:color="000000" w:sz="4" w:space="0"/>
            </w:tcBorders>
            <w:noWrap w:val="0"/>
            <w:vAlign w:val="top"/>
          </w:tcPr>
          <w:p>
            <w:pPr>
              <w:spacing w:after="200" w:line="600" w:lineRule="exact"/>
              <w:ind w:left="124" w:right="-20"/>
              <w:jc w:val="left"/>
              <w:rPr>
                <w:rFonts w:ascii="宋体" w:hAnsi="宋体" w:cs="宋体"/>
                <w:color w:val="auto"/>
                <w:kern w:val="0"/>
                <w:position w:val="-2"/>
                <w:szCs w:val="21"/>
                <w:highlight w:val="none"/>
                <w:lang w:eastAsia="en-US"/>
              </w:rPr>
            </w:pPr>
          </w:p>
        </w:tc>
        <w:tc>
          <w:tcPr>
            <w:tcW w:w="1082" w:type="dxa"/>
            <w:tcBorders>
              <w:top w:val="single" w:color="000000" w:sz="4" w:space="0"/>
              <w:left w:val="single" w:color="000000" w:sz="4" w:space="0"/>
              <w:bottom w:val="single" w:color="000000" w:sz="4" w:space="0"/>
              <w:right w:val="single" w:color="000000" w:sz="4" w:space="0"/>
            </w:tcBorders>
            <w:noWrap w:val="0"/>
            <w:vAlign w:val="top"/>
          </w:tcPr>
          <w:p>
            <w:pPr>
              <w:spacing w:after="200" w:line="600" w:lineRule="exact"/>
              <w:ind w:right="-20"/>
              <w:jc w:val="left"/>
              <w:rPr>
                <w:rFonts w:ascii="宋体" w:hAnsi="宋体" w:cs="宋体"/>
                <w:color w:val="auto"/>
                <w:kern w:val="0"/>
                <w:position w:val="-2"/>
                <w:szCs w:val="21"/>
                <w:highlight w:val="none"/>
              </w:rPr>
            </w:pPr>
          </w:p>
        </w:tc>
        <w:tc>
          <w:tcPr>
            <w:tcW w:w="1063" w:type="dxa"/>
            <w:tcBorders>
              <w:top w:val="single" w:color="000000" w:sz="4" w:space="0"/>
              <w:left w:val="single" w:color="000000" w:sz="4" w:space="0"/>
              <w:bottom w:val="single" w:color="000000" w:sz="4" w:space="0"/>
              <w:right w:val="single" w:color="000000" w:sz="4" w:space="0"/>
            </w:tcBorders>
            <w:noWrap w:val="0"/>
            <w:vAlign w:val="top"/>
          </w:tcPr>
          <w:p>
            <w:pPr>
              <w:spacing w:after="200" w:line="600" w:lineRule="exact"/>
              <w:ind w:left="124" w:right="-20"/>
              <w:jc w:val="left"/>
              <w:rPr>
                <w:rFonts w:ascii="宋体" w:hAnsi="宋体" w:cs="宋体"/>
                <w:color w:val="auto"/>
                <w:kern w:val="0"/>
                <w:position w:val="-2"/>
                <w:szCs w:val="21"/>
                <w:highlight w:val="none"/>
                <w:lang w:eastAsia="en-US"/>
              </w:rPr>
            </w:pPr>
          </w:p>
        </w:tc>
        <w:tc>
          <w:tcPr>
            <w:tcW w:w="1063" w:type="dxa"/>
            <w:tcBorders>
              <w:top w:val="single" w:color="000000" w:sz="4" w:space="0"/>
              <w:left w:val="single" w:color="000000" w:sz="4" w:space="0"/>
              <w:bottom w:val="single" w:color="000000" w:sz="4" w:space="0"/>
              <w:right w:val="single" w:color="000000" w:sz="4" w:space="0"/>
            </w:tcBorders>
            <w:noWrap w:val="0"/>
            <w:vAlign w:val="top"/>
          </w:tcPr>
          <w:p>
            <w:pPr>
              <w:spacing w:after="200" w:line="600" w:lineRule="exact"/>
              <w:ind w:left="124" w:right="-20"/>
              <w:jc w:val="left"/>
              <w:rPr>
                <w:rFonts w:ascii="宋体" w:hAnsi="宋体" w:cs="宋体"/>
                <w:color w:val="auto"/>
                <w:kern w:val="0"/>
                <w:position w:val="-2"/>
                <w:szCs w:val="21"/>
                <w:highlight w:val="none"/>
                <w:lang w:eastAsia="en-US"/>
              </w:rPr>
            </w:pPr>
          </w:p>
        </w:tc>
        <w:tc>
          <w:tcPr>
            <w:tcW w:w="1063" w:type="dxa"/>
            <w:tcBorders>
              <w:top w:val="single" w:color="000000" w:sz="4" w:space="0"/>
              <w:left w:val="single" w:color="000000" w:sz="4" w:space="0"/>
              <w:bottom w:val="single" w:color="000000" w:sz="4" w:space="0"/>
              <w:right w:val="single" w:color="000000" w:sz="4" w:space="0"/>
            </w:tcBorders>
            <w:noWrap w:val="0"/>
            <w:vAlign w:val="top"/>
          </w:tcPr>
          <w:p>
            <w:pPr>
              <w:spacing w:after="200" w:line="600" w:lineRule="exact"/>
              <w:ind w:left="124" w:right="-20"/>
              <w:jc w:val="left"/>
              <w:rPr>
                <w:rFonts w:ascii="宋体" w:hAnsi="宋体" w:cs="宋体"/>
                <w:color w:val="auto"/>
                <w:kern w:val="0"/>
                <w:position w:val="-2"/>
                <w:szCs w:val="21"/>
                <w:highlight w:val="none"/>
                <w:lang w:eastAsia="en-US"/>
              </w:rPr>
            </w:pPr>
          </w:p>
        </w:tc>
        <w:tc>
          <w:tcPr>
            <w:tcW w:w="1898" w:type="dxa"/>
            <w:tcBorders>
              <w:top w:val="single" w:color="000000" w:sz="4" w:space="0"/>
              <w:left w:val="single" w:color="000000" w:sz="4" w:space="0"/>
              <w:bottom w:val="single" w:color="000000" w:sz="4" w:space="0"/>
              <w:right w:val="single" w:color="000000" w:sz="4" w:space="0"/>
            </w:tcBorders>
            <w:noWrap w:val="0"/>
            <w:vAlign w:val="top"/>
          </w:tcPr>
          <w:p>
            <w:pPr>
              <w:spacing w:after="200" w:line="600" w:lineRule="exact"/>
              <w:ind w:left="124" w:right="-20"/>
              <w:jc w:val="left"/>
              <w:rPr>
                <w:rFonts w:ascii="宋体" w:hAnsi="宋体" w:cs="宋体"/>
                <w:color w:val="auto"/>
                <w:kern w:val="0"/>
                <w:position w:val="-2"/>
                <w:szCs w:val="21"/>
                <w:highlight w:val="none"/>
                <w:lang w:eastAsia="en-US"/>
              </w:rPr>
            </w:pPr>
          </w:p>
        </w:tc>
      </w:tr>
    </w:tbl>
    <w:p>
      <w:pPr>
        <w:spacing w:line="600" w:lineRule="exact"/>
        <w:jc w:val="left"/>
        <w:rPr>
          <w:rFonts w:ascii="宋体" w:hAnsi="宋体"/>
          <w:color w:val="auto"/>
          <w:sz w:val="24"/>
          <w:highlight w:val="none"/>
        </w:rPr>
      </w:pPr>
      <w:r>
        <w:rPr>
          <w:rFonts w:hint="eastAsia" w:ascii="宋体" w:hAnsi="宋体"/>
          <w:color w:val="auto"/>
          <w:sz w:val="24"/>
          <w:highlight w:val="none"/>
        </w:rPr>
        <w:t>说明： 1、供应商必须填写主要产品的品牌、型号，否则按无效投标处理。</w:t>
      </w:r>
    </w:p>
    <w:p>
      <w:pPr>
        <w:spacing w:line="600" w:lineRule="exact"/>
        <w:ind w:firstLine="849" w:firstLineChars="354"/>
        <w:jc w:val="left"/>
        <w:rPr>
          <w:rFonts w:ascii="宋体" w:hAnsi="宋体"/>
          <w:color w:val="auto"/>
          <w:sz w:val="24"/>
          <w:szCs w:val="22"/>
          <w:highlight w:val="none"/>
        </w:rPr>
      </w:pPr>
      <w:r>
        <w:rPr>
          <w:rFonts w:hint="eastAsia" w:ascii="宋体" w:hAnsi="宋体"/>
          <w:color w:val="auto"/>
          <w:sz w:val="24"/>
          <w:szCs w:val="22"/>
          <w:highlight w:val="none"/>
        </w:rPr>
        <w:t>2、供应商须填写相关内容</w:t>
      </w:r>
      <w:r>
        <w:rPr>
          <w:rFonts w:hint="eastAsia" w:ascii="宋体" w:hAnsi="宋体"/>
          <w:color w:val="auto"/>
          <w:sz w:val="24"/>
          <w:highlight w:val="none"/>
        </w:rPr>
        <w:t>。</w:t>
      </w:r>
    </w:p>
    <w:p>
      <w:pPr>
        <w:spacing w:line="600" w:lineRule="exact"/>
        <w:ind w:firstLine="849" w:firstLineChars="354"/>
        <w:jc w:val="left"/>
        <w:rPr>
          <w:rFonts w:ascii="宋体" w:hAnsi="宋体"/>
          <w:color w:val="auto"/>
          <w:sz w:val="24"/>
          <w:highlight w:val="none"/>
        </w:rPr>
      </w:pPr>
      <w:r>
        <w:rPr>
          <w:rFonts w:hint="eastAsia" w:ascii="宋体" w:hAnsi="宋体"/>
          <w:color w:val="auto"/>
          <w:sz w:val="24"/>
          <w:highlight w:val="none"/>
        </w:rPr>
        <w:t>3、如所投产品为强制性认证产品，应如实、准确填报，否则按无效投标处理。</w:t>
      </w:r>
    </w:p>
    <w:p>
      <w:pPr>
        <w:pStyle w:val="15"/>
        <w:spacing w:line="480" w:lineRule="exact"/>
        <w:ind w:firstLine="480" w:firstLineChars="200"/>
        <w:rPr>
          <w:rFonts w:hAnsi="宋体" w:cs="宋体"/>
          <w:color w:val="auto"/>
          <w:sz w:val="24"/>
          <w:szCs w:val="24"/>
          <w:highlight w:val="none"/>
        </w:rPr>
      </w:pPr>
      <w:r>
        <w:rPr>
          <w:rFonts w:hint="eastAsia" w:hAnsi="宋体" w:cs="宋体"/>
          <w:color w:val="auto"/>
          <w:sz w:val="24"/>
          <w:szCs w:val="24"/>
          <w:highlight w:val="none"/>
        </w:rPr>
        <w:t>供应商名称</w:t>
      </w:r>
      <w:r>
        <w:rPr>
          <w:rFonts w:hint="eastAsia" w:hAnsi="宋体" w:cs="宋体"/>
          <w:color w:val="auto"/>
          <w:sz w:val="24"/>
          <w:szCs w:val="24"/>
          <w:highlight w:val="none"/>
          <w:lang w:eastAsia="zh-CN"/>
        </w:rPr>
        <w:t>（</w:t>
      </w:r>
      <w:r>
        <w:rPr>
          <w:rFonts w:hint="eastAsia" w:hAnsi="宋体" w:cs="宋体"/>
          <w:color w:val="auto"/>
          <w:sz w:val="24"/>
          <w:szCs w:val="24"/>
          <w:highlight w:val="none"/>
        </w:rPr>
        <w:t>公章</w:t>
      </w:r>
      <w:r>
        <w:rPr>
          <w:rFonts w:hint="eastAsia" w:hAnsi="宋体" w:cs="宋体"/>
          <w:color w:val="auto"/>
          <w:sz w:val="24"/>
          <w:szCs w:val="24"/>
          <w:highlight w:val="none"/>
          <w:lang w:eastAsia="zh-CN"/>
        </w:rPr>
        <w:t>）</w:t>
      </w:r>
      <w:r>
        <w:rPr>
          <w:rFonts w:hint="eastAsia" w:hAnsi="宋体" w:cs="宋体"/>
          <w:color w:val="auto"/>
          <w:sz w:val="24"/>
          <w:szCs w:val="24"/>
          <w:highlight w:val="none"/>
        </w:rPr>
        <w:t>：______________</w:t>
      </w:r>
    </w:p>
    <w:p>
      <w:pPr>
        <w:pStyle w:val="15"/>
        <w:spacing w:line="480" w:lineRule="exact"/>
        <w:ind w:firstLine="480" w:firstLineChars="200"/>
        <w:rPr>
          <w:rFonts w:hAnsi="宋体" w:cs="宋体"/>
          <w:color w:val="auto"/>
          <w:sz w:val="24"/>
          <w:szCs w:val="24"/>
          <w:highlight w:val="none"/>
        </w:rPr>
      </w:pPr>
      <w:r>
        <w:rPr>
          <w:rFonts w:hint="eastAsia" w:hAnsi="宋体" w:cs="宋体"/>
          <w:color w:val="auto"/>
          <w:sz w:val="24"/>
          <w:szCs w:val="24"/>
          <w:highlight w:val="none"/>
        </w:rPr>
        <w:t>法定代表人或负责人或其授权代表</w:t>
      </w:r>
      <w:r>
        <w:rPr>
          <w:rFonts w:hint="eastAsia" w:hAnsi="宋体" w:cs="宋体"/>
          <w:color w:val="auto"/>
          <w:sz w:val="24"/>
          <w:szCs w:val="24"/>
          <w:highlight w:val="none"/>
          <w:lang w:eastAsia="zh-CN"/>
        </w:rPr>
        <w:t>（</w:t>
      </w:r>
      <w:r>
        <w:rPr>
          <w:rFonts w:hint="eastAsia" w:hAnsi="宋体" w:cs="宋体"/>
          <w:color w:val="auto"/>
          <w:sz w:val="24"/>
          <w:szCs w:val="24"/>
          <w:highlight w:val="none"/>
        </w:rPr>
        <w:t>签字或盖章</w:t>
      </w:r>
      <w:r>
        <w:rPr>
          <w:rFonts w:hint="eastAsia" w:hAnsi="宋体" w:cs="宋体"/>
          <w:color w:val="auto"/>
          <w:sz w:val="24"/>
          <w:szCs w:val="24"/>
          <w:highlight w:val="none"/>
          <w:lang w:eastAsia="zh-CN"/>
        </w:rPr>
        <w:t>）</w:t>
      </w:r>
      <w:r>
        <w:rPr>
          <w:rFonts w:hint="eastAsia" w:hAnsi="宋体" w:cs="宋体"/>
          <w:color w:val="auto"/>
          <w:sz w:val="24"/>
          <w:szCs w:val="24"/>
          <w:highlight w:val="none"/>
        </w:rPr>
        <w:t>：______________</w:t>
      </w:r>
    </w:p>
    <w:p>
      <w:pPr>
        <w:pStyle w:val="15"/>
        <w:spacing w:line="480" w:lineRule="exact"/>
        <w:ind w:firstLine="480" w:firstLineChars="200"/>
        <w:rPr>
          <w:rFonts w:hAnsi="宋体" w:cs="宋体"/>
          <w:color w:val="auto"/>
          <w:sz w:val="24"/>
          <w:szCs w:val="24"/>
          <w:highlight w:val="none"/>
        </w:rPr>
      </w:pPr>
      <w:r>
        <w:rPr>
          <w:rFonts w:hint="eastAsia" w:hAnsi="宋体" w:cs="宋体"/>
          <w:color w:val="auto"/>
          <w:sz w:val="24"/>
          <w:szCs w:val="24"/>
          <w:highlight w:val="none"/>
        </w:rPr>
        <w:t>日期：______年____月____日</w:t>
      </w:r>
    </w:p>
    <w:p>
      <w:pPr>
        <w:spacing w:line="480" w:lineRule="exact"/>
        <w:outlineLvl w:val="9"/>
        <w:rPr>
          <w:rFonts w:hint="eastAsia" w:ascii="宋体" w:hAnsi="宋体" w:eastAsia="宋体" w:cs="宋体"/>
          <w:color w:val="auto"/>
          <w:highlight w:val="none"/>
          <w:u w:val="none"/>
          <w:lang w:val="en-US" w:eastAsia="zh-CN"/>
        </w:rPr>
      </w:pPr>
    </w:p>
    <w:p>
      <w:pPr>
        <w:pStyle w:val="5"/>
        <w:spacing w:line="480" w:lineRule="exact"/>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12.环境标志产品明细表</w:t>
      </w:r>
      <w:bookmarkEnd w:id="309"/>
      <w:bookmarkEnd w:id="310"/>
    </w:p>
    <w:p>
      <w:pPr>
        <w:autoSpaceDE w:val="0"/>
        <w:autoSpaceDN w:val="0"/>
        <w:adjustRightInd w:val="0"/>
        <w:spacing w:line="480" w:lineRule="exact"/>
        <w:jc w:val="left"/>
        <w:rPr>
          <w:rFonts w:ascii="宋体" w:hAnsi="宋体" w:cs="宋体"/>
          <w:color w:val="auto"/>
          <w:kern w:val="0"/>
          <w:sz w:val="24"/>
          <w:szCs w:val="20"/>
          <w:highlight w:val="none"/>
        </w:rPr>
      </w:pPr>
      <w:r>
        <w:rPr>
          <w:rFonts w:hint="eastAsia" w:ascii="宋体" w:hAnsi="宋体" w:cs="宋体"/>
          <w:color w:val="auto"/>
          <w:kern w:val="0"/>
          <w:sz w:val="24"/>
          <w:szCs w:val="20"/>
          <w:highlight w:val="none"/>
        </w:rPr>
        <w:t>项目编号、包号：                              报价单位：人民币元</w:t>
      </w:r>
    </w:p>
    <w:tbl>
      <w:tblPr>
        <w:tblStyle w:val="29"/>
        <w:tblpPr w:leftFromText="180" w:rightFromText="180" w:vertAnchor="text" w:horzAnchor="margin" w:tblpXSpec="center" w:tblpY="6"/>
        <w:tblW w:w="97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488"/>
        <w:gridCol w:w="1489"/>
        <w:gridCol w:w="3232"/>
        <w:gridCol w:w="900"/>
        <w:gridCol w:w="90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817" w:type="dxa"/>
            <w:vMerge w:val="restart"/>
            <w:tcBorders>
              <w:top w:val="single" w:color="auto" w:sz="12" w:space="0"/>
              <w:left w:val="single" w:color="auto" w:sz="12" w:space="0"/>
              <w:bottom w:val="single" w:color="auto" w:sz="4" w:space="0"/>
              <w:right w:val="single" w:color="auto" w:sz="4" w:space="0"/>
            </w:tcBorders>
            <w:noWrap w:val="0"/>
            <w:vAlign w:val="center"/>
          </w:tcPr>
          <w:p>
            <w:pPr>
              <w:autoSpaceDE w:val="0"/>
              <w:autoSpaceDN w:val="0"/>
              <w:adjustRightInd w:val="0"/>
              <w:spacing w:line="480" w:lineRule="exact"/>
              <w:jc w:val="left"/>
              <w:rPr>
                <w:rFonts w:ascii="宋体" w:hAnsi="宋体" w:cs="宋体"/>
                <w:color w:val="auto"/>
                <w:kern w:val="0"/>
                <w:sz w:val="24"/>
                <w:szCs w:val="20"/>
                <w:highlight w:val="none"/>
              </w:rPr>
            </w:pPr>
            <w:r>
              <w:rPr>
                <w:rFonts w:hint="eastAsia" w:ascii="宋体" w:hAnsi="宋体" w:cs="宋体"/>
                <w:color w:val="auto"/>
                <w:kern w:val="0"/>
                <w:sz w:val="24"/>
                <w:szCs w:val="20"/>
                <w:highlight w:val="none"/>
              </w:rPr>
              <w:t>编号</w:t>
            </w:r>
          </w:p>
        </w:tc>
        <w:tc>
          <w:tcPr>
            <w:tcW w:w="1488" w:type="dxa"/>
            <w:vMerge w:val="restart"/>
            <w:tcBorders>
              <w:top w:val="single" w:color="auto" w:sz="12" w:space="0"/>
              <w:left w:val="single" w:color="auto" w:sz="4" w:space="0"/>
              <w:bottom w:val="single" w:color="auto" w:sz="4" w:space="0"/>
              <w:right w:val="single" w:color="auto" w:sz="4" w:space="0"/>
            </w:tcBorders>
            <w:noWrap w:val="0"/>
            <w:vAlign w:val="center"/>
          </w:tcPr>
          <w:p>
            <w:pPr>
              <w:autoSpaceDE w:val="0"/>
              <w:autoSpaceDN w:val="0"/>
              <w:adjustRightInd w:val="0"/>
              <w:spacing w:line="480" w:lineRule="exact"/>
              <w:jc w:val="left"/>
              <w:rPr>
                <w:rFonts w:ascii="宋体" w:hAnsi="宋体" w:cs="宋体"/>
                <w:color w:val="auto"/>
                <w:kern w:val="0"/>
                <w:sz w:val="24"/>
                <w:szCs w:val="20"/>
                <w:highlight w:val="none"/>
              </w:rPr>
            </w:pPr>
            <w:r>
              <w:rPr>
                <w:rFonts w:hint="eastAsia" w:ascii="宋体" w:hAnsi="宋体" w:cs="宋体"/>
                <w:color w:val="auto"/>
                <w:kern w:val="0"/>
                <w:sz w:val="24"/>
                <w:szCs w:val="20"/>
                <w:highlight w:val="none"/>
              </w:rPr>
              <w:t>货物名称</w:t>
            </w:r>
          </w:p>
        </w:tc>
        <w:tc>
          <w:tcPr>
            <w:tcW w:w="1489" w:type="dxa"/>
            <w:vMerge w:val="restart"/>
            <w:tcBorders>
              <w:top w:val="single" w:color="auto" w:sz="12" w:space="0"/>
              <w:left w:val="single" w:color="auto" w:sz="4" w:space="0"/>
              <w:bottom w:val="single" w:color="auto" w:sz="4" w:space="0"/>
              <w:right w:val="single" w:color="auto" w:sz="4" w:space="0"/>
            </w:tcBorders>
            <w:noWrap w:val="0"/>
            <w:vAlign w:val="center"/>
          </w:tcPr>
          <w:p>
            <w:pPr>
              <w:autoSpaceDE w:val="0"/>
              <w:autoSpaceDN w:val="0"/>
              <w:adjustRightInd w:val="0"/>
              <w:spacing w:line="480" w:lineRule="exact"/>
              <w:jc w:val="left"/>
              <w:rPr>
                <w:rFonts w:ascii="宋体" w:hAnsi="宋体" w:cs="宋体"/>
                <w:color w:val="auto"/>
                <w:kern w:val="0"/>
                <w:sz w:val="24"/>
                <w:szCs w:val="20"/>
                <w:highlight w:val="none"/>
              </w:rPr>
            </w:pPr>
            <w:r>
              <w:rPr>
                <w:rFonts w:hint="eastAsia" w:ascii="宋体" w:hAnsi="宋体" w:cs="宋体"/>
                <w:color w:val="auto"/>
                <w:kern w:val="0"/>
                <w:sz w:val="24"/>
                <w:szCs w:val="20"/>
                <w:highlight w:val="none"/>
              </w:rPr>
              <w:t>规格型号</w:t>
            </w:r>
          </w:p>
        </w:tc>
        <w:tc>
          <w:tcPr>
            <w:tcW w:w="3232" w:type="dxa"/>
            <w:vMerge w:val="restart"/>
            <w:tcBorders>
              <w:top w:val="single" w:color="auto" w:sz="12" w:space="0"/>
              <w:left w:val="single" w:color="auto" w:sz="4" w:space="0"/>
              <w:bottom w:val="single" w:color="auto" w:sz="4" w:space="0"/>
              <w:right w:val="single" w:color="auto" w:sz="4" w:space="0"/>
            </w:tcBorders>
            <w:noWrap w:val="0"/>
            <w:vAlign w:val="center"/>
          </w:tcPr>
          <w:p>
            <w:pPr>
              <w:autoSpaceDE w:val="0"/>
              <w:autoSpaceDN w:val="0"/>
              <w:adjustRightInd w:val="0"/>
              <w:spacing w:line="480" w:lineRule="exact"/>
              <w:jc w:val="left"/>
              <w:rPr>
                <w:rFonts w:ascii="宋体" w:hAnsi="宋体" w:cs="宋体"/>
                <w:color w:val="auto"/>
                <w:kern w:val="0"/>
                <w:sz w:val="24"/>
                <w:szCs w:val="20"/>
                <w:highlight w:val="none"/>
              </w:rPr>
            </w:pPr>
            <w:r>
              <w:rPr>
                <w:rFonts w:hint="eastAsia" w:ascii="宋体" w:hAnsi="宋体" w:cs="宋体"/>
                <w:color w:val="auto"/>
                <w:kern w:val="0"/>
                <w:sz w:val="24"/>
                <w:szCs w:val="20"/>
                <w:highlight w:val="none"/>
              </w:rPr>
              <w:t>中国环境标志认证证书编号</w:t>
            </w:r>
          </w:p>
        </w:tc>
        <w:tc>
          <w:tcPr>
            <w:tcW w:w="2700" w:type="dxa"/>
            <w:gridSpan w:val="3"/>
            <w:tcBorders>
              <w:top w:val="single" w:color="auto" w:sz="12" w:space="0"/>
              <w:left w:val="single" w:color="auto" w:sz="4" w:space="0"/>
              <w:bottom w:val="single" w:color="auto" w:sz="4" w:space="0"/>
              <w:right w:val="single" w:color="auto" w:sz="12" w:space="0"/>
            </w:tcBorders>
            <w:noWrap w:val="0"/>
            <w:vAlign w:val="center"/>
          </w:tcPr>
          <w:p>
            <w:pPr>
              <w:autoSpaceDE w:val="0"/>
              <w:autoSpaceDN w:val="0"/>
              <w:adjustRightInd w:val="0"/>
              <w:spacing w:line="480" w:lineRule="exact"/>
              <w:ind w:firstLine="840" w:firstLineChars="350"/>
              <w:jc w:val="left"/>
              <w:rPr>
                <w:rFonts w:ascii="宋体" w:hAnsi="宋体" w:cs="宋体"/>
                <w:color w:val="auto"/>
                <w:kern w:val="0"/>
                <w:sz w:val="24"/>
                <w:szCs w:val="20"/>
                <w:highlight w:val="none"/>
              </w:rPr>
            </w:pPr>
            <w:r>
              <w:rPr>
                <w:rFonts w:hint="eastAsia" w:ascii="宋体" w:hAnsi="宋体" w:cs="宋体"/>
                <w:color w:val="auto"/>
                <w:kern w:val="0"/>
                <w:sz w:val="24"/>
                <w:szCs w:val="20"/>
                <w:highlight w:val="none"/>
              </w:rPr>
              <w:t>价格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817" w:type="dxa"/>
            <w:vMerge w:val="continue"/>
            <w:tcBorders>
              <w:top w:val="single" w:color="auto" w:sz="12" w:space="0"/>
              <w:left w:val="single" w:color="auto" w:sz="12" w:space="0"/>
              <w:bottom w:val="single" w:color="auto" w:sz="4" w:space="0"/>
              <w:right w:val="single" w:color="auto" w:sz="4" w:space="0"/>
            </w:tcBorders>
            <w:noWrap w:val="0"/>
            <w:vAlign w:val="center"/>
          </w:tcPr>
          <w:p>
            <w:pPr>
              <w:widowControl/>
              <w:spacing w:line="480" w:lineRule="exact"/>
              <w:jc w:val="left"/>
              <w:rPr>
                <w:rFonts w:ascii="宋体" w:hAnsi="宋体" w:cs="宋体"/>
                <w:color w:val="auto"/>
                <w:kern w:val="0"/>
                <w:sz w:val="24"/>
                <w:szCs w:val="20"/>
                <w:highlight w:val="none"/>
              </w:rPr>
            </w:pPr>
          </w:p>
        </w:tc>
        <w:tc>
          <w:tcPr>
            <w:tcW w:w="1488" w:type="dxa"/>
            <w:vMerge w:val="continue"/>
            <w:tcBorders>
              <w:top w:val="single" w:color="auto" w:sz="12" w:space="0"/>
              <w:left w:val="single" w:color="auto" w:sz="4" w:space="0"/>
              <w:bottom w:val="single" w:color="auto" w:sz="4" w:space="0"/>
              <w:right w:val="single" w:color="auto" w:sz="4" w:space="0"/>
            </w:tcBorders>
            <w:noWrap w:val="0"/>
            <w:vAlign w:val="center"/>
          </w:tcPr>
          <w:p>
            <w:pPr>
              <w:widowControl/>
              <w:spacing w:line="480" w:lineRule="exact"/>
              <w:jc w:val="left"/>
              <w:rPr>
                <w:rFonts w:ascii="宋体" w:hAnsi="宋体" w:cs="宋体"/>
                <w:color w:val="auto"/>
                <w:kern w:val="0"/>
                <w:sz w:val="24"/>
                <w:szCs w:val="20"/>
                <w:highlight w:val="none"/>
              </w:rPr>
            </w:pPr>
          </w:p>
        </w:tc>
        <w:tc>
          <w:tcPr>
            <w:tcW w:w="1489" w:type="dxa"/>
            <w:vMerge w:val="continue"/>
            <w:tcBorders>
              <w:top w:val="single" w:color="auto" w:sz="12" w:space="0"/>
              <w:left w:val="single" w:color="auto" w:sz="4" w:space="0"/>
              <w:bottom w:val="single" w:color="auto" w:sz="4" w:space="0"/>
              <w:right w:val="single" w:color="auto" w:sz="4" w:space="0"/>
            </w:tcBorders>
            <w:noWrap w:val="0"/>
            <w:vAlign w:val="center"/>
          </w:tcPr>
          <w:p>
            <w:pPr>
              <w:widowControl/>
              <w:spacing w:line="480" w:lineRule="exact"/>
              <w:jc w:val="left"/>
              <w:rPr>
                <w:rFonts w:ascii="宋体" w:hAnsi="宋体" w:cs="宋体"/>
                <w:color w:val="auto"/>
                <w:kern w:val="0"/>
                <w:sz w:val="24"/>
                <w:szCs w:val="20"/>
                <w:highlight w:val="none"/>
              </w:rPr>
            </w:pPr>
          </w:p>
        </w:tc>
        <w:tc>
          <w:tcPr>
            <w:tcW w:w="3232" w:type="dxa"/>
            <w:vMerge w:val="continue"/>
            <w:tcBorders>
              <w:top w:val="single" w:color="auto" w:sz="12" w:space="0"/>
              <w:left w:val="single" w:color="auto" w:sz="4" w:space="0"/>
              <w:bottom w:val="single" w:color="auto" w:sz="4" w:space="0"/>
              <w:right w:val="single" w:color="auto" w:sz="4" w:space="0"/>
            </w:tcBorders>
            <w:noWrap w:val="0"/>
            <w:vAlign w:val="center"/>
          </w:tcPr>
          <w:p>
            <w:pPr>
              <w:widowControl/>
              <w:spacing w:line="480" w:lineRule="exact"/>
              <w:jc w:val="left"/>
              <w:rPr>
                <w:rFonts w:ascii="宋体" w:hAnsi="宋体" w:cs="宋体"/>
                <w:color w:val="auto"/>
                <w:kern w:val="0"/>
                <w:sz w:val="24"/>
                <w:szCs w:val="20"/>
                <w:highlight w:val="none"/>
              </w:rPr>
            </w:pPr>
          </w:p>
        </w:tc>
        <w:tc>
          <w:tcPr>
            <w:tcW w:w="90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480" w:lineRule="exact"/>
              <w:jc w:val="left"/>
              <w:rPr>
                <w:rFonts w:ascii="宋体" w:hAnsi="宋体" w:cs="宋体"/>
                <w:color w:val="auto"/>
                <w:kern w:val="0"/>
                <w:sz w:val="24"/>
                <w:szCs w:val="20"/>
                <w:highlight w:val="none"/>
              </w:rPr>
            </w:pPr>
            <w:r>
              <w:rPr>
                <w:rFonts w:hint="eastAsia" w:ascii="宋体" w:hAnsi="宋体" w:cs="宋体"/>
                <w:color w:val="auto"/>
                <w:kern w:val="0"/>
                <w:sz w:val="24"/>
                <w:szCs w:val="20"/>
                <w:highlight w:val="none"/>
              </w:rPr>
              <w:t>单价</w:t>
            </w:r>
          </w:p>
        </w:tc>
        <w:tc>
          <w:tcPr>
            <w:tcW w:w="90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480" w:lineRule="exact"/>
              <w:jc w:val="left"/>
              <w:rPr>
                <w:rFonts w:ascii="宋体" w:hAnsi="宋体" w:cs="宋体"/>
                <w:color w:val="auto"/>
                <w:kern w:val="0"/>
                <w:sz w:val="24"/>
                <w:szCs w:val="20"/>
                <w:highlight w:val="none"/>
              </w:rPr>
            </w:pPr>
            <w:r>
              <w:rPr>
                <w:rFonts w:hint="eastAsia" w:ascii="宋体" w:hAnsi="宋体" w:cs="宋体"/>
                <w:color w:val="auto"/>
                <w:kern w:val="0"/>
                <w:sz w:val="24"/>
                <w:szCs w:val="20"/>
                <w:highlight w:val="none"/>
              </w:rPr>
              <w:t>数量</w:t>
            </w:r>
          </w:p>
        </w:tc>
        <w:tc>
          <w:tcPr>
            <w:tcW w:w="900" w:type="dxa"/>
            <w:tcBorders>
              <w:top w:val="single" w:color="auto" w:sz="4" w:space="0"/>
              <w:left w:val="single" w:color="auto" w:sz="4" w:space="0"/>
              <w:bottom w:val="single" w:color="auto" w:sz="4" w:space="0"/>
              <w:right w:val="single" w:color="auto" w:sz="12" w:space="0"/>
            </w:tcBorders>
            <w:noWrap w:val="0"/>
            <w:vAlign w:val="center"/>
          </w:tcPr>
          <w:p>
            <w:pPr>
              <w:autoSpaceDE w:val="0"/>
              <w:autoSpaceDN w:val="0"/>
              <w:adjustRightInd w:val="0"/>
              <w:spacing w:line="480" w:lineRule="exact"/>
              <w:jc w:val="left"/>
              <w:rPr>
                <w:rFonts w:ascii="宋体" w:hAnsi="宋体" w:cs="宋体"/>
                <w:color w:val="auto"/>
                <w:kern w:val="0"/>
                <w:sz w:val="24"/>
                <w:szCs w:val="20"/>
                <w:highlight w:val="none"/>
              </w:rPr>
            </w:pPr>
            <w:r>
              <w:rPr>
                <w:rFonts w:hint="eastAsia" w:ascii="宋体" w:hAnsi="宋体" w:cs="宋体"/>
                <w:color w:val="auto"/>
                <w:kern w:val="0"/>
                <w:sz w:val="24"/>
                <w:szCs w:val="20"/>
                <w:highlight w:val="none"/>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817" w:type="dxa"/>
            <w:tcBorders>
              <w:top w:val="single" w:color="auto" w:sz="4" w:space="0"/>
              <w:left w:val="single" w:color="auto" w:sz="12" w:space="0"/>
              <w:bottom w:val="single" w:color="auto" w:sz="4" w:space="0"/>
              <w:right w:val="single" w:color="auto" w:sz="4" w:space="0"/>
            </w:tcBorders>
            <w:noWrap w:val="0"/>
            <w:vAlign w:val="center"/>
          </w:tcPr>
          <w:p>
            <w:pPr>
              <w:autoSpaceDE w:val="0"/>
              <w:autoSpaceDN w:val="0"/>
              <w:adjustRightInd w:val="0"/>
              <w:spacing w:line="480" w:lineRule="exact"/>
              <w:rPr>
                <w:rFonts w:ascii="宋体" w:hAnsi="宋体" w:cs="宋体"/>
                <w:color w:val="auto"/>
                <w:kern w:val="0"/>
                <w:sz w:val="24"/>
                <w:szCs w:val="20"/>
                <w:highlight w:val="none"/>
              </w:rPr>
            </w:pPr>
            <w:r>
              <w:rPr>
                <w:rFonts w:hint="eastAsia" w:ascii="宋体" w:hAnsi="宋体" w:cs="宋体"/>
                <w:color w:val="auto"/>
                <w:kern w:val="0"/>
                <w:sz w:val="24"/>
                <w:szCs w:val="20"/>
                <w:highlight w:val="none"/>
              </w:rPr>
              <w:t>1</w:t>
            </w:r>
          </w:p>
        </w:tc>
        <w:tc>
          <w:tcPr>
            <w:tcW w:w="1488"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480" w:lineRule="exact"/>
              <w:ind w:firstLine="480" w:firstLineChars="200"/>
              <w:jc w:val="left"/>
              <w:rPr>
                <w:rFonts w:ascii="宋体" w:hAnsi="宋体" w:cs="宋体"/>
                <w:color w:val="auto"/>
                <w:kern w:val="0"/>
                <w:sz w:val="24"/>
                <w:szCs w:val="20"/>
                <w:highlight w:val="none"/>
              </w:rPr>
            </w:pPr>
          </w:p>
        </w:tc>
        <w:tc>
          <w:tcPr>
            <w:tcW w:w="1489"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480" w:lineRule="exact"/>
              <w:ind w:firstLine="480" w:firstLineChars="200"/>
              <w:jc w:val="left"/>
              <w:rPr>
                <w:rFonts w:ascii="宋体" w:hAnsi="宋体" w:cs="宋体"/>
                <w:color w:val="auto"/>
                <w:kern w:val="0"/>
                <w:sz w:val="24"/>
                <w:szCs w:val="20"/>
                <w:highlight w:val="none"/>
              </w:rPr>
            </w:pPr>
          </w:p>
        </w:tc>
        <w:tc>
          <w:tcPr>
            <w:tcW w:w="3232"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480" w:lineRule="exact"/>
              <w:ind w:firstLine="480" w:firstLineChars="200"/>
              <w:jc w:val="left"/>
              <w:rPr>
                <w:rFonts w:ascii="宋体" w:hAnsi="宋体" w:cs="宋体"/>
                <w:color w:val="auto"/>
                <w:kern w:val="0"/>
                <w:sz w:val="24"/>
                <w:szCs w:val="20"/>
                <w:highlight w:val="none"/>
              </w:rPr>
            </w:pPr>
          </w:p>
        </w:tc>
        <w:tc>
          <w:tcPr>
            <w:tcW w:w="90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480" w:lineRule="exact"/>
              <w:ind w:firstLine="480" w:firstLineChars="200"/>
              <w:jc w:val="left"/>
              <w:rPr>
                <w:rFonts w:ascii="宋体" w:hAnsi="宋体" w:cs="宋体"/>
                <w:color w:val="auto"/>
                <w:kern w:val="0"/>
                <w:sz w:val="24"/>
                <w:szCs w:val="20"/>
                <w:highlight w:val="none"/>
              </w:rPr>
            </w:pPr>
          </w:p>
        </w:tc>
        <w:tc>
          <w:tcPr>
            <w:tcW w:w="90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480" w:lineRule="exact"/>
              <w:ind w:firstLine="480" w:firstLineChars="200"/>
              <w:jc w:val="left"/>
              <w:rPr>
                <w:rFonts w:ascii="宋体" w:hAnsi="宋体" w:cs="宋体"/>
                <w:color w:val="auto"/>
                <w:kern w:val="0"/>
                <w:sz w:val="24"/>
                <w:szCs w:val="20"/>
                <w:highlight w:val="none"/>
              </w:rPr>
            </w:pPr>
          </w:p>
        </w:tc>
        <w:tc>
          <w:tcPr>
            <w:tcW w:w="900" w:type="dxa"/>
            <w:tcBorders>
              <w:top w:val="single" w:color="auto" w:sz="4" w:space="0"/>
              <w:left w:val="single" w:color="auto" w:sz="4" w:space="0"/>
              <w:bottom w:val="single" w:color="auto" w:sz="4" w:space="0"/>
              <w:right w:val="single" w:color="auto" w:sz="12" w:space="0"/>
            </w:tcBorders>
            <w:noWrap w:val="0"/>
            <w:vAlign w:val="center"/>
          </w:tcPr>
          <w:p>
            <w:pPr>
              <w:autoSpaceDE w:val="0"/>
              <w:autoSpaceDN w:val="0"/>
              <w:adjustRightInd w:val="0"/>
              <w:spacing w:line="480" w:lineRule="exact"/>
              <w:ind w:firstLine="480" w:firstLineChars="200"/>
              <w:jc w:val="left"/>
              <w:rPr>
                <w:rFonts w:ascii="宋体" w:hAnsi="宋体" w:cs="宋体"/>
                <w:color w:val="auto"/>
                <w:kern w:val="0"/>
                <w:sz w:val="24"/>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817" w:type="dxa"/>
            <w:tcBorders>
              <w:top w:val="single" w:color="auto" w:sz="4" w:space="0"/>
              <w:left w:val="single" w:color="auto" w:sz="12" w:space="0"/>
              <w:bottom w:val="single" w:color="auto" w:sz="4" w:space="0"/>
              <w:right w:val="single" w:color="auto" w:sz="4" w:space="0"/>
            </w:tcBorders>
            <w:noWrap w:val="0"/>
            <w:vAlign w:val="center"/>
          </w:tcPr>
          <w:p>
            <w:pPr>
              <w:autoSpaceDE w:val="0"/>
              <w:autoSpaceDN w:val="0"/>
              <w:adjustRightInd w:val="0"/>
              <w:spacing w:line="480" w:lineRule="exact"/>
              <w:jc w:val="left"/>
              <w:rPr>
                <w:rFonts w:ascii="宋体" w:hAnsi="宋体" w:cs="宋体"/>
                <w:color w:val="auto"/>
                <w:kern w:val="0"/>
                <w:sz w:val="24"/>
                <w:szCs w:val="20"/>
                <w:highlight w:val="none"/>
              </w:rPr>
            </w:pPr>
            <w:r>
              <w:rPr>
                <w:rFonts w:hint="eastAsia" w:ascii="宋体" w:hAnsi="宋体" w:cs="宋体"/>
                <w:color w:val="auto"/>
                <w:kern w:val="0"/>
                <w:sz w:val="24"/>
                <w:szCs w:val="20"/>
                <w:highlight w:val="none"/>
              </w:rPr>
              <w:t>2</w:t>
            </w:r>
          </w:p>
        </w:tc>
        <w:tc>
          <w:tcPr>
            <w:tcW w:w="1488"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480" w:lineRule="exact"/>
              <w:ind w:firstLine="480" w:firstLineChars="200"/>
              <w:jc w:val="left"/>
              <w:rPr>
                <w:rFonts w:ascii="宋体" w:hAnsi="宋体" w:cs="宋体"/>
                <w:color w:val="auto"/>
                <w:kern w:val="0"/>
                <w:sz w:val="24"/>
                <w:szCs w:val="20"/>
                <w:highlight w:val="none"/>
              </w:rPr>
            </w:pPr>
          </w:p>
        </w:tc>
        <w:tc>
          <w:tcPr>
            <w:tcW w:w="1489"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480" w:lineRule="exact"/>
              <w:ind w:firstLine="480" w:firstLineChars="200"/>
              <w:jc w:val="left"/>
              <w:rPr>
                <w:rFonts w:ascii="宋体" w:hAnsi="宋体" w:cs="宋体"/>
                <w:color w:val="auto"/>
                <w:kern w:val="0"/>
                <w:sz w:val="24"/>
                <w:szCs w:val="20"/>
                <w:highlight w:val="none"/>
              </w:rPr>
            </w:pPr>
          </w:p>
        </w:tc>
        <w:tc>
          <w:tcPr>
            <w:tcW w:w="3232"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480" w:lineRule="exact"/>
              <w:ind w:firstLine="480" w:firstLineChars="200"/>
              <w:jc w:val="left"/>
              <w:rPr>
                <w:rFonts w:ascii="宋体" w:hAnsi="宋体" w:cs="宋体"/>
                <w:color w:val="auto"/>
                <w:kern w:val="0"/>
                <w:sz w:val="24"/>
                <w:szCs w:val="20"/>
                <w:highlight w:val="none"/>
              </w:rPr>
            </w:pPr>
          </w:p>
        </w:tc>
        <w:tc>
          <w:tcPr>
            <w:tcW w:w="90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480" w:lineRule="exact"/>
              <w:ind w:firstLine="480" w:firstLineChars="200"/>
              <w:jc w:val="left"/>
              <w:rPr>
                <w:rFonts w:ascii="宋体" w:hAnsi="宋体" w:cs="宋体"/>
                <w:color w:val="auto"/>
                <w:kern w:val="0"/>
                <w:sz w:val="24"/>
                <w:szCs w:val="20"/>
                <w:highlight w:val="none"/>
              </w:rPr>
            </w:pPr>
          </w:p>
        </w:tc>
        <w:tc>
          <w:tcPr>
            <w:tcW w:w="90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480" w:lineRule="exact"/>
              <w:ind w:firstLine="480" w:firstLineChars="200"/>
              <w:jc w:val="left"/>
              <w:rPr>
                <w:rFonts w:ascii="宋体" w:hAnsi="宋体" w:cs="宋体"/>
                <w:color w:val="auto"/>
                <w:kern w:val="0"/>
                <w:sz w:val="24"/>
                <w:szCs w:val="20"/>
                <w:highlight w:val="none"/>
              </w:rPr>
            </w:pPr>
          </w:p>
        </w:tc>
        <w:tc>
          <w:tcPr>
            <w:tcW w:w="900" w:type="dxa"/>
            <w:tcBorders>
              <w:top w:val="single" w:color="auto" w:sz="4" w:space="0"/>
              <w:left w:val="single" w:color="auto" w:sz="4" w:space="0"/>
              <w:bottom w:val="single" w:color="auto" w:sz="4" w:space="0"/>
              <w:right w:val="single" w:color="auto" w:sz="12" w:space="0"/>
            </w:tcBorders>
            <w:noWrap w:val="0"/>
            <w:vAlign w:val="center"/>
          </w:tcPr>
          <w:p>
            <w:pPr>
              <w:autoSpaceDE w:val="0"/>
              <w:autoSpaceDN w:val="0"/>
              <w:adjustRightInd w:val="0"/>
              <w:spacing w:line="480" w:lineRule="exact"/>
              <w:ind w:firstLine="480" w:firstLineChars="200"/>
              <w:jc w:val="left"/>
              <w:rPr>
                <w:rFonts w:ascii="宋体" w:hAnsi="宋体" w:cs="宋体"/>
                <w:color w:val="auto"/>
                <w:kern w:val="0"/>
                <w:sz w:val="24"/>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817" w:type="dxa"/>
            <w:tcBorders>
              <w:top w:val="single" w:color="auto" w:sz="4" w:space="0"/>
              <w:left w:val="single" w:color="auto" w:sz="12" w:space="0"/>
              <w:bottom w:val="single" w:color="auto" w:sz="4" w:space="0"/>
              <w:right w:val="single" w:color="auto" w:sz="4" w:space="0"/>
            </w:tcBorders>
            <w:noWrap w:val="0"/>
            <w:vAlign w:val="center"/>
          </w:tcPr>
          <w:p>
            <w:pPr>
              <w:autoSpaceDE w:val="0"/>
              <w:autoSpaceDN w:val="0"/>
              <w:adjustRightInd w:val="0"/>
              <w:spacing w:line="480" w:lineRule="exact"/>
              <w:jc w:val="left"/>
              <w:rPr>
                <w:rFonts w:ascii="宋体" w:hAnsi="宋体" w:cs="宋体"/>
                <w:color w:val="auto"/>
                <w:kern w:val="0"/>
                <w:sz w:val="24"/>
                <w:szCs w:val="20"/>
                <w:highlight w:val="none"/>
              </w:rPr>
            </w:pPr>
            <w:r>
              <w:rPr>
                <w:rFonts w:hint="eastAsia" w:ascii="宋体" w:hAnsi="宋体" w:cs="宋体"/>
                <w:color w:val="auto"/>
                <w:kern w:val="0"/>
                <w:sz w:val="24"/>
                <w:szCs w:val="20"/>
                <w:highlight w:val="none"/>
              </w:rPr>
              <w:t>3</w:t>
            </w:r>
          </w:p>
        </w:tc>
        <w:tc>
          <w:tcPr>
            <w:tcW w:w="1488"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480" w:lineRule="exact"/>
              <w:ind w:firstLine="480" w:firstLineChars="200"/>
              <w:jc w:val="left"/>
              <w:rPr>
                <w:rFonts w:ascii="宋体" w:hAnsi="宋体" w:cs="宋体"/>
                <w:color w:val="auto"/>
                <w:kern w:val="0"/>
                <w:sz w:val="24"/>
                <w:szCs w:val="20"/>
                <w:highlight w:val="none"/>
              </w:rPr>
            </w:pPr>
            <w:r>
              <w:rPr>
                <w:rFonts w:hint="eastAsia" w:ascii="宋体" w:hAnsi="宋体" w:cs="宋体"/>
                <w:color w:val="auto"/>
                <w:kern w:val="0"/>
                <w:sz w:val="24"/>
                <w:szCs w:val="20"/>
                <w:highlight w:val="none"/>
              </w:rPr>
              <w:t>…</w:t>
            </w:r>
          </w:p>
        </w:tc>
        <w:tc>
          <w:tcPr>
            <w:tcW w:w="1489"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480" w:lineRule="exact"/>
              <w:ind w:firstLine="480" w:firstLineChars="200"/>
              <w:jc w:val="left"/>
              <w:rPr>
                <w:rFonts w:ascii="宋体" w:hAnsi="宋体" w:cs="宋体"/>
                <w:color w:val="auto"/>
                <w:kern w:val="0"/>
                <w:sz w:val="24"/>
                <w:szCs w:val="20"/>
                <w:highlight w:val="none"/>
              </w:rPr>
            </w:pPr>
          </w:p>
        </w:tc>
        <w:tc>
          <w:tcPr>
            <w:tcW w:w="3232"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480" w:lineRule="exact"/>
              <w:ind w:firstLine="480" w:firstLineChars="200"/>
              <w:jc w:val="left"/>
              <w:rPr>
                <w:rFonts w:ascii="宋体" w:hAnsi="宋体" w:cs="宋体"/>
                <w:color w:val="auto"/>
                <w:kern w:val="0"/>
                <w:sz w:val="24"/>
                <w:szCs w:val="20"/>
                <w:highlight w:val="none"/>
              </w:rPr>
            </w:pPr>
          </w:p>
        </w:tc>
        <w:tc>
          <w:tcPr>
            <w:tcW w:w="90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480" w:lineRule="exact"/>
              <w:ind w:firstLine="480" w:firstLineChars="200"/>
              <w:jc w:val="left"/>
              <w:rPr>
                <w:rFonts w:ascii="宋体" w:hAnsi="宋体" w:cs="宋体"/>
                <w:color w:val="auto"/>
                <w:kern w:val="0"/>
                <w:sz w:val="24"/>
                <w:szCs w:val="20"/>
                <w:highlight w:val="none"/>
              </w:rPr>
            </w:pPr>
          </w:p>
        </w:tc>
        <w:tc>
          <w:tcPr>
            <w:tcW w:w="90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480" w:lineRule="exact"/>
              <w:ind w:firstLine="480" w:firstLineChars="200"/>
              <w:jc w:val="left"/>
              <w:rPr>
                <w:rFonts w:ascii="宋体" w:hAnsi="宋体" w:cs="宋体"/>
                <w:color w:val="auto"/>
                <w:kern w:val="0"/>
                <w:sz w:val="24"/>
                <w:szCs w:val="20"/>
                <w:highlight w:val="none"/>
              </w:rPr>
            </w:pPr>
          </w:p>
        </w:tc>
        <w:tc>
          <w:tcPr>
            <w:tcW w:w="900" w:type="dxa"/>
            <w:tcBorders>
              <w:top w:val="single" w:color="auto" w:sz="4" w:space="0"/>
              <w:left w:val="single" w:color="auto" w:sz="4" w:space="0"/>
              <w:bottom w:val="single" w:color="auto" w:sz="4" w:space="0"/>
              <w:right w:val="single" w:color="auto" w:sz="12" w:space="0"/>
            </w:tcBorders>
            <w:noWrap w:val="0"/>
            <w:vAlign w:val="center"/>
          </w:tcPr>
          <w:p>
            <w:pPr>
              <w:autoSpaceDE w:val="0"/>
              <w:autoSpaceDN w:val="0"/>
              <w:adjustRightInd w:val="0"/>
              <w:spacing w:line="480" w:lineRule="exact"/>
              <w:ind w:firstLine="480" w:firstLineChars="200"/>
              <w:jc w:val="left"/>
              <w:rPr>
                <w:rFonts w:ascii="宋体" w:hAnsi="宋体" w:cs="宋体"/>
                <w:color w:val="auto"/>
                <w:kern w:val="0"/>
                <w:sz w:val="24"/>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817" w:type="dxa"/>
            <w:tcBorders>
              <w:top w:val="single" w:color="auto" w:sz="4" w:space="0"/>
              <w:left w:val="single" w:color="auto" w:sz="12" w:space="0"/>
              <w:bottom w:val="single" w:color="auto" w:sz="4" w:space="0"/>
              <w:right w:val="single" w:color="auto" w:sz="4" w:space="0"/>
            </w:tcBorders>
            <w:noWrap w:val="0"/>
            <w:vAlign w:val="center"/>
          </w:tcPr>
          <w:p>
            <w:pPr>
              <w:autoSpaceDE w:val="0"/>
              <w:autoSpaceDN w:val="0"/>
              <w:adjustRightInd w:val="0"/>
              <w:spacing w:line="480" w:lineRule="exact"/>
              <w:jc w:val="left"/>
              <w:rPr>
                <w:rFonts w:hint="eastAsia" w:ascii="宋体" w:hAnsi="宋体" w:cs="宋体"/>
                <w:color w:val="auto"/>
                <w:kern w:val="0"/>
                <w:sz w:val="24"/>
                <w:szCs w:val="20"/>
                <w:highlight w:val="none"/>
              </w:rPr>
            </w:pPr>
            <w:r>
              <w:rPr>
                <w:rFonts w:hint="eastAsia" w:ascii="宋体" w:hAnsi="宋体" w:cs="宋体"/>
                <w:color w:val="auto"/>
                <w:kern w:val="0"/>
                <w:sz w:val="24"/>
                <w:szCs w:val="20"/>
                <w:highlight w:val="none"/>
                <w:lang w:val="en-US" w:eastAsia="zh-CN"/>
              </w:rPr>
              <w:t>合计：</w:t>
            </w:r>
          </w:p>
        </w:tc>
        <w:tc>
          <w:tcPr>
            <w:tcW w:w="1488"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480" w:lineRule="exact"/>
              <w:ind w:firstLine="480" w:firstLineChars="200"/>
              <w:jc w:val="left"/>
              <w:rPr>
                <w:rFonts w:hint="eastAsia" w:ascii="宋体" w:hAnsi="宋体" w:cs="宋体"/>
                <w:color w:val="auto"/>
                <w:kern w:val="0"/>
                <w:sz w:val="24"/>
                <w:szCs w:val="20"/>
                <w:highlight w:val="none"/>
              </w:rPr>
            </w:pPr>
          </w:p>
        </w:tc>
        <w:tc>
          <w:tcPr>
            <w:tcW w:w="1489"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480" w:lineRule="exact"/>
              <w:ind w:firstLine="480" w:firstLineChars="200"/>
              <w:jc w:val="left"/>
              <w:rPr>
                <w:rFonts w:ascii="宋体" w:hAnsi="宋体" w:cs="宋体"/>
                <w:color w:val="auto"/>
                <w:kern w:val="0"/>
                <w:sz w:val="24"/>
                <w:szCs w:val="20"/>
                <w:highlight w:val="none"/>
              </w:rPr>
            </w:pPr>
          </w:p>
        </w:tc>
        <w:tc>
          <w:tcPr>
            <w:tcW w:w="3232"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480" w:lineRule="exact"/>
              <w:ind w:firstLine="480" w:firstLineChars="200"/>
              <w:jc w:val="left"/>
              <w:rPr>
                <w:rFonts w:ascii="宋体" w:hAnsi="宋体" w:cs="宋体"/>
                <w:color w:val="auto"/>
                <w:kern w:val="0"/>
                <w:sz w:val="24"/>
                <w:szCs w:val="20"/>
                <w:highlight w:val="none"/>
              </w:rPr>
            </w:pPr>
          </w:p>
        </w:tc>
        <w:tc>
          <w:tcPr>
            <w:tcW w:w="90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480" w:lineRule="exact"/>
              <w:ind w:firstLine="480" w:firstLineChars="200"/>
              <w:jc w:val="left"/>
              <w:rPr>
                <w:rFonts w:ascii="宋体" w:hAnsi="宋体" w:cs="宋体"/>
                <w:color w:val="auto"/>
                <w:kern w:val="0"/>
                <w:sz w:val="24"/>
                <w:szCs w:val="20"/>
                <w:highlight w:val="none"/>
              </w:rPr>
            </w:pPr>
          </w:p>
        </w:tc>
        <w:tc>
          <w:tcPr>
            <w:tcW w:w="90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480" w:lineRule="exact"/>
              <w:ind w:firstLine="480" w:firstLineChars="200"/>
              <w:jc w:val="left"/>
              <w:rPr>
                <w:rFonts w:ascii="宋体" w:hAnsi="宋体" w:cs="宋体"/>
                <w:color w:val="auto"/>
                <w:kern w:val="0"/>
                <w:sz w:val="24"/>
                <w:szCs w:val="20"/>
                <w:highlight w:val="none"/>
              </w:rPr>
            </w:pPr>
          </w:p>
        </w:tc>
        <w:tc>
          <w:tcPr>
            <w:tcW w:w="900" w:type="dxa"/>
            <w:tcBorders>
              <w:top w:val="single" w:color="auto" w:sz="4" w:space="0"/>
              <w:left w:val="single" w:color="auto" w:sz="4" w:space="0"/>
              <w:bottom w:val="single" w:color="auto" w:sz="4" w:space="0"/>
              <w:right w:val="single" w:color="auto" w:sz="12" w:space="0"/>
            </w:tcBorders>
            <w:noWrap w:val="0"/>
            <w:vAlign w:val="center"/>
          </w:tcPr>
          <w:p>
            <w:pPr>
              <w:autoSpaceDE w:val="0"/>
              <w:autoSpaceDN w:val="0"/>
              <w:adjustRightInd w:val="0"/>
              <w:spacing w:line="480" w:lineRule="exact"/>
              <w:ind w:firstLine="480" w:firstLineChars="200"/>
              <w:jc w:val="left"/>
              <w:rPr>
                <w:rFonts w:ascii="宋体" w:hAnsi="宋体" w:cs="宋体"/>
                <w:color w:val="auto"/>
                <w:kern w:val="0"/>
                <w:sz w:val="24"/>
                <w:szCs w:val="20"/>
                <w:highlight w:val="none"/>
              </w:rPr>
            </w:pPr>
          </w:p>
        </w:tc>
      </w:tr>
    </w:tbl>
    <w:p>
      <w:pPr>
        <w:autoSpaceDE w:val="0"/>
        <w:autoSpaceDN w:val="0"/>
        <w:adjustRightInd w:val="0"/>
        <w:spacing w:line="480" w:lineRule="exact"/>
        <w:jc w:val="left"/>
        <w:rPr>
          <w:rFonts w:ascii="宋体" w:hAnsi="宋体" w:cs="宋体"/>
          <w:color w:val="auto"/>
          <w:kern w:val="0"/>
          <w:sz w:val="24"/>
          <w:szCs w:val="20"/>
          <w:highlight w:val="none"/>
        </w:rPr>
      </w:pPr>
      <w:r>
        <w:rPr>
          <w:rFonts w:hint="eastAsia" w:ascii="宋体" w:hAnsi="宋体" w:cs="宋体"/>
          <w:color w:val="auto"/>
          <w:kern w:val="0"/>
          <w:sz w:val="24"/>
          <w:szCs w:val="20"/>
          <w:highlight w:val="none"/>
        </w:rPr>
        <w:t xml:space="preserve">说明：1、如所报产品为环保产品，请按要求逐项填写； </w:t>
      </w:r>
    </w:p>
    <w:p>
      <w:pPr>
        <w:numPr>
          <w:ilvl w:val="0"/>
          <w:numId w:val="4"/>
        </w:numPr>
        <w:autoSpaceDE w:val="0"/>
        <w:autoSpaceDN w:val="0"/>
        <w:adjustRightInd w:val="0"/>
        <w:spacing w:line="480" w:lineRule="exact"/>
        <w:ind w:left="0" w:leftChars="0" w:firstLine="468" w:firstLineChars="195"/>
        <w:jc w:val="left"/>
        <w:rPr>
          <w:rFonts w:hint="eastAsia" w:ascii="宋体" w:hAnsi="宋体" w:cs="宋体"/>
          <w:color w:val="auto"/>
          <w:kern w:val="0"/>
          <w:sz w:val="24"/>
          <w:szCs w:val="20"/>
          <w:highlight w:val="none"/>
        </w:rPr>
      </w:pPr>
      <w:r>
        <w:rPr>
          <w:rFonts w:hint="eastAsia" w:ascii="宋体" w:hAnsi="宋体" w:cs="宋体"/>
          <w:color w:val="auto"/>
          <w:kern w:val="0"/>
          <w:sz w:val="24"/>
          <w:szCs w:val="20"/>
          <w:highlight w:val="none"/>
        </w:rPr>
        <w:t>需</w:t>
      </w:r>
      <w:r>
        <w:rPr>
          <w:rFonts w:hint="eastAsia" w:ascii="宋体" w:hAnsi="宋体" w:cs="宋体"/>
          <w:color w:val="auto"/>
          <w:kern w:val="0"/>
          <w:sz w:val="24"/>
          <w:szCs w:val="20"/>
          <w:highlight w:val="none"/>
          <w:lang w:eastAsia="zh-CN"/>
        </w:rPr>
        <w:t>提供</w:t>
      </w:r>
      <w:r>
        <w:rPr>
          <w:rFonts w:hint="eastAsia" w:ascii="宋体" w:hAnsi="宋体" w:cs="宋体"/>
          <w:color w:val="auto"/>
          <w:kern w:val="0"/>
          <w:sz w:val="24"/>
          <w:szCs w:val="20"/>
          <w:highlight w:val="none"/>
        </w:rPr>
        <w:t>的环境标志产品认证证书，且证书内产品型号与所报产品型号完全一致，否则评审时不予加分。</w:t>
      </w:r>
    </w:p>
    <w:p>
      <w:pPr>
        <w:pStyle w:val="28"/>
        <w:numPr>
          <w:ilvl w:val="0"/>
          <w:numId w:val="0"/>
        </w:numPr>
        <w:rPr>
          <w:color w:val="auto"/>
          <w:highlight w:val="none"/>
        </w:rPr>
      </w:pPr>
    </w:p>
    <w:p>
      <w:pPr>
        <w:pStyle w:val="15"/>
        <w:spacing w:line="480" w:lineRule="exact"/>
        <w:ind w:firstLine="480" w:firstLineChars="200"/>
        <w:rPr>
          <w:rFonts w:hAnsi="宋体" w:cs="宋体"/>
          <w:color w:val="auto"/>
          <w:sz w:val="24"/>
          <w:szCs w:val="24"/>
          <w:highlight w:val="none"/>
        </w:rPr>
      </w:pPr>
      <w:r>
        <w:rPr>
          <w:rFonts w:hint="eastAsia" w:hAnsi="宋体" w:cs="宋体"/>
          <w:color w:val="auto"/>
          <w:sz w:val="24"/>
          <w:szCs w:val="24"/>
          <w:highlight w:val="none"/>
        </w:rPr>
        <w:t>供应商名称</w:t>
      </w:r>
      <w:r>
        <w:rPr>
          <w:rFonts w:hint="eastAsia" w:hAnsi="宋体" w:cs="宋体"/>
          <w:color w:val="auto"/>
          <w:sz w:val="24"/>
          <w:szCs w:val="24"/>
          <w:highlight w:val="none"/>
          <w:lang w:eastAsia="zh-CN"/>
        </w:rPr>
        <w:t>（</w:t>
      </w:r>
      <w:r>
        <w:rPr>
          <w:rFonts w:hint="eastAsia" w:hAnsi="宋体" w:cs="宋体"/>
          <w:color w:val="auto"/>
          <w:sz w:val="24"/>
          <w:szCs w:val="24"/>
          <w:highlight w:val="none"/>
        </w:rPr>
        <w:t>公章</w:t>
      </w:r>
      <w:r>
        <w:rPr>
          <w:rFonts w:hint="eastAsia" w:hAnsi="宋体" w:cs="宋体"/>
          <w:color w:val="auto"/>
          <w:sz w:val="24"/>
          <w:szCs w:val="24"/>
          <w:highlight w:val="none"/>
          <w:lang w:eastAsia="zh-CN"/>
        </w:rPr>
        <w:t>）</w:t>
      </w:r>
      <w:r>
        <w:rPr>
          <w:rFonts w:hint="eastAsia" w:hAnsi="宋体" w:cs="宋体"/>
          <w:color w:val="auto"/>
          <w:sz w:val="24"/>
          <w:szCs w:val="24"/>
          <w:highlight w:val="none"/>
        </w:rPr>
        <w:t>：______________</w:t>
      </w:r>
    </w:p>
    <w:p>
      <w:pPr>
        <w:pStyle w:val="15"/>
        <w:spacing w:line="480" w:lineRule="exact"/>
        <w:ind w:firstLine="480" w:firstLineChars="200"/>
        <w:rPr>
          <w:rFonts w:hAnsi="宋体" w:cs="宋体"/>
          <w:color w:val="auto"/>
          <w:sz w:val="24"/>
          <w:szCs w:val="24"/>
          <w:highlight w:val="none"/>
        </w:rPr>
      </w:pPr>
      <w:r>
        <w:rPr>
          <w:rFonts w:hint="eastAsia" w:hAnsi="宋体" w:cs="宋体"/>
          <w:color w:val="auto"/>
          <w:sz w:val="24"/>
          <w:szCs w:val="24"/>
          <w:highlight w:val="none"/>
        </w:rPr>
        <w:t>法定代表人或负责人或其授权代表</w:t>
      </w:r>
      <w:r>
        <w:rPr>
          <w:rFonts w:hint="eastAsia" w:hAnsi="宋体" w:cs="宋体"/>
          <w:color w:val="auto"/>
          <w:sz w:val="24"/>
          <w:szCs w:val="24"/>
          <w:highlight w:val="none"/>
          <w:lang w:eastAsia="zh-CN"/>
        </w:rPr>
        <w:t>（</w:t>
      </w:r>
      <w:r>
        <w:rPr>
          <w:rFonts w:hint="eastAsia" w:hAnsi="宋体" w:cs="宋体"/>
          <w:color w:val="auto"/>
          <w:sz w:val="24"/>
          <w:szCs w:val="24"/>
          <w:highlight w:val="none"/>
        </w:rPr>
        <w:t>签字或盖章</w:t>
      </w:r>
      <w:r>
        <w:rPr>
          <w:rFonts w:hint="eastAsia" w:hAnsi="宋体" w:cs="宋体"/>
          <w:color w:val="auto"/>
          <w:sz w:val="24"/>
          <w:szCs w:val="24"/>
          <w:highlight w:val="none"/>
          <w:lang w:eastAsia="zh-CN"/>
        </w:rPr>
        <w:t>）</w:t>
      </w:r>
      <w:r>
        <w:rPr>
          <w:rFonts w:hint="eastAsia" w:hAnsi="宋体" w:cs="宋体"/>
          <w:color w:val="auto"/>
          <w:sz w:val="24"/>
          <w:szCs w:val="24"/>
          <w:highlight w:val="none"/>
        </w:rPr>
        <w:t>：______________</w:t>
      </w:r>
    </w:p>
    <w:p>
      <w:pPr>
        <w:pStyle w:val="15"/>
        <w:spacing w:line="480" w:lineRule="exact"/>
        <w:ind w:firstLine="480" w:firstLineChars="200"/>
        <w:rPr>
          <w:rFonts w:hint="eastAsia" w:hAnsi="宋体" w:cs="宋体"/>
          <w:color w:val="auto"/>
          <w:sz w:val="24"/>
          <w:szCs w:val="24"/>
          <w:highlight w:val="none"/>
        </w:rPr>
      </w:pPr>
      <w:r>
        <w:rPr>
          <w:rFonts w:hint="eastAsia" w:hAnsi="宋体" w:cs="宋体"/>
          <w:color w:val="auto"/>
          <w:sz w:val="24"/>
          <w:szCs w:val="24"/>
          <w:highlight w:val="none"/>
        </w:rPr>
        <w:t>日期：______年____月____日</w:t>
      </w:r>
    </w:p>
    <w:p>
      <w:pPr>
        <w:pStyle w:val="15"/>
        <w:spacing w:line="600" w:lineRule="exact"/>
        <w:rPr>
          <w:rFonts w:hint="eastAsia" w:ascii="宋体" w:hAnsi="宋体" w:eastAsia="宋体" w:cs="宋体"/>
          <w:b/>
          <w:color w:val="auto"/>
          <w:kern w:val="0"/>
          <w:sz w:val="24"/>
          <w:szCs w:val="20"/>
          <w:highlight w:val="none"/>
          <w:u w:val="none"/>
          <w:lang w:val="en-US" w:eastAsia="zh-CN" w:bidi="ar-SA"/>
        </w:rPr>
      </w:pPr>
      <w:bookmarkStart w:id="313" w:name="_Toc46136869"/>
      <w:bookmarkStart w:id="314" w:name="_Toc46238286"/>
    </w:p>
    <w:p>
      <w:pPr>
        <w:pStyle w:val="15"/>
        <w:spacing w:line="600" w:lineRule="exact"/>
        <w:rPr>
          <w:rFonts w:hAnsi="宋体" w:cs="宋体"/>
          <w:color w:val="auto"/>
          <w:sz w:val="30"/>
          <w:highlight w:val="none"/>
          <w:u w:val="none"/>
        </w:rPr>
      </w:pPr>
      <w:r>
        <w:rPr>
          <w:rFonts w:hint="eastAsia" w:ascii="宋体" w:hAnsi="宋体" w:eastAsia="宋体" w:cs="宋体"/>
          <w:b/>
          <w:color w:val="auto"/>
          <w:kern w:val="0"/>
          <w:sz w:val="24"/>
          <w:szCs w:val="20"/>
          <w:highlight w:val="none"/>
          <w:u w:val="none"/>
          <w:lang w:val="en-US" w:eastAsia="zh-CN" w:bidi="ar-SA"/>
        </w:rPr>
        <w:t>13.节能产品明细表</w:t>
      </w:r>
      <w:bookmarkEnd w:id="313"/>
      <w:bookmarkEnd w:id="314"/>
    </w:p>
    <w:p>
      <w:pPr>
        <w:autoSpaceDE w:val="0"/>
        <w:autoSpaceDN w:val="0"/>
        <w:adjustRightInd w:val="0"/>
        <w:spacing w:line="480" w:lineRule="exact"/>
        <w:jc w:val="left"/>
        <w:rPr>
          <w:rFonts w:ascii="宋体" w:hAnsi="宋体" w:cs="宋体"/>
          <w:color w:val="auto"/>
          <w:kern w:val="0"/>
          <w:sz w:val="24"/>
          <w:szCs w:val="20"/>
          <w:highlight w:val="none"/>
        </w:rPr>
      </w:pPr>
      <w:r>
        <w:rPr>
          <w:rFonts w:hint="eastAsia" w:ascii="宋体" w:hAnsi="宋体" w:cs="宋体"/>
          <w:color w:val="auto"/>
          <w:kern w:val="0"/>
          <w:sz w:val="24"/>
          <w:szCs w:val="20"/>
          <w:highlight w:val="none"/>
        </w:rPr>
        <w:t>项目编号、包号：                                    报价单位：人民币元</w:t>
      </w:r>
    </w:p>
    <w:tbl>
      <w:tblPr>
        <w:tblStyle w:val="29"/>
        <w:tblpPr w:leftFromText="180" w:rightFromText="180" w:vertAnchor="text" w:horzAnchor="margin" w:tblpXSpec="center" w:tblpY="6"/>
        <w:tblW w:w="97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843"/>
        <w:gridCol w:w="1701"/>
        <w:gridCol w:w="2593"/>
        <w:gridCol w:w="855"/>
        <w:gridCol w:w="955"/>
        <w:gridCol w:w="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817" w:type="dxa"/>
            <w:vMerge w:val="restart"/>
            <w:tcBorders>
              <w:top w:val="single" w:color="auto" w:sz="12" w:space="0"/>
              <w:left w:val="single" w:color="auto" w:sz="12" w:space="0"/>
              <w:bottom w:val="single" w:color="auto" w:sz="4" w:space="0"/>
              <w:right w:val="single" w:color="auto" w:sz="4" w:space="0"/>
            </w:tcBorders>
            <w:noWrap w:val="0"/>
            <w:vAlign w:val="center"/>
          </w:tcPr>
          <w:p>
            <w:pPr>
              <w:autoSpaceDE w:val="0"/>
              <w:autoSpaceDN w:val="0"/>
              <w:adjustRightInd w:val="0"/>
              <w:spacing w:line="480" w:lineRule="exact"/>
              <w:jc w:val="left"/>
              <w:rPr>
                <w:rFonts w:ascii="宋体" w:hAnsi="宋体" w:cs="宋体"/>
                <w:color w:val="auto"/>
                <w:kern w:val="0"/>
                <w:sz w:val="24"/>
                <w:szCs w:val="20"/>
                <w:highlight w:val="none"/>
              </w:rPr>
            </w:pPr>
            <w:r>
              <w:rPr>
                <w:rFonts w:hint="eastAsia" w:ascii="宋体" w:hAnsi="宋体" w:cs="宋体"/>
                <w:color w:val="auto"/>
                <w:kern w:val="0"/>
                <w:sz w:val="24"/>
                <w:szCs w:val="20"/>
                <w:highlight w:val="none"/>
              </w:rPr>
              <w:t>编号</w:t>
            </w:r>
          </w:p>
        </w:tc>
        <w:tc>
          <w:tcPr>
            <w:tcW w:w="1843" w:type="dxa"/>
            <w:vMerge w:val="restart"/>
            <w:tcBorders>
              <w:top w:val="single" w:color="auto" w:sz="12" w:space="0"/>
              <w:left w:val="single" w:color="auto" w:sz="4" w:space="0"/>
              <w:bottom w:val="single" w:color="auto" w:sz="4" w:space="0"/>
              <w:right w:val="single" w:color="auto" w:sz="4" w:space="0"/>
            </w:tcBorders>
            <w:noWrap w:val="0"/>
            <w:vAlign w:val="center"/>
          </w:tcPr>
          <w:p>
            <w:pPr>
              <w:autoSpaceDE w:val="0"/>
              <w:autoSpaceDN w:val="0"/>
              <w:adjustRightInd w:val="0"/>
              <w:spacing w:line="480" w:lineRule="exact"/>
              <w:jc w:val="left"/>
              <w:rPr>
                <w:rFonts w:ascii="宋体" w:hAnsi="宋体" w:cs="宋体"/>
                <w:color w:val="auto"/>
                <w:kern w:val="0"/>
                <w:sz w:val="24"/>
                <w:szCs w:val="20"/>
                <w:highlight w:val="none"/>
              </w:rPr>
            </w:pPr>
            <w:r>
              <w:rPr>
                <w:rFonts w:hint="eastAsia" w:ascii="宋体" w:hAnsi="宋体" w:cs="宋体"/>
                <w:color w:val="auto"/>
                <w:kern w:val="0"/>
                <w:sz w:val="24"/>
                <w:szCs w:val="20"/>
                <w:highlight w:val="none"/>
              </w:rPr>
              <w:t>货物名称</w:t>
            </w:r>
          </w:p>
        </w:tc>
        <w:tc>
          <w:tcPr>
            <w:tcW w:w="1701" w:type="dxa"/>
            <w:vMerge w:val="restart"/>
            <w:tcBorders>
              <w:top w:val="single" w:color="auto" w:sz="12" w:space="0"/>
              <w:left w:val="single" w:color="auto" w:sz="4" w:space="0"/>
              <w:bottom w:val="single" w:color="auto" w:sz="4" w:space="0"/>
              <w:right w:val="single" w:color="auto" w:sz="4" w:space="0"/>
            </w:tcBorders>
            <w:noWrap w:val="0"/>
            <w:vAlign w:val="center"/>
          </w:tcPr>
          <w:p>
            <w:pPr>
              <w:autoSpaceDE w:val="0"/>
              <w:autoSpaceDN w:val="0"/>
              <w:adjustRightInd w:val="0"/>
              <w:spacing w:line="480" w:lineRule="exact"/>
              <w:jc w:val="left"/>
              <w:rPr>
                <w:rFonts w:ascii="宋体" w:hAnsi="宋体" w:cs="宋体"/>
                <w:color w:val="auto"/>
                <w:kern w:val="0"/>
                <w:sz w:val="24"/>
                <w:szCs w:val="20"/>
                <w:highlight w:val="none"/>
              </w:rPr>
            </w:pPr>
            <w:r>
              <w:rPr>
                <w:rFonts w:hint="eastAsia" w:ascii="宋体" w:hAnsi="宋体" w:cs="宋体"/>
                <w:color w:val="auto"/>
                <w:kern w:val="0"/>
                <w:sz w:val="24"/>
                <w:szCs w:val="20"/>
                <w:highlight w:val="none"/>
              </w:rPr>
              <w:t>规格型号</w:t>
            </w:r>
          </w:p>
        </w:tc>
        <w:tc>
          <w:tcPr>
            <w:tcW w:w="2593" w:type="dxa"/>
            <w:vMerge w:val="restart"/>
            <w:tcBorders>
              <w:top w:val="single" w:color="auto" w:sz="12" w:space="0"/>
              <w:left w:val="single" w:color="auto" w:sz="4" w:space="0"/>
              <w:bottom w:val="single" w:color="auto" w:sz="4" w:space="0"/>
              <w:right w:val="single" w:color="auto" w:sz="4" w:space="0"/>
            </w:tcBorders>
            <w:noWrap w:val="0"/>
            <w:vAlign w:val="center"/>
          </w:tcPr>
          <w:p>
            <w:pPr>
              <w:autoSpaceDE w:val="0"/>
              <w:autoSpaceDN w:val="0"/>
              <w:adjustRightInd w:val="0"/>
              <w:spacing w:line="480" w:lineRule="exact"/>
              <w:jc w:val="left"/>
              <w:rPr>
                <w:rFonts w:ascii="宋体" w:hAnsi="宋体" w:cs="宋体"/>
                <w:color w:val="auto"/>
                <w:kern w:val="0"/>
                <w:sz w:val="24"/>
                <w:szCs w:val="20"/>
                <w:highlight w:val="none"/>
              </w:rPr>
            </w:pPr>
            <w:r>
              <w:rPr>
                <w:rFonts w:hint="eastAsia" w:ascii="宋体" w:hAnsi="宋体" w:cs="宋体"/>
                <w:color w:val="auto"/>
                <w:kern w:val="0"/>
                <w:sz w:val="24"/>
                <w:szCs w:val="20"/>
                <w:highlight w:val="none"/>
              </w:rPr>
              <w:t>节字标志认证证书编号</w:t>
            </w:r>
          </w:p>
        </w:tc>
        <w:tc>
          <w:tcPr>
            <w:tcW w:w="2765" w:type="dxa"/>
            <w:gridSpan w:val="3"/>
            <w:tcBorders>
              <w:top w:val="single" w:color="auto" w:sz="12" w:space="0"/>
              <w:left w:val="single" w:color="auto" w:sz="4" w:space="0"/>
              <w:bottom w:val="single" w:color="auto" w:sz="4" w:space="0"/>
              <w:right w:val="single" w:color="auto" w:sz="12" w:space="0"/>
            </w:tcBorders>
            <w:noWrap w:val="0"/>
            <w:vAlign w:val="center"/>
          </w:tcPr>
          <w:p>
            <w:pPr>
              <w:autoSpaceDE w:val="0"/>
              <w:autoSpaceDN w:val="0"/>
              <w:adjustRightInd w:val="0"/>
              <w:spacing w:line="480" w:lineRule="exact"/>
              <w:ind w:firstLine="960" w:firstLineChars="400"/>
              <w:jc w:val="left"/>
              <w:rPr>
                <w:rFonts w:ascii="宋体" w:hAnsi="宋体" w:cs="宋体"/>
                <w:color w:val="auto"/>
                <w:kern w:val="0"/>
                <w:sz w:val="24"/>
                <w:szCs w:val="20"/>
                <w:highlight w:val="none"/>
              </w:rPr>
            </w:pPr>
            <w:r>
              <w:rPr>
                <w:rFonts w:hint="eastAsia" w:ascii="宋体" w:hAnsi="宋体" w:cs="宋体"/>
                <w:color w:val="auto"/>
                <w:kern w:val="0"/>
                <w:sz w:val="24"/>
                <w:szCs w:val="20"/>
                <w:highlight w:val="none"/>
              </w:rPr>
              <w:t>价格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817" w:type="dxa"/>
            <w:vMerge w:val="continue"/>
            <w:tcBorders>
              <w:top w:val="single" w:color="auto" w:sz="12" w:space="0"/>
              <w:left w:val="single" w:color="auto" w:sz="12" w:space="0"/>
              <w:bottom w:val="single" w:color="auto" w:sz="4" w:space="0"/>
              <w:right w:val="single" w:color="auto" w:sz="4" w:space="0"/>
            </w:tcBorders>
            <w:noWrap w:val="0"/>
            <w:vAlign w:val="center"/>
          </w:tcPr>
          <w:p>
            <w:pPr>
              <w:widowControl/>
              <w:spacing w:line="480" w:lineRule="exact"/>
              <w:jc w:val="left"/>
              <w:rPr>
                <w:rFonts w:ascii="宋体" w:hAnsi="宋体" w:cs="宋体"/>
                <w:color w:val="auto"/>
                <w:kern w:val="0"/>
                <w:sz w:val="24"/>
                <w:szCs w:val="20"/>
                <w:highlight w:val="none"/>
              </w:rPr>
            </w:pPr>
          </w:p>
        </w:tc>
        <w:tc>
          <w:tcPr>
            <w:tcW w:w="1843" w:type="dxa"/>
            <w:vMerge w:val="continue"/>
            <w:tcBorders>
              <w:top w:val="single" w:color="auto" w:sz="12" w:space="0"/>
              <w:left w:val="single" w:color="auto" w:sz="4" w:space="0"/>
              <w:bottom w:val="single" w:color="auto" w:sz="4" w:space="0"/>
              <w:right w:val="single" w:color="auto" w:sz="4" w:space="0"/>
            </w:tcBorders>
            <w:noWrap w:val="0"/>
            <w:vAlign w:val="center"/>
          </w:tcPr>
          <w:p>
            <w:pPr>
              <w:widowControl/>
              <w:spacing w:line="480" w:lineRule="exact"/>
              <w:jc w:val="left"/>
              <w:rPr>
                <w:rFonts w:ascii="宋体" w:hAnsi="宋体" w:cs="宋体"/>
                <w:color w:val="auto"/>
                <w:kern w:val="0"/>
                <w:sz w:val="24"/>
                <w:szCs w:val="20"/>
                <w:highlight w:val="none"/>
              </w:rPr>
            </w:pPr>
          </w:p>
        </w:tc>
        <w:tc>
          <w:tcPr>
            <w:tcW w:w="1701" w:type="dxa"/>
            <w:vMerge w:val="continue"/>
            <w:tcBorders>
              <w:top w:val="single" w:color="auto" w:sz="12" w:space="0"/>
              <w:left w:val="single" w:color="auto" w:sz="4" w:space="0"/>
              <w:bottom w:val="single" w:color="auto" w:sz="4" w:space="0"/>
              <w:right w:val="single" w:color="auto" w:sz="4" w:space="0"/>
            </w:tcBorders>
            <w:noWrap w:val="0"/>
            <w:vAlign w:val="center"/>
          </w:tcPr>
          <w:p>
            <w:pPr>
              <w:widowControl/>
              <w:spacing w:line="480" w:lineRule="exact"/>
              <w:jc w:val="left"/>
              <w:rPr>
                <w:rFonts w:ascii="宋体" w:hAnsi="宋体" w:cs="宋体"/>
                <w:color w:val="auto"/>
                <w:kern w:val="0"/>
                <w:sz w:val="24"/>
                <w:szCs w:val="20"/>
                <w:highlight w:val="none"/>
              </w:rPr>
            </w:pPr>
          </w:p>
        </w:tc>
        <w:tc>
          <w:tcPr>
            <w:tcW w:w="2593" w:type="dxa"/>
            <w:vMerge w:val="continue"/>
            <w:tcBorders>
              <w:top w:val="single" w:color="auto" w:sz="12" w:space="0"/>
              <w:left w:val="single" w:color="auto" w:sz="4" w:space="0"/>
              <w:bottom w:val="single" w:color="auto" w:sz="4" w:space="0"/>
              <w:right w:val="single" w:color="auto" w:sz="4" w:space="0"/>
            </w:tcBorders>
            <w:noWrap w:val="0"/>
            <w:vAlign w:val="center"/>
          </w:tcPr>
          <w:p>
            <w:pPr>
              <w:widowControl/>
              <w:spacing w:line="480" w:lineRule="exact"/>
              <w:jc w:val="left"/>
              <w:rPr>
                <w:rFonts w:ascii="宋体" w:hAnsi="宋体" w:cs="宋体"/>
                <w:color w:val="auto"/>
                <w:kern w:val="0"/>
                <w:sz w:val="24"/>
                <w:szCs w:val="20"/>
                <w:highlight w:val="none"/>
              </w:rPr>
            </w:pPr>
          </w:p>
        </w:tc>
        <w:tc>
          <w:tcPr>
            <w:tcW w:w="85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480" w:lineRule="exact"/>
              <w:jc w:val="left"/>
              <w:rPr>
                <w:rFonts w:ascii="宋体" w:hAnsi="宋体" w:cs="宋体"/>
                <w:color w:val="auto"/>
                <w:kern w:val="0"/>
                <w:sz w:val="24"/>
                <w:szCs w:val="20"/>
                <w:highlight w:val="none"/>
              </w:rPr>
            </w:pPr>
            <w:r>
              <w:rPr>
                <w:rFonts w:hint="eastAsia" w:ascii="宋体" w:hAnsi="宋体" w:cs="宋体"/>
                <w:color w:val="auto"/>
                <w:kern w:val="0"/>
                <w:sz w:val="24"/>
                <w:szCs w:val="20"/>
                <w:highlight w:val="none"/>
              </w:rPr>
              <w:t>单价</w:t>
            </w:r>
          </w:p>
        </w:tc>
        <w:tc>
          <w:tcPr>
            <w:tcW w:w="95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480" w:lineRule="exact"/>
              <w:jc w:val="left"/>
              <w:rPr>
                <w:rFonts w:ascii="宋体" w:hAnsi="宋体" w:cs="宋体"/>
                <w:color w:val="auto"/>
                <w:kern w:val="0"/>
                <w:sz w:val="24"/>
                <w:szCs w:val="20"/>
                <w:highlight w:val="none"/>
              </w:rPr>
            </w:pPr>
            <w:r>
              <w:rPr>
                <w:rFonts w:hint="eastAsia" w:ascii="宋体" w:hAnsi="宋体" w:cs="宋体"/>
                <w:color w:val="auto"/>
                <w:kern w:val="0"/>
                <w:sz w:val="24"/>
                <w:szCs w:val="20"/>
                <w:highlight w:val="none"/>
              </w:rPr>
              <w:t>数量</w:t>
            </w:r>
          </w:p>
        </w:tc>
        <w:tc>
          <w:tcPr>
            <w:tcW w:w="955" w:type="dxa"/>
            <w:tcBorders>
              <w:top w:val="single" w:color="auto" w:sz="4" w:space="0"/>
              <w:left w:val="single" w:color="auto" w:sz="4" w:space="0"/>
              <w:bottom w:val="single" w:color="auto" w:sz="4" w:space="0"/>
              <w:right w:val="single" w:color="auto" w:sz="12" w:space="0"/>
            </w:tcBorders>
            <w:noWrap w:val="0"/>
            <w:vAlign w:val="center"/>
          </w:tcPr>
          <w:p>
            <w:pPr>
              <w:autoSpaceDE w:val="0"/>
              <w:autoSpaceDN w:val="0"/>
              <w:adjustRightInd w:val="0"/>
              <w:spacing w:line="480" w:lineRule="exact"/>
              <w:jc w:val="left"/>
              <w:rPr>
                <w:rFonts w:ascii="宋体" w:hAnsi="宋体" w:cs="宋体"/>
                <w:color w:val="auto"/>
                <w:kern w:val="0"/>
                <w:sz w:val="24"/>
                <w:szCs w:val="20"/>
                <w:highlight w:val="none"/>
              </w:rPr>
            </w:pPr>
            <w:r>
              <w:rPr>
                <w:rFonts w:hint="eastAsia" w:ascii="宋体" w:hAnsi="宋体" w:cs="宋体"/>
                <w:color w:val="auto"/>
                <w:kern w:val="0"/>
                <w:sz w:val="24"/>
                <w:szCs w:val="20"/>
                <w:highlight w:val="none"/>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817" w:type="dxa"/>
            <w:tcBorders>
              <w:top w:val="single" w:color="auto" w:sz="4" w:space="0"/>
              <w:left w:val="single" w:color="auto" w:sz="12" w:space="0"/>
              <w:bottom w:val="single" w:color="auto" w:sz="4" w:space="0"/>
              <w:right w:val="single" w:color="auto" w:sz="4" w:space="0"/>
            </w:tcBorders>
            <w:noWrap w:val="0"/>
            <w:vAlign w:val="center"/>
          </w:tcPr>
          <w:p>
            <w:pPr>
              <w:autoSpaceDE w:val="0"/>
              <w:autoSpaceDN w:val="0"/>
              <w:adjustRightInd w:val="0"/>
              <w:spacing w:line="480" w:lineRule="exact"/>
              <w:rPr>
                <w:rFonts w:ascii="宋体" w:hAnsi="宋体" w:cs="宋体"/>
                <w:color w:val="auto"/>
                <w:kern w:val="0"/>
                <w:sz w:val="24"/>
                <w:szCs w:val="20"/>
                <w:highlight w:val="none"/>
              </w:rPr>
            </w:pPr>
            <w:r>
              <w:rPr>
                <w:rFonts w:hint="eastAsia" w:ascii="宋体" w:hAnsi="宋体" w:cs="宋体"/>
                <w:color w:val="auto"/>
                <w:kern w:val="0"/>
                <w:sz w:val="24"/>
                <w:szCs w:val="20"/>
                <w:highlight w:val="none"/>
              </w:rPr>
              <w:t>1</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480" w:lineRule="exact"/>
              <w:ind w:firstLine="480" w:firstLineChars="200"/>
              <w:jc w:val="left"/>
              <w:rPr>
                <w:rFonts w:ascii="宋体" w:hAnsi="宋体" w:cs="宋体"/>
                <w:color w:val="auto"/>
                <w:kern w:val="0"/>
                <w:sz w:val="24"/>
                <w:szCs w:val="20"/>
                <w:highlight w:val="none"/>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480" w:lineRule="exact"/>
              <w:ind w:firstLine="480" w:firstLineChars="200"/>
              <w:jc w:val="left"/>
              <w:rPr>
                <w:rFonts w:ascii="宋体" w:hAnsi="宋体" w:cs="宋体"/>
                <w:color w:val="auto"/>
                <w:kern w:val="0"/>
                <w:sz w:val="24"/>
                <w:szCs w:val="20"/>
                <w:highlight w:val="none"/>
              </w:rPr>
            </w:pPr>
          </w:p>
        </w:tc>
        <w:tc>
          <w:tcPr>
            <w:tcW w:w="2593"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480" w:lineRule="exact"/>
              <w:ind w:firstLine="480" w:firstLineChars="200"/>
              <w:jc w:val="left"/>
              <w:rPr>
                <w:rFonts w:ascii="宋体" w:hAnsi="宋体" w:cs="宋体"/>
                <w:color w:val="auto"/>
                <w:kern w:val="0"/>
                <w:sz w:val="24"/>
                <w:szCs w:val="20"/>
                <w:highlight w:val="none"/>
              </w:rPr>
            </w:pPr>
          </w:p>
        </w:tc>
        <w:tc>
          <w:tcPr>
            <w:tcW w:w="85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480" w:lineRule="exact"/>
              <w:ind w:firstLine="480" w:firstLineChars="200"/>
              <w:jc w:val="left"/>
              <w:rPr>
                <w:rFonts w:ascii="宋体" w:hAnsi="宋体" w:cs="宋体"/>
                <w:color w:val="auto"/>
                <w:kern w:val="0"/>
                <w:sz w:val="24"/>
                <w:szCs w:val="20"/>
                <w:highlight w:val="none"/>
              </w:rPr>
            </w:pPr>
          </w:p>
        </w:tc>
        <w:tc>
          <w:tcPr>
            <w:tcW w:w="95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480" w:lineRule="exact"/>
              <w:ind w:firstLine="480" w:firstLineChars="200"/>
              <w:jc w:val="left"/>
              <w:rPr>
                <w:rFonts w:ascii="宋体" w:hAnsi="宋体" w:cs="宋体"/>
                <w:color w:val="auto"/>
                <w:kern w:val="0"/>
                <w:sz w:val="24"/>
                <w:szCs w:val="20"/>
                <w:highlight w:val="none"/>
              </w:rPr>
            </w:pPr>
          </w:p>
        </w:tc>
        <w:tc>
          <w:tcPr>
            <w:tcW w:w="955" w:type="dxa"/>
            <w:tcBorders>
              <w:top w:val="single" w:color="auto" w:sz="4" w:space="0"/>
              <w:left w:val="single" w:color="auto" w:sz="4" w:space="0"/>
              <w:bottom w:val="single" w:color="auto" w:sz="4" w:space="0"/>
              <w:right w:val="single" w:color="auto" w:sz="12" w:space="0"/>
            </w:tcBorders>
            <w:noWrap w:val="0"/>
            <w:vAlign w:val="center"/>
          </w:tcPr>
          <w:p>
            <w:pPr>
              <w:autoSpaceDE w:val="0"/>
              <w:autoSpaceDN w:val="0"/>
              <w:adjustRightInd w:val="0"/>
              <w:spacing w:line="480" w:lineRule="exact"/>
              <w:ind w:firstLine="480" w:firstLineChars="200"/>
              <w:jc w:val="left"/>
              <w:rPr>
                <w:rFonts w:ascii="宋体" w:hAnsi="宋体" w:cs="宋体"/>
                <w:color w:val="auto"/>
                <w:kern w:val="0"/>
                <w:sz w:val="24"/>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817" w:type="dxa"/>
            <w:tcBorders>
              <w:top w:val="single" w:color="auto" w:sz="4" w:space="0"/>
              <w:left w:val="single" w:color="auto" w:sz="12" w:space="0"/>
              <w:bottom w:val="single" w:color="auto" w:sz="4" w:space="0"/>
              <w:right w:val="single" w:color="auto" w:sz="4" w:space="0"/>
            </w:tcBorders>
            <w:noWrap w:val="0"/>
            <w:vAlign w:val="center"/>
          </w:tcPr>
          <w:p>
            <w:pPr>
              <w:autoSpaceDE w:val="0"/>
              <w:autoSpaceDN w:val="0"/>
              <w:adjustRightInd w:val="0"/>
              <w:spacing w:line="480" w:lineRule="exact"/>
              <w:rPr>
                <w:rFonts w:ascii="宋体" w:hAnsi="宋体" w:cs="宋体"/>
                <w:color w:val="auto"/>
                <w:kern w:val="0"/>
                <w:sz w:val="24"/>
                <w:szCs w:val="20"/>
                <w:highlight w:val="none"/>
              </w:rPr>
            </w:pPr>
            <w:r>
              <w:rPr>
                <w:rFonts w:hint="eastAsia" w:ascii="宋体" w:hAnsi="宋体" w:cs="宋体"/>
                <w:color w:val="auto"/>
                <w:kern w:val="0"/>
                <w:sz w:val="24"/>
                <w:szCs w:val="20"/>
                <w:highlight w:val="none"/>
              </w:rPr>
              <w:t>2</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480" w:lineRule="exact"/>
              <w:ind w:firstLine="480" w:firstLineChars="200"/>
              <w:jc w:val="left"/>
              <w:rPr>
                <w:rFonts w:ascii="宋体" w:hAnsi="宋体" w:cs="宋体"/>
                <w:color w:val="auto"/>
                <w:kern w:val="0"/>
                <w:sz w:val="24"/>
                <w:szCs w:val="20"/>
                <w:highlight w:val="none"/>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480" w:lineRule="exact"/>
              <w:ind w:firstLine="480" w:firstLineChars="200"/>
              <w:jc w:val="left"/>
              <w:rPr>
                <w:rFonts w:ascii="宋体" w:hAnsi="宋体" w:cs="宋体"/>
                <w:color w:val="auto"/>
                <w:kern w:val="0"/>
                <w:sz w:val="24"/>
                <w:szCs w:val="20"/>
                <w:highlight w:val="none"/>
              </w:rPr>
            </w:pPr>
          </w:p>
        </w:tc>
        <w:tc>
          <w:tcPr>
            <w:tcW w:w="2593"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480" w:lineRule="exact"/>
              <w:ind w:firstLine="480" w:firstLineChars="200"/>
              <w:jc w:val="left"/>
              <w:rPr>
                <w:rFonts w:ascii="宋体" w:hAnsi="宋体" w:cs="宋体"/>
                <w:color w:val="auto"/>
                <w:kern w:val="0"/>
                <w:sz w:val="24"/>
                <w:szCs w:val="20"/>
                <w:highlight w:val="none"/>
              </w:rPr>
            </w:pPr>
          </w:p>
        </w:tc>
        <w:tc>
          <w:tcPr>
            <w:tcW w:w="85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480" w:lineRule="exact"/>
              <w:ind w:firstLine="480" w:firstLineChars="200"/>
              <w:jc w:val="left"/>
              <w:rPr>
                <w:rFonts w:ascii="宋体" w:hAnsi="宋体" w:cs="宋体"/>
                <w:color w:val="auto"/>
                <w:kern w:val="0"/>
                <w:sz w:val="24"/>
                <w:szCs w:val="20"/>
                <w:highlight w:val="none"/>
              </w:rPr>
            </w:pPr>
          </w:p>
        </w:tc>
        <w:tc>
          <w:tcPr>
            <w:tcW w:w="95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480" w:lineRule="exact"/>
              <w:ind w:firstLine="480" w:firstLineChars="200"/>
              <w:jc w:val="left"/>
              <w:rPr>
                <w:rFonts w:ascii="宋体" w:hAnsi="宋体" w:cs="宋体"/>
                <w:color w:val="auto"/>
                <w:kern w:val="0"/>
                <w:sz w:val="24"/>
                <w:szCs w:val="20"/>
                <w:highlight w:val="none"/>
              </w:rPr>
            </w:pPr>
          </w:p>
        </w:tc>
        <w:tc>
          <w:tcPr>
            <w:tcW w:w="955" w:type="dxa"/>
            <w:tcBorders>
              <w:top w:val="single" w:color="auto" w:sz="4" w:space="0"/>
              <w:left w:val="single" w:color="auto" w:sz="4" w:space="0"/>
              <w:bottom w:val="single" w:color="auto" w:sz="4" w:space="0"/>
              <w:right w:val="single" w:color="auto" w:sz="12" w:space="0"/>
            </w:tcBorders>
            <w:noWrap w:val="0"/>
            <w:vAlign w:val="center"/>
          </w:tcPr>
          <w:p>
            <w:pPr>
              <w:autoSpaceDE w:val="0"/>
              <w:autoSpaceDN w:val="0"/>
              <w:adjustRightInd w:val="0"/>
              <w:spacing w:line="480" w:lineRule="exact"/>
              <w:ind w:firstLine="480" w:firstLineChars="200"/>
              <w:jc w:val="left"/>
              <w:rPr>
                <w:rFonts w:ascii="宋体" w:hAnsi="宋体" w:cs="宋体"/>
                <w:color w:val="auto"/>
                <w:kern w:val="0"/>
                <w:sz w:val="24"/>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817" w:type="dxa"/>
            <w:tcBorders>
              <w:top w:val="single" w:color="auto" w:sz="4" w:space="0"/>
              <w:left w:val="single" w:color="auto" w:sz="12" w:space="0"/>
              <w:bottom w:val="single" w:color="auto" w:sz="4" w:space="0"/>
              <w:right w:val="single" w:color="auto" w:sz="4" w:space="0"/>
            </w:tcBorders>
            <w:noWrap w:val="0"/>
            <w:vAlign w:val="center"/>
          </w:tcPr>
          <w:p>
            <w:pPr>
              <w:autoSpaceDE w:val="0"/>
              <w:autoSpaceDN w:val="0"/>
              <w:adjustRightInd w:val="0"/>
              <w:spacing w:line="480" w:lineRule="exact"/>
              <w:rPr>
                <w:rFonts w:ascii="宋体" w:hAnsi="宋体" w:cs="宋体"/>
                <w:color w:val="auto"/>
                <w:kern w:val="0"/>
                <w:sz w:val="24"/>
                <w:szCs w:val="20"/>
                <w:highlight w:val="none"/>
              </w:rPr>
            </w:pPr>
            <w:r>
              <w:rPr>
                <w:rFonts w:hint="eastAsia" w:ascii="宋体" w:hAnsi="宋体" w:cs="宋体"/>
                <w:color w:val="auto"/>
                <w:kern w:val="0"/>
                <w:sz w:val="24"/>
                <w:szCs w:val="20"/>
                <w:highlight w:val="none"/>
              </w:rPr>
              <w:t>3</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480" w:lineRule="exact"/>
              <w:ind w:firstLine="480" w:firstLineChars="200"/>
              <w:jc w:val="left"/>
              <w:rPr>
                <w:rFonts w:ascii="宋体" w:hAnsi="宋体" w:cs="宋体"/>
                <w:color w:val="auto"/>
                <w:kern w:val="0"/>
                <w:sz w:val="24"/>
                <w:szCs w:val="20"/>
                <w:highlight w:val="none"/>
              </w:rPr>
            </w:pPr>
            <w:r>
              <w:rPr>
                <w:rFonts w:hint="eastAsia" w:ascii="宋体" w:hAnsi="宋体" w:cs="宋体"/>
                <w:color w:val="auto"/>
                <w:kern w:val="0"/>
                <w:sz w:val="24"/>
                <w:szCs w:val="20"/>
                <w:highlight w:val="none"/>
              </w:rPr>
              <w:t>…</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480" w:lineRule="exact"/>
              <w:ind w:firstLine="480" w:firstLineChars="200"/>
              <w:jc w:val="left"/>
              <w:rPr>
                <w:rFonts w:ascii="宋体" w:hAnsi="宋体" w:cs="宋体"/>
                <w:color w:val="auto"/>
                <w:kern w:val="0"/>
                <w:sz w:val="24"/>
                <w:szCs w:val="20"/>
                <w:highlight w:val="none"/>
              </w:rPr>
            </w:pPr>
          </w:p>
        </w:tc>
        <w:tc>
          <w:tcPr>
            <w:tcW w:w="2593"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480" w:lineRule="exact"/>
              <w:ind w:firstLine="480" w:firstLineChars="200"/>
              <w:jc w:val="left"/>
              <w:rPr>
                <w:rFonts w:ascii="宋体" w:hAnsi="宋体" w:cs="宋体"/>
                <w:color w:val="auto"/>
                <w:kern w:val="0"/>
                <w:sz w:val="24"/>
                <w:szCs w:val="20"/>
                <w:highlight w:val="none"/>
              </w:rPr>
            </w:pPr>
          </w:p>
        </w:tc>
        <w:tc>
          <w:tcPr>
            <w:tcW w:w="85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480" w:lineRule="exact"/>
              <w:ind w:firstLine="480" w:firstLineChars="200"/>
              <w:jc w:val="left"/>
              <w:rPr>
                <w:rFonts w:ascii="宋体" w:hAnsi="宋体" w:cs="宋体"/>
                <w:color w:val="auto"/>
                <w:kern w:val="0"/>
                <w:sz w:val="24"/>
                <w:szCs w:val="20"/>
                <w:highlight w:val="none"/>
              </w:rPr>
            </w:pPr>
          </w:p>
        </w:tc>
        <w:tc>
          <w:tcPr>
            <w:tcW w:w="95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480" w:lineRule="exact"/>
              <w:ind w:firstLine="480" w:firstLineChars="200"/>
              <w:jc w:val="left"/>
              <w:rPr>
                <w:rFonts w:ascii="宋体" w:hAnsi="宋体" w:cs="宋体"/>
                <w:color w:val="auto"/>
                <w:kern w:val="0"/>
                <w:sz w:val="24"/>
                <w:szCs w:val="20"/>
                <w:highlight w:val="none"/>
              </w:rPr>
            </w:pPr>
          </w:p>
        </w:tc>
        <w:tc>
          <w:tcPr>
            <w:tcW w:w="955" w:type="dxa"/>
            <w:tcBorders>
              <w:top w:val="single" w:color="auto" w:sz="4" w:space="0"/>
              <w:left w:val="single" w:color="auto" w:sz="4" w:space="0"/>
              <w:bottom w:val="single" w:color="auto" w:sz="4" w:space="0"/>
              <w:right w:val="single" w:color="auto" w:sz="12" w:space="0"/>
            </w:tcBorders>
            <w:noWrap w:val="0"/>
            <w:vAlign w:val="center"/>
          </w:tcPr>
          <w:p>
            <w:pPr>
              <w:autoSpaceDE w:val="0"/>
              <w:autoSpaceDN w:val="0"/>
              <w:adjustRightInd w:val="0"/>
              <w:spacing w:line="480" w:lineRule="exact"/>
              <w:ind w:firstLine="480" w:firstLineChars="200"/>
              <w:jc w:val="left"/>
              <w:rPr>
                <w:rFonts w:ascii="宋体" w:hAnsi="宋体" w:cs="宋体"/>
                <w:color w:val="auto"/>
                <w:kern w:val="0"/>
                <w:sz w:val="24"/>
                <w:szCs w:val="20"/>
                <w:highlight w:val="none"/>
              </w:rPr>
            </w:pPr>
          </w:p>
        </w:tc>
      </w:tr>
    </w:tbl>
    <w:p>
      <w:pPr>
        <w:autoSpaceDE w:val="0"/>
        <w:autoSpaceDN w:val="0"/>
        <w:adjustRightInd w:val="0"/>
        <w:spacing w:line="480" w:lineRule="exact"/>
        <w:jc w:val="left"/>
        <w:rPr>
          <w:rFonts w:ascii="宋体" w:hAnsi="宋体" w:cs="宋体"/>
          <w:color w:val="auto"/>
          <w:kern w:val="0"/>
          <w:sz w:val="24"/>
          <w:szCs w:val="20"/>
          <w:highlight w:val="none"/>
        </w:rPr>
      </w:pPr>
      <w:r>
        <w:rPr>
          <w:rFonts w:hint="eastAsia" w:ascii="宋体" w:hAnsi="宋体" w:cs="宋体"/>
          <w:color w:val="auto"/>
          <w:kern w:val="0"/>
          <w:sz w:val="24"/>
          <w:szCs w:val="20"/>
          <w:highlight w:val="none"/>
        </w:rPr>
        <w:t xml:space="preserve">说明：1、如所报产品为节能产品，请按要求逐项填写； </w:t>
      </w:r>
    </w:p>
    <w:p>
      <w:pPr>
        <w:autoSpaceDE w:val="0"/>
        <w:autoSpaceDN w:val="0"/>
        <w:adjustRightInd w:val="0"/>
        <w:spacing w:line="480" w:lineRule="exact"/>
        <w:ind w:left="118" w:leftChars="56" w:firstLine="600" w:firstLineChars="250"/>
        <w:jc w:val="left"/>
        <w:rPr>
          <w:rFonts w:ascii="宋体" w:hAnsi="宋体" w:cs="宋体"/>
          <w:color w:val="auto"/>
          <w:kern w:val="0"/>
          <w:sz w:val="24"/>
          <w:szCs w:val="20"/>
          <w:highlight w:val="none"/>
        </w:rPr>
      </w:pPr>
      <w:r>
        <w:rPr>
          <w:rFonts w:hint="eastAsia" w:ascii="宋体" w:hAnsi="宋体" w:cs="宋体"/>
          <w:color w:val="auto"/>
          <w:kern w:val="0"/>
          <w:sz w:val="24"/>
          <w:szCs w:val="20"/>
          <w:highlight w:val="none"/>
        </w:rPr>
        <w:t>2、需</w:t>
      </w:r>
      <w:r>
        <w:rPr>
          <w:rFonts w:hint="eastAsia" w:ascii="宋体" w:hAnsi="宋体" w:cs="宋体"/>
          <w:color w:val="auto"/>
          <w:kern w:val="0"/>
          <w:sz w:val="24"/>
          <w:szCs w:val="20"/>
          <w:highlight w:val="none"/>
          <w:lang w:eastAsia="zh-CN"/>
        </w:rPr>
        <w:t>提供</w:t>
      </w:r>
      <w:r>
        <w:rPr>
          <w:rFonts w:hint="eastAsia" w:ascii="宋体" w:hAnsi="宋体" w:cs="宋体"/>
          <w:color w:val="auto"/>
          <w:kern w:val="0"/>
          <w:sz w:val="24"/>
          <w:szCs w:val="20"/>
          <w:highlight w:val="none"/>
        </w:rPr>
        <w:t>节能产品认证证书，且证书内产品型号与所报产品型号完全一致，否则评审时不予加分（非强制节能产品）；如为强制节能产品，未提供产品认证证书或证书内产品型号与所报产品型号不完全一致的，将被认定为无效响应。</w:t>
      </w:r>
    </w:p>
    <w:p>
      <w:pPr>
        <w:pStyle w:val="15"/>
        <w:spacing w:line="600" w:lineRule="exact"/>
        <w:ind w:left="1080" w:leftChars="257" w:hanging="540"/>
        <w:rPr>
          <w:rFonts w:hint="eastAsia" w:hAnsi="宋体"/>
          <w:color w:val="auto"/>
          <w:sz w:val="24"/>
          <w:highlight w:val="none"/>
        </w:rPr>
      </w:pPr>
      <w:r>
        <w:rPr>
          <w:rFonts w:hint="eastAsia" w:hAnsi="宋体"/>
          <w:color w:val="auto"/>
          <w:sz w:val="24"/>
          <w:highlight w:val="none"/>
        </w:rPr>
        <w:t xml:space="preserve"> </w:t>
      </w:r>
    </w:p>
    <w:p>
      <w:pPr>
        <w:pStyle w:val="15"/>
        <w:spacing w:line="480" w:lineRule="exact"/>
        <w:ind w:firstLine="480" w:firstLineChars="200"/>
        <w:rPr>
          <w:rFonts w:hAnsi="宋体" w:cs="宋体"/>
          <w:color w:val="auto"/>
          <w:sz w:val="24"/>
          <w:szCs w:val="24"/>
          <w:highlight w:val="none"/>
        </w:rPr>
      </w:pPr>
      <w:r>
        <w:rPr>
          <w:rFonts w:hint="eastAsia" w:hAnsi="宋体" w:cs="宋体"/>
          <w:color w:val="auto"/>
          <w:sz w:val="24"/>
          <w:szCs w:val="24"/>
          <w:highlight w:val="none"/>
        </w:rPr>
        <w:t>供应商名称</w:t>
      </w:r>
      <w:r>
        <w:rPr>
          <w:rFonts w:hint="eastAsia" w:hAnsi="宋体" w:cs="宋体"/>
          <w:color w:val="auto"/>
          <w:sz w:val="24"/>
          <w:szCs w:val="24"/>
          <w:highlight w:val="none"/>
          <w:lang w:eastAsia="zh-CN"/>
        </w:rPr>
        <w:t>（</w:t>
      </w:r>
      <w:r>
        <w:rPr>
          <w:rFonts w:hint="eastAsia" w:hAnsi="宋体" w:cs="宋体"/>
          <w:color w:val="auto"/>
          <w:sz w:val="24"/>
          <w:szCs w:val="24"/>
          <w:highlight w:val="none"/>
        </w:rPr>
        <w:t>公章</w:t>
      </w:r>
      <w:r>
        <w:rPr>
          <w:rFonts w:hint="eastAsia" w:hAnsi="宋体" w:cs="宋体"/>
          <w:color w:val="auto"/>
          <w:sz w:val="24"/>
          <w:szCs w:val="24"/>
          <w:highlight w:val="none"/>
          <w:lang w:eastAsia="zh-CN"/>
        </w:rPr>
        <w:t>）</w:t>
      </w:r>
      <w:r>
        <w:rPr>
          <w:rFonts w:hint="eastAsia" w:hAnsi="宋体" w:cs="宋体"/>
          <w:color w:val="auto"/>
          <w:sz w:val="24"/>
          <w:szCs w:val="24"/>
          <w:highlight w:val="none"/>
        </w:rPr>
        <w:t>：______________</w:t>
      </w:r>
    </w:p>
    <w:p>
      <w:pPr>
        <w:pStyle w:val="15"/>
        <w:spacing w:line="480" w:lineRule="exact"/>
        <w:ind w:firstLine="480" w:firstLineChars="200"/>
        <w:rPr>
          <w:rFonts w:hAnsi="宋体" w:cs="宋体"/>
          <w:color w:val="auto"/>
          <w:sz w:val="24"/>
          <w:szCs w:val="24"/>
          <w:highlight w:val="none"/>
        </w:rPr>
      </w:pPr>
      <w:r>
        <w:rPr>
          <w:rFonts w:hint="eastAsia" w:hAnsi="宋体" w:cs="宋体"/>
          <w:color w:val="auto"/>
          <w:sz w:val="24"/>
          <w:szCs w:val="24"/>
          <w:highlight w:val="none"/>
        </w:rPr>
        <w:t>法定代表人或负责人或其授权代表</w:t>
      </w:r>
      <w:r>
        <w:rPr>
          <w:rFonts w:hint="eastAsia" w:hAnsi="宋体" w:cs="宋体"/>
          <w:color w:val="auto"/>
          <w:sz w:val="24"/>
          <w:szCs w:val="24"/>
          <w:highlight w:val="none"/>
          <w:lang w:eastAsia="zh-CN"/>
        </w:rPr>
        <w:t>（</w:t>
      </w:r>
      <w:r>
        <w:rPr>
          <w:rFonts w:hint="eastAsia" w:hAnsi="宋体" w:cs="宋体"/>
          <w:color w:val="auto"/>
          <w:sz w:val="24"/>
          <w:szCs w:val="24"/>
          <w:highlight w:val="none"/>
        </w:rPr>
        <w:t>签字或盖章</w:t>
      </w:r>
      <w:r>
        <w:rPr>
          <w:rFonts w:hint="eastAsia" w:hAnsi="宋体" w:cs="宋体"/>
          <w:color w:val="auto"/>
          <w:sz w:val="24"/>
          <w:szCs w:val="24"/>
          <w:highlight w:val="none"/>
          <w:lang w:eastAsia="zh-CN"/>
        </w:rPr>
        <w:t>）</w:t>
      </w:r>
      <w:r>
        <w:rPr>
          <w:rFonts w:hint="eastAsia" w:hAnsi="宋体" w:cs="宋体"/>
          <w:color w:val="auto"/>
          <w:sz w:val="24"/>
          <w:szCs w:val="24"/>
          <w:highlight w:val="none"/>
        </w:rPr>
        <w:t>：______________</w:t>
      </w:r>
    </w:p>
    <w:p>
      <w:pPr>
        <w:pStyle w:val="15"/>
        <w:spacing w:line="480" w:lineRule="exact"/>
        <w:ind w:firstLine="480" w:firstLineChars="200"/>
        <w:rPr>
          <w:rFonts w:hint="eastAsia" w:hAnsi="宋体" w:cs="宋体"/>
          <w:color w:val="auto"/>
          <w:sz w:val="24"/>
          <w:szCs w:val="24"/>
          <w:highlight w:val="none"/>
        </w:rPr>
      </w:pPr>
      <w:r>
        <w:rPr>
          <w:rFonts w:hint="eastAsia" w:hAnsi="宋体" w:cs="宋体"/>
          <w:color w:val="auto"/>
          <w:sz w:val="24"/>
          <w:szCs w:val="24"/>
          <w:highlight w:val="none"/>
        </w:rPr>
        <w:t>日期：______年____月____日</w:t>
      </w:r>
    </w:p>
    <w:p>
      <w:pPr>
        <w:rPr>
          <w:rFonts w:hint="eastAsia" w:ascii="宋体" w:hAnsi="宋体" w:eastAsia="宋体" w:cs="宋体"/>
          <w:color w:val="auto"/>
          <w:highlight w:val="none"/>
          <w:u w:val="none"/>
        </w:rPr>
      </w:pPr>
    </w:p>
    <w:p>
      <w:pPr>
        <w:pStyle w:val="5"/>
        <w:spacing w:line="480" w:lineRule="exact"/>
        <w:rPr>
          <w:rFonts w:hint="eastAsia" w:ascii="宋体" w:hAnsi="宋体" w:eastAsia="宋体" w:cs="宋体"/>
          <w:color w:val="auto"/>
          <w:highlight w:val="none"/>
          <w:u w:val="none"/>
        </w:rPr>
      </w:pPr>
      <w:r>
        <w:rPr>
          <w:rFonts w:hint="eastAsia" w:ascii="宋体" w:hAnsi="宋体" w:eastAsia="宋体" w:cs="宋体"/>
          <w:color w:val="auto"/>
          <w:highlight w:val="none"/>
          <w:u w:val="none"/>
        </w:rPr>
        <w:t>1</w:t>
      </w:r>
      <w:r>
        <w:rPr>
          <w:rFonts w:hint="eastAsia" w:cs="宋体"/>
          <w:color w:val="auto"/>
          <w:highlight w:val="none"/>
          <w:u w:val="none"/>
          <w:lang w:val="en-US" w:eastAsia="zh-CN"/>
        </w:rPr>
        <w:t>3</w:t>
      </w:r>
      <w:r>
        <w:rPr>
          <w:rFonts w:hint="eastAsia" w:ascii="宋体" w:hAnsi="宋体" w:eastAsia="宋体" w:cs="宋体"/>
          <w:color w:val="auto"/>
          <w:highlight w:val="none"/>
          <w:u w:val="none"/>
        </w:rPr>
        <w:t>.</w:t>
      </w:r>
      <w:bookmarkEnd w:id="311"/>
      <w:bookmarkEnd w:id="312"/>
      <w:bookmarkStart w:id="315" w:name="_Toc46238288"/>
      <w:bookmarkStart w:id="316" w:name="_Toc46136871"/>
      <w:bookmarkStart w:id="317" w:name="_Toc518923122"/>
      <w:r>
        <w:rPr>
          <w:rFonts w:hint="eastAsia" w:ascii="宋体" w:hAnsi="宋体" w:eastAsia="宋体" w:cs="宋体"/>
          <w:color w:val="auto"/>
          <w:highlight w:val="none"/>
          <w:u w:val="none"/>
        </w:rPr>
        <w:t>案例一览表</w:t>
      </w:r>
    </w:p>
    <w:p>
      <w:pPr>
        <w:spacing w:line="360" w:lineRule="auto"/>
        <w:ind w:right="187"/>
        <w:jc w:val="center"/>
        <w:rPr>
          <w:rFonts w:ascii="宋体" w:hAnsi="宋体" w:cs="宋体"/>
          <w:color w:val="auto"/>
          <w:kern w:val="0"/>
          <w:sz w:val="30"/>
          <w:szCs w:val="30"/>
          <w:highlight w:val="none"/>
        </w:rPr>
      </w:pPr>
      <w:r>
        <w:rPr>
          <w:rFonts w:hint="eastAsia" w:ascii="宋体" w:hAnsi="宋体" w:cs="宋体"/>
          <w:color w:val="auto"/>
          <w:kern w:val="0"/>
          <w:sz w:val="30"/>
          <w:szCs w:val="30"/>
          <w:highlight w:val="none"/>
        </w:rPr>
        <w:t>案例一览表及合同复印件</w:t>
      </w:r>
    </w:p>
    <w:tbl>
      <w:tblPr>
        <w:tblStyle w:val="29"/>
        <w:tblW w:w="95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4"/>
        <w:gridCol w:w="1416"/>
        <w:gridCol w:w="1010"/>
        <w:gridCol w:w="1208"/>
        <w:gridCol w:w="1249"/>
        <w:gridCol w:w="1221"/>
        <w:gridCol w:w="1409"/>
        <w:gridCol w:w="1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jc w:val="center"/>
        </w:trPr>
        <w:tc>
          <w:tcPr>
            <w:tcW w:w="634" w:type="dxa"/>
            <w:tcBorders>
              <w:top w:val="single" w:color="auto" w:sz="12" w:space="0"/>
              <w:left w:val="single" w:color="auto" w:sz="12" w:space="0"/>
              <w:bottom w:val="single" w:color="auto" w:sz="4" w:space="0"/>
              <w:right w:val="single" w:color="auto" w:sz="4" w:space="0"/>
            </w:tcBorders>
            <w:noWrap w:val="0"/>
            <w:vAlign w:val="center"/>
          </w:tcPr>
          <w:p>
            <w:pPr>
              <w:spacing w:line="36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序号</w:t>
            </w:r>
          </w:p>
        </w:tc>
        <w:tc>
          <w:tcPr>
            <w:tcW w:w="1416" w:type="dxa"/>
            <w:tcBorders>
              <w:top w:val="single" w:color="auto" w:sz="12" w:space="0"/>
              <w:left w:val="single" w:color="auto" w:sz="4" w:space="0"/>
              <w:bottom w:val="single" w:color="auto" w:sz="4" w:space="0"/>
              <w:right w:val="single" w:color="auto" w:sz="4" w:space="0"/>
            </w:tcBorders>
            <w:noWrap w:val="0"/>
            <w:vAlign w:val="center"/>
          </w:tcPr>
          <w:p>
            <w:pPr>
              <w:spacing w:line="36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项目内容</w:t>
            </w:r>
          </w:p>
        </w:tc>
        <w:tc>
          <w:tcPr>
            <w:tcW w:w="1010" w:type="dxa"/>
            <w:tcBorders>
              <w:top w:val="single" w:color="auto" w:sz="12" w:space="0"/>
              <w:left w:val="single" w:color="auto" w:sz="4" w:space="0"/>
              <w:bottom w:val="single" w:color="auto" w:sz="4" w:space="0"/>
              <w:right w:val="single" w:color="auto" w:sz="4" w:space="0"/>
            </w:tcBorders>
            <w:noWrap w:val="0"/>
            <w:vAlign w:val="center"/>
          </w:tcPr>
          <w:p>
            <w:pPr>
              <w:spacing w:line="36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合同金额</w:t>
            </w:r>
          </w:p>
        </w:tc>
        <w:tc>
          <w:tcPr>
            <w:tcW w:w="1208" w:type="dxa"/>
            <w:tcBorders>
              <w:top w:val="single" w:color="auto" w:sz="12" w:space="0"/>
              <w:left w:val="single" w:color="auto" w:sz="4" w:space="0"/>
              <w:bottom w:val="single" w:color="auto" w:sz="4" w:space="0"/>
              <w:right w:val="single" w:color="auto" w:sz="4" w:space="0"/>
            </w:tcBorders>
            <w:noWrap w:val="0"/>
            <w:vAlign w:val="center"/>
          </w:tcPr>
          <w:p>
            <w:pPr>
              <w:spacing w:line="36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项目单位名称</w:t>
            </w:r>
          </w:p>
        </w:tc>
        <w:tc>
          <w:tcPr>
            <w:tcW w:w="1249" w:type="dxa"/>
            <w:tcBorders>
              <w:top w:val="single" w:color="auto" w:sz="12" w:space="0"/>
              <w:left w:val="single" w:color="auto" w:sz="4" w:space="0"/>
              <w:bottom w:val="single" w:color="auto" w:sz="4" w:space="0"/>
              <w:right w:val="single" w:color="auto" w:sz="4" w:space="0"/>
            </w:tcBorders>
            <w:noWrap w:val="0"/>
            <w:vAlign w:val="center"/>
          </w:tcPr>
          <w:p>
            <w:pPr>
              <w:spacing w:line="36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项目负责人姓名</w:t>
            </w:r>
          </w:p>
        </w:tc>
        <w:tc>
          <w:tcPr>
            <w:tcW w:w="1221" w:type="dxa"/>
            <w:tcBorders>
              <w:top w:val="single" w:color="auto" w:sz="12" w:space="0"/>
              <w:left w:val="single" w:color="auto" w:sz="4" w:space="0"/>
              <w:bottom w:val="single" w:color="auto" w:sz="4" w:space="0"/>
              <w:right w:val="single" w:color="auto" w:sz="4" w:space="0"/>
            </w:tcBorders>
            <w:noWrap w:val="0"/>
            <w:vAlign w:val="center"/>
          </w:tcPr>
          <w:p>
            <w:pPr>
              <w:spacing w:line="36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合同签订日期</w:t>
            </w:r>
          </w:p>
        </w:tc>
        <w:tc>
          <w:tcPr>
            <w:tcW w:w="1409" w:type="dxa"/>
            <w:tcBorders>
              <w:top w:val="single" w:color="auto" w:sz="12" w:space="0"/>
              <w:left w:val="single" w:color="auto" w:sz="4" w:space="0"/>
              <w:bottom w:val="single" w:color="auto" w:sz="4" w:space="0"/>
              <w:right w:val="single" w:color="auto" w:sz="12" w:space="0"/>
            </w:tcBorders>
            <w:noWrap w:val="0"/>
            <w:vAlign w:val="center"/>
          </w:tcPr>
          <w:p>
            <w:pPr>
              <w:spacing w:line="36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项目单位的有效联系方式</w:t>
            </w:r>
          </w:p>
        </w:tc>
        <w:tc>
          <w:tcPr>
            <w:tcW w:w="1409" w:type="dxa"/>
            <w:tcBorders>
              <w:top w:val="single" w:color="auto" w:sz="12" w:space="0"/>
              <w:left w:val="single" w:color="auto" w:sz="4" w:space="0"/>
              <w:bottom w:val="single" w:color="auto" w:sz="4" w:space="0"/>
              <w:right w:val="single" w:color="auto" w:sz="12" w:space="0"/>
            </w:tcBorders>
            <w:noWrap w:val="0"/>
            <w:vAlign w:val="center"/>
          </w:tcPr>
          <w:p>
            <w:pPr>
              <w:spacing w:line="36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合同复印件等证明材料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jc w:val="center"/>
        </w:trPr>
        <w:tc>
          <w:tcPr>
            <w:tcW w:w="634" w:type="dxa"/>
            <w:tcBorders>
              <w:top w:val="single" w:color="auto" w:sz="4" w:space="0"/>
              <w:left w:val="single" w:color="auto" w:sz="12" w:space="0"/>
              <w:bottom w:val="single" w:color="auto" w:sz="4" w:space="0"/>
              <w:right w:val="single" w:color="auto" w:sz="4" w:space="0"/>
            </w:tcBorders>
            <w:noWrap w:val="0"/>
            <w:vAlign w:val="center"/>
          </w:tcPr>
          <w:p>
            <w:pPr>
              <w:spacing w:line="360" w:lineRule="exact"/>
              <w:jc w:val="center"/>
              <w:rPr>
                <w:rFonts w:ascii="宋体" w:hAnsi="宋体" w:cs="宋体"/>
                <w:b/>
                <w:color w:val="auto"/>
                <w:kern w:val="0"/>
                <w:szCs w:val="21"/>
                <w:highlight w:val="none"/>
              </w:rPr>
            </w:pPr>
            <w:r>
              <w:rPr>
                <w:rFonts w:hint="eastAsia" w:ascii="宋体" w:hAnsi="宋体" w:cs="宋体"/>
                <w:b/>
                <w:color w:val="auto"/>
                <w:kern w:val="0"/>
                <w:szCs w:val="21"/>
                <w:highlight w:val="none"/>
              </w:rPr>
              <w:t>1</w:t>
            </w:r>
          </w:p>
        </w:tc>
        <w:tc>
          <w:tcPr>
            <w:tcW w:w="141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ascii="宋体" w:hAnsi="宋体" w:cs="宋体"/>
                <w:b/>
                <w:color w:val="auto"/>
                <w:kern w:val="0"/>
                <w:szCs w:val="21"/>
                <w:highlight w:val="none"/>
              </w:rPr>
            </w:pPr>
          </w:p>
        </w:tc>
        <w:tc>
          <w:tcPr>
            <w:tcW w:w="101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ascii="宋体" w:hAnsi="宋体" w:cs="宋体"/>
                <w:b/>
                <w:color w:val="auto"/>
                <w:kern w:val="0"/>
                <w:szCs w:val="21"/>
                <w:highlight w:val="none"/>
              </w:rPr>
            </w:pPr>
          </w:p>
        </w:tc>
        <w:tc>
          <w:tcPr>
            <w:tcW w:w="1208"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ascii="宋体" w:hAnsi="宋体" w:cs="宋体"/>
                <w:b/>
                <w:color w:val="auto"/>
                <w:kern w:val="0"/>
                <w:szCs w:val="21"/>
                <w:highlight w:val="none"/>
              </w:rPr>
            </w:pPr>
          </w:p>
        </w:tc>
        <w:tc>
          <w:tcPr>
            <w:tcW w:w="124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ascii="宋体" w:hAnsi="宋体" w:cs="宋体"/>
                <w:b/>
                <w:color w:val="auto"/>
                <w:kern w:val="0"/>
                <w:szCs w:val="21"/>
                <w:highlight w:val="none"/>
              </w:rPr>
            </w:pPr>
          </w:p>
        </w:tc>
        <w:tc>
          <w:tcPr>
            <w:tcW w:w="1221" w:type="dxa"/>
            <w:tcBorders>
              <w:top w:val="single" w:color="auto" w:sz="4" w:space="0"/>
              <w:left w:val="single" w:color="auto" w:sz="4" w:space="0"/>
              <w:bottom w:val="single" w:color="auto" w:sz="4" w:space="0"/>
              <w:right w:val="single" w:color="auto" w:sz="4" w:space="0"/>
            </w:tcBorders>
            <w:noWrap w:val="0"/>
            <w:vAlign w:val="top"/>
          </w:tcPr>
          <w:p>
            <w:pPr>
              <w:spacing w:line="360" w:lineRule="exact"/>
              <w:jc w:val="center"/>
              <w:rPr>
                <w:rFonts w:ascii="宋体" w:hAnsi="宋体" w:cs="宋体"/>
                <w:b/>
                <w:color w:val="auto"/>
                <w:kern w:val="0"/>
                <w:szCs w:val="21"/>
                <w:highlight w:val="none"/>
              </w:rPr>
            </w:pPr>
          </w:p>
        </w:tc>
        <w:tc>
          <w:tcPr>
            <w:tcW w:w="1409" w:type="dxa"/>
            <w:tcBorders>
              <w:top w:val="single" w:color="auto" w:sz="4" w:space="0"/>
              <w:left w:val="single" w:color="auto" w:sz="4" w:space="0"/>
              <w:bottom w:val="single" w:color="auto" w:sz="4" w:space="0"/>
              <w:right w:val="single" w:color="auto" w:sz="12" w:space="0"/>
            </w:tcBorders>
            <w:noWrap w:val="0"/>
            <w:vAlign w:val="center"/>
          </w:tcPr>
          <w:p>
            <w:pPr>
              <w:spacing w:line="360" w:lineRule="exact"/>
              <w:jc w:val="center"/>
              <w:rPr>
                <w:rFonts w:ascii="宋体" w:hAnsi="宋体" w:cs="宋体"/>
                <w:b/>
                <w:color w:val="auto"/>
                <w:kern w:val="0"/>
                <w:szCs w:val="21"/>
                <w:highlight w:val="none"/>
              </w:rPr>
            </w:pPr>
          </w:p>
        </w:tc>
        <w:tc>
          <w:tcPr>
            <w:tcW w:w="1409" w:type="dxa"/>
            <w:tcBorders>
              <w:top w:val="single" w:color="auto" w:sz="4" w:space="0"/>
              <w:left w:val="single" w:color="auto" w:sz="4" w:space="0"/>
              <w:bottom w:val="single" w:color="auto" w:sz="4" w:space="0"/>
              <w:right w:val="single" w:color="auto" w:sz="12" w:space="0"/>
            </w:tcBorders>
            <w:noWrap w:val="0"/>
            <w:vAlign w:val="top"/>
          </w:tcPr>
          <w:p>
            <w:pPr>
              <w:spacing w:line="360" w:lineRule="exact"/>
              <w:jc w:val="center"/>
              <w:rPr>
                <w:rFonts w:ascii="宋体" w:hAnsi="宋体" w:cs="宋体"/>
                <w:b/>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jc w:val="center"/>
        </w:trPr>
        <w:tc>
          <w:tcPr>
            <w:tcW w:w="634" w:type="dxa"/>
            <w:tcBorders>
              <w:top w:val="single" w:color="auto" w:sz="4" w:space="0"/>
              <w:left w:val="single" w:color="auto" w:sz="12" w:space="0"/>
              <w:bottom w:val="single" w:color="auto" w:sz="4" w:space="0"/>
              <w:right w:val="single" w:color="auto" w:sz="4" w:space="0"/>
            </w:tcBorders>
            <w:noWrap w:val="0"/>
            <w:vAlign w:val="center"/>
          </w:tcPr>
          <w:p>
            <w:pPr>
              <w:spacing w:line="360" w:lineRule="exact"/>
              <w:jc w:val="center"/>
              <w:rPr>
                <w:rFonts w:ascii="宋体" w:hAnsi="宋体" w:cs="宋体"/>
                <w:b/>
                <w:color w:val="auto"/>
                <w:kern w:val="0"/>
                <w:szCs w:val="21"/>
                <w:highlight w:val="none"/>
              </w:rPr>
            </w:pPr>
            <w:r>
              <w:rPr>
                <w:rFonts w:hint="eastAsia" w:ascii="宋体" w:hAnsi="宋体" w:cs="宋体"/>
                <w:b/>
                <w:color w:val="auto"/>
                <w:kern w:val="0"/>
                <w:szCs w:val="21"/>
                <w:highlight w:val="none"/>
              </w:rPr>
              <w:t>2</w:t>
            </w:r>
          </w:p>
        </w:tc>
        <w:tc>
          <w:tcPr>
            <w:tcW w:w="141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ascii="宋体" w:hAnsi="宋体" w:cs="宋体"/>
                <w:b/>
                <w:color w:val="auto"/>
                <w:kern w:val="0"/>
                <w:szCs w:val="21"/>
                <w:highlight w:val="none"/>
              </w:rPr>
            </w:pPr>
          </w:p>
        </w:tc>
        <w:tc>
          <w:tcPr>
            <w:tcW w:w="101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ascii="宋体" w:hAnsi="宋体" w:cs="宋体"/>
                <w:b/>
                <w:color w:val="auto"/>
                <w:kern w:val="0"/>
                <w:szCs w:val="21"/>
                <w:highlight w:val="none"/>
              </w:rPr>
            </w:pPr>
          </w:p>
        </w:tc>
        <w:tc>
          <w:tcPr>
            <w:tcW w:w="1208"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ascii="宋体" w:hAnsi="宋体" w:cs="宋体"/>
                <w:b/>
                <w:color w:val="auto"/>
                <w:kern w:val="0"/>
                <w:szCs w:val="21"/>
                <w:highlight w:val="none"/>
              </w:rPr>
            </w:pPr>
          </w:p>
        </w:tc>
        <w:tc>
          <w:tcPr>
            <w:tcW w:w="124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ascii="宋体" w:hAnsi="宋体" w:cs="宋体"/>
                <w:b/>
                <w:color w:val="auto"/>
                <w:kern w:val="0"/>
                <w:szCs w:val="21"/>
                <w:highlight w:val="none"/>
              </w:rPr>
            </w:pPr>
          </w:p>
        </w:tc>
        <w:tc>
          <w:tcPr>
            <w:tcW w:w="1221" w:type="dxa"/>
            <w:tcBorders>
              <w:top w:val="single" w:color="auto" w:sz="4" w:space="0"/>
              <w:left w:val="single" w:color="auto" w:sz="4" w:space="0"/>
              <w:bottom w:val="single" w:color="auto" w:sz="4" w:space="0"/>
              <w:right w:val="single" w:color="auto" w:sz="4" w:space="0"/>
            </w:tcBorders>
            <w:noWrap w:val="0"/>
            <w:vAlign w:val="top"/>
          </w:tcPr>
          <w:p>
            <w:pPr>
              <w:spacing w:line="360" w:lineRule="exact"/>
              <w:jc w:val="center"/>
              <w:rPr>
                <w:rFonts w:ascii="宋体" w:hAnsi="宋体" w:cs="宋体"/>
                <w:b/>
                <w:color w:val="auto"/>
                <w:kern w:val="0"/>
                <w:szCs w:val="21"/>
                <w:highlight w:val="none"/>
              </w:rPr>
            </w:pPr>
          </w:p>
        </w:tc>
        <w:tc>
          <w:tcPr>
            <w:tcW w:w="1409" w:type="dxa"/>
            <w:tcBorders>
              <w:top w:val="single" w:color="auto" w:sz="4" w:space="0"/>
              <w:left w:val="single" w:color="auto" w:sz="4" w:space="0"/>
              <w:bottom w:val="single" w:color="auto" w:sz="4" w:space="0"/>
              <w:right w:val="single" w:color="auto" w:sz="12" w:space="0"/>
            </w:tcBorders>
            <w:noWrap w:val="0"/>
            <w:vAlign w:val="center"/>
          </w:tcPr>
          <w:p>
            <w:pPr>
              <w:spacing w:line="360" w:lineRule="exact"/>
              <w:jc w:val="center"/>
              <w:rPr>
                <w:rFonts w:ascii="宋体" w:hAnsi="宋体" w:cs="宋体"/>
                <w:b/>
                <w:color w:val="auto"/>
                <w:kern w:val="0"/>
                <w:szCs w:val="21"/>
                <w:highlight w:val="none"/>
              </w:rPr>
            </w:pPr>
          </w:p>
        </w:tc>
        <w:tc>
          <w:tcPr>
            <w:tcW w:w="1409" w:type="dxa"/>
            <w:tcBorders>
              <w:top w:val="single" w:color="auto" w:sz="4" w:space="0"/>
              <w:left w:val="single" w:color="auto" w:sz="4" w:space="0"/>
              <w:bottom w:val="single" w:color="auto" w:sz="4" w:space="0"/>
              <w:right w:val="single" w:color="auto" w:sz="12" w:space="0"/>
            </w:tcBorders>
            <w:noWrap w:val="0"/>
            <w:vAlign w:val="top"/>
          </w:tcPr>
          <w:p>
            <w:pPr>
              <w:spacing w:line="360" w:lineRule="exact"/>
              <w:jc w:val="center"/>
              <w:rPr>
                <w:rFonts w:ascii="宋体" w:hAnsi="宋体" w:cs="宋体"/>
                <w:b/>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jc w:val="center"/>
        </w:trPr>
        <w:tc>
          <w:tcPr>
            <w:tcW w:w="634" w:type="dxa"/>
            <w:tcBorders>
              <w:top w:val="single" w:color="auto" w:sz="4" w:space="0"/>
              <w:left w:val="single" w:color="auto" w:sz="12" w:space="0"/>
              <w:bottom w:val="single" w:color="auto" w:sz="4" w:space="0"/>
              <w:right w:val="single" w:color="auto" w:sz="4" w:space="0"/>
            </w:tcBorders>
            <w:noWrap w:val="0"/>
            <w:vAlign w:val="center"/>
          </w:tcPr>
          <w:p>
            <w:pPr>
              <w:spacing w:line="360" w:lineRule="exact"/>
              <w:jc w:val="center"/>
              <w:rPr>
                <w:rFonts w:ascii="宋体" w:hAnsi="宋体" w:cs="宋体"/>
                <w:b/>
                <w:color w:val="auto"/>
                <w:kern w:val="0"/>
                <w:szCs w:val="21"/>
                <w:highlight w:val="none"/>
              </w:rPr>
            </w:pPr>
            <w:r>
              <w:rPr>
                <w:rFonts w:hint="eastAsia" w:ascii="宋体" w:hAnsi="宋体" w:cs="宋体"/>
                <w:b/>
                <w:color w:val="auto"/>
                <w:kern w:val="0"/>
                <w:szCs w:val="21"/>
                <w:highlight w:val="none"/>
              </w:rPr>
              <w:t>3</w:t>
            </w:r>
          </w:p>
        </w:tc>
        <w:tc>
          <w:tcPr>
            <w:tcW w:w="141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ascii="宋体" w:hAnsi="宋体" w:cs="宋体"/>
                <w:b/>
                <w:color w:val="auto"/>
                <w:kern w:val="0"/>
                <w:szCs w:val="21"/>
                <w:highlight w:val="none"/>
              </w:rPr>
            </w:pPr>
          </w:p>
        </w:tc>
        <w:tc>
          <w:tcPr>
            <w:tcW w:w="101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ascii="宋体" w:hAnsi="宋体" w:cs="宋体"/>
                <w:b/>
                <w:color w:val="auto"/>
                <w:kern w:val="0"/>
                <w:szCs w:val="21"/>
                <w:highlight w:val="none"/>
              </w:rPr>
            </w:pPr>
          </w:p>
        </w:tc>
        <w:tc>
          <w:tcPr>
            <w:tcW w:w="1208"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ascii="宋体" w:hAnsi="宋体" w:cs="宋体"/>
                <w:b/>
                <w:color w:val="auto"/>
                <w:kern w:val="0"/>
                <w:szCs w:val="21"/>
                <w:highlight w:val="none"/>
              </w:rPr>
            </w:pPr>
          </w:p>
        </w:tc>
        <w:tc>
          <w:tcPr>
            <w:tcW w:w="124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ascii="宋体" w:hAnsi="宋体" w:cs="宋体"/>
                <w:b/>
                <w:color w:val="auto"/>
                <w:kern w:val="0"/>
                <w:szCs w:val="21"/>
                <w:highlight w:val="none"/>
              </w:rPr>
            </w:pPr>
          </w:p>
        </w:tc>
        <w:tc>
          <w:tcPr>
            <w:tcW w:w="1221" w:type="dxa"/>
            <w:tcBorders>
              <w:top w:val="single" w:color="auto" w:sz="4" w:space="0"/>
              <w:left w:val="single" w:color="auto" w:sz="4" w:space="0"/>
              <w:bottom w:val="single" w:color="auto" w:sz="4" w:space="0"/>
              <w:right w:val="single" w:color="auto" w:sz="4" w:space="0"/>
            </w:tcBorders>
            <w:noWrap w:val="0"/>
            <w:vAlign w:val="top"/>
          </w:tcPr>
          <w:p>
            <w:pPr>
              <w:spacing w:line="360" w:lineRule="exact"/>
              <w:jc w:val="center"/>
              <w:rPr>
                <w:rFonts w:ascii="宋体" w:hAnsi="宋体" w:cs="宋体"/>
                <w:b/>
                <w:color w:val="auto"/>
                <w:kern w:val="0"/>
                <w:szCs w:val="21"/>
                <w:highlight w:val="none"/>
              </w:rPr>
            </w:pPr>
          </w:p>
        </w:tc>
        <w:tc>
          <w:tcPr>
            <w:tcW w:w="1409" w:type="dxa"/>
            <w:tcBorders>
              <w:top w:val="single" w:color="auto" w:sz="4" w:space="0"/>
              <w:left w:val="single" w:color="auto" w:sz="4" w:space="0"/>
              <w:bottom w:val="single" w:color="auto" w:sz="4" w:space="0"/>
              <w:right w:val="single" w:color="auto" w:sz="12" w:space="0"/>
            </w:tcBorders>
            <w:noWrap w:val="0"/>
            <w:vAlign w:val="center"/>
          </w:tcPr>
          <w:p>
            <w:pPr>
              <w:spacing w:line="360" w:lineRule="exact"/>
              <w:jc w:val="center"/>
              <w:rPr>
                <w:rFonts w:ascii="宋体" w:hAnsi="宋体" w:cs="宋体"/>
                <w:b/>
                <w:color w:val="auto"/>
                <w:kern w:val="0"/>
                <w:szCs w:val="21"/>
                <w:highlight w:val="none"/>
              </w:rPr>
            </w:pPr>
          </w:p>
        </w:tc>
        <w:tc>
          <w:tcPr>
            <w:tcW w:w="1409" w:type="dxa"/>
            <w:tcBorders>
              <w:top w:val="single" w:color="auto" w:sz="4" w:space="0"/>
              <w:left w:val="single" w:color="auto" w:sz="4" w:space="0"/>
              <w:bottom w:val="single" w:color="auto" w:sz="4" w:space="0"/>
              <w:right w:val="single" w:color="auto" w:sz="12" w:space="0"/>
            </w:tcBorders>
            <w:noWrap w:val="0"/>
            <w:vAlign w:val="top"/>
          </w:tcPr>
          <w:p>
            <w:pPr>
              <w:spacing w:line="360" w:lineRule="exact"/>
              <w:jc w:val="center"/>
              <w:rPr>
                <w:rFonts w:ascii="宋体" w:hAnsi="宋体" w:cs="宋体"/>
                <w:b/>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jc w:val="center"/>
        </w:trPr>
        <w:tc>
          <w:tcPr>
            <w:tcW w:w="634" w:type="dxa"/>
            <w:tcBorders>
              <w:top w:val="single" w:color="auto" w:sz="4" w:space="0"/>
              <w:left w:val="single" w:color="auto" w:sz="12" w:space="0"/>
              <w:bottom w:val="single" w:color="auto" w:sz="12" w:space="0"/>
              <w:right w:val="single" w:color="auto" w:sz="4" w:space="0"/>
            </w:tcBorders>
            <w:noWrap w:val="0"/>
            <w:vAlign w:val="center"/>
          </w:tcPr>
          <w:p>
            <w:pPr>
              <w:spacing w:line="360" w:lineRule="exact"/>
              <w:jc w:val="center"/>
              <w:rPr>
                <w:rFonts w:ascii="宋体" w:hAnsi="宋体" w:cs="宋体"/>
                <w:b/>
                <w:color w:val="auto"/>
                <w:kern w:val="0"/>
                <w:szCs w:val="21"/>
                <w:highlight w:val="none"/>
              </w:rPr>
            </w:pPr>
            <w:r>
              <w:rPr>
                <w:rFonts w:hint="eastAsia" w:ascii="宋体" w:hAnsi="宋体" w:cs="宋体"/>
                <w:b/>
                <w:color w:val="auto"/>
                <w:kern w:val="0"/>
                <w:szCs w:val="21"/>
                <w:highlight w:val="none"/>
              </w:rPr>
              <w:t>4</w:t>
            </w:r>
          </w:p>
        </w:tc>
        <w:tc>
          <w:tcPr>
            <w:tcW w:w="1416" w:type="dxa"/>
            <w:tcBorders>
              <w:top w:val="single" w:color="auto" w:sz="4" w:space="0"/>
              <w:left w:val="single" w:color="auto" w:sz="4" w:space="0"/>
              <w:bottom w:val="single" w:color="auto" w:sz="12" w:space="0"/>
              <w:right w:val="single" w:color="auto" w:sz="4" w:space="0"/>
            </w:tcBorders>
            <w:noWrap w:val="0"/>
            <w:vAlign w:val="center"/>
          </w:tcPr>
          <w:p>
            <w:pPr>
              <w:spacing w:line="360" w:lineRule="exact"/>
              <w:jc w:val="center"/>
              <w:rPr>
                <w:rFonts w:ascii="宋体" w:hAnsi="宋体" w:cs="宋体"/>
                <w:b/>
                <w:color w:val="auto"/>
                <w:kern w:val="0"/>
                <w:szCs w:val="21"/>
                <w:highlight w:val="none"/>
              </w:rPr>
            </w:pPr>
            <w:r>
              <w:rPr>
                <w:rFonts w:hint="eastAsia" w:ascii="宋体" w:hAnsi="宋体" w:cs="宋体"/>
                <w:b/>
                <w:color w:val="auto"/>
                <w:kern w:val="0"/>
                <w:szCs w:val="21"/>
                <w:highlight w:val="none"/>
              </w:rPr>
              <w:t>…</w:t>
            </w:r>
          </w:p>
        </w:tc>
        <w:tc>
          <w:tcPr>
            <w:tcW w:w="1010" w:type="dxa"/>
            <w:tcBorders>
              <w:top w:val="single" w:color="auto" w:sz="4" w:space="0"/>
              <w:left w:val="single" w:color="auto" w:sz="4" w:space="0"/>
              <w:bottom w:val="single" w:color="auto" w:sz="12" w:space="0"/>
              <w:right w:val="single" w:color="auto" w:sz="4" w:space="0"/>
            </w:tcBorders>
            <w:noWrap w:val="0"/>
            <w:vAlign w:val="center"/>
          </w:tcPr>
          <w:p>
            <w:pPr>
              <w:spacing w:line="360" w:lineRule="exact"/>
              <w:jc w:val="center"/>
              <w:rPr>
                <w:rFonts w:ascii="宋体" w:hAnsi="宋体" w:cs="宋体"/>
                <w:b/>
                <w:color w:val="auto"/>
                <w:kern w:val="0"/>
                <w:szCs w:val="21"/>
                <w:highlight w:val="none"/>
              </w:rPr>
            </w:pPr>
          </w:p>
        </w:tc>
        <w:tc>
          <w:tcPr>
            <w:tcW w:w="1208" w:type="dxa"/>
            <w:tcBorders>
              <w:top w:val="single" w:color="auto" w:sz="4" w:space="0"/>
              <w:left w:val="single" w:color="auto" w:sz="4" w:space="0"/>
              <w:bottom w:val="single" w:color="auto" w:sz="12" w:space="0"/>
              <w:right w:val="single" w:color="auto" w:sz="4" w:space="0"/>
            </w:tcBorders>
            <w:noWrap w:val="0"/>
            <w:vAlign w:val="center"/>
          </w:tcPr>
          <w:p>
            <w:pPr>
              <w:spacing w:line="360" w:lineRule="exact"/>
              <w:jc w:val="center"/>
              <w:rPr>
                <w:rFonts w:ascii="宋体" w:hAnsi="宋体" w:cs="宋体"/>
                <w:b/>
                <w:color w:val="auto"/>
                <w:kern w:val="0"/>
                <w:szCs w:val="21"/>
                <w:highlight w:val="none"/>
              </w:rPr>
            </w:pPr>
          </w:p>
        </w:tc>
        <w:tc>
          <w:tcPr>
            <w:tcW w:w="1249" w:type="dxa"/>
            <w:tcBorders>
              <w:top w:val="single" w:color="auto" w:sz="4" w:space="0"/>
              <w:left w:val="single" w:color="auto" w:sz="4" w:space="0"/>
              <w:bottom w:val="single" w:color="auto" w:sz="12" w:space="0"/>
              <w:right w:val="single" w:color="auto" w:sz="4" w:space="0"/>
            </w:tcBorders>
            <w:noWrap w:val="0"/>
            <w:vAlign w:val="center"/>
          </w:tcPr>
          <w:p>
            <w:pPr>
              <w:spacing w:line="360" w:lineRule="exact"/>
              <w:jc w:val="center"/>
              <w:rPr>
                <w:rFonts w:ascii="宋体" w:hAnsi="宋体" w:cs="宋体"/>
                <w:b/>
                <w:color w:val="auto"/>
                <w:kern w:val="0"/>
                <w:szCs w:val="21"/>
                <w:highlight w:val="none"/>
              </w:rPr>
            </w:pPr>
          </w:p>
        </w:tc>
        <w:tc>
          <w:tcPr>
            <w:tcW w:w="1221" w:type="dxa"/>
            <w:tcBorders>
              <w:top w:val="single" w:color="auto" w:sz="4" w:space="0"/>
              <w:left w:val="single" w:color="auto" w:sz="4" w:space="0"/>
              <w:bottom w:val="single" w:color="auto" w:sz="12" w:space="0"/>
              <w:right w:val="single" w:color="auto" w:sz="4" w:space="0"/>
            </w:tcBorders>
            <w:noWrap w:val="0"/>
            <w:vAlign w:val="top"/>
          </w:tcPr>
          <w:p>
            <w:pPr>
              <w:spacing w:line="360" w:lineRule="exact"/>
              <w:jc w:val="center"/>
              <w:rPr>
                <w:rFonts w:ascii="宋体" w:hAnsi="宋体" w:cs="宋体"/>
                <w:b/>
                <w:color w:val="auto"/>
                <w:kern w:val="0"/>
                <w:szCs w:val="21"/>
                <w:highlight w:val="none"/>
              </w:rPr>
            </w:pPr>
          </w:p>
        </w:tc>
        <w:tc>
          <w:tcPr>
            <w:tcW w:w="1409" w:type="dxa"/>
            <w:tcBorders>
              <w:top w:val="single" w:color="auto" w:sz="4" w:space="0"/>
              <w:left w:val="single" w:color="auto" w:sz="4" w:space="0"/>
              <w:bottom w:val="single" w:color="auto" w:sz="12" w:space="0"/>
              <w:right w:val="single" w:color="auto" w:sz="12" w:space="0"/>
            </w:tcBorders>
            <w:noWrap w:val="0"/>
            <w:vAlign w:val="center"/>
          </w:tcPr>
          <w:p>
            <w:pPr>
              <w:spacing w:line="360" w:lineRule="exact"/>
              <w:jc w:val="center"/>
              <w:rPr>
                <w:rFonts w:ascii="宋体" w:hAnsi="宋体" w:cs="宋体"/>
                <w:b/>
                <w:color w:val="auto"/>
                <w:kern w:val="0"/>
                <w:szCs w:val="21"/>
                <w:highlight w:val="none"/>
              </w:rPr>
            </w:pPr>
          </w:p>
        </w:tc>
        <w:tc>
          <w:tcPr>
            <w:tcW w:w="1409" w:type="dxa"/>
            <w:tcBorders>
              <w:top w:val="single" w:color="auto" w:sz="4" w:space="0"/>
              <w:left w:val="single" w:color="auto" w:sz="4" w:space="0"/>
              <w:bottom w:val="single" w:color="auto" w:sz="12" w:space="0"/>
              <w:right w:val="single" w:color="auto" w:sz="12" w:space="0"/>
            </w:tcBorders>
            <w:noWrap w:val="0"/>
            <w:vAlign w:val="top"/>
          </w:tcPr>
          <w:p>
            <w:pPr>
              <w:spacing w:line="360" w:lineRule="exact"/>
              <w:jc w:val="center"/>
              <w:rPr>
                <w:rFonts w:ascii="宋体" w:hAnsi="宋体" w:cs="宋体"/>
                <w:b/>
                <w:color w:val="auto"/>
                <w:kern w:val="0"/>
                <w:szCs w:val="21"/>
                <w:highlight w:val="none"/>
              </w:rPr>
            </w:pPr>
          </w:p>
        </w:tc>
      </w:tr>
    </w:tbl>
    <w:p>
      <w:pPr>
        <w:spacing w:line="360" w:lineRule="auto"/>
        <w:ind w:right="187" w:firstLine="480" w:firstLineChars="200"/>
        <w:jc w:val="left"/>
        <w:rPr>
          <w:rFonts w:ascii="宋体" w:hAnsi="宋体" w:cs="宋体"/>
          <w:color w:val="auto"/>
          <w:sz w:val="24"/>
          <w:highlight w:val="none"/>
        </w:rPr>
      </w:pPr>
      <w:r>
        <w:rPr>
          <w:rFonts w:hint="eastAsia" w:ascii="宋体" w:hAnsi="宋体" w:cs="宋体"/>
          <w:color w:val="auto"/>
          <w:sz w:val="24"/>
          <w:highlight w:val="none"/>
        </w:rPr>
        <w:t>说明：（1）以上合同案例须真实有效，相关内容在</w:t>
      </w:r>
      <w:r>
        <w:rPr>
          <w:rFonts w:hint="eastAsia" w:ascii="宋体" w:hAnsi="宋体" w:cs="宋体"/>
          <w:color w:val="auto"/>
          <w:sz w:val="24"/>
          <w:highlight w:val="none"/>
          <w:lang w:val="en-US" w:eastAsia="zh-CN"/>
        </w:rPr>
        <w:t>成交</w:t>
      </w:r>
      <w:r>
        <w:rPr>
          <w:rFonts w:hint="eastAsia" w:ascii="宋体" w:hAnsi="宋体" w:cs="宋体"/>
          <w:color w:val="auto"/>
          <w:sz w:val="24"/>
          <w:highlight w:val="none"/>
        </w:rPr>
        <w:t>公告中予以公示。</w:t>
      </w:r>
    </w:p>
    <w:p>
      <w:pPr>
        <w:spacing w:line="360" w:lineRule="auto"/>
        <w:ind w:right="187" w:firstLine="840" w:firstLineChars="350"/>
        <w:jc w:val="left"/>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w:t>
      </w:r>
      <w:r>
        <w:rPr>
          <w:rFonts w:hint="eastAsia" w:ascii="宋体" w:hAnsi="宋体" w:cs="宋体"/>
          <w:color w:val="auto"/>
          <w:sz w:val="24"/>
          <w:highlight w:val="none"/>
        </w:rPr>
        <w:t>2</w:t>
      </w:r>
      <w:r>
        <w:rPr>
          <w:rFonts w:hint="eastAsia" w:ascii="宋体" w:hAnsi="宋体" w:cs="宋体"/>
          <w:color w:val="auto"/>
          <w:sz w:val="24"/>
          <w:highlight w:val="none"/>
          <w:lang w:eastAsia="zh-CN"/>
        </w:rPr>
        <w:t>）</w:t>
      </w:r>
      <w:r>
        <w:rPr>
          <w:rFonts w:hint="eastAsia" w:ascii="宋体" w:hAnsi="宋体" w:cs="宋体"/>
          <w:color w:val="auto"/>
          <w:kern w:val="0"/>
          <w:sz w:val="24"/>
          <w:highlight w:val="none"/>
        </w:rPr>
        <w:t>提供</w:t>
      </w:r>
      <w:r>
        <w:rPr>
          <w:rFonts w:hint="eastAsia" w:ascii="宋体" w:hAnsi="宋体" w:cs="宋体"/>
          <w:color w:val="auto"/>
          <w:sz w:val="24"/>
          <w:highlight w:val="none"/>
        </w:rPr>
        <w:t>提交20</w:t>
      </w:r>
      <w:r>
        <w:rPr>
          <w:rFonts w:hint="eastAsia" w:ascii="宋体" w:hAnsi="宋体" w:cs="宋体"/>
          <w:color w:val="auto"/>
          <w:sz w:val="24"/>
          <w:highlight w:val="none"/>
          <w:lang w:val="en-US" w:eastAsia="zh-CN"/>
        </w:rPr>
        <w:t>21</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月1日以来</w:t>
      </w:r>
      <w:r>
        <w:rPr>
          <w:rFonts w:hint="eastAsia" w:ascii="宋体" w:hAnsi="宋体" w:cs="宋体"/>
          <w:color w:val="auto"/>
          <w:kern w:val="0"/>
          <w:sz w:val="24"/>
          <w:highlight w:val="none"/>
        </w:rPr>
        <w:t>的合同复印件</w:t>
      </w:r>
      <w:r>
        <w:rPr>
          <w:rFonts w:hint="eastAsia" w:ascii="宋体" w:hAnsi="宋体" w:cs="宋体"/>
          <w:color w:val="auto"/>
          <w:kern w:val="0"/>
          <w:sz w:val="24"/>
          <w:highlight w:val="none"/>
          <w:lang w:val="en-US" w:eastAsia="zh-CN"/>
        </w:rPr>
        <w:t>及成交（中标）通知书复印件</w:t>
      </w:r>
      <w:r>
        <w:rPr>
          <w:rFonts w:hint="eastAsia" w:ascii="宋体" w:hAnsi="宋体" w:cs="宋体"/>
          <w:color w:val="auto"/>
          <w:kern w:val="0"/>
          <w:sz w:val="24"/>
          <w:highlight w:val="none"/>
        </w:rPr>
        <w:t>等证明材料（</w:t>
      </w:r>
      <w:r>
        <w:rPr>
          <w:rFonts w:hint="eastAsia" w:ascii="宋体" w:hAnsi="宋体" w:cs="宋体"/>
          <w:color w:val="auto"/>
          <w:sz w:val="24"/>
          <w:highlight w:val="none"/>
        </w:rPr>
        <w:t>至少包括合同首页、标的及标的金额页、签字盖章页及相应标的明细等内容</w:t>
      </w:r>
      <w:r>
        <w:rPr>
          <w:rFonts w:hint="eastAsia" w:ascii="宋体" w:hAnsi="宋体" w:cs="宋体"/>
          <w:color w:val="auto"/>
          <w:kern w:val="0"/>
          <w:sz w:val="24"/>
          <w:highlight w:val="none"/>
        </w:rPr>
        <w:t>）</w:t>
      </w:r>
      <w:r>
        <w:rPr>
          <w:rFonts w:hint="eastAsia" w:ascii="宋体" w:hAnsi="宋体" w:cs="宋体"/>
          <w:color w:val="auto"/>
          <w:kern w:val="0"/>
          <w:sz w:val="24"/>
          <w:highlight w:val="none"/>
          <w:lang w:eastAsia="zh-CN"/>
        </w:rPr>
        <w:t>。</w:t>
      </w:r>
    </w:p>
    <w:p>
      <w:pPr>
        <w:rPr>
          <w:rFonts w:ascii="宋体" w:hAnsi="宋体" w:cs="宋体"/>
          <w:color w:val="auto"/>
          <w:highlight w:val="none"/>
        </w:rPr>
      </w:pPr>
    </w:p>
    <w:p>
      <w:pPr>
        <w:pStyle w:val="15"/>
        <w:spacing w:line="480" w:lineRule="exact"/>
        <w:ind w:left="0" w:leftChars="0" w:firstLine="0" w:firstLineChars="0"/>
        <w:rPr>
          <w:rFonts w:hAnsi="宋体" w:cs="宋体"/>
          <w:color w:val="auto"/>
          <w:sz w:val="24"/>
          <w:szCs w:val="24"/>
          <w:highlight w:val="none"/>
        </w:rPr>
      </w:pPr>
      <w:r>
        <w:rPr>
          <w:rFonts w:hint="eastAsia" w:hAnsi="宋体" w:cs="宋体"/>
          <w:color w:val="auto"/>
          <w:sz w:val="24"/>
          <w:szCs w:val="24"/>
          <w:highlight w:val="none"/>
        </w:rPr>
        <w:t>供应商名称</w:t>
      </w:r>
      <w:r>
        <w:rPr>
          <w:rFonts w:hint="eastAsia" w:hAnsi="宋体" w:cs="宋体"/>
          <w:color w:val="auto"/>
          <w:sz w:val="24"/>
          <w:szCs w:val="24"/>
          <w:highlight w:val="none"/>
          <w:lang w:eastAsia="zh-CN"/>
        </w:rPr>
        <w:t>（</w:t>
      </w:r>
      <w:r>
        <w:rPr>
          <w:rFonts w:hint="eastAsia" w:hAnsi="宋体" w:cs="宋体"/>
          <w:color w:val="auto"/>
          <w:sz w:val="24"/>
          <w:szCs w:val="24"/>
          <w:highlight w:val="none"/>
        </w:rPr>
        <w:t>公章</w:t>
      </w:r>
      <w:r>
        <w:rPr>
          <w:rFonts w:hint="eastAsia" w:hAnsi="宋体" w:cs="宋体"/>
          <w:color w:val="auto"/>
          <w:sz w:val="24"/>
          <w:szCs w:val="24"/>
          <w:highlight w:val="none"/>
          <w:lang w:eastAsia="zh-CN"/>
        </w:rPr>
        <w:t>）</w:t>
      </w:r>
      <w:r>
        <w:rPr>
          <w:rFonts w:hint="eastAsia" w:hAnsi="宋体" w:cs="宋体"/>
          <w:color w:val="auto"/>
          <w:sz w:val="24"/>
          <w:szCs w:val="24"/>
          <w:highlight w:val="none"/>
        </w:rPr>
        <w:t>：______________</w:t>
      </w:r>
    </w:p>
    <w:p>
      <w:pPr>
        <w:pStyle w:val="15"/>
        <w:spacing w:line="480" w:lineRule="exact"/>
        <w:ind w:left="0" w:leftChars="0" w:firstLine="0" w:firstLineChars="0"/>
        <w:rPr>
          <w:rFonts w:hAnsi="宋体" w:cs="宋体"/>
          <w:color w:val="auto"/>
          <w:sz w:val="24"/>
          <w:szCs w:val="24"/>
          <w:highlight w:val="none"/>
        </w:rPr>
      </w:pPr>
      <w:r>
        <w:rPr>
          <w:rFonts w:hint="eastAsia" w:hAnsi="宋体" w:cs="宋体"/>
          <w:color w:val="auto"/>
          <w:sz w:val="24"/>
          <w:szCs w:val="24"/>
          <w:highlight w:val="none"/>
        </w:rPr>
        <w:t>法定代表人或负责人或其授权代表</w:t>
      </w:r>
      <w:r>
        <w:rPr>
          <w:rFonts w:hint="eastAsia" w:hAnsi="宋体" w:cs="宋体"/>
          <w:color w:val="auto"/>
          <w:sz w:val="24"/>
          <w:szCs w:val="24"/>
          <w:highlight w:val="none"/>
          <w:lang w:eastAsia="zh-CN"/>
        </w:rPr>
        <w:t>（</w:t>
      </w:r>
      <w:r>
        <w:rPr>
          <w:rFonts w:hint="eastAsia" w:hAnsi="宋体" w:cs="宋体"/>
          <w:color w:val="auto"/>
          <w:sz w:val="24"/>
          <w:szCs w:val="24"/>
          <w:highlight w:val="none"/>
        </w:rPr>
        <w:t>签字或盖章</w:t>
      </w:r>
      <w:r>
        <w:rPr>
          <w:rFonts w:hint="eastAsia" w:hAnsi="宋体" w:cs="宋体"/>
          <w:color w:val="auto"/>
          <w:sz w:val="24"/>
          <w:szCs w:val="24"/>
          <w:highlight w:val="none"/>
          <w:lang w:eastAsia="zh-CN"/>
        </w:rPr>
        <w:t>）</w:t>
      </w:r>
      <w:r>
        <w:rPr>
          <w:rFonts w:hint="eastAsia" w:hAnsi="宋体" w:cs="宋体"/>
          <w:color w:val="auto"/>
          <w:sz w:val="24"/>
          <w:szCs w:val="24"/>
          <w:highlight w:val="none"/>
        </w:rPr>
        <w:t>：______________</w:t>
      </w:r>
    </w:p>
    <w:p>
      <w:pPr>
        <w:pStyle w:val="15"/>
        <w:spacing w:line="480" w:lineRule="exact"/>
        <w:ind w:left="0" w:leftChars="0" w:firstLine="0" w:firstLineChars="0"/>
        <w:rPr>
          <w:rFonts w:hint="eastAsia" w:hAnsi="宋体" w:cs="宋体"/>
          <w:color w:val="auto"/>
          <w:sz w:val="24"/>
          <w:szCs w:val="24"/>
          <w:highlight w:val="none"/>
        </w:rPr>
      </w:pPr>
      <w:r>
        <w:rPr>
          <w:rFonts w:hint="eastAsia" w:hAnsi="宋体" w:cs="宋体"/>
          <w:color w:val="auto"/>
          <w:sz w:val="24"/>
          <w:szCs w:val="24"/>
          <w:highlight w:val="none"/>
        </w:rPr>
        <w:t>日期：______年____月____日</w:t>
      </w:r>
    </w:p>
    <w:p>
      <w:pPr>
        <w:pStyle w:val="5"/>
        <w:spacing w:line="480" w:lineRule="exact"/>
        <w:rPr>
          <w:rFonts w:hAnsi="宋体" w:cs="宋体"/>
          <w:color w:val="auto"/>
          <w:highlight w:val="none"/>
          <w:u w:val="none"/>
        </w:rPr>
      </w:pPr>
      <w:r>
        <w:rPr>
          <w:rFonts w:hint="eastAsia" w:hAnsi="宋体" w:cs="宋体"/>
          <w:color w:val="auto"/>
          <w:highlight w:val="none"/>
          <w:u w:val="none"/>
        </w:rPr>
        <w:t>1</w:t>
      </w:r>
      <w:r>
        <w:rPr>
          <w:rFonts w:hint="eastAsia" w:cs="宋体"/>
          <w:color w:val="auto"/>
          <w:highlight w:val="none"/>
          <w:u w:val="none"/>
          <w:lang w:val="en-US" w:eastAsia="zh-CN"/>
        </w:rPr>
        <w:t>4</w:t>
      </w:r>
      <w:r>
        <w:rPr>
          <w:rFonts w:hint="eastAsia" w:hAnsi="宋体" w:cs="宋体"/>
          <w:color w:val="auto"/>
          <w:highlight w:val="none"/>
          <w:u w:val="none"/>
        </w:rPr>
        <w:t>.技术评审文件</w:t>
      </w:r>
      <w:bookmarkEnd w:id="315"/>
      <w:bookmarkEnd w:id="316"/>
    </w:p>
    <w:p>
      <w:pPr>
        <w:spacing w:line="480" w:lineRule="exact"/>
        <w:jc w:val="left"/>
        <w:rPr>
          <w:rFonts w:ascii="宋体" w:hAnsi="宋体" w:cs="宋体"/>
          <w:color w:val="auto"/>
          <w:kern w:val="0"/>
          <w:sz w:val="24"/>
          <w:szCs w:val="22"/>
          <w:highlight w:val="none"/>
        </w:rPr>
      </w:pPr>
      <w:r>
        <w:rPr>
          <w:rFonts w:hint="eastAsia" w:ascii="宋体" w:hAnsi="宋体" w:cs="宋体"/>
          <w:color w:val="auto"/>
          <w:kern w:val="0"/>
          <w:sz w:val="24"/>
          <w:szCs w:val="22"/>
          <w:highlight w:val="none"/>
        </w:rPr>
        <w:t>技术部分评分中要求的相关技术文件。</w:t>
      </w:r>
    </w:p>
    <w:p>
      <w:pPr>
        <w:pStyle w:val="5"/>
        <w:spacing w:line="480" w:lineRule="exact"/>
        <w:rPr>
          <w:rFonts w:hAnsi="宋体" w:cs="宋体"/>
          <w:color w:val="auto"/>
          <w:highlight w:val="none"/>
          <w:u w:val="none"/>
        </w:rPr>
      </w:pPr>
      <w:bookmarkStart w:id="318" w:name="_Toc46238290"/>
      <w:bookmarkStart w:id="319" w:name="_Toc46136873"/>
      <w:r>
        <w:rPr>
          <w:rFonts w:hint="eastAsia" w:hAnsi="宋体" w:cs="宋体"/>
          <w:color w:val="auto"/>
          <w:highlight w:val="none"/>
          <w:u w:val="none"/>
        </w:rPr>
        <w:t>1</w:t>
      </w:r>
      <w:r>
        <w:rPr>
          <w:rFonts w:hint="eastAsia" w:cs="宋体"/>
          <w:color w:val="auto"/>
          <w:highlight w:val="none"/>
          <w:u w:val="none"/>
          <w:lang w:val="en-US" w:eastAsia="zh-CN"/>
        </w:rPr>
        <w:t>5</w:t>
      </w:r>
      <w:r>
        <w:rPr>
          <w:rFonts w:hint="eastAsia" w:hAnsi="宋体" w:cs="宋体"/>
          <w:color w:val="auto"/>
          <w:highlight w:val="none"/>
          <w:u w:val="none"/>
        </w:rPr>
        <w:t>.其他用于评分的证明材料</w:t>
      </w:r>
      <w:bookmarkEnd w:id="318"/>
      <w:bookmarkEnd w:id="319"/>
    </w:p>
    <w:p>
      <w:pPr>
        <w:spacing w:line="480" w:lineRule="exact"/>
        <w:jc w:val="left"/>
        <w:rPr>
          <w:rFonts w:ascii="宋体" w:hAnsi="宋体" w:cs="宋体"/>
          <w:color w:val="auto"/>
          <w:kern w:val="0"/>
          <w:sz w:val="24"/>
          <w:szCs w:val="22"/>
          <w:highlight w:val="none"/>
        </w:rPr>
      </w:pPr>
      <w:r>
        <w:rPr>
          <w:rFonts w:hint="eastAsia" w:ascii="宋体" w:hAnsi="宋体" w:cs="宋体"/>
          <w:color w:val="auto"/>
          <w:kern w:val="0"/>
          <w:sz w:val="24"/>
          <w:szCs w:val="22"/>
          <w:highlight w:val="none"/>
        </w:rPr>
        <w:t>评分中要求的相关文件。</w:t>
      </w:r>
    </w:p>
    <w:p>
      <w:pPr>
        <w:pStyle w:val="5"/>
        <w:spacing w:line="480" w:lineRule="exact"/>
        <w:rPr>
          <w:rFonts w:hAnsi="宋体" w:cs="宋体"/>
          <w:color w:val="auto"/>
          <w:highlight w:val="none"/>
          <w:u w:val="none"/>
        </w:rPr>
      </w:pPr>
      <w:bookmarkStart w:id="320" w:name="_Toc46238291"/>
      <w:bookmarkStart w:id="321" w:name="_Toc46136874"/>
      <w:r>
        <w:rPr>
          <w:rFonts w:hint="eastAsia" w:hAnsi="宋体" w:cs="宋体"/>
          <w:color w:val="auto"/>
          <w:highlight w:val="none"/>
          <w:u w:val="none"/>
        </w:rPr>
        <w:t>1</w:t>
      </w:r>
      <w:r>
        <w:rPr>
          <w:rFonts w:hint="eastAsia" w:cs="宋体"/>
          <w:color w:val="auto"/>
          <w:highlight w:val="none"/>
          <w:u w:val="none"/>
          <w:lang w:val="en-US" w:eastAsia="zh-CN"/>
        </w:rPr>
        <w:t>6</w:t>
      </w:r>
      <w:r>
        <w:rPr>
          <w:rFonts w:hint="eastAsia" w:hAnsi="宋体" w:cs="宋体"/>
          <w:color w:val="auto"/>
          <w:highlight w:val="none"/>
          <w:u w:val="none"/>
        </w:rPr>
        <w:t>.</w:t>
      </w:r>
      <w:bookmarkEnd w:id="320"/>
      <w:bookmarkEnd w:id="321"/>
      <w:bookmarkStart w:id="322" w:name="_Toc46136875"/>
      <w:bookmarkStart w:id="323" w:name="_Toc46238292"/>
      <w:r>
        <w:rPr>
          <w:rFonts w:hint="eastAsia" w:hAnsi="宋体" w:cs="宋体"/>
          <w:color w:val="auto"/>
          <w:highlight w:val="none"/>
          <w:u w:val="none"/>
        </w:rPr>
        <w:t>供应商关联单位的说明</w:t>
      </w:r>
      <w:bookmarkEnd w:id="317"/>
      <w:bookmarkEnd w:id="322"/>
      <w:bookmarkEnd w:id="323"/>
    </w:p>
    <w:p>
      <w:pPr>
        <w:autoSpaceDE w:val="0"/>
        <w:autoSpaceDN w:val="0"/>
        <w:adjustRightInd w:val="0"/>
        <w:spacing w:line="480" w:lineRule="exact"/>
        <w:ind w:firstLine="480" w:firstLineChars="200"/>
        <w:jc w:val="left"/>
        <w:rPr>
          <w:rFonts w:ascii="宋体" w:hAnsi="宋体" w:cs="宋体"/>
          <w:color w:val="auto"/>
          <w:kern w:val="0"/>
          <w:sz w:val="24"/>
          <w:szCs w:val="20"/>
          <w:highlight w:val="none"/>
        </w:rPr>
      </w:pPr>
      <w:r>
        <w:rPr>
          <w:rFonts w:hint="eastAsia" w:ascii="宋体" w:hAnsi="宋体" w:cs="宋体"/>
          <w:color w:val="auto"/>
          <w:kern w:val="0"/>
          <w:sz w:val="24"/>
          <w:szCs w:val="20"/>
          <w:highlight w:val="none"/>
        </w:rPr>
        <w:t>说明：供应商应当如实披露与本单位存在下列关联关系的单位名称：</w:t>
      </w:r>
    </w:p>
    <w:p>
      <w:pPr>
        <w:autoSpaceDE w:val="0"/>
        <w:autoSpaceDN w:val="0"/>
        <w:adjustRightInd w:val="0"/>
        <w:spacing w:line="480" w:lineRule="exact"/>
        <w:ind w:firstLine="480" w:firstLineChars="200"/>
        <w:jc w:val="left"/>
        <w:rPr>
          <w:rFonts w:ascii="宋体" w:hAnsi="宋体" w:cs="宋体"/>
          <w:color w:val="auto"/>
          <w:kern w:val="0"/>
          <w:sz w:val="24"/>
          <w:szCs w:val="20"/>
          <w:highlight w:val="none"/>
        </w:rPr>
      </w:pPr>
      <w:r>
        <w:rPr>
          <w:rFonts w:hint="eastAsia" w:ascii="宋体" w:hAnsi="宋体" w:cs="宋体"/>
          <w:color w:val="auto"/>
          <w:kern w:val="0"/>
          <w:sz w:val="24"/>
          <w:szCs w:val="20"/>
          <w:highlight w:val="none"/>
        </w:rPr>
        <w:t>（1）与供应商单位负责人为同一人的其他单位；</w:t>
      </w:r>
    </w:p>
    <w:p>
      <w:pPr>
        <w:autoSpaceDE w:val="0"/>
        <w:autoSpaceDN w:val="0"/>
        <w:adjustRightInd w:val="0"/>
        <w:spacing w:line="480" w:lineRule="exact"/>
        <w:ind w:firstLine="480" w:firstLineChars="200"/>
        <w:jc w:val="left"/>
        <w:rPr>
          <w:rFonts w:ascii="宋体" w:hAnsi="宋体" w:cs="宋体"/>
          <w:color w:val="auto"/>
          <w:kern w:val="0"/>
          <w:sz w:val="24"/>
          <w:szCs w:val="20"/>
          <w:highlight w:val="none"/>
        </w:rPr>
      </w:pPr>
      <w:r>
        <w:rPr>
          <w:rFonts w:hint="eastAsia" w:ascii="宋体" w:hAnsi="宋体" w:cs="宋体"/>
          <w:color w:val="auto"/>
          <w:kern w:val="0"/>
          <w:sz w:val="24"/>
          <w:szCs w:val="20"/>
          <w:highlight w:val="none"/>
        </w:rPr>
        <w:t>（2）与供应商存在直接控股、管理关系的其他单位。</w:t>
      </w:r>
    </w:p>
    <w:p>
      <w:pPr>
        <w:pStyle w:val="5"/>
        <w:spacing w:line="480" w:lineRule="exact"/>
        <w:rPr>
          <w:rFonts w:hint="eastAsia" w:hAnsi="宋体" w:cs="宋体"/>
          <w:color w:val="auto"/>
          <w:highlight w:val="none"/>
          <w:u w:val="none"/>
        </w:rPr>
      </w:pPr>
      <w:bookmarkStart w:id="324" w:name="_Toc46238293"/>
      <w:bookmarkStart w:id="325" w:name="_Toc45562528"/>
      <w:bookmarkStart w:id="326" w:name="_Toc46136876"/>
      <w:r>
        <w:rPr>
          <w:rFonts w:hint="eastAsia" w:hAnsi="宋体" w:cs="宋体"/>
          <w:color w:val="auto"/>
          <w:highlight w:val="none"/>
          <w:u w:val="none"/>
        </w:rPr>
        <w:t>1</w:t>
      </w:r>
      <w:r>
        <w:rPr>
          <w:rFonts w:hint="eastAsia" w:cs="宋体"/>
          <w:color w:val="auto"/>
          <w:highlight w:val="none"/>
          <w:u w:val="none"/>
          <w:lang w:val="en-US" w:eastAsia="zh-CN"/>
        </w:rPr>
        <w:t>7</w:t>
      </w:r>
      <w:r>
        <w:rPr>
          <w:rFonts w:hint="eastAsia" w:hAnsi="宋体" w:cs="宋体"/>
          <w:color w:val="auto"/>
          <w:highlight w:val="none"/>
          <w:u w:val="none"/>
        </w:rPr>
        <w:t>.</w:t>
      </w:r>
      <w:bookmarkEnd w:id="324"/>
      <w:bookmarkEnd w:id="325"/>
      <w:bookmarkEnd w:id="326"/>
      <w:bookmarkStart w:id="327" w:name="_Toc17771"/>
      <w:r>
        <w:rPr>
          <w:rFonts w:hint="eastAsia" w:hAnsi="宋体" w:cs="宋体"/>
          <w:color w:val="auto"/>
          <w:highlight w:val="none"/>
          <w:u w:val="none"/>
        </w:rPr>
        <w:t>服务团队人员</w:t>
      </w:r>
      <w:bookmarkEnd w:id="327"/>
    </w:p>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拟投入服务人员配备表</w:t>
      </w:r>
    </w:p>
    <w:tbl>
      <w:tblPr>
        <w:tblStyle w:val="29"/>
        <w:tblW w:w="100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654"/>
        <w:gridCol w:w="233"/>
        <w:gridCol w:w="14"/>
        <w:gridCol w:w="858"/>
        <w:gridCol w:w="1185"/>
        <w:gridCol w:w="2006"/>
        <w:gridCol w:w="2486"/>
        <w:gridCol w:w="18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1461" w:type="dxa"/>
            <w:gridSpan w:val="2"/>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单位名称</w:t>
            </w:r>
          </w:p>
        </w:tc>
        <w:tc>
          <w:tcPr>
            <w:tcW w:w="8608" w:type="dxa"/>
            <w:gridSpan w:val="7"/>
            <w:noWrap w:val="0"/>
            <w:vAlign w:val="center"/>
          </w:tcPr>
          <w:p>
            <w:pPr>
              <w:pageBreakBefore w:val="0"/>
              <w:widowControl w:val="0"/>
              <w:kinsoku/>
              <w:wordWrap/>
              <w:overflowPunct/>
              <w:topLinePunct w:val="0"/>
              <w:bidi w:val="0"/>
              <w:spacing w:line="500" w:lineRule="exact"/>
              <w:textAlignment w:val="auto"/>
              <w:rPr>
                <w:rFonts w:hint="eastAsia" w:asciiTheme="minorEastAsia" w:hAnsiTheme="minorEastAsia" w:eastAsiaTheme="minorEastAsia" w:cstheme="minorEastAsia"/>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0069" w:type="dxa"/>
            <w:gridSpan w:val="9"/>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项目负责人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807" w:type="dxa"/>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姓名</w:t>
            </w:r>
          </w:p>
        </w:tc>
        <w:tc>
          <w:tcPr>
            <w:tcW w:w="887" w:type="dxa"/>
            <w:gridSpan w:val="2"/>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性别</w:t>
            </w:r>
          </w:p>
        </w:tc>
        <w:tc>
          <w:tcPr>
            <w:tcW w:w="872" w:type="dxa"/>
            <w:gridSpan w:val="2"/>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年龄</w:t>
            </w:r>
          </w:p>
        </w:tc>
        <w:tc>
          <w:tcPr>
            <w:tcW w:w="1185" w:type="dxa"/>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职务</w:t>
            </w:r>
          </w:p>
        </w:tc>
        <w:tc>
          <w:tcPr>
            <w:tcW w:w="2006" w:type="dxa"/>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执业资格</w:t>
            </w:r>
          </w:p>
        </w:tc>
        <w:tc>
          <w:tcPr>
            <w:tcW w:w="2486" w:type="dxa"/>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为本项目工作时间</w:t>
            </w:r>
          </w:p>
        </w:tc>
        <w:tc>
          <w:tcPr>
            <w:tcW w:w="1826" w:type="dxa"/>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手机号码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807" w:type="dxa"/>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p>
        </w:tc>
        <w:tc>
          <w:tcPr>
            <w:tcW w:w="887" w:type="dxa"/>
            <w:gridSpan w:val="2"/>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p>
        </w:tc>
        <w:tc>
          <w:tcPr>
            <w:tcW w:w="872" w:type="dxa"/>
            <w:gridSpan w:val="2"/>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p>
        </w:tc>
        <w:tc>
          <w:tcPr>
            <w:tcW w:w="1185" w:type="dxa"/>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p>
        </w:tc>
        <w:tc>
          <w:tcPr>
            <w:tcW w:w="2006" w:type="dxa"/>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p>
        </w:tc>
        <w:tc>
          <w:tcPr>
            <w:tcW w:w="2486" w:type="dxa"/>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p>
        </w:tc>
        <w:tc>
          <w:tcPr>
            <w:tcW w:w="1826" w:type="dxa"/>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0069" w:type="dxa"/>
            <w:gridSpan w:val="9"/>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拟投入服务团队成员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jc w:val="center"/>
        </w:trPr>
        <w:tc>
          <w:tcPr>
            <w:tcW w:w="807" w:type="dxa"/>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姓名</w:t>
            </w:r>
          </w:p>
        </w:tc>
        <w:tc>
          <w:tcPr>
            <w:tcW w:w="901" w:type="dxa"/>
            <w:gridSpan w:val="3"/>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性别</w:t>
            </w:r>
          </w:p>
        </w:tc>
        <w:tc>
          <w:tcPr>
            <w:tcW w:w="858" w:type="dxa"/>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年龄</w:t>
            </w:r>
          </w:p>
        </w:tc>
        <w:tc>
          <w:tcPr>
            <w:tcW w:w="1185" w:type="dxa"/>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职务</w:t>
            </w:r>
          </w:p>
        </w:tc>
        <w:tc>
          <w:tcPr>
            <w:tcW w:w="2006" w:type="dxa"/>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执业资格或职称</w:t>
            </w:r>
          </w:p>
        </w:tc>
        <w:tc>
          <w:tcPr>
            <w:tcW w:w="2486" w:type="dxa"/>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为本项目工作时间</w:t>
            </w:r>
          </w:p>
        </w:tc>
        <w:tc>
          <w:tcPr>
            <w:tcW w:w="1826" w:type="dxa"/>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手机号码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807" w:type="dxa"/>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p>
        </w:tc>
        <w:tc>
          <w:tcPr>
            <w:tcW w:w="901" w:type="dxa"/>
            <w:gridSpan w:val="3"/>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p>
        </w:tc>
        <w:tc>
          <w:tcPr>
            <w:tcW w:w="858" w:type="dxa"/>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p>
        </w:tc>
        <w:tc>
          <w:tcPr>
            <w:tcW w:w="1185" w:type="dxa"/>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p>
        </w:tc>
        <w:tc>
          <w:tcPr>
            <w:tcW w:w="2006" w:type="dxa"/>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p>
        </w:tc>
        <w:tc>
          <w:tcPr>
            <w:tcW w:w="2486" w:type="dxa"/>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p>
        </w:tc>
        <w:tc>
          <w:tcPr>
            <w:tcW w:w="1826" w:type="dxa"/>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807" w:type="dxa"/>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p>
        </w:tc>
        <w:tc>
          <w:tcPr>
            <w:tcW w:w="901" w:type="dxa"/>
            <w:gridSpan w:val="3"/>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p>
        </w:tc>
        <w:tc>
          <w:tcPr>
            <w:tcW w:w="858" w:type="dxa"/>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p>
        </w:tc>
        <w:tc>
          <w:tcPr>
            <w:tcW w:w="1185" w:type="dxa"/>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p>
        </w:tc>
        <w:tc>
          <w:tcPr>
            <w:tcW w:w="2006" w:type="dxa"/>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p>
        </w:tc>
        <w:tc>
          <w:tcPr>
            <w:tcW w:w="2486" w:type="dxa"/>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p>
        </w:tc>
        <w:tc>
          <w:tcPr>
            <w:tcW w:w="1826" w:type="dxa"/>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807" w:type="dxa"/>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p>
        </w:tc>
        <w:tc>
          <w:tcPr>
            <w:tcW w:w="901" w:type="dxa"/>
            <w:gridSpan w:val="3"/>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p>
        </w:tc>
        <w:tc>
          <w:tcPr>
            <w:tcW w:w="858" w:type="dxa"/>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p>
        </w:tc>
        <w:tc>
          <w:tcPr>
            <w:tcW w:w="1185" w:type="dxa"/>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p>
        </w:tc>
        <w:tc>
          <w:tcPr>
            <w:tcW w:w="2006" w:type="dxa"/>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p>
        </w:tc>
        <w:tc>
          <w:tcPr>
            <w:tcW w:w="2486" w:type="dxa"/>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p>
        </w:tc>
        <w:tc>
          <w:tcPr>
            <w:tcW w:w="1826" w:type="dxa"/>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807" w:type="dxa"/>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p>
        </w:tc>
        <w:tc>
          <w:tcPr>
            <w:tcW w:w="901" w:type="dxa"/>
            <w:gridSpan w:val="3"/>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p>
        </w:tc>
        <w:tc>
          <w:tcPr>
            <w:tcW w:w="858" w:type="dxa"/>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p>
        </w:tc>
        <w:tc>
          <w:tcPr>
            <w:tcW w:w="1185" w:type="dxa"/>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p>
        </w:tc>
        <w:tc>
          <w:tcPr>
            <w:tcW w:w="2006" w:type="dxa"/>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p>
        </w:tc>
        <w:tc>
          <w:tcPr>
            <w:tcW w:w="2486" w:type="dxa"/>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p>
        </w:tc>
        <w:tc>
          <w:tcPr>
            <w:tcW w:w="1826" w:type="dxa"/>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807" w:type="dxa"/>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p>
        </w:tc>
        <w:tc>
          <w:tcPr>
            <w:tcW w:w="901" w:type="dxa"/>
            <w:gridSpan w:val="3"/>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p>
        </w:tc>
        <w:tc>
          <w:tcPr>
            <w:tcW w:w="858" w:type="dxa"/>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p>
        </w:tc>
        <w:tc>
          <w:tcPr>
            <w:tcW w:w="1185" w:type="dxa"/>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p>
        </w:tc>
        <w:tc>
          <w:tcPr>
            <w:tcW w:w="2006" w:type="dxa"/>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p>
        </w:tc>
        <w:tc>
          <w:tcPr>
            <w:tcW w:w="2486" w:type="dxa"/>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p>
        </w:tc>
        <w:tc>
          <w:tcPr>
            <w:tcW w:w="1826" w:type="dxa"/>
            <w:noWrap w:val="0"/>
            <w:vAlign w:val="center"/>
          </w:tcPr>
          <w:p>
            <w:pPr>
              <w:pageBreakBefore w:val="0"/>
              <w:widowControl w:val="0"/>
              <w:kinsoku/>
              <w:wordWrap/>
              <w:overflowPunct/>
              <w:topLinePunct w:val="0"/>
              <w:bidi w:val="0"/>
              <w:spacing w:line="500" w:lineRule="exact"/>
              <w:jc w:val="center"/>
              <w:textAlignment w:val="auto"/>
              <w:rPr>
                <w:rFonts w:hint="eastAsia" w:asciiTheme="minorEastAsia" w:hAnsiTheme="minorEastAsia" w:eastAsiaTheme="minorEastAsia" w:cstheme="minorEastAsia"/>
                <w:color w:val="auto"/>
                <w:sz w:val="24"/>
                <w:szCs w:val="24"/>
                <w:highlight w:val="none"/>
              </w:rPr>
            </w:pPr>
          </w:p>
        </w:tc>
      </w:tr>
    </w:tbl>
    <w:p>
      <w:pPr>
        <w:pageBreakBefore w:val="0"/>
        <w:widowControl w:val="0"/>
        <w:kinsoku/>
        <w:wordWrap/>
        <w:overflowPunct/>
        <w:topLinePunct w:val="0"/>
        <w:bidi w:val="0"/>
        <w:spacing w:line="500" w:lineRule="exact"/>
        <w:textAlignment w:val="auto"/>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color w:val="auto"/>
          <w:sz w:val="24"/>
          <w:szCs w:val="24"/>
          <w:highlight w:val="none"/>
        </w:rPr>
        <w:t>注：供应商申明所提供的资料真实有效，如有虚假将承担相关法律责任。</w:t>
      </w:r>
    </w:p>
    <w:p>
      <w:pPr>
        <w:pageBreakBefore w:val="0"/>
        <w:widowControl w:val="0"/>
        <w:kinsoku/>
        <w:wordWrap/>
        <w:overflowPunct/>
        <w:topLinePunct w:val="0"/>
        <w:bidi w:val="0"/>
        <w:adjustRightInd w:val="0"/>
        <w:snapToGrid w:val="0"/>
        <w:spacing w:line="500" w:lineRule="exact"/>
        <w:ind w:left="210" w:leftChars="100" w:firstLine="297" w:firstLineChars="124"/>
        <w:textAlignment w:val="auto"/>
        <w:rPr>
          <w:rFonts w:hint="eastAsia" w:asciiTheme="minorEastAsia" w:hAnsiTheme="minorEastAsia" w:eastAsiaTheme="minorEastAsia" w:cstheme="minorEastAsia"/>
          <w:color w:val="auto"/>
          <w:sz w:val="24"/>
          <w:szCs w:val="24"/>
          <w:highlight w:val="none"/>
        </w:rPr>
      </w:pPr>
    </w:p>
    <w:p>
      <w:pPr>
        <w:pageBreakBefore w:val="0"/>
        <w:widowControl w:val="0"/>
        <w:kinsoku/>
        <w:wordWrap/>
        <w:overflowPunct/>
        <w:topLinePunct w:val="0"/>
        <w:bidi w:val="0"/>
        <w:spacing w:line="50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供应商名称：（公章）</w:t>
      </w:r>
    </w:p>
    <w:p>
      <w:pPr>
        <w:pageBreakBefore w:val="0"/>
        <w:widowControl w:val="0"/>
        <w:kinsoku/>
        <w:wordWrap/>
        <w:overflowPunct/>
        <w:topLinePunct w:val="0"/>
        <w:bidi w:val="0"/>
        <w:spacing w:line="50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法定代表人或供应商全权代表：（签字或印章）</w:t>
      </w:r>
    </w:p>
    <w:p>
      <w:pPr>
        <w:pageBreakBefore w:val="0"/>
        <w:widowControl w:val="0"/>
        <w:kinsoku/>
        <w:wordWrap/>
        <w:overflowPunct/>
        <w:topLinePunct w:val="0"/>
        <w:bidi w:val="0"/>
        <w:spacing w:line="50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日  期：    年  月  日</w:t>
      </w:r>
    </w:p>
    <w:p>
      <w:pPr>
        <w:pStyle w:val="2"/>
        <w:rPr>
          <w:rFonts w:hint="eastAsia"/>
          <w:color w:val="auto"/>
          <w:highlight w:val="none"/>
        </w:rPr>
      </w:pPr>
    </w:p>
    <w:p>
      <w:pPr>
        <w:pStyle w:val="5"/>
        <w:pageBreakBefore w:val="0"/>
        <w:widowControl w:val="0"/>
        <w:kinsoku/>
        <w:wordWrap/>
        <w:overflowPunct/>
        <w:topLinePunct w:val="0"/>
        <w:bidi w:val="0"/>
        <w:spacing w:line="500" w:lineRule="exact"/>
        <w:textAlignment w:val="auto"/>
        <w:rPr>
          <w:rFonts w:hAnsi="宋体" w:cs="宋体"/>
          <w:color w:val="auto"/>
          <w:highlight w:val="none"/>
          <w:u w:val="none"/>
        </w:rPr>
      </w:pPr>
      <w:r>
        <w:rPr>
          <w:rFonts w:hint="eastAsia" w:hAnsi="宋体" w:cs="宋体"/>
          <w:color w:val="auto"/>
          <w:highlight w:val="none"/>
          <w:u w:val="none"/>
        </w:rPr>
        <w:t>1</w:t>
      </w:r>
      <w:r>
        <w:rPr>
          <w:rFonts w:hint="eastAsia" w:cs="宋体"/>
          <w:color w:val="auto"/>
          <w:highlight w:val="none"/>
          <w:u w:val="none"/>
          <w:lang w:val="en-US" w:eastAsia="zh-CN"/>
        </w:rPr>
        <w:t>8</w:t>
      </w:r>
      <w:r>
        <w:rPr>
          <w:rFonts w:hint="eastAsia" w:hAnsi="宋体" w:cs="宋体"/>
          <w:color w:val="auto"/>
          <w:highlight w:val="none"/>
          <w:u w:val="none"/>
        </w:rPr>
        <w:t>.其它材料</w:t>
      </w:r>
    </w:p>
    <w:p>
      <w:pPr>
        <w:pStyle w:val="3"/>
        <w:rPr>
          <w:color w:val="auto"/>
          <w:highlight w:val="none"/>
        </w:rPr>
      </w:pPr>
      <w:r>
        <w:rPr>
          <w:rFonts w:hint="eastAsia"/>
          <w:i/>
          <w:color w:val="auto"/>
          <w:highlight w:val="none"/>
        </w:rPr>
        <w:br w:type="page"/>
      </w:r>
      <w:bookmarkStart w:id="328" w:name="_Toc68259633"/>
      <w:bookmarkStart w:id="329" w:name="_Toc3391"/>
      <w:r>
        <w:rPr>
          <w:rFonts w:hint="eastAsia"/>
          <w:color w:val="auto"/>
          <w:highlight w:val="none"/>
        </w:rPr>
        <w:t>第7章  政府采购合同格式</w:t>
      </w:r>
      <w:bookmarkEnd w:id="328"/>
      <w:bookmarkEnd w:id="329"/>
    </w:p>
    <w:tbl>
      <w:tblPr>
        <w:tblStyle w:val="30"/>
        <w:tblpPr w:leftFromText="180" w:rightFromText="180" w:vertAnchor="page" w:horzAnchor="page" w:tblpX="5119" w:tblpY="278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7"/>
        <w:gridCol w:w="3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697" w:type="dxa"/>
            <w:noWrap w:val="0"/>
            <w:vAlign w:val="center"/>
          </w:tcPr>
          <w:p>
            <w:pPr>
              <w:jc w:val="center"/>
              <w:rPr>
                <w:color w:val="auto"/>
                <w:sz w:val="28"/>
                <w:szCs w:val="28"/>
                <w:highlight w:val="none"/>
              </w:rPr>
            </w:pPr>
            <w:r>
              <w:rPr>
                <w:rFonts w:hint="eastAsia"/>
                <w:b/>
                <w:bCs/>
                <w:color w:val="auto"/>
                <w:sz w:val="28"/>
                <w:szCs w:val="28"/>
                <w:highlight w:val="none"/>
              </w:rPr>
              <w:t>备案编号</w:t>
            </w:r>
          </w:p>
        </w:tc>
        <w:tc>
          <w:tcPr>
            <w:tcW w:w="3514" w:type="dxa"/>
            <w:noWrap w:val="0"/>
            <w:vAlign w:val="center"/>
          </w:tcPr>
          <w:p>
            <w:pPr>
              <w:jc w:val="center"/>
              <w:rPr>
                <w:rFonts w:hint="default" w:eastAsia="宋体"/>
                <w:b/>
                <w:color w:val="auto"/>
                <w:sz w:val="32"/>
                <w:szCs w:val="32"/>
                <w:highlight w:val="none"/>
                <w:lang w:val="en-US" w:eastAsia="zh-CN"/>
              </w:rPr>
            </w:pPr>
            <w:r>
              <w:rPr>
                <w:b/>
                <w:color w:val="auto"/>
                <w:sz w:val="32"/>
                <w:szCs w:val="32"/>
                <w:highlight w:val="none"/>
              </w:rPr>
              <w:t>LD-</w:t>
            </w:r>
            <w:r>
              <w:rPr>
                <w:rFonts w:hint="eastAsia"/>
                <w:b/>
                <w:color w:val="auto"/>
                <w:sz w:val="32"/>
                <w:szCs w:val="32"/>
                <w:highlight w:val="none"/>
              </w:rPr>
              <w:t>2</w:t>
            </w:r>
            <w:r>
              <w:rPr>
                <w:b/>
                <w:color w:val="auto"/>
                <w:sz w:val="32"/>
                <w:szCs w:val="32"/>
                <w:highlight w:val="none"/>
              </w:rPr>
              <w:t>02</w:t>
            </w:r>
            <w:r>
              <w:rPr>
                <w:rFonts w:hint="eastAsia"/>
                <w:b/>
                <w:color w:val="auto"/>
                <w:sz w:val="32"/>
                <w:szCs w:val="32"/>
                <w:highlight w:val="none"/>
                <w:lang w:val="en-US" w:eastAsia="zh-CN"/>
              </w:rPr>
              <w:t>4</w:t>
            </w:r>
            <w:r>
              <w:rPr>
                <w:b/>
                <w:color w:val="auto"/>
                <w:sz w:val="32"/>
                <w:szCs w:val="32"/>
                <w:highlight w:val="none"/>
              </w:rPr>
              <w:t>-ZB</w:t>
            </w:r>
            <w:r>
              <w:rPr>
                <w:rFonts w:hint="eastAsia"/>
                <w:b/>
                <w:color w:val="auto"/>
                <w:sz w:val="32"/>
                <w:szCs w:val="32"/>
                <w:highlight w:val="none"/>
                <w:lang w:val="en-US" w:eastAsia="zh-CN"/>
              </w:rPr>
              <w:t>2</w:t>
            </w:r>
            <w:r>
              <w:rPr>
                <w:b/>
                <w:color w:val="auto"/>
                <w:sz w:val="32"/>
                <w:szCs w:val="32"/>
                <w:highlight w:val="none"/>
              </w:rPr>
              <w:t>-</w:t>
            </w:r>
            <w:r>
              <w:rPr>
                <w:rFonts w:hint="eastAsia"/>
                <w:b/>
                <w:color w:val="auto"/>
                <w:sz w:val="32"/>
                <w:szCs w:val="32"/>
                <w:highlight w:val="none"/>
                <w:lang w:val="en-US" w:eastAsia="zh-CN"/>
              </w:rPr>
              <w:t xml:space="preserve">  </w:t>
            </w:r>
          </w:p>
        </w:tc>
      </w:tr>
    </w:tbl>
    <w:p>
      <w:pPr>
        <w:spacing w:line="320" w:lineRule="atLeast"/>
        <w:ind w:firstLine="420" w:firstLineChars="200"/>
        <w:jc w:val="left"/>
        <w:rPr>
          <w:color w:val="auto"/>
          <w:highlight w:val="none"/>
        </w:rPr>
      </w:pPr>
      <w:r>
        <w:rPr>
          <w:color w:val="auto"/>
          <w:highlight w:val="none"/>
        </w:rPr>
        <w:drawing>
          <wp:inline distT="0" distB="0" distL="114300" distR="114300">
            <wp:extent cx="934720" cy="923925"/>
            <wp:effectExtent l="0" t="0" r="17780" b="9525"/>
            <wp:docPr id="3" name="图片 1" descr="u=3151740014,3740664874&amp;fm=15&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u=3151740014,3740664874&amp;fm=15&amp;gp=0"/>
                    <pic:cNvPicPr>
                      <a:picLocks noChangeAspect="1"/>
                    </pic:cNvPicPr>
                  </pic:nvPicPr>
                  <pic:blipFill>
                    <a:blip r:embed="rId14"/>
                    <a:stretch>
                      <a:fillRect/>
                    </a:stretch>
                  </pic:blipFill>
                  <pic:spPr>
                    <a:xfrm>
                      <a:off x="0" y="0"/>
                      <a:ext cx="934720" cy="923925"/>
                    </a:xfrm>
                    <a:prstGeom prst="rect">
                      <a:avLst/>
                    </a:prstGeom>
                    <a:noFill/>
                    <a:ln>
                      <a:noFill/>
                    </a:ln>
                  </pic:spPr>
                </pic:pic>
              </a:graphicData>
            </a:graphic>
          </wp:inline>
        </w:drawing>
      </w:r>
      <w:r>
        <w:rPr>
          <w:rFonts w:hint="eastAsia"/>
          <w:color w:val="auto"/>
          <w:highlight w:val="none"/>
        </w:rPr>
        <w:t xml:space="preserve">          </w:t>
      </w:r>
    </w:p>
    <w:p>
      <w:pPr>
        <w:spacing w:line="320" w:lineRule="atLeast"/>
        <w:jc w:val="left"/>
        <w:rPr>
          <w:b/>
          <w:bCs/>
          <w:color w:val="auto"/>
          <w:sz w:val="32"/>
          <w:szCs w:val="32"/>
          <w:highlight w:val="none"/>
        </w:rPr>
      </w:pPr>
      <w:r>
        <w:rPr>
          <w:rFonts w:hint="eastAsia"/>
          <w:color w:val="auto"/>
          <w:highlight w:val="none"/>
        </w:rPr>
        <w:t xml:space="preserve"> </w:t>
      </w:r>
      <w:r>
        <w:rPr>
          <w:rFonts w:hint="eastAsia"/>
          <w:b/>
          <w:bCs/>
          <w:color w:val="auto"/>
          <w:sz w:val="32"/>
          <w:szCs w:val="32"/>
          <w:highlight w:val="none"/>
        </w:rPr>
        <w:t>临沂大学合同</w:t>
      </w:r>
    </w:p>
    <w:p>
      <w:pPr>
        <w:spacing w:line="360" w:lineRule="auto"/>
        <w:jc w:val="both"/>
        <w:rPr>
          <w:rFonts w:hint="eastAsia"/>
          <w:b/>
          <w:bCs/>
          <w:color w:val="auto"/>
          <w:sz w:val="32"/>
          <w:szCs w:val="32"/>
          <w:highlight w:val="none"/>
        </w:rPr>
      </w:pPr>
      <w:r>
        <w:rPr>
          <w:rFonts w:hint="eastAsia"/>
          <w:b/>
          <w:bCs/>
          <w:color w:val="auto"/>
          <w:sz w:val="32"/>
          <w:szCs w:val="32"/>
          <w:highlight w:val="none"/>
        </w:rPr>
        <w:t xml:space="preserve"> </w:t>
      </w:r>
      <w:r>
        <w:rPr>
          <w:rFonts w:hint="eastAsia"/>
          <w:b/>
          <w:bCs/>
          <w:color w:val="auto"/>
          <w:sz w:val="32"/>
          <w:szCs w:val="32"/>
          <w:highlight w:val="none"/>
        </w:rPr>
        <w:t xml:space="preserve">                   </w:t>
      </w:r>
    </w:p>
    <w:p>
      <w:pPr>
        <w:spacing w:line="360" w:lineRule="auto"/>
        <w:jc w:val="center"/>
        <w:rPr>
          <w:rFonts w:ascii="宋体"/>
          <w:color w:val="auto"/>
          <w:sz w:val="44"/>
          <w:szCs w:val="44"/>
          <w:highlight w:val="none"/>
        </w:rPr>
      </w:pPr>
      <w:r>
        <w:rPr>
          <w:rFonts w:hint="eastAsia" w:ascii="宋体" w:hAnsi="宋体"/>
          <w:color w:val="auto"/>
          <w:sz w:val="44"/>
          <w:szCs w:val="44"/>
          <w:highlight w:val="none"/>
        </w:rPr>
        <w:t>山东省政府采购合同</w:t>
      </w:r>
    </w:p>
    <w:p>
      <w:pPr>
        <w:snapToGrid w:val="0"/>
        <w:spacing w:line="360" w:lineRule="auto"/>
        <w:jc w:val="center"/>
        <w:rPr>
          <w:rFonts w:ascii="宋体"/>
          <w:color w:val="auto"/>
          <w:sz w:val="28"/>
          <w:szCs w:val="28"/>
          <w:highlight w:val="none"/>
        </w:rPr>
      </w:pPr>
      <w:r>
        <w:rPr>
          <w:rFonts w:hint="eastAsia" w:ascii="宋体" w:hAnsi="宋体"/>
          <w:color w:val="auto"/>
          <w:sz w:val="28"/>
          <w:szCs w:val="28"/>
          <w:highlight w:val="none"/>
        </w:rPr>
        <w:t>（</w:t>
      </w:r>
      <w:r>
        <w:rPr>
          <w:rFonts w:hint="eastAsia" w:ascii="宋体" w:hAnsi="宋体"/>
          <w:color w:val="auto"/>
          <w:sz w:val="28"/>
          <w:szCs w:val="28"/>
          <w:highlight w:val="none"/>
          <w:lang w:val="en-US" w:eastAsia="zh-CN"/>
        </w:rPr>
        <w:t>货物</w:t>
      </w:r>
      <w:r>
        <w:rPr>
          <w:rFonts w:hint="eastAsia" w:ascii="宋体" w:hAnsi="宋体"/>
          <w:color w:val="auto"/>
          <w:sz w:val="28"/>
          <w:szCs w:val="28"/>
          <w:highlight w:val="none"/>
        </w:rPr>
        <w:t>类）</w:t>
      </w:r>
    </w:p>
    <w:p>
      <w:pPr>
        <w:snapToGrid w:val="0"/>
        <w:spacing w:line="360" w:lineRule="auto"/>
        <w:jc w:val="center"/>
        <w:rPr>
          <w:rFonts w:ascii="宋体"/>
          <w:color w:val="auto"/>
          <w:sz w:val="28"/>
          <w:szCs w:val="28"/>
          <w:highlight w:val="none"/>
        </w:rPr>
      </w:pPr>
    </w:p>
    <w:p>
      <w:pPr>
        <w:snapToGrid w:val="0"/>
        <w:spacing w:line="360" w:lineRule="auto"/>
        <w:jc w:val="center"/>
        <w:rPr>
          <w:rFonts w:ascii="宋体"/>
          <w:color w:val="auto"/>
          <w:sz w:val="28"/>
          <w:szCs w:val="28"/>
          <w:highlight w:val="none"/>
        </w:rPr>
      </w:pPr>
    </w:p>
    <w:p>
      <w:pPr>
        <w:spacing w:line="360" w:lineRule="auto"/>
        <w:ind w:firstLine="640" w:firstLineChars="200"/>
        <w:rPr>
          <w:rFonts w:ascii="宋体"/>
          <w:color w:val="auto"/>
          <w:sz w:val="32"/>
          <w:highlight w:val="none"/>
        </w:rPr>
      </w:pPr>
      <w:r>
        <w:rPr>
          <w:rFonts w:hint="eastAsia" w:ascii="宋体" w:hAnsi="宋体"/>
          <w:color w:val="auto"/>
          <w:sz w:val="32"/>
          <w:highlight w:val="none"/>
        </w:rPr>
        <w:t>项目名称</w:t>
      </w:r>
      <w:r>
        <w:rPr>
          <w:rFonts w:ascii="宋体" w:hAnsi="宋体"/>
          <w:color w:val="auto"/>
          <w:sz w:val="32"/>
          <w:highlight w:val="none"/>
        </w:rPr>
        <w:t>:</w:t>
      </w:r>
      <w:r>
        <w:rPr>
          <w:rFonts w:ascii="宋体" w:hAnsi="宋体"/>
          <w:color w:val="auto"/>
          <w:sz w:val="32"/>
          <w:highlight w:val="none"/>
          <w:u w:val="single"/>
        </w:rPr>
        <w:t xml:space="preserve">  </w:t>
      </w:r>
      <w:r>
        <w:rPr>
          <w:rFonts w:hint="eastAsia" w:ascii="宋体" w:hAnsi="宋体"/>
          <w:color w:val="auto"/>
          <w:sz w:val="32"/>
          <w:highlight w:val="none"/>
          <w:u w:val="single"/>
          <w:lang w:eastAsia="zh-CN"/>
        </w:rPr>
        <w:t>临沂大学2024年毕业证学位证印刷品采购项目</w:t>
      </w:r>
      <w:r>
        <w:rPr>
          <w:rFonts w:ascii="宋体" w:hAnsi="宋体"/>
          <w:color w:val="auto"/>
          <w:sz w:val="32"/>
          <w:highlight w:val="none"/>
          <w:u w:val="single"/>
        </w:rPr>
        <w:t xml:space="preserve">   </w:t>
      </w:r>
      <w:r>
        <w:rPr>
          <w:rFonts w:ascii="宋体" w:hAnsi="宋体"/>
          <w:color w:val="auto"/>
          <w:sz w:val="32"/>
          <w:highlight w:val="none"/>
        </w:rPr>
        <w:t xml:space="preserve">                 </w:t>
      </w:r>
    </w:p>
    <w:p>
      <w:pPr>
        <w:spacing w:line="360" w:lineRule="auto"/>
        <w:ind w:firstLine="640" w:firstLineChars="200"/>
        <w:rPr>
          <w:rFonts w:ascii="宋体"/>
          <w:color w:val="auto"/>
          <w:sz w:val="32"/>
          <w:highlight w:val="none"/>
          <w:u w:val="single"/>
        </w:rPr>
      </w:pPr>
      <w:r>
        <w:rPr>
          <w:rFonts w:hint="eastAsia" w:ascii="宋体" w:hAnsi="宋体"/>
          <w:color w:val="auto"/>
          <w:sz w:val="32"/>
          <w:highlight w:val="none"/>
        </w:rPr>
        <w:t>合同编号</w:t>
      </w:r>
      <w:r>
        <w:rPr>
          <w:rFonts w:ascii="宋体" w:hAnsi="宋体"/>
          <w:color w:val="auto"/>
          <w:sz w:val="32"/>
          <w:highlight w:val="none"/>
        </w:rPr>
        <w:t>:</w:t>
      </w:r>
      <w:r>
        <w:rPr>
          <w:rFonts w:ascii="宋体" w:hAnsi="宋体"/>
          <w:color w:val="auto"/>
          <w:sz w:val="32"/>
          <w:highlight w:val="none"/>
          <w:u w:val="single"/>
        </w:rPr>
        <w:t xml:space="preserve">  </w:t>
      </w:r>
      <w:r>
        <w:rPr>
          <w:rFonts w:hint="eastAsia" w:ascii="宋体" w:hAnsi="宋体"/>
          <w:color w:val="auto"/>
          <w:sz w:val="32"/>
          <w:highlight w:val="none"/>
          <w:u w:val="single"/>
          <w:lang w:eastAsia="zh-CN"/>
        </w:rPr>
        <w:t>SDGP370000000202402001848</w:t>
      </w:r>
      <w:r>
        <w:rPr>
          <w:rFonts w:ascii="宋体" w:hAnsi="宋体"/>
          <w:color w:val="auto"/>
          <w:sz w:val="32"/>
          <w:highlight w:val="none"/>
          <w:u w:val="single"/>
        </w:rPr>
        <w:t xml:space="preserve">  </w:t>
      </w:r>
    </w:p>
    <w:p>
      <w:pPr>
        <w:spacing w:line="360" w:lineRule="auto"/>
        <w:ind w:firstLine="640" w:firstLineChars="200"/>
        <w:rPr>
          <w:rFonts w:ascii="宋体"/>
          <w:b/>
          <w:color w:val="auto"/>
          <w:sz w:val="32"/>
          <w:highlight w:val="none"/>
          <w:u w:val="single"/>
        </w:rPr>
      </w:pPr>
      <w:r>
        <w:rPr>
          <w:rFonts w:hint="eastAsia" w:ascii="宋体" w:hAnsi="宋体"/>
          <w:color w:val="auto"/>
          <w:sz w:val="32"/>
          <w:highlight w:val="none"/>
        </w:rPr>
        <w:t>计划编号：</w:t>
      </w:r>
      <w:r>
        <w:rPr>
          <w:rFonts w:ascii="宋体" w:hAnsi="宋体"/>
          <w:bCs/>
          <w:color w:val="auto"/>
          <w:sz w:val="32"/>
          <w:highlight w:val="none"/>
          <w:u w:val="single"/>
        </w:rPr>
        <w:t xml:space="preserve"> </w:t>
      </w:r>
      <w:r>
        <w:rPr>
          <w:rFonts w:hint="eastAsia" w:ascii="宋体" w:hAnsi="宋体"/>
          <w:bCs/>
          <w:color w:val="auto"/>
          <w:sz w:val="32"/>
          <w:highlight w:val="none"/>
          <w:u w:val="single"/>
          <w:lang w:val="en-US" w:eastAsia="zh-CN"/>
        </w:rPr>
        <w:t xml:space="preserve">    </w:t>
      </w:r>
      <w:r>
        <w:rPr>
          <w:rFonts w:ascii="宋体" w:hAnsi="宋体"/>
          <w:bCs/>
          <w:color w:val="auto"/>
          <w:sz w:val="32"/>
          <w:highlight w:val="none"/>
          <w:u w:val="single"/>
        </w:rPr>
        <w:t xml:space="preserve">  </w:t>
      </w:r>
    </w:p>
    <w:p>
      <w:pPr>
        <w:spacing w:line="360" w:lineRule="auto"/>
        <w:jc w:val="center"/>
        <w:rPr>
          <w:rFonts w:ascii="宋体"/>
          <w:b/>
          <w:color w:val="auto"/>
          <w:sz w:val="24"/>
          <w:highlight w:val="none"/>
        </w:rPr>
      </w:pPr>
    </w:p>
    <w:p>
      <w:pPr>
        <w:spacing w:line="360" w:lineRule="auto"/>
        <w:jc w:val="center"/>
        <w:rPr>
          <w:rFonts w:ascii="宋体"/>
          <w:b/>
          <w:color w:val="auto"/>
          <w:sz w:val="24"/>
          <w:highlight w:val="none"/>
        </w:rPr>
      </w:pPr>
    </w:p>
    <w:p>
      <w:pPr>
        <w:spacing w:line="360" w:lineRule="auto"/>
        <w:jc w:val="center"/>
        <w:rPr>
          <w:rFonts w:ascii="宋体"/>
          <w:b/>
          <w:color w:val="auto"/>
          <w:sz w:val="24"/>
          <w:highlight w:val="none"/>
        </w:rPr>
      </w:pPr>
    </w:p>
    <w:p>
      <w:pPr>
        <w:spacing w:line="360" w:lineRule="auto"/>
        <w:jc w:val="center"/>
        <w:rPr>
          <w:rFonts w:ascii="宋体"/>
          <w:b/>
          <w:color w:val="auto"/>
          <w:sz w:val="24"/>
          <w:highlight w:val="none"/>
        </w:rPr>
      </w:pPr>
    </w:p>
    <w:p>
      <w:pPr>
        <w:spacing w:line="360" w:lineRule="auto"/>
        <w:ind w:firstLine="1968" w:firstLineChars="700"/>
        <w:rPr>
          <w:rFonts w:ascii="宋体"/>
          <w:b/>
          <w:color w:val="auto"/>
          <w:sz w:val="28"/>
          <w:highlight w:val="none"/>
        </w:rPr>
      </w:pPr>
      <w:r>
        <w:rPr>
          <w:rFonts w:hint="eastAsia" w:ascii="宋体" w:hAnsi="宋体"/>
          <w:b/>
          <w:color w:val="auto"/>
          <w:sz w:val="28"/>
          <w:highlight w:val="none"/>
        </w:rPr>
        <w:t>采</w:t>
      </w:r>
      <w:r>
        <w:rPr>
          <w:rFonts w:ascii="宋体" w:hAnsi="宋体"/>
          <w:b/>
          <w:color w:val="auto"/>
          <w:sz w:val="28"/>
          <w:highlight w:val="none"/>
        </w:rPr>
        <w:t xml:space="preserve"> </w:t>
      </w:r>
      <w:r>
        <w:rPr>
          <w:rFonts w:hint="eastAsia" w:ascii="宋体" w:hAnsi="宋体"/>
          <w:b/>
          <w:color w:val="auto"/>
          <w:sz w:val="28"/>
          <w:highlight w:val="none"/>
        </w:rPr>
        <w:t>购</w:t>
      </w:r>
      <w:r>
        <w:rPr>
          <w:rFonts w:ascii="宋体" w:hAnsi="宋体"/>
          <w:b/>
          <w:color w:val="auto"/>
          <w:sz w:val="28"/>
          <w:highlight w:val="none"/>
        </w:rPr>
        <w:t xml:space="preserve"> </w:t>
      </w:r>
      <w:r>
        <w:rPr>
          <w:rFonts w:hint="eastAsia" w:ascii="宋体" w:hAnsi="宋体"/>
          <w:b/>
          <w:color w:val="auto"/>
          <w:sz w:val="28"/>
          <w:highlight w:val="none"/>
        </w:rPr>
        <w:t>人</w:t>
      </w:r>
      <w:r>
        <w:rPr>
          <w:rFonts w:ascii="宋体" w:hAnsi="宋体"/>
          <w:b/>
          <w:color w:val="auto"/>
          <w:sz w:val="28"/>
          <w:highlight w:val="none"/>
        </w:rPr>
        <w:t>:</w:t>
      </w:r>
      <w:r>
        <w:rPr>
          <w:rFonts w:ascii="宋体" w:hAnsi="宋体"/>
          <w:b/>
          <w:color w:val="auto"/>
          <w:sz w:val="28"/>
          <w:highlight w:val="none"/>
          <w:u w:val="single"/>
        </w:rPr>
        <w:t xml:space="preserve">  </w:t>
      </w:r>
      <w:bookmarkStart w:id="330" w:name="unitName"/>
      <w:r>
        <w:rPr>
          <w:rFonts w:ascii="宋体" w:hAnsi="宋体"/>
          <w:b/>
          <w:color w:val="auto"/>
          <w:sz w:val="28"/>
          <w:highlight w:val="none"/>
          <w:u w:val="single"/>
        </w:rPr>
        <w:t>临沂大学</w:t>
      </w:r>
      <w:bookmarkEnd w:id="330"/>
      <w:r>
        <w:rPr>
          <w:rFonts w:ascii="宋体" w:hAnsi="宋体"/>
          <w:b/>
          <w:color w:val="auto"/>
          <w:sz w:val="28"/>
          <w:highlight w:val="none"/>
          <w:u w:val="single"/>
        </w:rPr>
        <w:t xml:space="preserve">   </w:t>
      </w:r>
    </w:p>
    <w:p>
      <w:pPr>
        <w:spacing w:line="360" w:lineRule="auto"/>
        <w:ind w:firstLine="1968" w:firstLineChars="700"/>
        <w:rPr>
          <w:rFonts w:ascii="宋体"/>
          <w:b/>
          <w:color w:val="auto"/>
          <w:sz w:val="28"/>
          <w:highlight w:val="none"/>
          <w:u w:val="single"/>
        </w:rPr>
      </w:pPr>
      <w:r>
        <w:rPr>
          <w:rFonts w:hint="eastAsia" w:ascii="宋体" w:hAnsi="宋体"/>
          <w:b/>
          <w:color w:val="auto"/>
          <w:sz w:val="28"/>
          <w:highlight w:val="none"/>
        </w:rPr>
        <w:t>供</w:t>
      </w:r>
      <w:r>
        <w:rPr>
          <w:rFonts w:ascii="宋体" w:hAnsi="宋体"/>
          <w:b/>
          <w:color w:val="auto"/>
          <w:sz w:val="28"/>
          <w:highlight w:val="none"/>
        </w:rPr>
        <w:t xml:space="preserve"> </w:t>
      </w:r>
      <w:r>
        <w:rPr>
          <w:rFonts w:hint="eastAsia" w:ascii="宋体" w:hAnsi="宋体"/>
          <w:b/>
          <w:color w:val="auto"/>
          <w:sz w:val="28"/>
          <w:highlight w:val="none"/>
        </w:rPr>
        <w:t>应</w:t>
      </w:r>
      <w:r>
        <w:rPr>
          <w:rFonts w:ascii="宋体" w:hAnsi="宋体"/>
          <w:b/>
          <w:color w:val="auto"/>
          <w:sz w:val="28"/>
          <w:highlight w:val="none"/>
        </w:rPr>
        <w:t xml:space="preserve"> </w:t>
      </w:r>
      <w:r>
        <w:rPr>
          <w:rFonts w:hint="eastAsia" w:ascii="宋体" w:hAnsi="宋体"/>
          <w:b/>
          <w:color w:val="auto"/>
          <w:sz w:val="28"/>
          <w:highlight w:val="none"/>
        </w:rPr>
        <w:t>商：</w:t>
      </w:r>
      <w:r>
        <w:rPr>
          <w:rFonts w:ascii="宋体" w:hAnsi="宋体"/>
          <w:b/>
          <w:color w:val="auto"/>
          <w:sz w:val="28"/>
          <w:highlight w:val="none"/>
          <w:u w:val="single"/>
        </w:rPr>
        <w:t xml:space="preserve">  </w:t>
      </w:r>
      <w:r>
        <w:rPr>
          <w:rFonts w:hint="eastAsia" w:ascii="宋体" w:hAnsi="宋体"/>
          <w:b/>
          <w:color w:val="auto"/>
          <w:sz w:val="28"/>
          <w:highlight w:val="none"/>
          <w:u w:val="single"/>
          <w:lang w:val="en-US" w:eastAsia="zh-CN"/>
        </w:rPr>
        <w:t xml:space="preserve">             </w:t>
      </w:r>
      <w:r>
        <w:rPr>
          <w:rFonts w:ascii="宋体" w:hAnsi="宋体"/>
          <w:b/>
          <w:color w:val="auto"/>
          <w:sz w:val="28"/>
          <w:highlight w:val="none"/>
          <w:u w:val="single"/>
        </w:rPr>
        <w:t xml:space="preserve">  </w:t>
      </w:r>
    </w:p>
    <w:p>
      <w:pPr>
        <w:spacing w:line="360" w:lineRule="auto"/>
        <w:ind w:firstLine="1968" w:firstLineChars="700"/>
        <w:rPr>
          <w:rFonts w:ascii="宋体"/>
          <w:b/>
          <w:color w:val="auto"/>
          <w:sz w:val="28"/>
          <w:highlight w:val="none"/>
          <w:u w:val="single"/>
        </w:rPr>
      </w:pPr>
      <w:r>
        <w:rPr>
          <w:rFonts w:hint="eastAsia" w:ascii="宋体" w:hAnsi="宋体"/>
          <w:b/>
          <w:color w:val="auto"/>
          <w:sz w:val="28"/>
          <w:highlight w:val="none"/>
        </w:rPr>
        <w:t>采购代理机构</w:t>
      </w:r>
      <w:r>
        <w:rPr>
          <w:rFonts w:ascii="宋体" w:hAnsi="宋体"/>
          <w:b/>
          <w:color w:val="auto"/>
          <w:sz w:val="28"/>
          <w:highlight w:val="none"/>
        </w:rPr>
        <w:t>:</w:t>
      </w:r>
      <w:r>
        <w:rPr>
          <w:rFonts w:ascii="宋体" w:hAnsi="宋体"/>
          <w:b/>
          <w:color w:val="auto"/>
          <w:sz w:val="28"/>
          <w:highlight w:val="none"/>
          <w:u w:val="single"/>
        </w:rPr>
        <w:t xml:space="preserve">  </w:t>
      </w:r>
      <w:r>
        <w:rPr>
          <w:rFonts w:hint="eastAsia" w:ascii="宋体" w:hAnsi="宋体"/>
          <w:b/>
          <w:color w:val="auto"/>
          <w:sz w:val="28"/>
          <w:highlight w:val="none"/>
          <w:u w:val="single"/>
          <w:lang w:val="en-US" w:eastAsia="zh-CN"/>
        </w:rPr>
        <w:t xml:space="preserve">                </w:t>
      </w:r>
      <w:r>
        <w:rPr>
          <w:rFonts w:ascii="宋体" w:hAnsi="宋体"/>
          <w:b/>
          <w:color w:val="auto"/>
          <w:sz w:val="28"/>
          <w:highlight w:val="none"/>
          <w:u w:val="single"/>
        </w:rPr>
        <w:t xml:space="preserve">  </w:t>
      </w:r>
    </w:p>
    <w:p>
      <w:pPr>
        <w:snapToGrid w:val="0"/>
        <w:spacing w:line="360" w:lineRule="auto"/>
        <w:jc w:val="center"/>
        <w:rPr>
          <w:rFonts w:ascii="宋体"/>
          <w:color w:val="auto"/>
          <w:sz w:val="30"/>
          <w:szCs w:val="30"/>
          <w:highlight w:val="none"/>
        </w:rPr>
      </w:pPr>
    </w:p>
    <w:p>
      <w:pPr>
        <w:pStyle w:val="10"/>
        <w:rPr>
          <w:color w:val="auto"/>
          <w:highlight w:val="none"/>
        </w:rPr>
      </w:pPr>
    </w:p>
    <w:p>
      <w:pPr>
        <w:pStyle w:val="10"/>
        <w:rPr>
          <w:color w:val="auto"/>
          <w:highlight w:val="none"/>
        </w:rPr>
      </w:pPr>
    </w:p>
    <w:p>
      <w:pPr>
        <w:snapToGrid w:val="0"/>
        <w:spacing w:line="360" w:lineRule="auto"/>
        <w:jc w:val="center"/>
        <w:rPr>
          <w:rFonts w:hint="eastAsia" w:ascii="宋体" w:eastAsia="宋体"/>
          <w:color w:val="auto"/>
          <w:sz w:val="30"/>
          <w:szCs w:val="30"/>
          <w:highlight w:val="none"/>
          <w:lang w:eastAsia="zh-CN"/>
        </w:rPr>
      </w:pPr>
      <w:r>
        <w:rPr>
          <w:rFonts w:hint="eastAsia" w:ascii="宋体" w:hAnsi="宋体"/>
          <w:color w:val="auto"/>
          <w:sz w:val="30"/>
          <w:szCs w:val="30"/>
          <w:highlight w:val="none"/>
        </w:rPr>
        <w:t>签订时间：</w:t>
      </w:r>
      <w:bookmarkStart w:id="331" w:name="chineseContractDate"/>
      <w:r>
        <w:rPr>
          <w:rFonts w:hint="eastAsia" w:ascii="宋体" w:hAnsi="宋体"/>
          <w:color w:val="auto"/>
          <w:sz w:val="30"/>
          <w:szCs w:val="30"/>
          <w:highlight w:val="none"/>
        </w:rPr>
        <w:t>二〇二</w:t>
      </w:r>
      <w:r>
        <w:rPr>
          <w:rFonts w:hint="eastAsia" w:ascii="宋体" w:hAnsi="宋体"/>
          <w:color w:val="auto"/>
          <w:sz w:val="30"/>
          <w:szCs w:val="30"/>
          <w:highlight w:val="none"/>
          <w:lang w:val="en-US" w:eastAsia="zh-CN"/>
        </w:rPr>
        <w:t>四</w:t>
      </w:r>
      <w:r>
        <w:rPr>
          <w:rFonts w:hint="eastAsia" w:ascii="宋体" w:hAnsi="宋体"/>
          <w:color w:val="auto"/>
          <w:sz w:val="30"/>
          <w:szCs w:val="30"/>
          <w:highlight w:val="none"/>
        </w:rPr>
        <w:t>年</w:t>
      </w:r>
      <w:r>
        <w:rPr>
          <w:rFonts w:hint="eastAsia" w:ascii="宋体" w:hAnsi="宋体"/>
          <w:color w:val="auto"/>
          <w:sz w:val="30"/>
          <w:szCs w:val="30"/>
          <w:highlight w:val="none"/>
          <w:lang w:val="en-US" w:eastAsia="zh-CN"/>
        </w:rPr>
        <w:t xml:space="preserve">  </w:t>
      </w:r>
      <w:r>
        <w:rPr>
          <w:rFonts w:hint="eastAsia" w:ascii="宋体" w:hAnsi="宋体"/>
          <w:color w:val="auto"/>
          <w:sz w:val="30"/>
          <w:szCs w:val="30"/>
          <w:highlight w:val="none"/>
        </w:rPr>
        <w:t>月</w:t>
      </w:r>
      <w:r>
        <w:rPr>
          <w:rFonts w:hint="eastAsia" w:ascii="宋体" w:hAnsi="宋体"/>
          <w:color w:val="auto"/>
          <w:sz w:val="30"/>
          <w:szCs w:val="30"/>
          <w:highlight w:val="none"/>
          <w:lang w:val="en-US" w:eastAsia="zh-CN"/>
        </w:rPr>
        <w:t xml:space="preserve">  </w:t>
      </w:r>
      <w:r>
        <w:rPr>
          <w:rFonts w:hint="eastAsia" w:ascii="宋体" w:hAnsi="宋体"/>
          <w:color w:val="auto"/>
          <w:sz w:val="30"/>
          <w:szCs w:val="30"/>
          <w:highlight w:val="none"/>
        </w:rPr>
        <w:t>日</w:t>
      </w:r>
      <w:bookmarkEnd w:id="331"/>
    </w:p>
    <w:p>
      <w:pPr>
        <w:spacing w:line="360" w:lineRule="auto"/>
        <w:ind w:firstLine="480" w:firstLineChars="200"/>
        <w:rPr>
          <w:rFonts w:ascii="宋体" w:cs="宋体"/>
          <w:color w:val="auto"/>
          <w:sz w:val="24"/>
          <w:highlight w:val="none"/>
          <w:u w:val="single"/>
        </w:rPr>
      </w:pPr>
      <w:r>
        <w:rPr>
          <w:rFonts w:hint="eastAsia" w:ascii="宋体" w:hAnsi="宋体" w:cs="宋体"/>
          <w:color w:val="auto"/>
          <w:sz w:val="24"/>
          <w:highlight w:val="none"/>
        </w:rPr>
        <w:t>采购人全称（</w:t>
      </w:r>
      <w:r>
        <w:rPr>
          <w:rFonts w:hint="eastAsia" w:ascii="宋体" w:hAnsi="宋体" w:cs="宋体"/>
          <w:color w:val="auto"/>
          <w:sz w:val="24"/>
          <w:highlight w:val="none"/>
          <w:lang w:val="en-US" w:eastAsia="zh-CN"/>
        </w:rPr>
        <w:t>甲方</w:t>
      </w:r>
      <w:r>
        <w:rPr>
          <w:rFonts w:hint="eastAsia" w:ascii="宋体" w:hAnsi="宋体" w:cs="宋体"/>
          <w:color w:val="auto"/>
          <w:sz w:val="24"/>
          <w:highlight w:val="none"/>
        </w:rPr>
        <w:t>）：</w:t>
      </w:r>
      <w:r>
        <w:rPr>
          <w:rFonts w:ascii="宋体" w:hAnsi="宋体" w:cs="宋体"/>
          <w:color w:val="auto"/>
          <w:sz w:val="24"/>
          <w:highlight w:val="none"/>
          <w:u w:val="single"/>
        </w:rPr>
        <w:t xml:space="preserve"> </w:t>
      </w:r>
      <w:bookmarkStart w:id="332" w:name="unitName_1"/>
      <w:r>
        <w:rPr>
          <w:rFonts w:ascii="宋体" w:hAnsi="宋体" w:cs="宋体"/>
          <w:color w:val="auto"/>
          <w:sz w:val="24"/>
          <w:highlight w:val="none"/>
          <w:u w:val="single"/>
        </w:rPr>
        <w:t>临沂大学</w:t>
      </w:r>
      <w:bookmarkEnd w:id="332"/>
      <w:r>
        <w:rPr>
          <w:rFonts w:ascii="宋体" w:hAnsi="宋体" w:cs="宋体"/>
          <w:color w:val="auto"/>
          <w:sz w:val="24"/>
          <w:highlight w:val="none"/>
          <w:u w:val="single"/>
        </w:rPr>
        <w:t xml:space="preserve"> </w:t>
      </w:r>
    </w:p>
    <w:p>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供应商全称（</w:t>
      </w:r>
      <w:r>
        <w:rPr>
          <w:rFonts w:hint="eastAsia" w:ascii="宋体" w:hAnsi="宋体" w:cs="宋体"/>
          <w:color w:val="auto"/>
          <w:sz w:val="24"/>
          <w:highlight w:val="none"/>
          <w:lang w:val="en-US" w:eastAsia="zh-CN"/>
        </w:rPr>
        <w:t>乙方</w:t>
      </w:r>
      <w:r>
        <w:rPr>
          <w:rFonts w:hint="eastAsia" w:ascii="宋体" w:hAnsi="宋体" w:cs="宋体"/>
          <w:color w:val="auto"/>
          <w:sz w:val="24"/>
          <w:highlight w:val="none"/>
        </w:rPr>
        <w:t>）</w:t>
      </w:r>
      <w:r>
        <w:rPr>
          <w:rFonts w:hint="eastAsia" w:ascii="宋体" w:hAnsi="宋体" w:cs="宋体"/>
          <w:color w:val="auto"/>
          <w:sz w:val="24"/>
          <w:highlight w:val="none"/>
        </w:rPr>
        <w:t>：</w:t>
      </w:r>
      <w:r>
        <w:rPr>
          <w:rFonts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ascii="宋体" w:hAnsi="宋体" w:cs="宋体"/>
          <w:color w:val="auto"/>
          <w:sz w:val="24"/>
          <w:highlight w:val="none"/>
          <w:u w:val="single"/>
        </w:rPr>
        <w:t xml:space="preserve">  </w:t>
      </w:r>
    </w:p>
    <w:p>
      <w:pPr>
        <w:widowControl/>
        <w:spacing w:line="360" w:lineRule="auto"/>
        <w:ind w:firstLine="480" w:firstLineChars="200"/>
        <w:jc w:val="left"/>
        <w:rPr>
          <w:rFonts w:hint="eastAsia" w:ascii="宋体" w:hAnsi="宋体" w:cs="宋体"/>
          <w:color w:val="auto"/>
          <w:sz w:val="24"/>
          <w:highlight w:val="none"/>
          <w:u w:val="single"/>
          <w:lang w:val="en-US" w:eastAsia="zh-CN"/>
        </w:rPr>
      </w:pPr>
      <w:r>
        <w:rPr>
          <w:rFonts w:hint="eastAsia" w:ascii="宋体" w:hAnsi="宋体" w:cs="宋体"/>
          <w:color w:val="auto"/>
          <w:sz w:val="24"/>
          <w:highlight w:val="none"/>
        </w:rPr>
        <w:t>根据《</w:t>
      </w:r>
      <w:r>
        <w:rPr>
          <w:rFonts w:hint="eastAsia" w:ascii="宋体" w:hAnsi="宋体" w:cs="宋体"/>
          <w:color w:val="auto"/>
          <w:sz w:val="24"/>
          <w:highlight w:val="none"/>
          <w:lang w:eastAsia="zh-CN"/>
        </w:rPr>
        <w:t>中华人民共和国民法典</w:t>
      </w:r>
      <w:r>
        <w:rPr>
          <w:rFonts w:hint="eastAsia" w:ascii="宋体" w:hAnsi="宋体" w:cs="宋体"/>
          <w:color w:val="auto"/>
          <w:sz w:val="24"/>
          <w:highlight w:val="none"/>
        </w:rPr>
        <w:t>》、《中华人民共和国产品质量法》及其他有关法律法规，双方经过友好协商，本着诚实守信、互惠互利的原则，就</w:t>
      </w:r>
      <w:r>
        <w:rPr>
          <w:rFonts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p>
    <w:p>
      <w:pPr>
        <w:widowControl/>
        <w:spacing w:line="360" w:lineRule="auto"/>
        <w:jc w:val="left"/>
        <w:rPr>
          <w:rFonts w:ascii="宋体" w:cs="仿宋_GB2312"/>
          <w:color w:val="auto"/>
          <w:kern w:val="0"/>
          <w:sz w:val="24"/>
          <w:highlight w:val="none"/>
        </w:rPr>
      </w:pPr>
      <w:r>
        <w:rPr>
          <w:rFonts w:hint="eastAsia" w:ascii="宋体" w:hAnsi="宋体" w:cs="宋体"/>
          <w:color w:val="auto"/>
          <w:sz w:val="24"/>
          <w:highlight w:val="none"/>
          <w:u w:val="single"/>
          <w:lang w:val="en-US" w:eastAsia="zh-CN"/>
        </w:rPr>
        <w:t xml:space="preserve">         </w:t>
      </w:r>
      <w:r>
        <w:rPr>
          <w:rFonts w:ascii="宋体" w:hAnsi="宋体" w:cs="宋体"/>
          <w:color w:val="auto"/>
          <w:sz w:val="24"/>
          <w:highlight w:val="none"/>
          <w:u w:val="single"/>
        </w:rPr>
        <w:t xml:space="preserve">  </w:t>
      </w:r>
      <w:r>
        <w:rPr>
          <w:rFonts w:hint="eastAsia" w:ascii="宋体" w:hAnsi="宋体" w:cs="宋体"/>
          <w:color w:val="auto"/>
          <w:sz w:val="24"/>
          <w:highlight w:val="none"/>
        </w:rPr>
        <w:t>项目</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w:t>
      </w:r>
      <w:r>
        <w:rPr>
          <w:rFonts w:hint="eastAsia" w:ascii="宋体" w:hAnsi="宋体" w:cs="宋体"/>
          <w:color w:val="auto"/>
          <w:sz w:val="24"/>
          <w:highlight w:val="none"/>
          <w:u w:val="single"/>
          <w:lang w:val="en-US" w:eastAsia="zh-CN"/>
        </w:rPr>
        <w:t xml:space="preserve">SDGP3700000002024       </w:t>
      </w:r>
      <w:r>
        <w:rPr>
          <w:rFonts w:hint="eastAsia" w:ascii="宋体" w:hAnsi="宋体" w:cs="宋体"/>
          <w:color w:val="auto"/>
          <w:sz w:val="24"/>
          <w:highlight w:val="none"/>
          <w:u w:val="single"/>
        </w:rPr>
        <w:t>)</w:t>
      </w:r>
      <w:r>
        <w:rPr>
          <w:rFonts w:ascii="宋体" w:hAnsi="宋体" w:cs="宋体"/>
          <w:color w:val="auto"/>
          <w:sz w:val="24"/>
          <w:highlight w:val="none"/>
          <w:u w:val="single"/>
        </w:rPr>
        <w:t xml:space="preserve"> </w:t>
      </w:r>
      <w:r>
        <w:rPr>
          <w:rFonts w:hint="eastAsia" w:ascii="宋体" w:hAnsi="宋体" w:cs="宋体"/>
          <w:color w:val="auto"/>
          <w:sz w:val="24"/>
          <w:highlight w:val="none"/>
        </w:rPr>
        <w:t>采购与供应事宜签订本合同条款，</w:t>
      </w:r>
      <w:r>
        <w:rPr>
          <w:rFonts w:hint="eastAsia" w:ascii="宋体" w:hAnsi="宋体" w:cs="仿宋_GB2312"/>
          <w:color w:val="auto"/>
          <w:kern w:val="0"/>
          <w:sz w:val="24"/>
          <w:highlight w:val="none"/>
        </w:rPr>
        <w:t>共同达成如下协议：</w:t>
      </w:r>
    </w:p>
    <w:p>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一、项目概况</w:t>
      </w:r>
    </w:p>
    <w:p>
      <w:pPr>
        <w:widowControl/>
        <w:spacing w:line="360" w:lineRule="auto"/>
        <w:ind w:firstLine="480" w:firstLineChars="200"/>
        <w:jc w:val="left"/>
        <w:rPr>
          <w:rFonts w:ascii="宋体" w:cs="仿宋_GB2312"/>
          <w:color w:val="auto"/>
          <w:kern w:val="0"/>
          <w:sz w:val="24"/>
          <w:highlight w:val="none"/>
        </w:rPr>
      </w:pPr>
      <w:r>
        <w:rPr>
          <w:rFonts w:ascii="宋体" w:hAnsi="宋体" w:cs="仿宋_GB2312"/>
          <w:color w:val="auto"/>
          <w:kern w:val="0"/>
          <w:sz w:val="24"/>
          <w:highlight w:val="none"/>
        </w:rPr>
        <w:t>1.</w:t>
      </w:r>
      <w:r>
        <w:rPr>
          <w:rFonts w:hint="eastAsia" w:ascii="宋体" w:hAnsi="宋体" w:cs="仿宋_GB2312"/>
          <w:color w:val="auto"/>
          <w:kern w:val="0"/>
          <w:sz w:val="24"/>
          <w:highlight w:val="none"/>
        </w:rPr>
        <w:t>项目名称：</w:t>
      </w:r>
      <w:r>
        <w:rPr>
          <w:rFonts w:hint="eastAsia" w:ascii="宋体" w:hAnsi="宋体" w:cs="仿宋_GB2312"/>
          <w:color w:val="auto"/>
          <w:kern w:val="0"/>
          <w:sz w:val="24"/>
          <w:highlight w:val="none"/>
          <w:u w:val="single"/>
        </w:rPr>
        <w:t></w:t>
      </w:r>
      <w:bookmarkStart w:id="333" w:name="projectName_2"/>
      <w:r>
        <w:rPr>
          <w:rFonts w:hint="eastAsia" w:ascii="宋体" w:hAnsi="宋体" w:cs="仿宋_GB2312"/>
          <w:color w:val="auto"/>
          <w:kern w:val="0"/>
          <w:sz w:val="24"/>
          <w:highlight w:val="none"/>
          <w:u w:val="single"/>
          <w:lang w:val="en-US" w:eastAsia="zh-CN"/>
        </w:rPr>
        <w:t xml:space="preserve">                       </w:t>
      </w:r>
      <w:r>
        <w:rPr>
          <w:rFonts w:hint="eastAsia" w:ascii="宋体" w:hAnsi="宋体" w:cs="仿宋_GB2312"/>
          <w:color w:val="auto"/>
          <w:kern w:val="0"/>
          <w:sz w:val="24"/>
          <w:highlight w:val="none"/>
          <w:u w:val="single"/>
        </w:rPr>
        <w:t>项目</w:t>
      </w:r>
      <w:bookmarkEnd w:id="333"/>
      <w:r>
        <w:rPr>
          <w:rFonts w:hint="eastAsia" w:ascii="宋体" w:hAnsi="宋体" w:cs="仿宋_GB2312"/>
          <w:b/>
          <w:bCs/>
          <w:color w:val="auto"/>
          <w:kern w:val="0"/>
          <w:sz w:val="24"/>
          <w:highlight w:val="none"/>
          <w:u w:val="single"/>
          <w:lang w:eastAsia="zh-CN"/>
        </w:rPr>
        <w:t>（</w:t>
      </w:r>
      <w:r>
        <w:rPr>
          <w:rFonts w:hint="eastAsia" w:ascii="宋体" w:hAnsi="宋体" w:cs="仿宋_GB2312"/>
          <w:b/>
          <w:bCs/>
          <w:color w:val="auto"/>
          <w:kern w:val="0"/>
          <w:sz w:val="24"/>
          <w:highlight w:val="none"/>
          <w:u w:val="single"/>
          <w:lang w:val="en-US" w:eastAsia="zh-CN"/>
        </w:rPr>
        <w:t>预算</w:t>
      </w:r>
      <w:r>
        <w:rPr>
          <w:rFonts w:hint="eastAsia" w:ascii="宋体" w:hAnsi="宋体" w:cs="仿宋_GB2312"/>
          <w:b/>
          <w:bCs/>
          <w:color w:val="auto"/>
          <w:kern w:val="0"/>
          <w:sz w:val="24"/>
          <w:highlight w:val="none"/>
          <w:u w:val="single"/>
          <w:lang w:val="en-US" w:eastAsia="zh-CN"/>
        </w:rPr>
        <w:t xml:space="preserve">  </w:t>
      </w:r>
      <w:r>
        <w:rPr>
          <w:rFonts w:hint="eastAsia" w:ascii="宋体" w:hAnsi="宋体" w:cs="仿宋_GB2312"/>
          <w:b/>
          <w:bCs/>
          <w:color w:val="auto"/>
          <w:kern w:val="0"/>
          <w:sz w:val="24"/>
          <w:highlight w:val="none"/>
          <w:u w:val="single"/>
          <w:lang w:val="en-US" w:eastAsia="zh-CN"/>
        </w:rPr>
        <w:t>万</w:t>
      </w:r>
      <w:r>
        <w:rPr>
          <w:rFonts w:hint="eastAsia" w:ascii="宋体" w:hAnsi="宋体" w:cs="仿宋_GB2312"/>
          <w:b/>
          <w:bCs/>
          <w:color w:val="auto"/>
          <w:kern w:val="0"/>
          <w:sz w:val="24"/>
          <w:highlight w:val="none"/>
          <w:u w:val="single"/>
          <w:lang w:eastAsia="zh-CN"/>
        </w:rPr>
        <w:t>）</w:t>
      </w:r>
      <w:r>
        <w:rPr>
          <w:rFonts w:ascii="宋体" w:hAnsi="宋体" w:cs="仿宋_GB2312"/>
          <w:color w:val="auto"/>
          <w:kern w:val="0"/>
          <w:sz w:val="24"/>
          <w:highlight w:val="none"/>
          <w:u w:val="single"/>
        </w:rPr>
        <w:t xml:space="preserve"> </w:t>
      </w:r>
      <w:r>
        <w:rPr>
          <w:rFonts w:hint="eastAsia" w:ascii="宋体" w:hAnsi="宋体" w:cs="仿宋_GB2312"/>
          <w:color w:val="auto"/>
          <w:kern w:val="0"/>
          <w:sz w:val="24"/>
          <w:highlight w:val="none"/>
          <w:u w:val="single"/>
        </w:rPr>
        <w:t>。</w:t>
      </w:r>
    </w:p>
    <w:p>
      <w:pPr>
        <w:widowControl/>
        <w:spacing w:line="360" w:lineRule="auto"/>
        <w:ind w:firstLine="480" w:firstLineChars="200"/>
        <w:jc w:val="left"/>
        <w:rPr>
          <w:rFonts w:ascii="宋体" w:cs="仿宋_GB2312"/>
          <w:color w:val="auto"/>
          <w:kern w:val="0"/>
          <w:sz w:val="24"/>
          <w:highlight w:val="none"/>
        </w:rPr>
      </w:pPr>
      <w:r>
        <w:rPr>
          <w:rFonts w:ascii="宋体" w:hAnsi="宋体" w:cs="仿宋_GB2312"/>
          <w:color w:val="auto"/>
          <w:kern w:val="0"/>
          <w:sz w:val="24"/>
          <w:highlight w:val="none"/>
        </w:rPr>
        <w:t>2.</w:t>
      </w:r>
      <w:r>
        <w:rPr>
          <w:rFonts w:hint="eastAsia" w:ascii="宋体" w:hAnsi="宋体" w:cs="仿宋_GB2312"/>
          <w:color w:val="auto"/>
          <w:kern w:val="0"/>
          <w:sz w:val="24"/>
          <w:highlight w:val="none"/>
        </w:rPr>
        <w:t>供货地点：</w:t>
      </w:r>
      <w:r>
        <w:rPr>
          <w:rFonts w:hint="eastAsia" w:ascii="宋体" w:hAnsi="宋体" w:cs="仿宋_GB2312"/>
          <w:color w:val="auto"/>
          <w:kern w:val="0"/>
          <w:sz w:val="24"/>
          <w:highlight w:val="none"/>
          <w:u w:val="single"/>
        </w:rPr>
        <w:t></w:t>
      </w:r>
      <w:bookmarkStart w:id="334" w:name="deliveryPlace"/>
      <w:r>
        <w:rPr>
          <w:rFonts w:hint="eastAsia" w:ascii="宋体" w:hAnsi="宋体" w:cs="仿宋_GB2312"/>
          <w:color w:val="auto"/>
          <w:kern w:val="0"/>
          <w:sz w:val="24"/>
          <w:highlight w:val="none"/>
          <w:u w:val="single"/>
        </w:rPr>
        <w:t>临沂大学指定地点</w:t>
      </w:r>
      <w:bookmarkEnd w:id="334"/>
      <w:r>
        <w:rPr>
          <w:rFonts w:ascii="宋体" w:hAnsi="宋体" w:cs="仿宋_GB2312"/>
          <w:color w:val="auto"/>
          <w:kern w:val="0"/>
          <w:sz w:val="24"/>
          <w:highlight w:val="none"/>
          <w:u w:val="single"/>
        </w:rPr>
        <w:t xml:space="preserve"> </w:t>
      </w:r>
      <w:r>
        <w:rPr>
          <w:rFonts w:hint="eastAsia" w:ascii="宋体" w:hAnsi="宋体" w:cs="仿宋_GB2312"/>
          <w:color w:val="auto"/>
          <w:kern w:val="0"/>
          <w:sz w:val="24"/>
          <w:highlight w:val="none"/>
          <w:u w:val="single"/>
        </w:rPr>
        <w:t>。</w:t>
      </w:r>
    </w:p>
    <w:p>
      <w:pPr>
        <w:widowControl/>
        <w:spacing w:line="360" w:lineRule="auto"/>
        <w:ind w:firstLine="480" w:firstLineChars="200"/>
        <w:jc w:val="left"/>
        <w:rPr>
          <w:rFonts w:ascii="宋体" w:cs="仿宋_GB2312"/>
          <w:color w:val="auto"/>
          <w:kern w:val="0"/>
          <w:sz w:val="24"/>
          <w:highlight w:val="none"/>
          <w:u w:val="single"/>
        </w:rPr>
      </w:pPr>
      <w:r>
        <w:rPr>
          <w:rFonts w:ascii="宋体" w:hAnsi="宋体" w:cs="仿宋_GB2312"/>
          <w:color w:val="auto"/>
          <w:kern w:val="0"/>
          <w:sz w:val="24"/>
          <w:highlight w:val="none"/>
        </w:rPr>
        <w:t>3</w:t>
      </w:r>
      <w:r>
        <w:rPr>
          <w:rFonts w:ascii="宋体" w:cs="仿宋_GB2312"/>
          <w:color w:val="auto"/>
          <w:kern w:val="0"/>
          <w:sz w:val="24"/>
          <w:highlight w:val="none"/>
        </w:rPr>
        <w:t>.</w:t>
      </w:r>
      <w:r>
        <w:rPr>
          <w:rFonts w:hint="eastAsia" w:ascii="宋体" w:hAnsi="宋体" w:cs="仿宋_GB2312"/>
          <w:color w:val="auto"/>
          <w:kern w:val="0"/>
          <w:sz w:val="24"/>
          <w:highlight w:val="none"/>
        </w:rPr>
        <w:t>供货内容和范围：</w:t>
      </w:r>
      <w:r>
        <w:rPr>
          <w:rFonts w:hint="eastAsia" w:ascii="宋体" w:hAnsi="宋体" w:cs="仿宋_GB2312"/>
          <w:color w:val="auto"/>
          <w:kern w:val="0"/>
          <w:sz w:val="24"/>
          <w:highlight w:val="none"/>
          <w:u w:val="single"/>
          <w:lang w:val="en-US" w:eastAsia="zh-CN"/>
        </w:rPr>
        <w:t xml:space="preserve">                  </w:t>
      </w:r>
      <w:r>
        <w:rPr>
          <w:rFonts w:ascii="宋体" w:hAnsi="宋体" w:cs="宋体"/>
          <w:color w:val="auto"/>
          <w:kern w:val="0"/>
          <w:sz w:val="24"/>
          <w:highlight w:val="none"/>
          <w:u w:val="single"/>
        </w:rPr>
        <w:t xml:space="preserve"> </w:t>
      </w:r>
      <w:r>
        <w:rPr>
          <w:rFonts w:hint="eastAsia" w:ascii="宋体" w:hAnsi="宋体" w:cs="仿宋_GB2312"/>
          <w:color w:val="auto"/>
          <w:kern w:val="0"/>
          <w:sz w:val="24"/>
          <w:highlight w:val="none"/>
          <w:u w:val="single"/>
        </w:rPr>
        <w:t>。</w:t>
      </w:r>
    </w:p>
    <w:p>
      <w:pPr>
        <w:widowControl/>
        <w:spacing w:line="360" w:lineRule="auto"/>
        <w:ind w:firstLine="480" w:firstLineChars="200"/>
        <w:jc w:val="left"/>
        <w:rPr>
          <w:rFonts w:hint="default" w:ascii="宋体" w:hAnsi="宋体" w:eastAsia="宋体" w:cs="仿宋_GB2312"/>
          <w:color w:val="auto"/>
          <w:kern w:val="0"/>
          <w:sz w:val="24"/>
          <w:highlight w:val="none"/>
          <w:lang w:val="en-US" w:eastAsia="zh-CN"/>
        </w:rPr>
      </w:pPr>
      <w:r>
        <w:rPr>
          <w:rFonts w:hint="eastAsia" w:ascii="宋体" w:hAnsi="宋体" w:cs="仿宋_GB2312"/>
          <w:color w:val="auto"/>
          <w:kern w:val="0"/>
          <w:sz w:val="24"/>
          <w:highlight w:val="none"/>
        </w:rPr>
        <w:t>二、供货</w:t>
      </w:r>
      <w:r>
        <w:rPr>
          <w:rFonts w:hint="eastAsia" w:ascii="宋体" w:hAnsi="宋体" w:cs="仿宋_GB2312"/>
          <w:color w:val="auto"/>
          <w:kern w:val="0"/>
          <w:sz w:val="24"/>
          <w:highlight w:val="none"/>
        </w:rPr>
        <w:t>期</w:t>
      </w:r>
      <w:r>
        <w:rPr>
          <w:rFonts w:hint="eastAsia" w:ascii="宋体" w:hAnsi="宋体" w:cs="仿宋_GB2312"/>
          <w:b/>
          <w:bCs/>
          <w:color w:val="auto"/>
          <w:kern w:val="0"/>
          <w:sz w:val="24"/>
          <w:highlight w:val="none"/>
          <w:lang w:val="en-US" w:eastAsia="zh-CN"/>
        </w:rPr>
        <w:t>及质保期</w:t>
      </w:r>
    </w:p>
    <w:p>
      <w:pPr>
        <w:widowControl/>
        <w:spacing w:line="360" w:lineRule="auto"/>
        <w:ind w:firstLine="720" w:firstLineChars="300"/>
        <w:jc w:val="left"/>
        <w:rPr>
          <w:rFonts w:hint="eastAsia" w:ascii="宋体" w:eastAsia="宋体" w:cs="仿宋_GB2312"/>
          <w:color w:val="auto"/>
          <w:kern w:val="0"/>
          <w:sz w:val="24"/>
          <w:highlight w:val="none"/>
          <w:lang w:val="en-US" w:eastAsia="zh-CN"/>
        </w:rPr>
      </w:pPr>
      <w:r>
        <w:rPr>
          <w:rFonts w:hint="eastAsia" w:ascii="宋体" w:hAnsi="宋体" w:cs="仿宋_GB2312"/>
          <w:color w:val="auto"/>
          <w:kern w:val="0"/>
          <w:sz w:val="24"/>
          <w:highlight w:val="none"/>
          <w:u w:val="single"/>
          <w:lang w:val="en-US" w:eastAsia="zh-CN"/>
        </w:rPr>
        <w:t xml:space="preserve">                    </w:t>
      </w:r>
      <w:r>
        <w:rPr>
          <w:rFonts w:hint="eastAsia" w:ascii="宋体" w:hAnsi="宋体" w:cs="仿宋_GB2312"/>
          <w:color w:val="auto"/>
          <w:kern w:val="0"/>
          <w:sz w:val="24"/>
          <w:highlight w:val="none"/>
          <w:u w:val="single"/>
          <w:lang w:eastAsia="zh-CN"/>
        </w:rPr>
        <w:t>，</w:t>
      </w:r>
      <w:r>
        <w:rPr>
          <w:rFonts w:hint="eastAsia" w:ascii="宋体" w:hAnsi="宋体" w:cs="仿宋_GB2312"/>
          <w:b/>
          <w:bCs/>
          <w:color w:val="auto"/>
          <w:kern w:val="0"/>
          <w:sz w:val="24"/>
          <w:highlight w:val="none"/>
          <w:u w:val="single"/>
          <w:lang w:val="en-US" w:eastAsia="zh-CN"/>
        </w:rPr>
        <w:t>质保期：</w:t>
      </w:r>
      <w:r>
        <w:rPr>
          <w:rFonts w:hint="eastAsia" w:ascii="宋体" w:hAnsi="宋体" w:cs="仿宋_GB2312"/>
          <w:b/>
          <w:bCs/>
          <w:color w:val="auto"/>
          <w:kern w:val="0"/>
          <w:sz w:val="24"/>
          <w:highlight w:val="none"/>
          <w:u w:val="single"/>
          <w:lang w:val="en-US" w:eastAsia="zh-CN"/>
        </w:rPr>
        <w:t xml:space="preserve">   </w:t>
      </w:r>
      <w:r>
        <w:rPr>
          <w:rFonts w:hint="eastAsia" w:ascii="宋体" w:hAnsi="宋体" w:cs="仿宋_GB2312"/>
          <w:color w:val="auto"/>
          <w:kern w:val="0"/>
          <w:sz w:val="24"/>
          <w:highlight w:val="none"/>
          <w:u w:val="single"/>
        </w:rPr>
        <w:t xml:space="preserve"> </w:t>
      </w:r>
      <w:r>
        <w:rPr>
          <w:rFonts w:hint="eastAsia" w:ascii="宋体" w:hAnsi="宋体" w:cs="仿宋_GB2312"/>
          <w:color w:val="auto"/>
          <w:kern w:val="0"/>
          <w:sz w:val="24"/>
          <w:highlight w:val="none"/>
          <w:u w:val="single"/>
          <w:lang w:val="en-US" w:eastAsia="zh-CN"/>
        </w:rPr>
        <w:t xml:space="preserve"> </w:t>
      </w:r>
      <w:r>
        <w:rPr>
          <w:rFonts w:hint="eastAsia" w:ascii="宋体" w:hAnsi="宋体" w:cs="仿宋_GB2312"/>
          <w:color w:val="auto"/>
          <w:kern w:val="0"/>
          <w:sz w:val="24"/>
          <w:highlight w:val="none"/>
          <w:lang w:val="en-US" w:eastAsia="zh-CN"/>
        </w:rPr>
        <w:t>。</w:t>
      </w:r>
    </w:p>
    <w:p>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三、质量标准</w:t>
      </w:r>
    </w:p>
    <w:p>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符合《中华人民共和国产品质量法》标准，符合招标文件要求，投标文件及供应商在评审过程中做出的书面澄清及承诺。</w:t>
      </w:r>
    </w:p>
    <w:p>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四、签约合同价与合同价格形式</w:t>
      </w:r>
      <w:r>
        <w:rPr>
          <w:rFonts w:ascii="宋体" w:cs="仿宋_GB2312"/>
          <w:color w:val="auto"/>
          <w:kern w:val="0"/>
          <w:sz w:val="24"/>
          <w:highlight w:val="none"/>
        </w:rPr>
        <w:tab/>
      </w:r>
    </w:p>
    <w:p>
      <w:pPr>
        <w:widowControl/>
        <w:spacing w:line="360" w:lineRule="auto"/>
        <w:ind w:firstLine="480" w:firstLineChars="200"/>
        <w:jc w:val="left"/>
        <w:rPr>
          <w:rFonts w:ascii="宋体" w:cs="仿宋_GB2312"/>
          <w:color w:val="auto"/>
          <w:kern w:val="0"/>
          <w:sz w:val="24"/>
          <w:highlight w:val="none"/>
        </w:rPr>
      </w:pPr>
      <w:r>
        <w:rPr>
          <w:rFonts w:ascii="宋体" w:hAnsi="宋体" w:cs="仿宋_GB2312"/>
          <w:color w:val="auto"/>
          <w:kern w:val="0"/>
          <w:sz w:val="24"/>
          <w:highlight w:val="none"/>
        </w:rPr>
        <w:t>1.</w:t>
      </w:r>
      <w:r>
        <w:rPr>
          <w:rFonts w:hint="eastAsia" w:ascii="宋体" w:hAnsi="宋体" w:cs="仿宋_GB2312"/>
          <w:color w:val="auto"/>
          <w:kern w:val="0"/>
          <w:sz w:val="24"/>
          <w:highlight w:val="none"/>
        </w:rPr>
        <w:t>签约合同价为：</w:t>
      </w:r>
    </w:p>
    <w:p>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人民币（大写）</w:t>
      </w:r>
      <w:r>
        <w:rPr>
          <w:rFonts w:ascii="宋体" w:hAnsi="宋体" w:cs="仿宋_GB2312"/>
          <w:color w:val="auto"/>
          <w:kern w:val="0"/>
          <w:sz w:val="24"/>
          <w:highlight w:val="none"/>
          <w:u w:val="single"/>
        </w:rPr>
        <w:t xml:space="preserve"> </w:t>
      </w:r>
      <w:r>
        <w:rPr>
          <w:rFonts w:hint="eastAsia" w:ascii="宋体" w:hAnsi="宋体" w:cs="仿宋_GB2312"/>
          <w:color w:val="auto"/>
          <w:kern w:val="0"/>
          <w:sz w:val="24"/>
          <w:highlight w:val="none"/>
          <w:u w:val="single"/>
          <w:lang w:val="en-US" w:eastAsia="zh-CN"/>
        </w:rPr>
        <w:t xml:space="preserve">                           </w:t>
      </w:r>
      <w:r>
        <w:rPr>
          <w:rFonts w:hint="eastAsia" w:ascii="宋体" w:hAnsi="宋体" w:cs="仿宋_GB2312"/>
          <w:color w:val="auto"/>
          <w:kern w:val="0"/>
          <w:sz w:val="24"/>
          <w:highlight w:val="none"/>
        </w:rPr>
        <w:t>；</w:t>
      </w:r>
    </w:p>
    <w:p>
      <w:pPr>
        <w:widowControl/>
        <w:spacing w:line="360" w:lineRule="auto"/>
        <w:ind w:firstLine="480" w:firstLineChars="200"/>
        <w:jc w:val="left"/>
        <w:rPr>
          <w:rFonts w:ascii="宋体" w:cs="仿宋_GB2312"/>
          <w:color w:val="auto"/>
          <w:kern w:val="0"/>
          <w:sz w:val="24"/>
          <w:highlight w:val="none"/>
        </w:rPr>
      </w:pPr>
      <w:r>
        <w:rPr>
          <w:rFonts w:ascii="宋体" w:hAnsi="宋体" w:cs="仿宋_GB2312"/>
          <w:color w:val="auto"/>
          <w:kern w:val="0"/>
          <w:sz w:val="24"/>
          <w:highlight w:val="none"/>
        </w:rPr>
        <w:t>2.</w:t>
      </w:r>
      <w:r>
        <w:rPr>
          <w:rFonts w:hint="eastAsia" w:ascii="宋体" w:hAnsi="宋体" w:cs="仿宋_GB2312"/>
          <w:color w:val="auto"/>
          <w:kern w:val="0"/>
          <w:sz w:val="24"/>
          <w:highlight w:val="none"/>
        </w:rPr>
        <w:t>合同价格形式：</w:t>
      </w:r>
      <w:r>
        <w:rPr>
          <w:rFonts w:hint="eastAsia" w:ascii="宋体" w:hAnsi="宋体" w:cs="仿宋_GB2312"/>
          <w:color w:val="auto"/>
          <w:kern w:val="0"/>
          <w:sz w:val="24"/>
          <w:highlight w:val="none"/>
          <w:u w:val="single"/>
        </w:rPr>
        <w:t></w:t>
      </w:r>
      <w:r>
        <w:rPr>
          <w:rFonts w:hint="eastAsia" w:ascii="宋体" w:hAnsi="宋体" w:cs="仿宋_GB2312"/>
          <w:color w:val="auto"/>
          <w:kern w:val="0"/>
          <w:sz w:val="24"/>
          <w:highlight w:val="none"/>
          <w:u w:val="single"/>
          <w:lang w:val="en-US" w:eastAsia="zh-CN"/>
        </w:rPr>
        <w:t>全费用固定综合单价</w:t>
      </w:r>
      <w:r>
        <w:rPr>
          <w:rFonts w:ascii="宋体" w:hAnsi="宋体" w:cs="仿宋_GB2312"/>
          <w:color w:val="auto"/>
          <w:kern w:val="0"/>
          <w:sz w:val="24"/>
          <w:highlight w:val="none"/>
          <w:u w:val="single"/>
        </w:rPr>
        <w:t xml:space="preserve"> </w:t>
      </w:r>
      <w:r>
        <w:rPr>
          <w:rFonts w:hint="eastAsia" w:ascii="宋体" w:hAnsi="宋体" w:cs="仿宋_GB2312"/>
          <w:color w:val="auto"/>
          <w:kern w:val="0"/>
          <w:sz w:val="24"/>
          <w:highlight w:val="none"/>
          <w:u w:val="single"/>
        </w:rPr>
        <w:t>。</w:t>
      </w:r>
    </w:p>
    <w:p>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五、项目经理</w:t>
      </w:r>
    </w:p>
    <w:p>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供应商项目经理：</w:t>
      </w:r>
      <w:r>
        <w:rPr>
          <w:rFonts w:hint="eastAsia" w:ascii="宋体" w:hAnsi="宋体" w:cs="仿宋_GB2312"/>
          <w:color w:val="auto"/>
          <w:kern w:val="0"/>
          <w:sz w:val="24"/>
          <w:highlight w:val="none"/>
          <w:u w:val="single"/>
        </w:rPr>
        <w:t></w:t>
      </w:r>
      <w:r>
        <w:rPr>
          <w:rFonts w:ascii="宋体" w:hAnsi="宋体" w:cs="仿宋_GB2312"/>
          <w:color w:val="auto"/>
          <w:kern w:val="0"/>
          <w:sz w:val="24"/>
          <w:highlight w:val="none"/>
          <w:u w:val="single"/>
        </w:rPr>
        <w:t xml:space="preserve"> </w:t>
      </w:r>
      <w:r>
        <w:rPr>
          <w:rFonts w:hint="eastAsia" w:ascii="宋体" w:hAnsi="宋体" w:cs="仿宋_GB2312"/>
          <w:color w:val="auto"/>
          <w:kern w:val="0"/>
          <w:sz w:val="24"/>
          <w:highlight w:val="none"/>
          <w:u w:val="single"/>
          <w:lang w:val="en-US" w:eastAsia="zh-CN"/>
        </w:rPr>
        <w:t>联系人及电话</w:t>
      </w:r>
      <w:r>
        <w:rPr>
          <w:rFonts w:ascii="宋体" w:hAnsi="宋体" w:cs="仿宋_GB2312"/>
          <w:color w:val="auto"/>
          <w:kern w:val="0"/>
          <w:sz w:val="24"/>
          <w:highlight w:val="none"/>
          <w:u w:val="single"/>
        </w:rPr>
        <w:t xml:space="preserve">              </w:t>
      </w:r>
      <w:r>
        <w:rPr>
          <w:rFonts w:hint="eastAsia" w:ascii="宋体" w:hAnsi="宋体" w:cs="仿宋_GB2312"/>
          <w:color w:val="auto"/>
          <w:kern w:val="0"/>
          <w:sz w:val="24"/>
          <w:highlight w:val="none"/>
          <w:u w:val="single"/>
        </w:rPr>
        <w:t></w:t>
      </w:r>
      <w:r>
        <w:rPr>
          <w:rFonts w:ascii="宋体" w:hAnsi="宋体" w:cs="仿宋_GB2312"/>
          <w:color w:val="auto"/>
          <w:kern w:val="0"/>
          <w:sz w:val="24"/>
          <w:highlight w:val="none"/>
          <w:u w:val="single"/>
        </w:rPr>
        <w:t xml:space="preserve">    </w:t>
      </w:r>
      <w:r>
        <w:rPr>
          <w:rFonts w:hint="eastAsia" w:ascii="宋体" w:hAnsi="宋体" w:cs="仿宋_GB2312"/>
          <w:color w:val="auto"/>
          <w:kern w:val="0"/>
          <w:sz w:val="24"/>
          <w:highlight w:val="none"/>
          <w:u w:val="single"/>
        </w:rPr>
        <w:t>。</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六、资金来源</w:t>
      </w:r>
    </w:p>
    <w:p>
      <w:pPr>
        <w:spacing w:line="360" w:lineRule="auto"/>
        <w:ind w:firstLine="480" w:firstLineChars="200"/>
        <w:rPr>
          <w:rFonts w:ascii="宋体" w:hAnsi="宋体" w:cs="宋体"/>
          <w:color w:val="auto"/>
          <w:sz w:val="24"/>
          <w:highlight w:val="none"/>
          <w:u w:val="single"/>
        </w:rPr>
      </w:pPr>
      <w:r>
        <w:rPr>
          <w:rFonts w:hint="eastAsia" w:ascii="宋体" w:hAnsi="宋体" w:cs="宋体"/>
          <w:color w:val="auto"/>
          <w:sz w:val="24"/>
          <w:highlight w:val="none"/>
        </w:rPr>
        <w:t>预算内资金</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元；财政专户资金：</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元；自筹资金：</w:t>
      </w:r>
      <w:r>
        <w:rPr>
          <w:rFonts w:hint="eastAsia" w:ascii="宋体" w:hAnsi="宋体" w:cs="宋体"/>
          <w:color w:val="auto"/>
          <w:sz w:val="24"/>
          <w:highlight w:val="none"/>
          <w:u w:val="single"/>
        </w:rPr>
        <w:t xml:space="preserve"> </w:t>
      </w:r>
      <w:bookmarkStart w:id="335" w:name="contractSum03"/>
      <w:r>
        <w:rPr>
          <w:rFonts w:hint="eastAsia" w:ascii="宋体" w:hAnsi="宋体" w:cs="宋体"/>
          <w:color w:val="auto"/>
          <w:sz w:val="24"/>
          <w:highlight w:val="none"/>
          <w:u w:val="single"/>
        </w:rPr>
        <w:t>0</w:t>
      </w:r>
      <w:bookmarkEnd w:id="335"/>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元。   </w:t>
      </w:r>
    </w:p>
    <w:p>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七、付款方式</w:t>
      </w:r>
    </w:p>
    <w:p>
      <w:pPr>
        <w:spacing w:line="360" w:lineRule="auto"/>
        <w:ind w:firstLine="480" w:firstLineChars="200"/>
        <w:rPr>
          <w:rFonts w:ascii="宋体" w:hAnsi="宋体" w:cs="宋体"/>
          <w:color w:val="auto"/>
          <w:sz w:val="24"/>
          <w:highlight w:val="none"/>
        </w:rPr>
      </w:pPr>
      <w:r>
        <w:rPr>
          <w:rFonts w:ascii="宋体" w:hAnsi="宋体" w:cs="宋体"/>
          <w:color w:val="auto"/>
          <w:sz w:val="24"/>
          <w:highlight w:val="none"/>
        </w:rPr>
        <w:t>1.合同签订前，成交供应商须向采购人指定的账户交纳合同金额的5%作为履约保证金。</w:t>
      </w:r>
    </w:p>
    <w:p>
      <w:pPr>
        <w:spacing w:line="360" w:lineRule="auto"/>
        <w:ind w:firstLine="480" w:firstLineChars="200"/>
        <w:rPr>
          <w:rFonts w:ascii="宋体" w:hAnsi="宋体" w:cs="宋体"/>
          <w:color w:val="auto"/>
          <w:sz w:val="24"/>
          <w:highlight w:val="none"/>
        </w:rPr>
      </w:pPr>
      <w:r>
        <w:rPr>
          <w:rFonts w:ascii="宋体" w:hAnsi="宋体" w:cs="宋体"/>
          <w:color w:val="auto"/>
          <w:sz w:val="24"/>
          <w:highlight w:val="none"/>
        </w:rPr>
        <w:t>2.</w:t>
      </w:r>
      <w:r>
        <w:rPr>
          <w:rFonts w:hint="eastAsia" w:ascii="宋体" w:hAnsi="宋体" w:cs="宋体"/>
          <w:color w:val="auto"/>
          <w:sz w:val="24"/>
          <w:highlight w:val="none"/>
        </w:rPr>
        <w:t>采购人于合同签订生效且具备实施条件后5个工作日内支付预付款，货物类项目预付款比例为合同金额的40％。</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项目供货安装完毕</w:t>
      </w:r>
      <w:r>
        <w:rPr>
          <w:rFonts w:ascii="宋体" w:hAnsi="宋体" w:cs="宋体"/>
          <w:color w:val="auto"/>
          <w:sz w:val="24"/>
          <w:highlight w:val="none"/>
        </w:rPr>
        <w:t>且经验收合格</w:t>
      </w:r>
      <w:r>
        <w:rPr>
          <w:rFonts w:hint="eastAsia" w:ascii="宋体" w:hAnsi="宋体" w:cs="宋体"/>
          <w:color w:val="auto"/>
          <w:sz w:val="24"/>
          <w:highlight w:val="none"/>
        </w:rPr>
        <w:t>后，</w:t>
      </w:r>
      <w:r>
        <w:rPr>
          <w:rFonts w:ascii="宋体" w:hAnsi="宋体" w:cs="宋体"/>
          <w:color w:val="auto"/>
          <w:sz w:val="24"/>
          <w:highlight w:val="none"/>
        </w:rPr>
        <w:t>无质量问题，支付</w:t>
      </w:r>
      <w:r>
        <w:rPr>
          <w:rFonts w:hint="eastAsia" w:ascii="宋体" w:hAnsi="宋体" w:cs="宋体"/>
          <w:color w:val="auto"/>
          <w:sz w:val="24"/>
          <w:highlight w:val="none"/>
        </w:rPr>
        <w:t>至</w:t>
      </w:r>
      <w:r>
        <w:rPr>
          <w:rFonts w:ascii="宋体" w:hAnsi="宋体" w:cs="宋体"/>
          <w:color w:val="auto"/>
          <w:sz w:val="24"/>
          <w:highlight w:val="none"/>
        </w:rPr>
        <w:t>合同金额100%货款</w:t>
      </w:r>
      <w:r>
        <w:rPr>
          <w:rFonts w:hint="eastAsia" w:ascii="宋体" w:hAnsi="宋体" w:cs="宋体"/>
          <w:color w:val="auto"/>
          <w:sz w:val="24"/>
          <w:highlight w:val="none"/>
        </w:rPr>
        <w:t>（扣除40%预付款）</w:t>
      </w:r>
      <w:r>
        <w:rPr>
          <w:rFonts w:ascii="宋体" w:hAnsi="宋体" w:cs="宋体"/>
          <w:color w:val="auto"/>
          <w:sz w:val="24"/>
          <w:highlight w:val="none"/>
        </w:rPr>
        <w:t>。项目验收合格</w:t>
      </w:r>
      <w:r>
        <w:rPr>
          <w:rFonts w:hint="eastAsia" w:ascii="宋体" w:hAnsi="宋体" w:cs="宋体"/>
          <w:color w:val="auto"/>
          <w:sz w:val="24"/>
          <w:highlight w:val="none"/>
          <w:lang w:val="en-US" w:eastAsia="zh-CN"/>
        </w:rPr>
        <w:t>后</w:t>
      </w:r>
      <w:r>
        <w:rPr>
          <w:rFonts w:hint="eastAsia" w:ascii="宋体" w:hAnsi="宋体" w:cs="宋体"/>
          <w:color w:val="auto"/>
          <w:sz w:val="24"/>
          <w:highlight w:val="none"/>
          <w:lang w:eastAsia="zh-CN"/>
        </w:rPr>
        <w:t>，</w:t>
      </w:r>
      <w:r>
        <w:rPr>
          <w:rFonts w:ascii="宋体" w:hAnsi="宋体" w:cs="宋体"/>
          <w:color w:val="auto"/>
          <w:sz w:val="24"/>
          <w:highlight w:val="none"/>
        </w:rPr>
        <w:t>履约保证金一次性无息退还。</w:t>
      </w:r>
    </w:p>
    <w:p>
      <w:pPr>
        <w:spacing w:line="360" w:lineRule="auto"/>
        <w:ind w:firstLine="480" w:firstLineChars="200"/>
        <w:rPr>
          <w:rFonts w:ascii="宋体" w:hAnsi="宋体" w:cs="宋体"/>
          <w:color w:val="auto"/>
          <w:sz w:val="24"/>
          <w:highlight w:val="none"/>
        </w:rPr>
      </w:pPr>
      <w:r>
        <w:rPr>
          <w:rFonts w:ascii="宋体" w:hAnsi="宋体" w:cs="宋体"/>
          <w:color w:val="auto"/>
          <w:sz w:val="24"/>
          <w:highlight w:val="none"/>
        </w:rPr>
        <w:t>3.成交供应商未按要求缴纳履约保证金的，视为放弃成交。</w:t>
      </w:r>
    </w:p>
    <w:p>
      <w:pPr>
        <w:spacing w:line="360" w:lineRule="auto"/>
        <w:ind w:firstLine="480" w:firstLineChars="200"/>
        <w:rPr>
          <w:rFonts w:ascii="宋体" w:hAnsi="宋体" w:cs="宋体"/>
          <w:color w:val="auto"/>
          <w:sz w:val="24"/>
          <w:highlight w:val="none"/>
        </w:rPr>
      </w:pPr>
      <w:r>
        <w:rPr>
          <w:rFonts w:ascii="宋体" w:hAnsi="宋体" w:cs="宋体"/>
          <w:color w:val="auto"/>
          <w:sz w:val="24"/>
          <w:highlight w:val="none"/>
        </w:rPr>
        <w:t>4.合同履行期间，除甲方原因或不可抗力因素外，乙方因无正当理由不履行与甲方订立的合同的，履约保证金不予退还，给甲方造成的损失超过履约保证金数额的，还应当对超过部分予以赔偿。</w:t>
      </w:r>
    </w:p>
    <w:p>
      <w:pPr>
        <w:spacing w:line="360" w:lineRule="auto"/>
        <w:ind w:firstLine="480" w:firstLineChars="200"/>
        <w:rPr>
          <w:rFonts w:ascii="宋体" w:hAnsi="宋体" w:cs="宋体"/>
          <w:color w:val="auto"/>
          <w:sz w:val="24"/>
          <w:highlight w:val="none"/>
        </w:rPr>
      </w:pPr>
      <w:r>
        <w:rPr>
          <w:rFonts w:ascii="宋体" w:hAnsi="宋体" w:cs="宋体"/>
          <w:color w:val="auto"/>
          <w:sz w:val="24"/>
          <w:highlight w:val="none"/>
        </w:rPr>
        <w:t>5.履约保证金缴纳账号</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户名：临沂大学</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账号：</w:t>
      </w:r>
      <w:r>
        <w:rPr>
          <w:rFonts w:ascii="宋体" w:hAnsi="宋体" w:cs="宋体"/>
          <w:color w:val="auto"/>
          <w:sz w:val="24"/>
          <w:highlight w:val="none"/>
        </w:rPr>
        <w:t>218243959980</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银行：中国银行临沂兰山支行</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行号（银行联行号）：</w:t>
      </w:r>
      <w:r>
        <w:rPr>
          <w:rFonts w:ascii="宋体" w:hAnsi="宋体" w:cs="宋体"/>
          <w:color w:val="auto"/>
          <w:sz w:val="24"/>
          <w:highlight w:val="none"/>
        </w:rPr>
        <w:t>104473000078</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社会信用代码（税号）：</w:t>
      </w:r>
      <w:r>
        <w:rPr>
          <w:rFonts w:ascii="宋体" w:hAnsi="宋体" w:cs="宋体"/>
          <w:color w:val="auto"/>
          <w:sz w:val="24"/>
          <w:highlight w:val="none"/>
        </w:rPr>
        <w:t>12370000495184322F</w:t>
      </w:r>
    </w:p>
    <w:p>
      <w:pPr>
        <w:spacing w:line="360" w:lineRule="auto"/>
        <w:ind w:firstLine="480" w:firstLineChars="200"/>
        <w:rPr>
          <w:rFonts w:ascii="宋体" w:hAnsi="宋体" w:cs="宋体"/>
          <w:color w:val="auto"/>
          <w:sz w:val="24"/>
          <w:highlight w:val="none"/>
          <w:u w:val="single"/>
        </w:rPr>
      </w:pPr>
      <w:r>
        <w:rPr>
          <w:rFonts w:ascii="宋体" w:hAnsi="宋体" w:cs="宋体"/>
          <w:color w:val="auto"/>
          <w:sz w:val="24"/>
          <w:highlight w:val="none"/>
        </w:rPr>
        <w:t>保证金缴纳后，请联系0539-</w:t>
      </w:r>
      <w:r>
        <w:rPr>
          <w:rFonts w:hint="eastAsia" w:ascii="宋体" w:hAnsi="宋体" w:cs="宋体"/>
          <w:color w:val="auto"/>
          <w:sz w:val="24"/>
          <w:highlight w:val="none"/>
          <w:lang w:val="en-US" w:eastAsia="zh-CN"/>
        </w:rPr>
        <w:t>7258283</w:t>
      </w:r>
      <w:r>
        <w:rPr>
          <w:rFonts w:ascii="宋体" w:hAnsi="宋体" w:cs="宋体"/>
          <w:color w:val="auto"/>
          <w:sz w:val="24"/>
          <w:highlight w:val="none"/>
        </w:rPr>
        <w:t>确认。</w:t>
      </w:r>
    </w:p>
    <w:p>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lang w:val="en-US" w:eastAsia="zh-CN"/>
        </w:rPr>
        <w:t>八</w:t>
      </w:r>
      <w:r>
        <w:rPr>
          <w:rFonts w:hint="eastAsia" w:ascii="宋体" w:hAnsi="宋体" w:cs="仿宋_GB2312"/>
          <w:color w:val="auto"/>
          <w:kern w:val="0"/>
          <w:sz w:val="24"/>
          <w:highlight w:val="none"/>
        </w:rPr>
        <w:t>、合同文件构成</w:t>
      </w:r>
    </w:p>
    <w:p>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本</w:t>
      </w:r>
      <w:r>
        <w:rPr>
          <w:rFonts w:hint="eastAsia" w:ascii="宋体" w:hAnsi="宋体" w:cs="仿宋_GB2312"/>
          <w:color w:val="auto"/>
          <w:kern w:val="0"/>
          <w:sz w:val="24"/>
          <w:highlight w:val="none"/>
          <w:lang w:val="en-US" w:eastAsia="zh-CN"/>
        </w:rPr>
        <w:t>合同</w:t>
      </w:r>
      <w:r>
        <w:rPr>
          <w:rFonts w:hint="eastAsia" w:ascii="宋体" w:hAnsi="宋体" w:cs="仿宋_GB2312"/>
          <w:color w:val="auto"/>
          <w:kern w:val="0"/>
          <w:sz w:val="24"/>
          <w:highlight w:val="none"/>
        </w:rPr>
        <w:t>与下列文件一起构成合同文件：</w:t>
      </w:r>
    </w:p>
    <w:p>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w:t>
      </w:r>
      <w:r>
        <w:rPr>
          <w:rFonts w:ascii="宋体" w:hAnsi="宋体" w:cs="仿宋_GB2312"/>
          <w:color w:val="auto"/>
          <w:kern w:val="0"/>
          <w:sz w:val="24"/>
          <w:highlight w:val="none"/>
        </w:rPr>
        <w:t>1</w:t>
      </w:r>
      <w:r>
        <w:rPr>
          <w:rFonts w:hint="eastAsia" w:ascii="宋体" w:hAnsi="宋体" w:cs="仿宋_GB2312"/>
          <w:color w:val="auto"/>
          <w:kern w:val="0"/>
          <w:sz w:val="24"/>
          <w:highlight w:val="none"/>
        </w:rPr>
        <w:t>）中标或成交通知书；</w:t>
      </w:r>
    </w:p>
    <w:p>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w:t>
      </w:r>
      <w:r>
        <w:rPr>
          <w:rFonts w:ascii="宋体" w:hAnsi="宋体" w:cs="仿宋_GB2312"/>
          <w:color w:val="auto"/>
          <w:kern w:val="0"/>
          <w:sz w:val="24"/>
          <w:highlight w:val="none"/>
        </w:rPr>
        <w:t>2</w:t>
      </w:r>
      <w:r>
        <w:rPr>
          <w:rFonts w:hint="eastAsia" w:ascii="宋体" w:hAnsi="宋体" w:cs="仿宋_GB2312"/>
          <w:color w:val="auto"/>
          <w:kern w:val="0"/>
          <w:sz w:val="24"/>
          <w:highlight w:val="none"/>
        </w:rPr>
        <w:t>）投标函及其附录；</w:t>
      </w:r>
      <w:r>
        <w:rPr>
          <w:rFonts w:ascii="宋体" w:hAnsi="宋体" w:cs="仿宋_GB2312"/>
          <w:color w:val="auto"/>
          <w:kern w:val="0"/>
          <w:sz w:val="24"/>
          <w:highlight w:val="none"/>
        </w:rPr>
        <w:t xml:space="preserve"> </w:t>
      </w:r>
    </w:p>
    <w:p>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w:t>
      </w:r>
      <w:r>
        <w:rPr>
          <w:rFonts w:ascii="宋体" w:hAnsi="宋体" w:cs="仿宋_GB2312"/>
          <w:color w:val="auto"/>
          <w:kern w:val="0"/>
          <w:sz w:val="24"/>
          <w:highlight w:val="none"/>
        </w:rPr>
        <w:t>3</w:t>
      </w:r>
      <w:r>
        <w:rPr>
          <w:rFonts w:hint="eastAsia" w:ascii="宋体" w:hAnsi="宋体" w:cs="仿宋_GB2312"/>
          <w:color w:val="auto"/>
          <w:kern w:val="0"/>
          <w:sz w:val="24"/>
          <w:highlight w:val="none"/>
        </w:rPr>
        <w:t>）</w:t>
      </w:r>
      <w:r>
        <w:rPr>
          <w:rFonts w:hint="eastAsia" w:ascii="宋体" w:hAnsi="宋体" w:cs="仿宋_GB2312"/>
          <w:color w:val="auto"/>
          <w:kern w:val="0"/>
          <w:sz w:val="24"/>
          <w:highlight w:val="none"/>
          <w:lang w:val="en-US" w:eastAsia="zh-CN"/>
        </w:rPr>
        <w:t>本</w:t>
      </w:r>
      <w:r>
        <w:rPr>
          <w:rFonts w:hint="eastAsia" w:ascii="宋体" w:hAnsi="宋体" w:cs="仿宋_GB2312"/>
          <w:color w:val="auto"/>
          <w:kern w:val="0"/>
          <w:sz w:val="24"/>
          <w:highlight w:val="none"/>
        </w:rPr>
        <w:t>合同条款</w:t>
      </w:r>
      <w:r>
        <w:rPr>
          <w:rFonts w:hint="eastAsia" w:ascii="宋体" w:hAnsi="宋体" w:cs="仿宋_GB2312"/>
          <w:color w:val="auto"/>
          <w:kern w:val="0"/>
          <w:sz w:val="24"/>
          <w:highlight w:val="none"/>
          <w:lang w:val="en-US" w:eastAsia="zh-CN"/>
        </w:rPr>
        <w:t>及附表、附件</w:t>
      </w:r>
      <w:r>
        <w:rPr>
          <w:rFonts w:hint="eastAsia" w:ascii="宋体" w:hAnsi="宋体" w:cs="仿宋_GB2312"/>
          <w:color w:val="auto"/>
          <w:kern w:val="0"/>
          <w:sz w:val="24"/>
          <w:highlight w:val="none"/>
        </w:rPr>
        <w:t>；</w:t>
      </w:r>
    </w:p>
    <w:p>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w:t>
      </w:r>
      <w:r>
        <w:rPr>
          <w:rFonts w:ascii="宋体" w:hAnsi="宋体" w:cs="仿宋_GB2312"/>
          <w:color w:val="auto"/>
          <w:kern w:val="0"/>
          <w:sz w:val="24"/>
          <w:highlight w:val="none"/>
        </w:rPr>
        <w:t>4</w:t>
      </w:r>
      <w:r>
        <w:rPr>
          <w:rFonts w:hint="eastAsia" w:ascii="宋体" w:hAnsi="宋体" w:cs="仿宋_GB2312"/>
          <w:color w:val="auto"/>
          <w:kern w:val="0"/>
          <w:sz w:val="24"/>
          <w:highlight w:val="none"/>
        </w:rPr>
        <w:t>）</w:t>
      </w:r>
      <w:r>
        <w:rPr>
          <w:rFonts w:hint="eastAsia" w:ascii="宋体" w:hAnsi="宋体" w:cs="仿宋_GB2312"/>
          <w:color w:val="auto"/>
          <w:kern w:val="0"/>
          <w:sz w:val="24"/>
          <w:highlight w:val="none"/>
          <w:lang w:val="en-US" w:eastAsia="zh-CN"/>
        </w:rPr>
        <w:t>采购文件（</w:t>
      </w:r>
      <w:r>
        <w:rPr>
          <w:rFonts w:hint="eastAsia" w:ascii="宋体" w:hAnsi="宋体" w:cs="仿宋_GB2312"/>
          <w:color w:val="auto"/>
          <w:kern w:val="0"/>
          <w:sz w:val="24"/>
          <w:highlight w:val="none"/>
        </w:rPr>
        <w:t>技术标准和要求</w:t>
      </w:r>
      <w:r>
        <w:rPr>
          <w:rFonts w:hint="eastAsia" w:ascii="宋体" w:hAnsi="宋体" w:cs="仿宋_GB2312"/>
          <w:color w:val="auto"/>
          <w:kern w:val="0"/>
          <w:sz w:val="24"/>
          <w:highlight w:val="none"/>
          <w:lang w:val="en-US" w:eastAsia="zh-CN"/>
        </w:rPr>
        <w:t>）</w:t>
      </w:r>
      <w:r>
        <w:rPr>
          <w:rFonts w:hint="eastAsia" w:ascii="宋体" w:hAnsi="宋体" w:cs="仿宋_GB2312"/>
          <w:color w:val="auto"/>
          <w:kern w:val="0"/>
          <w:sz w:val="24"/>
          <w:highlight w:val="none"/>
        </w:rPr>
        <w:t>；</w:t>
      </w:r>
    </w:p>
    <w:p>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w:t>
      </w:r>
      <w:r>
        <w:rPr>
          <w:rFonts w:ascii="宋体" w:hAnsi="宋体" w:cs="仿宋_GB2312"/>
          <w:color w:val="auto"/>
          <w:kern w:val="0"/>
          <w:sz w:val="24"/>
          <w:highlight w:val="none"/>
        </w:rPr>
        <w:t>5</w:t>
      </w:r>
      <w:r>
        <w:rPr>
          <w:rFonts w:hint="eastAsia" w:ascii="宋体" w:hAnsi="宋体" w:cs="仿宋_GB2312"/>
          <w:color w:val="auto"/>
          <w:kern w:val="0"/>
          <w:sz w:val="24"/>
          <w:highlight w:val="none"/>
        </w:rPr>
        <w:t>）图纸（如果有）；</w:t>
      </w:r>
    </w:p>
    <w:p>
      <w:pPr>
        <w:widowControl/>
        <w:spacing w:line="360" w:lineRule="auto"/>
        <w:ind w:firstLine="480" w:firstLineChars="200"/>
        <w:jc w:val="left"/>
        <w:rPr>
          <w:rFonts w:hint="eastAsia" w:ascii="宋体" w:hAnsi="宋体" w:cs="仿宋_GB2312"/>
          <w:color w:val="auto"/>
          <w:kern w:val="0"/>
          <w:sz w:val="24"/>
          <w:highlight w:val="none"/>
          <w:lang w:eastAsia="zh-CN"/>
        </w:rPr>
      </w:pPr>
      <w:r>
        <w:rPr>
          <w:rFonts w:hint="eastAsia" w:ascii="宋体" w:hAnsi="宋体" w:cs="仿宋_GB2312"/>
          <w:color w:val="auto"/>
          <w:kern w:val="0"/>
          <w:sz w:val="24"/>
          <w:highlight w:val="none"/>
        </w:rPr>
        <w:t>（</w:t>
      </w:r>
      <w:r>
        <w:rPr>
          <w:rFonts w:ascii="宋体" w:hAnsi="宋体" w:cs="仿宋_GB2312"/>
          <w:color w:val="auto"/>
          <w:kern w:val="0"/>
          <w:sz w:val="24"/>
          <w:highlight w:val="none"/>
        </w:rPr>
        <w:t>6</w:t>
      </w:r>
      <w:r>
        <w:rPr>
          <w:rFonts w:hint="eastAsia" w:ascii="宋体" w:hAnsi="宋体" w:cs="仿宋_GB2312"/>
          <w:color w:val="auto"/>
          <w:kern w:val="0"/>
          <w:sz w:val="24"/>
          <w:highlight w:val="none"/>
        </w:rPr>
        <w:t>）供货清单及</w:t>
      </w:r>
      <w:r>
        <w:rPr>
          <w:rFonts w:hint="eastAsia" w:ascii="宋体" w:hAnsi="宋体" w:cs="仿宋_GB2312"/>
          <w:color w:val="auto"/>
          <w:kern w:val="0"/>
          <w:sz w:val="24"/>
          <w:highlight w:val="none"/>
          <w:lang w:val="en-US" w:eastAsia="zh-CN"/>
        </w:rPr>
        <w:t>最终</w:t>
      </w:r>
      <w:r>
        <w:rPr>
          <w:rFonts w:hint="eastAsia" w:ascii="宋体" w:hAnsi="宋体" w:cs="仿宋_GB2312"/>
          <w:color w:val="auto"/>
          <w:kern w:val="0"/>
          <w:sz w:val="24"/>
          <w:highlight w:val="none"/>
        </w:rPr>
        <w:t>报价表</w:t>
      </w:r>
      <w:r>
        <w:rPr>
          <w:rFonts w:hint="eastAsia" w:ascii="宋体" w:hAnsi="宋体" w:cs="仿宋_GB2312"/>
          <w:color w:val="auto"/>
          <w:kern w:val="0"/>
          <w:sz w:val="24"/>
          <w:highlight w:val="none"/>
          <w:lang w:eastAsia="zh-CN"/>
        </w:rPr>
        <w:t>；</w:t>
      </w:r>
    </w:p>
    <w:p>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w:t>
      </w:r>
      <w:r>
        <w:rPr>
          <w:rFonts w:ascii="宋体" w:hAnsi="宋体" w:cs="仿宋_GB2312"/>
          <w:color w:val="auto"/>
          <w:kern w:val="0"/>
          <w:sz w:val="24"/>
          <w:highlight w:val="none"/>
        </w:rPr>
        <w:t>7</w:t>
      </w:r>
      <w:r>
        <w:rPr>
          <w:rFonts w:hint="eastAsia" w:ascii="宋体" w:hAnsi="宋体" w:cs="仿宋_GB2312"/>
          <w:color w:val="auto"/>
          <w:kern w:val="0"/>
          <w:sz w:val="24"/>
          <w:highlight w:val="none"/>
        </w:rPr>
        <w:t>）其他合同文件</w:t>
      </w:r>
      <w:r>
        <w:rPr>
          <w:rFonts w:hint="eastAsia" w:ascii="宋体" w:hAnsi="宋体" w:cs="仿宋_GB2312"/>
          <w:color w:val="auto"/>
          <w:kern w:val="0"/>
          <w:sz w:val="24"/>
          <w:highlight w:val="none"/>
          <w:lang w:eastAsia="zh-CN"/>
        </w:rPr>
        <w:t>（</w:t>
      </w:r>
      <w:r>
        <w:rPr>
          <w:rFonts w:hint="eastAsia" w:ascii="宋体" w:hAnsi="宋体" w:cs="仿宋_GB2312"/>
          <w:color w:val="auto"/>
          <w:kern w:val="0"/>
          <w:sz w:val="24"/>
          <w:highlight w:val="none"/>
          <w:lang w:val="en-US" w:eastAsia="zh-CN"/>
        </w:rPr>
        <w:t>含中标方在评审过程中有关澄清、说明、补正及承诺文件</w:t>
      </w:r>
      <w:r>
        <w:rPr>
          <w:rFonts w:hint="eastAsia" w:ascii="宋体" w:hAnsi="宋体" w:cs="仿宋_GB2312"/>
          <w:color w:val="auto"/>
          <w:kern w:val="0"/>
          <w:sz w:val="24"/>
          <w:highlight w:val="none"/>
          <w:lang w:eastAsia="zh-CN"/>
        </w:rPr>
        <w:t>）</w:t>
      </w:r>
      <w:r>
        <w:rPr>
          <w:rFonts w:hint="eastAsia" w:ascii="宋体" w:hAnsi="宋体" w:cs="仿宋_GB2312"/>
          <w:color w:val="auto"/>
          <w:kern w:val="0"/>
          <w:sz w:val="24"/>
          <w:highlight w:val="none"/>
        </w:rPr>
        <w:t>。</w:t>
      </w:r>
    </w:p>
    <w:p>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在合</w:t>
      </w:r>
      <w:r>
        <w:rPr>
          <w:rFonts w:hint="eastAsia" w:ascii="宋体" w:hAnsi="宋体" w:cs="仿宋_GB2312"/>
          <w:color w:val="auto"/>
          <w:kern w:val="0"/>
          <w:sz w:val="24"/>
          <w:highlight w:val="none"/>
        </w:rPr>
        <w:t>同订立及履行过程中形成的与合同有关的文件均构成合同文件组成部分。</w:t>
      </w:r>
    </w:p>
    <w:p>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上述各项合同文件包括合同当事人就该项合同文件所作出的补充和修改，属于同一类内容的文件，应以最新签署的为准。专用合同条款及其附件须经合同当事人签字或盖章。</w:t>
      </w:r>
    </w:p>
    <w:p>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lang w:val="en-US" w:eastAsia="zh-CN"/>
        </w:rPr>
        <w:t>九</w:t>
      </w:r>
      <w:r>
        <w:rPr>
          <w:rFonts w:hint="eastAsia" w:ascii="宋体" w:hAnsi="宋体" w:cs="仿宋_GB2312"/>
          <w:color w:val="auto"/>
          <w:kern w:val="0"/>
          <w:sz w:val="24"/>
          <w:highlight w:val="none"/>
        </w:rPr>
        <w:t>、承诺</w:t>
      </w:r>
    </w:p>
    <w:p>
      <w:pPr>
        <w:widowControl/>
        <w:spacing w:line="360" w:lineRule="auto"/>
        <w:ind w:firstLine="480" w:firstLineChars="200"/>
        <w:jc w:val="left"/>
        <w:rPr>
          <w:rFonts w:ascii="宋体" w:cs="仿宋_GB2312"/>
          <w:color w:val="auto"/>
          <w:kern w:val="0"/>
          <w:sz w:val="24"/>
          <w:highlight w:val="none"/>
        </w:rPr>
      </w:pPr>
      <w:r>
        <w:rPr>
          <w:rFonts w:ascii="宋体" w:hAnsi="宋体" w:cs="仿宋_GB2312"/>
          <w:color w:val="auto"/>
          <w:kern w:val="0"/>
          <w:sz w:val="24"/>
          <w:highlight w:val="none"/>
        </w:rPr>
        <w:t>1.</w:t>
      </w:r>
      <w:r>
        <w:rPr>
          <w:rFonts w:hint="eastAsia" w:ascii="宋体" w:hAnsi="宋体" w:cs="仿宋_GB2312"/>
          <w:color w:val="auto"/>
          <w:kern w:val="0"/>
          <w:sz w:val="24"/>
          <w:highlight w:val="none"/>
        </w:rPr>
        <w:t>采购人承诺按照法律规定履行项目审批手续、筹集项目资金并按照合同约定的期限和方式支付合同价款。</w:t>
      </w:r>
    </w:p>
    <w:p>
      <w:pPr>
        <w:widowControl/>
        <w:spacing w:line="360" w:lineRule="auto"/>
        <w:ind w:firstLine="480" w:firstLineChars="200"/>
        <w:jc w:val="left"/>
        <w:rPr>
          <w:rFonts w:ascii="宋体" w:cs="仿宋_GB2312"/>
          <w:color w:val="auto"/>
          <w:kern w:val="0"/>
          <w:sz w:val="24"/>
          <w:highlight w:val="none"/>
        </w:rPr>
      </w:pPr>
      <w:r>
        <w:rPr>
          <w:rFonts w:ascii="宋体" w:hAnsi="宋体" w:cs="仿宋_GB2312"/>
          <w:color w:val="auto"/>
          <w:kern w:val="0"/>
          <w:sz w:val="24"/>
          <w:highlight w:val="none"/>
        </w:rPr>
        <w:t>2.</w:t>
      </w:r>
      <w:r>
        <w:rPr>
          <w:rFonts w:hint="eastAsia" w:ascii="宋体" w:hAnsi="宋体" w:cs="仿宋_GB2312"/>
          <w:color w:val="auto"/>
          <w:kern w:val="0"/>
          <w:sz w:val="24"/>
          <w:highlight w:val="none"/>
        </w:rPr>
        <w:t>供应商承诺按照法律规定及合同约定供货，确保质量和安全，不进行转包及违法分包，并在缺陷责任期及保修期内承担相应的责任。</w:t>
      </w:r>
    </w:p>
    <w:p>
      <w:pPr>
        <w:widowControl/>
        <w:spacing w:line="360" w:lineRule="auto"/>
        <w:ind w:firstLine="480" w:firstLineChars="200"/>
        <w:jc w:val="left"/>
        <w:rPr>
          <w:rFonts w:ascii="宋体" w:cs="仿宋_GB2312"/>
          <w:color w:val="auto"/>
          <w:kern w:val="0"/>
          <w:sz w:val="24"/>
          <w:highlight w:val="none"/>
        </w:rPr>
      </w:pPr>
      <w:r>
        <w:rPr>
          <w:rFonts w:ascii="宋体" w:hAnsi="宋体" w:cs="仿宋_GB2312"/>
          <w:color w:val="auto"/>
          <w:kern w:val="0"/>
          <w:sz w:val="24"/>
          <w:highlight w:val="none"/>
        </w:rPr>
        <w:t>3.</w:t>
      </w:r>
      <w:r>
        <w:rPr>
          <w:rFonts w:hint="eastAsia" w:ascii="宋体" w:hAnsi="宋体" w:cs="仿宋_GB2312"/>
          <w:color w:val="auto"/>
          <w:kern w:val="0"/>
          <w:sz w:val="24"/>
          <w:highlight w:val="none"/>
        </w:rPr>
        <w:t>采购人和供应商通过招投标形式签订合同的，双方理解并承诺不再就同一项目另行签订与合同实质性内容相背离的协议。</w:t>
      </w:r>
    </w:p>
    <w:p>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十、签订时间</w:t>
      </w:r>
    </w:p>
    <w:p>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本合同于</w:t>
      </w:r>
      <w:r>
        <w:rPr>
          <w:rFonts w:ascii="宋体" w:hAnsi="宋体" w:cs="仿宋_GB2312"/>
          <w:color w:val="auto"/>
          <w:kern w:val="0"/>
          <w:sz w:val="24"/>
          <w:highlight w:val="none"/>
          <w:u w:val="single"/>
        </w:rPr>
        <w:t xml:space="preserve"> </w:t>
      </w:r>
      <w:bookmarkStart w:id="336" w:name="makeContractDate"/>
      <w:r>
        <w:rPr>
          <w:rFonts w:ascii="宋体" w:hAnsi="宋体" w:cs="仿宋_GB2312"/>
          <w:color w:val="auto"/>
          <w:kern w:val="0"/>
          <w:sz w:val="24"/>
          <w:highlight w:val="none"/>
          <w:u w:val="single"/>
        </w:rPr>
        <w:t>202</w:t>
      </w:r>
      <w:r>
        <w:rPr>
          <w:rFonts w:hint="eastAsia" w:ascii="宋体" w:hAnsi="宋体" w:cs="仿宋_GB2312"/>
          <w:color w:val="auto"/>
          <w:kern w:val="0"/>
          <w:sz w:val="24"/>
          <w:highlight w:val="none"/>
          <w:u w:val="single"/>
          <w:lang w:val="en-US" w:eastAsia="zh-CN"/>
        </w:rPr>
        <w:t>4</w:t>
      </w:r>
      <w:r>
        <w:rPr>
          <w:rFonts w:ascii="宋体" w:hAnsi="宋体" w:cs="仿宋_GB2312"/>
          <w:color w:val="auto"/>
          <w:kern w:val="0"/>
          <w:sz w:val="24"/>
          <w:highlight w:val="none"/>
          <w:u w:val="single"/>
        </w:rPr>
        <w:t>年</w:t>
      </w:r>
      <w:r>
        <w:rPr>
          <w:rFonts w:hint="eastAsia" w:ascii="宋体" w:hAnsi="宋体" w:cs="仿宋_GB2312"/>
          <w:color w:val="auto"/>
          <w:kern w:val="0"/>
          <w:sz w:val="24"/>
          <w:highlight w:val="none"/>
          <w:u w:val="single"/>
          <w:lang w:val="en-US" w:eastAsia="zh-CN"/>
        </w:rPr>
        <w:t xml:space="preserve">   </w:t>
      </w:r>
      <w:r>
        <w:rPr>
          <w:rFonts w:ascii="宋体" w:hAnsi="宋体" w:cs="仿宋_GB2312"/>
          <w:color w:val="auto"/>
          <w:kern w:val="0"/>
          <w:sz w:val="24"/>
          <w:highlight w:val="none"/>
          <w:u w:val="single"/>
        </w:rPr>
        <w:t>月</w:t>
      </w:r>
      <w:r>
        <w:rPr>
          <w:rFonts w:hint="eastAsia" w:ascii="宋体" w:hAnsi="宋体" w:cs="仿宋_GB2312"/>
          <w:color w:val="auto"/>
          <w:kern w:val="0"/>
          <w:sz w:val="24"/>
          <w:highlight w:val="none"/>
          <w:u w:val="single"/>
          <w:lang w:val="en-US" w:eastAsia="zh-CN"/>
        </w:rPr>
        <w:t xml:space="preserve">   </w:t>
      </w:r>
      <w:r>
        <w:rPr>
          <w:rFonts w:ascii="宋体" w:hAnsi="宋体" w:cs="仿宋_GB2312"/>
          <w:color w:val="auto"/>
          <w:kern w:val="0"/>
          <w:sz w:val="24"/>
          <w:highlight w:val="none"/>
          <w:u w:val="single"/>
        </w:rPr>
        <w:t>日</w:t>
      </w:r>
      <w:bookmarkEnd w:id="336"/>
      <w:r>
        <w:rPr>
          <w:rFonts w:hint="eastAsia" w:ascii="宋体" w:hAnsi="宋体" w:cs="仿宋_GB2312"/>
          <w:color w:val="auto"/>
          <w:kern w:val="0"/>
          <w:sz w:val="24"/>
          <w:highlight w:val="none"/>
        </w:rPr>
        <w:t>签订。</w:t>
      </w:r>
    </w:p>
    <w:p>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十一、签订地点</w:t>
      </w:r>
    </w:p>
    <w:p>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本合同在</w:t>
      </w:r>
      <w:r>
        <w:rPr>
          <w:rFonts w:ascii="宋体" w:hAnsi="宋体" w:cs="仿宋_GB2312"/>
          <w:color w:val="auto"/>
          <w:kern w:val="0"/>
          <w:sz w:val="24"/>
          <w:highlight w:val="none"/>
          <w:u w:val="single"/>
        </w:rPr>
        <w:t xml:space="preserve"> </w:t>
      </w:r>
      <w:bookmarkStart w:id="337" w:name="makeContractAddr"/>
      <w:r>
        <w:rPr>
          <w:rFonts w:ascii="宋体" w:hAnsi="宋体" w:cs="仿宋_GB2312"/>
          <w:color w:val="auto"/>
          <w:kern w:val="0"/>
          <w:sz w:val="24"/>
          <w:highlight w:val="none"/>
          <w:u w:val="single"/>
        </w:rPr>
        <w:t>临沂大学</w:t>
      </w:r>
      <w:bookmarkEnd w:id="337"/>
      <w:r>
        <w:rPr>
          <w:rFonts w:ascii="宋体" w:hAnsi="宋体" w:cs="仿宋_GB2312"/>
          <w:color w:val="auto"/>
          <w:kern w:val="0"/>
          <w:sz w:val="24"/>
          <w:highlight w:val="none"/>
          <w:u w:val="single"/>
        </w:rPr>
        <w:t xml:space="preserve"> </w:t>
      </w:r>
      <w:r>
        <w:rPr>
          <w:rFonts w:hint="eastAsia" w:ascii="宋体" w:hAnsi="宋体" w:cs="仿宋_GB2312"/>
          <w:color w:val="auto"/>
          <w:kern w:val="0"/>
          <w:sz w:val="24"/>
          <w:highlight w:val="none"/>
        </w:rPr>
        <w:t>签订。</w:t>
      </w:r>
    </w:p>
    <w:p>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十</w:t>
      </w:r>
      <w:r>
        <w:rPr>
          <w:rFonts w:hint="eastAsia" w:ascii="宋体" w:hAnsi="宋体" w:cs="仿宋_GB2312"/>
          <w:color w:val="auto"/>
          <w:kern w:val="0"/>
          <w:sz w:val="24"/>
          <w:highlight w:val="none"/>
          <w:lang w:val="en-US" w:eastAsia="zh-CN"/>
        </w:rPr>
        <w:t>二</w:t>
      </w:r>
      <w:r>
        <w:rPr>
          <w:rFonts w:hint="eastAsia" w:ascii="宋体" w:hAnsi="宋体" w:cs="仿宋_GB2312"/>
          <w:color w:val="auto"/>
          <w:kern w:val="0"/>
          <w:sz w:val="24"/>
          <w:highlight w:val="none"/>
        </w:rPr>
        <w:t>、补充协议</w:t>
      </w:r>
    </w:p>
    <w:p>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合同未尽事宜，合同当事人另行签订补充协议，补充协议是合同的组成部分。</w:t>
      </w:r>
    </w:p>
    <w:p>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十</w:t>
      </w:r>
      <w:r>
        <w:rPr>
          <w:rFonts w:hint="eastAsia" w:ascii="宋体" w:hAnsi="宋体" w:cs="仿宋_GB2312"/>
          <w:color w:val="auto"/>
          <w:kern w:val="0"/>
          <w:sz w:val="24"/>
          <w:highlight w:val="none"/>
          <w:lang w:val="en-US" w:eastAsia="zh-CN"/>
        </w:rPr>
        <w:t>三</w:t>
      </w:r>
      <w:r>
        <w:rPr>
          <w:rFonts w:hint="eastAsia" w:ascii="宋体" w:hAnsi="宋体" w:cs="仿宋_GB2312"/>
          <w:color w:val="auto"/>
          <w:kern w:val="0"/>
          <w:sz w:val="24"/>
          <w:highlight w:val="none"/>
        </w:rPr>
        <w:t>、合同生效</w:t>
      </w:r>
    </w:p>
    <w:p>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本合同自</w:t>
      </w:r>
      <w:r>
        <w:rPr>
          <w:rFonts w:hint="eastAsia" w:ascii="宋体" w:hAnsi="宋体" w:cs="仿宋_GB2312"/>
          <w:color w:val="auto"/>
          <w:kern w:val="0"/>
          <w:sz w:val="24"/>
          <w:highlight w:val="none"/>
          <w:u w:val="single"/>
        </w:rPr>
        <w:t>甲乙双方签</w:t>
      </w:r>
      <w:r>
        <w:rPr>
          <w:rFonts w:hint="eastAsia" w:ascii="宋体" w:hAnsi="宋体" w:cs="仿宋_GB2312"/>
          <w:strike w:val="0"/>
          <w:dstrike w:val="0"/>
          <w:color w:val="auto"/>
          <w:kern w:val="0"/>
          <w:sz w:val="24"/>
          <w:highlight w:val="none"/>
          <w:u w:val="single"/>
        </w:rPr>
        <w:t>字盖章</w:t>
      </w:r>
      <w:r>
        <w:rPr>
          <w:rFonts w:hint="eastAsia" w:ascii="宋体" w:cs="仿宋_GB2312"/>
          <w:strike w:val="0"/>
          <w:dstrike w:val="0"/>
          <w:color w:val="auto"/>
          <w:kern w:val="0"/>
          <w:sz w:val="24"/>
          <w:highlight w:val="none"/>
          <w:u w:val="single"/>
          <w:lang w:val="en-US" w:eastAsia="zh-CN"/>
        </w:rPr>
        <w:t>且</w:t>
      </w:r>
      <w:r>
        <w:rPr>
          <w:rFonts w:hint="eastAsia" w:ascii="宋体" w:cs="仿宋_GB2312"/>
          <w:strike w:val="0"/>
          <w:dstrike w:val="0"/>
          <w:color w:val="auto"/>
          <w:kern w:val="0"/>
          <w:sz w:val="24"/>
          <w:highlight w:val="none"/>
          <w:u w:val="single"/>
        </w:rPr>
        <w:t>供应商提交履约保证金</w:t>
      </w:r>
      <w:r>
        <w:rPr>
          <w:rFonts w:hint="eastAsia" w:ascii="宋体" w:hAnsi="宋体" w:cs="仿宋_GB2312"/>
          <w:strike w:val="0"/>
          <w:dstrike w:val="0"/>
          <w:color w:val="auto"/>
          <w:kern w:val="0"/>
          <w:sz w:val="24"/>
          <w:highlight w:val="none"/>
          <w:u w:val="single"/>
        </w:rPr>
        <w:t>后</w:t>
      </w:r>
      <w:r>
        <w:rPr>
          <w:rFonts w:hint="eastAsia" w:ascii="宋体" w:hAnsi="宋体" w:cs="仿宋_GB2312"/>
          <w:color w:val="auto"/>
          <w:kern w:val="0"/>
          <w:sz w:val="24"/>
          <w:highlight w:val="none"/>
        </w:rPr>
        <w:t>生效。</w:t>
      </w:r>
    </w:p>
    <w:p>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十</w:t>
      </w:r>
      <w:r>
        <w:rPr>
          <w:rFonts w:hint="eastAsia" w:ascii="宋体" w:hAnsi="宋体" w:cs="仿宋_GB2312"/>
          <w:color w:val="auto"/>
          <w:kern w:val="0"/>
          <w:sz w:val="24"/>
          <w:highlight w:val="none"/>
          <w:lang w:val="en-US" w:eastAsia="zh-CN"/>
        </w:rPr>
        <w:t>四</w:t>
      </w:r>
      <w:r>
        <w:rPr>
          <w:rFonts w:hint="eastAsia" w:ascii="宋体" w:hAnsi="宋体" w:cs="仿宋_GB2312"/>
          <w:color w:val="auto"/>
          <w:kern w:val="0"/>
          <w:sz w:val="24"/>
          <w:highlight w:val="none"/>
        </w:rPr>
        <w:t>、合同份数</w:t>
      </w:r>
    </w:p>
    <w:p>
      <w:pPr>
        <w:widowControl/>
        <w:spacing w:line="360" w:lineRule="auto"/>
        <w:ind w:firstLine="480" w:firstLineChars="200"/>
        <w:jc w:val="left"/>
        <w:rPr>
          <w:rFonts w:hint="eastAsia" w:ascii="宋体" w:hAnsi="宋体" w:cs="仿宋_GB2312"/>
          <w:color w:val="auto"/>
          <w:kern w:val="0"/>
          <w:sz w:val="24"/>
          <w:highlight w:val="none"/>
        </w:rPr>
      </w:pPr>
      <w:r>
        <w:rPr>
          <w:rFonts w:hint="eastAsia" w:ascii="宋体" w:hAnsi="宋体" w:cs="仿宋_GB2312"/>
          <w:color w:val="auto"/>
          <w:kern w:val="0"/>
          <w:sz w:val="24"/>
          <w:highlight w:val="none"/>
        </w:rPr>
        <w:t>本合同一式五份，均具有同等法律效力，采购人执</w:t>
      </w:r>
      <w:r>
        <w:rPr>
          <w:rFonts w:hint="eastAsia" w:ascii="宋体" w:hAnsi="宋体" w:cs="仿宋_GB2312"/>
          <w:color w:val="auto"/>
          <w:kern w:val="0"/>
          <w:sz w:val="24"/>
          <w:highlight w:val="none"/>
          <w:lang w:val="en-US" w:eastAsia="zh-CN"/>
        </w:rPr>
        <w:t>三</w:t>
      </w:r>
      <w:r>
        <w:rPr>
          <w:rFonts w:hint="eastAsia" w:ascii="宋体" w:hAnsi="宋体" w:cs="仿宋_GB2312"/>
          <w:color w:val="auto"/>
          <w:kern w:val="0"/>
          <w:sz w:val="24"/>
          <w:highlight w:val="none"/>
        </w:rPr>
        <w:t>份，供应商执</w:t>
      </w:r>
      <w:r>
        <w:rPr>
          <w:rFonts w:hint="eastAsia" w:ascii="宋体" w:hAnsi="宋体" w:cs="仿宋_GB2312"/>
          <w:color w:val="auto"/>
          <w:kern w:val="0"/>
          <w:sz w:val="24"/>
          <w:highlight w:val="none"/>
          <w:lang w:val="en-US" w:eastAsia="zh-CN"/>
        </w:rPr>
        <w:t>一</w:t>
      </w:r>
      <w:r>
        <w:rPr>
          <w:rFonts w:hint="eastAsia" w:ascii="宋体" w:hAnsi="宋体" w:cs="仿宋_GB2312"/>
          <w:color w:val="auto"/>
          <w:kern w:val="0"/>
          <w:sz w:val="24"/>
          <w:highlight w:val="none"/>
        </w:rPr>
        <w:t>份，代理机构一份。</w:t>
      </w:r>
    </w:p>
    <w:p>
      <w:pPr>
        <w:pStyle w:val="77"/>
        <w:rPr>
          <w:color w:val="auto"/>
          <w:highlight w:val="none"/>
        </w:rPr>
      </w:pPr>
    </w:p>
    <w:p>
      <w:pPr>
        <w:pStyle w:val="10"/>
        <w:rPr>
          <w:color w:val="auto"/>
          <w:highlight w:val="none"/>
        </w:rPr>
      </w:pPr>
    </w:p>
    <w:tbl>
      <w:tblPr>
        <w:tblStyle w:val="30"/>
        <w:tblW w:w="1001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75"/>
        <w:gridCol w:w="240"/>
        <w:gridCol w:w="52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jc w:val="center"/>
        </w:trPr>
        <w:tc>
          <w:tcPr>
            <w:tcW w:w="4575" w:type="dxa"/>
            <w:vAlign w:val="center"/>
          </w:tcPr>
          <w:p>
            <w:pPr>
              <w:pStyle w:val="10"/>
              <w:rPr>
                <w:rFonts w:ascii="宋体" w:hAnsi="宋体" w:cs="宋体"/>
                <w:color w:val="auto"/>
                <w:sz w:val="24"/>
                <w:szCs w:val="24"/>
                <w:highlight w:val="none"/>
              </w:rPr>
            </w:pPr>
            <w:r>
              <w:rPr>
                <w:rFonts w:hint="eastAsia" w:ascii="宋体" w:hAnsi="宋体" w:cs="宋体"/>
                <w:color w:val="auto"/>
                <w:sz w:val="24"/>
                <w:szCs w:val="24"/>
                <w:highlight w:val="none"/>
              </w:rPr>
              <w:t>采购人：</w:t>
            </w:r>
            <w:r>
              <w:rPr>
                <w:rFonts w:hint="eastAsia" w:cs="宋体"/>
                <w:color w:val="auto"/>
                <w:sz w:val="24"/>
                <w:szCs w:val="24"/>
                <w:highlight w:val="none"/>
                <w:lang w:eastAsia="zh-CN"/>
              </w:rPr>
              <w:t>（</w:t>
            </w:r>
            <w:r>
              <w:rPr>
                <w:rFonts w:hint="eastAsia" w:ascii="宋体" w:hAnsi="宋体" w:cs="宋体"/>
                <w:color w:val="auto"/>
                <w:sz w:val="24"/>
                <w:szCs w:val="24"/>
                <w:highlight w:val="none"/>
              </w:rPr>
              <w:t>公章</w:t>
            </w:r>
            <w:r>
              <w:rPr>
                <w:rFonts w:hint="eastAsia" w:cs="宋体"/>
                <w:color w:val="auto"/>
                <w:sz w:val="24"/>
                <w:szCs w:val="24"/>
                <w:highlight w:val="none"/>
                <w:lang w:eastAsia="zh-CN"/>
              </w:rPr>
              <w:t>）</w:t>
            </w:r>
            <w:r>
              <w:rPr>
                <w:rFonts w:ascii="宋体" w:hAnsi="宋体" w:cs="仿宋_GB2312"/>
                <w:color w:val="auto"/>
                <w:sz w:val="24"/>
                <w:highlight w:val="none"/>
              </w:rPr>
              <w:t>临沂大学</w:t>
            </w:r>
          </w:p>
        </w:tc>
        <w:tc>
          <w:tcPr>
            <w:tcW w:w="240" w:type="dxa"/>
            <w:vAlign w:val="center"/>
          </w:tcPr>
          <w:p>
            <w:pPr>
              <w:spacing w:line="360" w:lineRule="auto"/>
              <w:ind w:left="-2" w:leftChars="-1"/>
              <w:rPr>
                <w:rFonts w:ascii="宋体" w:hAnsi="宋体" w:cs="宋体"/>
                <w:color w:val="auto"/>
                <w:sz w:val="24"/>
                <w:highlight w:val="none"/>
              </w:rPr>
            </w:pPr>
          </w:p>
        </w:tc>
        <w:tc>
          <w:tcPr>
            <w:tcW w:w="5203" w:type="dxa"/>
            <w:vAlign w:val="center"/>
          </w:tcPr>
          <w:p>
            <w:pPr>
              <w:spacing w:line="360" w:lineRule="auto"/>
              <w:ind w:left="-2" w:leftChars="-1"/>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供应商：</w:t>
            </w:r>
            <w:r>
              <w:rPr>
                <w:rFonts w:hint="eastAsia" w:ascii="宋体" w:hAnsi="宋体" w:cs="宋体"/>
                <w:color w:val="auto"/>
                <w:sz w:val="24"/>
                <w:highlight w:val="none"/>
                <w:lang w:eastAsia="zh-CN"/>
              </w:rPr>
              <w:t>（</w:t>
            </w:r>
            <w:r>
              <w:rPr>
                <w:rFonts w:hint="eastAsia" w:ascii="宋体" w:hAnsi="宋体" w:cs="宋体"/>
                <w:color w:val="auto"/>
                <w:sz w:val="24"/>
                <w:highlight w:val="none"/>
              </w:rPr>
              <w:t>公章</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jc w:val="center"/>
        </w:trPr>
        <w:tc>
          <w:tcPr>
            <w:tcW w:w="4575" w:type="dxa"/>
            <w:vAlign w:val="center"/>
          </w:tcPr>
          <w:p>
            <w:pPr>
              <w:pStyle w:val="10"/>
              <w:rPr>
                <w:rFonts w:ascii="宋体" w:hAnsi="宋体" w:cs="宋体"/>
                <w:color w:val="auto"/>
                <w:sz w:val="24"/>
                <w:szCs w:val="24"/>
                <w:highlight w:val="none"/>
              </w:rPr>
            </w:pPr>
            <w:r>
              <w:rPr>
                <w:rFonts w:hint="eastAsia" w:ascii="宋体" w:hAnsi="宋体" w:cs="宋体"/>
                <w:color w:val="auto"/>
                <w:sz w:val="24"/>
                <w:szCs w:val="24"/>
                <w:highlight w:val="none"/>
              </w:rPr>
              <w:t>法定代表人或其委托代理人：</w:t>
            </w:r>
          </w:p>
          <w:p>
            <w:pPr>
              <w:pStyle w:val="10"/>
              <w:rPr>
                <w:rFonts w:ascii="宋体" w:hAnsi="宋体" w:cs="宋体"/>
                <w:color w:val="auto"/>
                <w:sz w:val="24"/>
                <w:szCs w:val="24"/>
                <w:highlight w:val="none"/>
              </w:rPr>
            </w:pPr>
            <w:r>
              <w:rPr>
                <w:rFonts w:hint="eastAsia" w:ascii="宋体" w:hAnsi="宋体" w:cs="宋体"/>
                <w:color w:val="auto"/>
                <w:sz w:val="24"/>
                <w:szCs w:val="24"/>
                <w:highlight w:val="none"/>
              </w:rPr>
              <w:t>（签字或签章）</w:t>
            </w:r>
          </w:p>
        </w:tc>
        <w:tc>
          <w:tcPr>
            <w:tcW w:w="240" w:type="dxa"/>
            <w:vAlign w:val="center"/>
          </w:tcPr>
          <w:p>
            <w:pPr>
              <w:spacing w:line="360" w:lineRule="auto"/>
              <w:ind w:left="-2" w:leftChars="-1"/>
              <w:rPr>
                <w:rFonts w:ascii="宋体" w:hAnsi="宋体" w:cs="宋体"/>
                <w:color w:val="auto"/>
                <w:sz w:val="24"/>
                <w:highlight w:val="none"/>
              </w:rPr>
            </w:pPr>
          </w:p>
        </w:tc>
        <w:tc>
          <w:tcPr>
            <w:tcW w:w="5203" w:type="dxa"/>
            <w:vAlign w:val="center"/>
          </w:tcPr>
          <w:p>
            <w:pPr>
              <w:pStyle w:val="10"/>
              <w:rPr>
                <w:rFonts w:hint="eastAsia" w:ascii="宋体" w:hAnsi="宋体" w:cs="宋体"/>
                <w:color w:val="auto"/>
                <w:sz w:val="24"/>
                <w:szCs w:val="24"/>
                <w:highlight w:val="none"/>
              </w:rPr>
            </w:pPr>
            <w:r>
              <w:rPr>
                <w:rFonts w:hint="eastAsia" w:ascii="宋体" w:hAnsi="宋体" w:cs="宋体"/>
                <w:color w:val="auto"/>
                <w:sz w:val="24"/>
                <w:szCs w:val="24"/>
                <w:highlight w:val="none"/>
              </w:rPr>
              <w:t>法定代表人或其委托代理人：</w:t>
            </w:r>
          </w:p>
          <w:p>
            <w:pPr>
              <w:rPr>
                <w:rFonts w:ascii="宋体" w:hAnsi="宋体" w:cs="宋体"/>
                <w:color w:val="auto"/>
                <w:sz w:val="24"/>
                <w:highlight w:val="none"/>
              </w:rPr>
            </w:pPr>
            <w:r>
              <w:rPr>
                <w:rFonts w:hint="eastAsia" w:ascii="宋体" w:hAnsi="宋体" w:cs="宋体"/>
                <w:color w:val="auto"/>
                <w:sz w:val="24"/>
                <w:szCs w:val="24"/>
                <w:highlight w:val="none"/>
              </w:rPr>
              <w:t>（签字或签章）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jc w:val="center"/>
        </w:trPr>
        <w:tc>
          <w:tcPr>
            <w:tcW w:w="4575" w:type="dxa"/>
            <w:vAlign w:val="center"/>
          </w:tcPr>
          <w:p>
            <w:pPr>
              <w:pStyle w:val="1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地址</w:t>
            </w:r>
            <w:r>
              <w:rPr>
                <w:rFonts w:hint="eastAsia" w:ascii="宋体" w:hAnsi="宋体" w:cs="宋体"/>
                <w:color w:val="auto"/>
                <w:sz w:val="24"/>
                <w:szCs w:val="24"/>
                <w:highlight w:val="none"/>
              </w:rPr>
              <w:t xml:space="preserve">： </w:t>
            </w:r>
            <w:bookmarkStart w:id="338" w:name="unitAddress"/>
            <w:r>
              <w:rPr>
                <w:rFonts w:hint="eastAsia" w:ascii="宋体" w:hAnsi="宋体" w:cs="宋体"/>
                <w:color w:val="auto"/>
                <w:sz w:val="24"/>
                <w:szCs w:val="24"/>
                <w:highlight w:val="none"/>
              </w:rPr>
              <w:t>山东省临沂市双岭路中段</w:t>
            </w:r>
            <w:bookmarkEnd w:id="338"/>
          </w:p>
        </w:tc>
        <w:tc>
          <w:tcPr>
            <w:tcW w:w="240" w:type="dxa"/>
            <w:vAlign w:val="center"/>
          </w:tcPr>
          <w:p>
            <w:pPr>
              <w:pStyle w:val="10"/>
              <w:rPr>
                <w:rFonts w:ascii="宋体" w:hAnsi="宋体" w:cs="宋体"/>
                <w:color w:val="auto"/>
                <w:sz w:val="24"/>
                <w:szCs w:val="24"/>
                <w:highlight w:val="none"/>
              </w:rPr>
            </w:pPr>
          </w:p>
        </w:tc>
        <w:tc>
          <w:tcPr>
            <w:tcW w:w="5203" w:type="dxa"/>
            <w:vAlign w:val="center"/>
          </w:tcPr>
          <w:p>
            <w:pPr>
              <w:pStyle w:val="10"/>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地址</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7" w:hRule="atLeast"/>
          <w:jc w:val="center"/>
        </w:trPr>
        <w:tc>
          <w:tcPr>
            <w:tcW w:w="4575" w:type="dxa"/>
            <w:vAlign w:val="center"/>
          </w:tcPr>
          <w:p>
            <w:pPr>
              <w:pStyle w:val="10"/>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电 话：</w:t>
            </w:r>
            <w:r>
              <w:rPr>
                <w:rFonts w:hint="eastAsia" w:ascii="宋体" w:hAnsi="宋体" w:cs="仿宋_GB2312"/>
                <w:color w:val="auto"/>
                <w:sz w:val="24"/>
                <w:highlight w:val="none"/>
                <w:lang w:val="en-US" w:eastAsia="zh-CN"/>
              </w:rPr>
              <w:t>0539-7258756</w:t>
            </w:r>
          </w:p>
        </w:tc>
        <w:tc>
          <w:tcPr>
            <w:tcW w:w="240" w:type="dxa"/>
            <w:vAlign w:val="center"/>
          </w:tcPr>
          <w:p>
            <w:pPr>
              <w:pStyle w:val="10"/>
              <w:rPr>
                <w:rFonts w:ascii="宋体" w:hAnsi="宋体" w:cs="宋体"/>
                <w:color w:val="auto"/>
                <w:sz w:val="24"/>
                <w:szCs w:val="24"/>
                <w:highlight w:val="none"/>
              </w:rPr>
            </w:pPr>
          </w:p>
        </w:tc>
        <w:tc>
          <w:tcPr>
            <w:tcW w:w="5203" w:type="dxa"/>
            <w:vAlign w:val="center"/>
          </w:tcPr>
          <w:p>
            <w:pPr>
              <w:pStyle w:val="10"/>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电 话：</w:t>
            </w:r>
            <w:r>
              <w:rPr>
                <w:rFonts w:hint="eastAsia" w:ascii="宋体" w:hAnsi="宋体" w:cs="宋体"/>
                <w:color w:val="auto"/>
                <w:sz w:val="24"/>
                <w:szCs w:val="24"/>
                <w:highlight w:val="none"/>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2" w:hRule="atLeast"/>
          <w:jc w:val="center"/>
        </w:trPr>
        <w:tc>
          <w:tcPr>
            <w:tcW w:w="4575" w:type="dxa"/>
            <w:vAlign w:val="center"/>
          </w:tcPr>
          <w:p>
            <w:pPr>
              <w:pStyle w:val="10"/>
              <w:rPr>
                <w:rFonts w:ascii="宋体" w:hAnsi="宋体" w:cs="宋体"/>
                <w:color w:val="auto"/>
                <w:sz w:val="24"/>
                <w:szCs w:val="24"/>
                <w:highlight w:val="none"/>
              </w:rPr>
            </w:pPr>
            <w:r>
              <w:rPr>
                <w:rFonts w:hint="eastAsia" w:ascii="宋体" w:hAnsi="宋体" w:cs="宋体"/>
                <w:color w:val="auto"/>
                <w:sz w:val="24"/>
                <w:szCs w:val="24"/>
                <w:highlight w:val="none"/>
              </w:rPr>
              <w:t>开户银行：</w:t>
            </w:r>
            <w:r>
              <w:rPr>
                <w:rFonts w:hint="eastAsia" w:ascii="宋体" w:hAnsi="宋体" w:cs="宋体"/>
                <w:color w:val="auto"/>
                <w:sz w:val="24"/>
                <w:highlight w:val="none"/>
              </w:rPr>
              <w:t>中国银行临沂兰山支行</w:t>
            </w:r>
          </w:p>
        </w:tc>
        <w:tc>
          <w:tcPr>
            <w:tcW w:w="240" w:type="dxa"/>
            <w:vAlign w:val="center"/>
          </w:tcPr>
          <w:p>
            <w:pPr>
              <w:pStyle w:val="10"/>
              <w:rPr>
                <w:rFonts w:ascii="宋体" w:hAnsi="宋体" w:cs="宋体"/>
                <w:color w:val="auto"/>
                <w:sz w:val="24"/>
                <w:szCs w:val="24"/>
                <w:highlight w:val="none"/>
              </w:rPr>
            </w:pPr>
          </w:p>
        </w:tc>
        <w:tc>
          <w:tcPr>
            <w:tcW w:w="5203" w:type="dxa"/>
            <w:vAlign w:val="center"/>
          </w:tcPr>
          <w:p>
            <w:pPr>
              <w:pStyle w:val="10"/>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开户银行：</w:t>
            </w:r>
            <w:r>
              <w:rPr>
                <w:rFonts w:hint="eastAsia" w:ascii="宋体" w:hAnsi="宋体" w:cs="宋体"/>
                <w:color w:val="auto"/>
                <w:sz w:val="24"/>
                <w:szCs w:val="24"/>
                <w:highlight w:val="none"/>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jc w:val="center"/>
        </w:trPr>
        <w:tc>
          <w:tcPr>
            <w:tcW w:w="4575" w:type="dxa"/>
            <w:vAlign w:val="center"/>
          </w:tcPr>
          <w:p>
            <w:pPr>
              <w:pStyle w:val="10"/>
              <w:rPr>
                <w:rFonts w:ascii="宋体" w:hAnsi="宋体" w:cs="宋体"/>
                <w:color w:val="auto"/>
                <w:sz w:val="24"/>
                <w:szCs w:val="24"/>
                <w:highlight w:val="none"/>
              </w:rPr>
            </w:pPr>
            <w:r>
              <w:rPr>
                <w:rFonts w:hint="eastAsia" w:ascii="宋体" w:hAnsi="宋体" w:cs="宋体"/>
                <w:color w:val="auto"/>
                <w:sz w:val="24"/>
                <w:szCs w:val="24"/>
                <w:highlight w:val="none"/>
              </w:rPr>
              <w:t>账号：</w:t>
            </w:r>
            <w:r>
              <w:rPr>
                <w:rFonts w:ascii="宋体" w:hAnsi="宋体" w:cs="宋体"/>
                <w:color w:val="auto"/>
                <w:sz w:val="24"/>
                <w:highlight w:val="none"/>
              </w:rPr>
              <w:t>218243959980</w:t>
            </w:r>
          </w:p>
        </w:tc>
        <w:tc>
          <w:tcPr>
            <w:tcW w:w="240" w:type="dxa"/>
            <w:vAlign w:val="center"/>
          </w:tcPr>
          <w:p>
            <w:pPr>
              <w:pStyle w:val="10"/>
              <w:rPr>
                <w:rFonts w:ascii="宋体" w:hAnsi="宋体" w:cs="宋体"/>
                <w:color w:val="auto"/>
                <w:sz w:val="24"/>
                <w:szCs w:val="24"/>
                <w:highlight w:val="none"/>
              </w:rPr>
            </w:pPr>
          </w:p>
        </w:tc>
        <w:tc>
          <w:tcPr>
            <w:tcW w:w="5203" w:type="dxa"/>
            <w:vAlign w:val="center"/>
          </w:tcPr>
          <w:p>
            <w:pPr>
              <w:pStyle w:val="10"/>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账号：</w:t>
            </w:r>
            <w:r>
              <w:rPr>
                <w:rFonts w:hint="eastAsia" w:ascii="宋体" w:hAnsi="宋体" w:cs="宋体"/>
                <w:color w:val="auto"/>
                <w:sz w:val="24"/>
                <w:szCs w:val="24"/>
                <w:highlight w:val="none"/>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jc w:val="center"/>
        </w:trPr>
        <w:tc>
          <w:tcPr>
            <w:tcW w:w="4575" w:type="dxa"/>
            <w:vAlign w:val="center"/>
          </w:tcPr>
          <w:p>
            <w:pPr>
              <w:pStyle w:val="10"/>
              <w:rPr>
                <w:rFonts w:ascii="宋体" w:hAnsi="宋体" w:cs="宋体"/>
                <w:color w:val="auto"/>
                <w:sz w:val="24"/>
                <w:szCs w:val="24"/>
                <w:highlight w:val="none"/>
              </w:rPr>
            </w:pPr>
            <w:r>
              <w:rPr>
                <w:rFonts w:hint="eastAsia" w:ascii="宋体" w:hAnsi="宋体" w:cs="宋体"/>
                <w:color w:val="auto"/>
                <w:sz w:val="24"/>
                <w:szCs w:val="24"/>
                <w:highlight w:val="none"/>
              </w:rPr>
              <w:t>邮政编码：</w:t>
            </w:r>
          </w:p>
        </w:tc>
        <w:tc>
          <w:tcPr>
            <w:tcW w:w="240" w:type="dxa"/>
            <w:vAlign w:val="center"/>
          </w:tcPr>
          <w:p>
            <w:pPr>
              <w:pStyle w:val="10"/>
              <w:rPr>
                <w:rFonts w:ascii="宋体" w:hAnsi="宋体" w:cs="宋体"/>
                <w:color w:val="auto"/>
                <w:sz w:val="24"/>
                <w:szCs w:val="24"/>
                <w:highlight w:val="none"/>
              </w:rPr>
            </w:pPr>
          </w:p>
        </w:tc>
        <w:tc>
          <w:tcPr>
            <w:tcW w:w="5203" w:type="dxa"/>
            <w:vAlign w:val="center"/>
          </w:tcPr>
          <w:p>
            <w:pPr>
              <w:pStyle w:val="10"/>
              <w:rPr>
                <w:rFonts w:ascii="宋体" w:hAnsi="宋体" w:cs="宋体"/>
                <w:color w:val="auto"/>
                <w:sz w:val="24"/>
                <w:szCs w:val="24"/>
                <w:highlight w:val="none"/>
              </w:rPr>
            </w:pPr>
            <w:r>
              <w:rPr>
                <w:rFonts w:hint="eastAsia" w:ascii="宋体" w:hAnsi="宋体" w:cs="宋体"/>
                <w:color w:val="auto"/>
                <w:sz w:val="24"/>
                <w:szCs w:val="24"/>
                <w:highlight w:val="none"/>
              </w:rPr>
              <w:t>邮政编码：</w:t>
            </w:r>
          </w:p>
        </w:tc>
      </w:tr>
    </w:tbl>
    <w:p>
      <w:pPr>
        <w:widowControl/>
        <w:jc w:val="left"/>
        <w:rPr>
          <w:rFonts w:ascii="宋体" w:cs="宋体"/>
          <w:color w:val="auto"/>
          <w:sz w:val="24"/>
          <w:highlight w:val="none"/>
        </w:rPr>
      </w:pPr>
    </w:p>
    <w:p>
      <w:pPr>
        <w:widowControl/>
        <w:jc w:val="left"/>
        <w:rPr>
          <w:rFonts w:ascii="宋体" w:cs="宋体"/>
          <w:color w:val="auto"/>
          <w:sz w:val="24"/>
          <w:highlight w:val="none"/>
        </w:rPr>
      </w:pPr>
    </w:p>
    <w:p>
      <w:pPr>
        <w:spacing w:line="360" w:lineRule="auto"/>
        <w:jc w:val="center"/>
        <w:rPr>
          <w:rFonts w:ascii="宋体" w:cs="宋体"/>
          <w:color w:val="auto"/>
          <w:sz w:val="24"/>
          <w:highlight w:val="none"/>
        </w:rPr>
      </w:pPr>
      <w:r>
        <w:rPr>
          <w:rFonts w:hint="eastAsia" w:ascii="宋体" w:hAnsi="宋体" w:cs="宋体"/>
          <w:color w:val="auto"/>
          <w:sz w:val="24"/>
          <w:highlight w:val="none"/>
        </w:rPr>
        <w:t>合同条款</w:t>
      </w:r>
    </w:p>
    <w:p>
      <w:pPr>
        <w:spacing w:line="360" w:lineRule="auto"/>
        <w:rPr>
          <w:rFonts w:ascii="宋体" w:cs="宋体"/>
          <w:color w:val="auto"/>
          <w:sz w:val="24"/>
          <w:highlight w:val="none"/>
        </w:rPr>
      </w:pPr>
      <w:r>
        <w:rPr>
          <w:rFonts w:ascii="宋体" w:hAnsi="宋体" w:cs="宋体"/>
          <w:color w:val="auto"/>
          <w:sz w:val="24"/>
          <w:highlight w:val="none"/>
        </w:rPr>
        <w:t>1</w:t>
      </w:r>
      <w:r>
        <w:rPr>
          <w:rFonts w:hint="eastAsia" w:ascii="宋体" w:hAnsi="宋体" w:cs="宋体"/>
          <w:color w:val="auto"/>
          <w:sz w:val="24"/>
          <w:highlight w:val="none"/>
        </w:rPr>
        <w:t>．采购与供应</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1.1 </w:t>
      </w:r>
      <w:r>
        <w:rPr>
          <w:rFonts w:hint="eastAsia" w:ascii="宋体" w:hAnsi="宋体" w:cs="宋体"/>
          <w:color w:val="auto"/>
          <w:sz w:val="24"/>
          <w:highlight w:val="none"/>
        </w:rPr>
        <w:t>本合同价款最终双方以实际验收的数量结算。</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1.2 </w:t>
      </w:r>
      <w:r>
        <w:rPr>
          <w:rFonts w:hint="eastAsia" w:ascii="宋体" w:hAnsi="宋体" w:cs="宋体"/>
          <w:color w:val="auto"/>
          <w:sz w:val="24"/>
          <w:highlight w:val="none"/>
        </w:rPr>
        <w:t>本合同所采购与供应设备的数量为暂定量，供应商按附件</w:t>
      </w:r>
      <w:r>
        <w:rPr>
          <w:rFonts w:ascii="宋体" w:hAnsi="宋体" w:cs="宋体"/>
          <w:color w:val="auto"/>
          <w:sz w:val="24"/>
          <w:highlight w:val="none"/>
        </w:rPr>
        <w:t>1</w:t>
      </w:r>
      <w:r>
        <w:rPr>
          <w:rFonts w:hint="eastAsia" w:ascii="宋体" w:hAnsi="宋体" w:cs="宋体"/>
          <w:color w:val="auto"/>
          <w:sz w:val="24"/>
          <w:highlight w:val="none"/>
        </w:rPr>
        <w:t>《计划采购与供应设备清单》所列品种和规格供货，最终以经采购人验收合格实际数量为准。</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1.3 </w:t>
      </w:r>
      <w:r>
        <w:rPr>
          <w:rFonts w:hint="eastAsia" w:ascii="宋体" w:hAnsi="宋体" w:cs="宋体"/>
          <w:color w:val="auto"/>
          <w:sz w:val="24"/>
          <w:highlight w:val="none"/>
        </w:rPr>
        <w:t>本合同所采购与供应设备的计价、结算和支付货币均为人民币。</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1.4 </w:t>
      </w:r>
      <w:r>
        <w:rPr>
          <w:rFonts w:hint="eastAsia" w:ascii="宋体" w:hAnsi="宋体" w:cs="宋体"/>
          <w:color w:val="auto"/>
          <w:sz w:val="24"/>
          <w:highlight w:val="none"/>
        </w:rPr>
        <w:t>本合同所采购与供应设备的计量单位，为中华人民共和国法定公制计量单位（除技术规范标准另有规定外）。</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1.5 </w:t>
      </w:r>
      <w:r>
        <w:rPr>
          <w:rFonts w:hint="eastAsia" w:ascii="宋体" w:hAnsi="宋体" w:cs="宋体"/>
          <w:color w:val="auto"/>
          <w:sz w:val="24"/>
          <w:highlight w:val="none"/>
        </w:rPr>
        <w:t>本合同所采购与供应设备的单价，指运抵本项目现场指定地点交货综合价，包括设备费、加工费、包装费、检测费、装卸费、运输费、税金、供应商合理的利润、管理费、市场价格波动带来的风险、向有关部门缴纳的各项费用以及政策性文件所规定的各项应有费用等供应商履行本合同规定义务的全部价款与</w:t>
      </w:r>
      <w:r>
        <w:rPr>
          <w:rFonts w:hint="eastAsia" w:ascii="宋体" w:hAnsi="宋体" w:cs="宋体"/>
          <w:color w:val="auto"/>
          <w:sz w:val="24"/>
          <w:highlight w:val="none"/>
          <w:lang w:eastAsia="zh-CN"/>
        </w:rPr>
        <w:t>税费</w:t>
      </w:r>
      <w:r>
        <w:rPr>
          <w:rFonts w:hint="eastAsia" w:ascii="宋体" w:hAnsi="宋体" w:cs="宋体"/>
          <w:color w:val="auto"/>
          <w:sz w:val="24"/>
          <w:highlight w:val="none"/>
        </w:rPr>
        <w:t>，除本合同第</w:t>
      </w:r>
      <w:r>
        <w:rPr>
          <w:rFonts w:ascii="宋体" w:hAnsi="宋体" w:cs="宋体"/>
          <w:color w:val="auto"/>
          <w:sz w:val="24"/>
          <w:highlight w:val="none"/>
        </w:rPr>
        <w:t>1.6</w:t>
      </w:r>
      <w:r>
        <w:rPr>
          <w:rFonts w:hint="eastAsia" w:ascii="宋体" w:hAnsi="宋体" w:cs="宋体"/>
          <w:color w:val="auto"/>
          <w:sz w:val="24"/>
          <w:highlight w:val="none"/>
        </w:rPr>
        <w:t>条规定的因素外，不得因政府政策变动、市场环境改变、税率调整等而调整。</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1.6</w:t>
      </w:r>
      <w:r>
        <w:rPr>
          <w:rFonts w:hint="eastAsia" w:ascii="宋体" w:hAnsi="宋体" w:cs="宋体"/>
          <w:color w:val="auto"/>
          <w:sz w:val="24"/>
          <w:highlight w:val="none"/>
        </w:rPr>
        <w:t>本合同综合单价按下列第（</w:t>
      </w:r>
      <w:r>
        <w:rPr>
          <w:rFonts w:ascii="宋体" w:hAnsi="宋体" w:cs="宋体"/>
          <w:color w:val="auto"/>
          <w:sz w:val="24"/>
          <w:highlight w:val="none"/>
        </w:rPr>
        <w:t>1</w:t>
      </w:r>
      <w:r>
        <w:rPr>
          <w:rFonts w:hint="eastAsia" w:ascii="宋体" w:hAnsi="宋体" w:cs="宋体"/>
          <w:color w:val="auto"/>
          <w:sz w:val="24"/>
          <w:highlight w:val="none"/>
        </w:rPr>
        <w:t>）种办法进行调整。</w:t>
      </w:r>
    </w:p>
    <w:p>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1</w:t>
      </w:r>
      <w:r>
        <w:rPr>
          <w:rFonts w:hint="eastAsia" w:ascii="宋体" w:hAnsi="宋体" w:cs="宋体"/>
          <w:color w:val="auto"/>
          <w:sz w:val="24"/>
          <w:highlight w:val="none"/>
        </w:rPr>
        <w:t>）综合单价包干，价格不可调整。</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2</w:t>
      </w:r>
      <w:r>
        <w:rPr>
          <w:rFonts w:hint="eastAsia" w:ascii="宋体" w:hAnsi="宋体" w:cs="宋体"/>
          <w:color w:val="auto"/>
          <w:sz w:val="24"/>
          <w:highlight w:val="none"/>
        </w:rPr>
        <w:t>）具体调价办法：</w:t>
      </w:r>
      <w:r>
        <w:rPr>
          <w:rFonts w:ascii="宋体" w:hAnsi="宋体" w:cs="宋体"/>
          <w:color w:val="auto"/>
          <w:sz w:val="24"/>
          <w:highlight w:val="none"/>
        </w:rPr>
        <w:t xml:space="preserve"> ___</w:t>
      </w:r>
      <w:r>
        <w:rPr>
          <w:rFonts w:hint="eastAsia" w:ascii="宋体" w:hAnsi="宋体" w:cs="宋体"/>
          <w:color w:val="auto"/>
          <w:sz w:val="24"/>
          <w:highlight w:val="none"/>
          <w:u w:val="single"/>
          <w:lang w:val="en-US" w:eastAsia="zh-CN"/>
        </w:rPr>
        <w:t>无</w:t>
      </w:r>
      <w:r>
        <w:rPr>
          <w:rFonts w:ascii="宋体" w:hAnsi="宋体" w:cs="宋体"/>
          <w:color w:val="auto"/>
          <w:sz w:val="24"/>
          <w:highlight w:val="none"/>
        </w:rPr>
        <w:t>____</w:t>
      </w:r>
      <w:r>
        <w:rPr>
          <w:rFonts w:hint="eastAsia" w:ascii="宋体" w:hAnsi="宋体" w:cs="宋体"/>
          <w:color w:val="auto"/>
          <w:sz w:val="24"/>
          <w:highlight w:val="none"/>
        </w:rPr>
        <w:t>。</w:t>
      </w:r>
      <w:r>
        <w:rPr>
          <w:rFonts w:ascii="宋体" w:hAnsi="宋体" w:cs="宋体"/>
          <w:color w:val="auto"/>
          <w:sz w:val="24"/>
          <w:highlight w:val="none"/>
        </w:rPr>
        <w:t xml:space="preserve">  </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2</w:t>
      </w:r>
      <w:r>
        <w:rPr>
          <w:rFonts w:hint="eastAsia" w:ascii="宋体" w:hAnsi="宋体" w:cs="宋体"/>
          <w:color w:val="auto"/>
          <w:sz w:val="24"/>
          <w:highlight w:val="none"/>
        </w:rPr>
        <w:t>．质量要求</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2.1 </w:t>
      </w:r>
      <w:r>
        <w:rPr>
          <w:rFonts w:hint="eastAsia" w:ascii="宋体" w:hAnsi="宋体" w:cs="宋体"/>
          <w:color w:val="auto"/>
          <w:sz w:val="24"/>
          <w:highlight w:val="none"/>
        </w:rPr>
        <w:t>供应商应在交货同时向采购人提供本合同所采购与供应设备制造商出具的书面质量保证书。</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2.2 </w:t>
      </w:r>
      <w:r>
        <w:rPr>
          <w:rFonts w:hint="eastAsia" w:ascii="宋体" w:hAnsi="宋体" w:cs="宋体"/>
          <w:color w:val="auto"/>
          <w:sz w:val="24"/>
          <w:highlight w:val="none"/>
        </w:rPr>
        <w:t>本合同所采购与供应的设备，应符合现行中华人民共和国国家标准及行业标准，各项技术性能指标经本项目所在地具有相应检测资质的专业机构或单位检测中心检验必须符合国标要求。合同执行过程中，若出现新的国家标准，则以更新后的标准为准。</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2.3 </w:t>
      </w:r>
      <w:r>
        <w:rPr>
          <w:rFonts w:hint="eastAsia" w:ascii="宋体" w:hAnsi="宋体" w:cs="宋体"/>
          <w:color w:val="auto"/>
          <w:sz w:val="24"/>
          <w:highlight w:val="none"/>
        </w:rPr>
        <w:t>供应商的设备供应与管理应符合国家有关环保法律、法规和</w:t>
      </w:r>
      <w:r>
        <w:rPr>
          <w:rFonts w:ascii="宋体" w:hAnsi="宋体" w:cs="宋体"/>
          <w:color w:val="auto"/>
          <w:sz w:val="24"/>
          <w:highlight w:val="none"/>
        </w:rPr>
        <w:t>ISO9000</w:t>
      </w:r>
      <w:r>
        <w:rPr>
          <w:rFonts w:hint="eastAsia" w:ascii="宋体" w:hAnsi="宋体" w:cs="宋体"/>
          <w:color w:val="auto"/>
          <w:sz w:val="24"/>
          <w:highlight w:val="none"/>
        </w:rPr>
        <w:t>质量体系标准。</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2.4 </w:t>
      </w:r>
      <w:r>
        <w:rPr>
          <w:rFonts w:hint="eastAsia" w:ascii="宋体" w:hAnsi="宋体" w:cs="宋体"/>
          <w:color w:val="auto"/>
          <w:sz w:val="24"/>
          <w:highlight w:val="none"/>
        </w:rPr>
        <w:t>本合同所采购与供应设备的质量保证期自验收合格之日起</w:t>
      </w:r>
      <w:r>
        <w:rPr>
          <w:rFonts w:ascii="宋体" w:hAnsi="宋体" w:cs="宋体"/>
          <w:color w:val="auto"/>
          <w:sz w:val="24"/>
          <w:highlight w:val="none"/>
        </w:rPr>
        <w:t>_</w:t>
      </w:r>
      <w:r>
        <w:rPr>
          <w:rFonts w:ascii="宋体" w:hAnsi="宋体" w:cs="宋体"/>
          <w:color w:val="auto"/>
          <w:sz w:val="24"/>
          <w:highlight w:val="none"/>
          <w:u w:val="single"/>
        </w:rPr>
        <w:t>_</w:t>
      </w:r>
      <w:r>
        <w:rPr>
          <w:rFonts w:hint="eastAsia" w:ascii="宋体" w:hAnsi="宋体" w:cs="宋体"/>
          <w:color w:val="auto"/>
          <w:sz w:val="24"/>
          <w:highlight w:val="none"/>
          <w:u w:val="single"/>
          <w:lang w:val="en-US" w:eastAsia="zh-CN"/>
        </w:rPr>
        <w:t xml:space="preserve">  </w:t>
      </w:r>
      <w:r>
        <w:rPr>
          <w:rFonts w:ascii="宋体" w:hAnsi="宋体" w:cs="宋体"/>
          <w:color w:val="auto"/>
          <w:sz w:val="24"/>
          <w:highlight w:val="none"/>
          <w:u w:val="single"/>
        </w:rPr>
        <w:t>_</w:t>
      </w:r>
      <w:r>
        <w:rPr>
          <w:rFonts w:ascii="宋体" w:hAnsi="宋体" w:cs="宋体"/>
          <w:color w:val="auto"/>
          <w:sz w:val="24"/>
          <w:highlight w:val="none"/>
        </w:rPr>
        <w:t>_</w:t>
      </w:r>
      <w:r>
        <w:rPr>
          <w:rFonts w:hint="eastAsia" w:ascii="宋体" w:hAnsi="宋体" w:cs="宋体"/>
          <w:color w:val="auto"/>
          <w:sz w:val="24"/>
          <w:highlight w:val="none"/>
        </w:rPr>
        <w:t>年。</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2.5</w:t>
      </w:r>
      <w:r>
        <w:rPr>
          <w:rFonts w:hint="eastAsia" w:ascii="宋体" w:hAnsi="宋体" w:cs="宋体"/>
          <w:color w:val="auto"/>
          <w:sz w:val="24"/>
          <w:highlight w:val="none"/>
        </w:rPr>
        <w:t>质量保证期内，供应商无条件的向采购人提供缺陷产品的免费维修、更换等服</w:t>
      </w:r>
      <w:r>
        <w:rPr>
          <w:rFonts w:hint="eastAsia" w:ascii="宋体" w:hAnsi="宋体" w:cs="宋体"/>
          <w:color w:val="auto"/>
          <w:sz w:val="24"/>
          <w:highlight w:val="none"/>
        </w:rPr>
        <w:t>务。针对采购人提出的书面要求，供应商必须在</w:t>
      </w:r>
      <w:r>
        <w:rPr>
          <w:rFonts w:ascii="宋体" w:hAnsi="宋体" w:cs="宋体"/>
          <w:color w:val="auto"/>
          <w:sz w:val="24"/>
          <w:highlight w:val="none"/>
        </w:rPr>
        <w:t>3</w:t>
      </w:r>
      <w:r>
        <w:rPr>
          <w:rFonts w:hint="eastAsia" w:ascii="宋体" w:hAnsi="宋体" w:cs="宋体"/>
          <w:color w:val="auto"/>
          <w:sz w:val="24"/>
          <w:highlight w:val="none"/>
        </w:rPr>
        <w:t>日内给予书面答复。</w:t>
      </w:r>
      <w:r>
        <w:rPr>
          <w:rFonts w:hint="eastAsia" w:ascii="宋体" w:hAnsi="宋体" w:cs="宋体"/>
          <w:b/>
          <w:bCs/>
          <w:color w:val="auto"/>
          <w:sz w:val="24"/>
          <w:highlight w:val="none"/>
          <w:lang w:val="en-US" w:eastAsia="zh-CN"/>
        </w:rPr>
        <w:t>如有</w:t>
      </w:r>
      <w:r>
        <w:rPr>
          <w:rFonts w:hint="eastAsia" w:ascii="宋体" w:hAnsi="宋体" w:cs="宋体"/>
          <w:b/>
          <w:bCs/>
          <w:color w:val="auto"/>
          <w:sz w:val="24"/>
          <w:highlight w:val="none"/>
        </w:rPr>
        <w:t>必要，</w:t>
      </w:r>
      <w:r>
        <w:rPr>
          <w:rFonts w:hint="eastAsia" w:ascii="宋体" w:hAnsi="宋体" w:cs="宋体"/>
          <w:color w:val="auto"/>
          <w:sz w:val="24"/>
          <w:highlight w:val="none"/>
        </w:rPr>
        <w:t>供应商在</w:t>
      </w:r>
      <w:r>
        <w:rPr>
          <w:rFonts w:ascii="宋体" w:hAnsi="宋体" w:cs="宋体"/>
          <w:color w:val="auto"/>
          <w:sz w:val="24"/>
          <w:highlight w:val="none"/>
        </w:rPr>
        <w:t>3</w:t>
      </w:r>
      <w:r>
        <w:rPr>
          <w:rFonts w:hint="eastAsia" w:ascii="宋体" w:hAnsi="宋体" w:cs="宋体"/>
          <w:color w:val="auto"/>
          <w:sz w:val="24"/>
          <w:highlight w:val="none"/>
        </w:rPr>
        <w:t>日内指派专人到现场解决，因此产生的所有费用均由供应商承担。</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2.6 </w:t>
      </w:r>
      <w:r>
        <w:rPr>
          <w:rFonts w:hint="eastAsia" w:ascii="宋体" w:hAnsi="宋体" w:cs="宋体"/>
          <w:b/>
          <w:bCs/>
          <w:color w:val="auto"/>
          <w:sz w:val="24"/>
          <w:highlight w:val="none"/>
        </w:rPr>
        <w:t>质量保证期内，</w:t>
      </w:r>
      <w:r>
        <w:rPr>
          <w:rFonts w:hint="eastAsia" w:ascii="宋体" w:hAnsi="宋体" w:cs="宋体"/>
          <w:color w:val="auto"/>
          <w:sz w:val="24"/>
          <w:highlight w:val="none"/>
        </w:rPr>
        <w:t>不论任何原因，供应商借故推脱或拒绝采购人提出的维修、更换等服务请求，采购人有权自行解决，实际发生的维修或更换等费用，</w:t>
      </w:r>
      <w:r>
        <w:rPr>
          <w:rFonts w:hint="eastAsia" w:ascii="宋体" w:hAnsi="宋体" w:cs="宋体"/>
          <w:b/>
          <w:bCs/>
          <w:color w:val="auto"/>
          <w:sz w:val="24"/>
          <w:highlight w:val="none"/>
          <w:lang w:val="en-US" w:eastAsia="zh-CN"/>
        </w:rPr>
        <w:t>由供应商全部承担</w:t>
      </w:r>
      <w:r>
        <w:rPr>
          <w:rFonts w:hint="eastAsia" w:ascii="宋体" w:hAnsi="宋体" w:cs="宋体"/>
          <w:b/>
          <w:bCs/>
          <w:color w:val="auto"/>
          <w:sz w:val="24"/>
          <w:highlight w:val="none"/>
        </w:rPr>
        <w:t>，</w:t>
      </w:r>
      <w:r>
        <w:rPr>
          <w:rFonts w:hint="eastAsia" w:ascii="宋体" w:hAnsi="宋体" w:cs="宋体"/>
          <w:color w:val="auto"/>
          <w:sz w:val="24"/>
          <w:highlight w:val="none"/>
        </w:rPr>
        <w:t>并保留进一步索赔的权利。维修或更换设备的质量保证期相应延长</w:t>
      </w:r>
      <w:r>
        <w:rPr>
          <w:rFonts w:ascii="宋体" w:hAnsi="宋体" w:cs="宋体"/>
          <w:color w:val="auto"/>
          <w:sz w:val="24"/>
          <w:highlight w:val="none"/>
        </w:rPr>
        <w:t>6</w:t>
      </w:r>
      <w:r>
        <w:rPr>
          <w:rFonts w:hint="eastAsia" w:ascii="宋体" w:hAnsi="宋体" w:cs="宋体"/>
          <w:color w:val="auto"/>
          <w:sz w:val="24"/>
          <w:highlight w:val="none"/>
        </w:rPr>
        <w:t>个月</w:t>
      </w:r>
      <w:r>
        <w:rPr>
          <w:rFonts w:hint="eastAsia" w:ascii="宋体" w:hAnsi="宋体" w:cs="宋体"/>
          <w:b/>
          <w:bCs/>
          <w:color w:val="auto"/>
          <w:sz w:val="24"/>
          <w:highlight w:val="none"/>
          <w:lang w:eastAsia="zh-CN"/>
        </w:rPr>
        <w:t>（</w:t>
      </w:r>
      <w:r>
        <w:rPr>
          <w:rFonts w:hint="eastAsia" w:ascii="宋体" w:hAnsi="宋体" w:cs="宋体"/>
          <w:b/>
          <w:bCs/>
          <w:color w:val="auto"/>
          <w:sz w:val="24"/>
          <w:highlight w:val="none"/>
          <w:lang w:val="en-US" w:eastAsia="zh-CN"/>
        </w:rPr>
        <w:t>由乙方负责</w:t>
      </w:r>
      <w:r>
        <w:rPr>
          <w:rFonts w:hint="eastAsia" w:ascii="宋体" w:hAnsi="宋体" w:cs="宋体"/>
          <w:b/>
          <w:bCs/>
          <w:color w:val="auto"/>
          <w:sz w:val="24"/>
          <w:highlight w:val="none"/>
          <w:lang w:eastAsia="zh-CN"/>
        </w:rPr>
        <w:t>）</w:t>
      </w:r>
      <w:r>
        <w:rPr>
          <w:rFonts w:hint="eastAsia" w:ascii="宋体" w:hAnsi="宋体" w:cs="宋体"/>
          <w:color w:val="auto"/>
          <w:sz w:val="24"/>
          <w:highlight w:val="none"/>
        </w:rPr>
        <w:t>。</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2.7</w:t>
      </w:r>
      <w:r>
        <w:rPr>
          <w:rFonts w:hint="eastAsia" w:ascii="宋体" w:hAnsi="宋体" w:cs="宋体"/>
          <w:color w:val="auto"/>
          <w:sz w:val="24"/>
          <w:highlight w:val="none"/>
        </w:rPr>
        <w:t>质</w:t>
      </w:r>
      <w:r>
        <w:rPr>
          <w:rFonts w:hint="eastAsia" w:ascii="宋体" w:hAnsi="宋体" w:cs="宋体"/>
          <w:color w:val="auto"/>
          <w:sz w:val="24"/>
          <w:highlight w:val="none"/>
        </w:rPr>
        <w:t>量保证期内，如因供应商产品质量导致出现项目质量问题，由此造成的一切损失由供应商承担。</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2.8</w:t>
      </w:r>
      <w:r>
        <w:rPr>
          <w:rFonts w:hint="eastAsia" w:ascii="宋体" w:hAnsi="宋体" w:cs="宋体"/>
          <w:color w:val="auto"/>
          <w:sz w:val="24"/>
          <w:highlight w:val="none"/>
        </w:rPr>
        <w:t>其他质量要求：</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3</w:t>
      </w:r>
      <w:r>
        <w:rPr>
          <w:rFonts w:hint="eastAsia" w:ascii="宋体" w:hAnsi="宋体" w:cs="宋体"/>
          <w:color w:val="auto"/>
          <w:sz w:val="24"/>
          <w:highlight w:val="none"/>
        </w:rPr>
        <w:t>．供货时间及地点</w:t>
      </w:r>
    </w:p>
    <w:p>
      <w:pPr>
        <w:spacing w:line="360" w:lineRule="auto"/>
        <w:ind w:firstLine="480" w:firstLineChars="200"/>
        <w:rPr>
          <w:rFonts w:ascii="宋体" w:cs="宋体"/>
          <w:color w:val="auto"/>
          <w:sz w:val="24"/>
          <w:highlight w:val="none"/>
          <w:u w:val="single"/>
        </w:rPr>
      </w:pPr>
      <w:r>
        <w:rPr>
          <w:rFonts w:ascii="宋体" w:hAnsi="宋体" w:cs="宋体"/>
          <w:color w:val="auto"/>
          <w:sz w:val="24"/>
          <w:highlight w:val="none"/>
        </w:rPr>
        <w:t>3.1</w:t>
      </w:r>
      <w:r>
        <w:rPr>
          <w:rFonts w:hint="eastAsia" w:ascii="宋体" w:hAnsi="宋体" w:cs="宋体"/>
          <w:color w:val="auto"/>
          <w:sz w:val="24"/>
          <w:highlight w:val="none"/>
        </w:rPr>
        <w:t>供货及通知方式：</w:t>
      </w:r>
      <w:r>
        <w:rPr>
          <w:rFonts w:hint="eastAsia" w:ascii="宋体" w:hAnsi="宋体" w:cs="宋体"/>
          <w:color w:val="auto"/>
          <w:sz w:val="24"/>
          <w:highlight w:val="none"/>
          <w:u w:val="single"/>
        </w:rPr>
        <w:t>按批次供货，时间及数量以采购人书面通知为准。在运输、装卸过程中发生的安全事故责任，供应商自行承担。</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3.2</w:t>
      </w:r>
      <w:r>
        <w:rPr>
          <w:rFonts w:hint="eastAsia" w:ascii="宋体" w:hAnsi="宋体" w:cs="宋体"/>
          <w:color w:val="auto"/>
          <w:sz w:val="24"/>
          <w:highlight w:val="none"/>
        </w:rPr>
        <w:t>供货地点：供应商负责送货至项目现场卸至采购人指定的卸货地点，并承担费用。</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4</w:t>
      </w:r>
      <w:r>
        <w:rPr>
          <w:rFonts w:hint="eastAsia" w:ascii="宋体" w:hAnsi="宋体" w:cs="宋体"/>
          <w:color w:val="auto"/>
          <w:sz w:val="24"/>
          <w:highlight w:val="none"/>
        </w:rPr>
        <w:t>．验收标准、方法、地点及期限</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4.1</w:t>
      </w:r>
      <w:r>
        <w:rPr>
          <w:rFonts w:hint="eastAsia" w:ascii="宋体" w:hAnsi="宋体" w:cs="宋体"/>
          <w:color w:val="auto"/>
          <w:sz w:val="24"/>
          <w:highlight w:val="none"/>
        </w:rPr>
        <w:t>数量验收：甲乙双方在交货现场以过磅、点数、检尺等约定方式进行数量验收，采购人应保证设备随到随验。供应商应对在采购人现场的计量数据进行确认。</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4.2</w:t>
      </w:r>
      <w:r>
        <w:rPr>
          <w:rFonts w:hint="eastAsia" w:ascii="宋体" w:hAnsi="宋体" w:cs="宋体"/>
          <w:color w:val="auto"/>
          <w:sz w:val="24"/>
          <w:highlight w:val="none"/>
        </w:rPr>
        <w:t>质量验收：</w:t>
      </w:r>
    </w:p>
    <w:p>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1</w:t>
      </w:r>
      <w:r>
        <w:rPr>
          <w:rFonts w:hint="eastAsia" w:ascii="宋体" w:hAnsi="宋体" w:cs="宋体"/>
          <w:color w:val="auto"/>
          <w:sz w:val="24"/>
          <w:highlight w:val="none"/>
        </w:rPr>
        <w:t>）进行数量验收的同时，采购人按要求进行尺寸和外观质量验收，尺寸和外观质量符合要求方可卸车，否则不得卸车。</w:t>
      </w:r>
    </w:p>
    <w:p>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2</w:t>
      </w:r>
      <w:r>
        <w:rPr>
          <w:rFonts w:hint="eastAsia" w:ascii="宋体" w:hAnsi="宋体" w:cs="宋体"/>
          <w:color w:val="auto"/>
          <w:sz w:val="24"/>
          <w:highlight w:val="none"/>
        </w:rPr>
        <w:t>）外观质量符合要求的，采购人及时按规定取样送本项目所在地具有相应检测资质的专业机构或单位进行检测。检测合格视为最终合格。如采购人、本项目建设单位或监督单位提出异议，参照有关标准规范，结合现场情况解决，供应商必须满足上述三方的有关质量的意见。</w:t>
      </w:r>
    </w:p>
    <w:p>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3</w:t>
      </w:r>
      <w:r>
        <w:rPr>
          <w:rFonts w:hint="eastAsia" w:ascii="宋体" w:hAnsi="宋体" w:cs="宋体"/>
          <w:color w:val="auto"/>
          <w:sz w:val="24"/>
          <w:highlight w:val="none"/>
        </w:rPr>
        <w:t>）经双方验收合格后，由采购人开具签收单作为最终结算依据。</w:t>
      </w:r>
    </w:p>
    <w:p>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4</w:t>
      </w:r>
      <w:r>
        <w:rPr>
          <w:rFonts w:hint="eastAsia" w:ascii="宋体" w:hAnsi="宋体" w:cs="宋体"/>
          <w:color w:val="auto"/>
          <w:sz w:val="24"/>
          <w:highlight w:val="none"/>
        </w:rPr>
        <w:t>）抽检未发现不合格产品不代表供应商供应产品全部合格，如因供应商产品问题造成采购人供货期、质量、劳务等损失，全部责任均由供应商承担。</w:t>
      </w:r>
    </w:p>
    <w:p>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5</w:t>
      </w:r>
      <w:r>
        <w:rPr>
          <w:rFonts w:hint="eastAsia" w:ascii="宋体" w:hAnsi="宋体" w:cs="宋体"/>
          <w:color w:val="auto"/>
          <w:sz w:val="24"/>
          <w:highlight w:val="none"/>
        </w:rPr>
        <w:t>）外观及检验不合格的设备，供应商应在接采购人通知后</w:t>
      </w:r>
      <w:r>
        <w:rPr>
          <w:rFonts w:ascii="宋体" w:hAnsi="宋体" w:cs="宋体"/>
          <w:color w:val="auto"/>
          <w:sz w:val="24"/>
          <w:highlight w:val="none"/>
        </w:rPr>
        <w:t>24</w:t>
      </w:r>
      <w:r>
        <w:rPr>
          <w:rFonts w:hint="eastAsia" w:ascii="宋体" w:hAnsi="宋体" w:cs="宋体"/>
          <w:color w:val="auto"/>
          <w:sz w:val="24"/>
          <w:highlight w:val="none"/>
        </w:rPr>
        <w:t>小时内清理出项目现场，并承担本次的检测费用，造成的一切损失由供应商承担。</w:t>
      </w:r>
    </w:p>
    <w:p>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6</w:t>
      </w:r>
      <w:r>
        <w:rPr>
          <w:rFonts w:hint="eastAsia" w:ascii="宋体" w:hAnsi="宋体" w:cs="宋体"/>
          <w:color w:val="auto"/>
          <w:sz w:val="24"/>
          <w:highlight w:val="none"/>
        </w:rPr>
        <w:t>）其他：现场现货检验，采购人如有异议</w:t>
      </w:r>
      <w:r>
        <w:rPr>
          <w:rFonts w:ascii="宋体" w:hAnsi="宋体" w:cs="宋体"/>
          <w:color w:val="auto"/>
          <w:sz w:val="24"/>
          <w:highlight w:val="none"/>
        </w:rPr>
        <w:t>3</w:t>
      </w:r>
      <w:r>
        <w:rPr>
          <w:rFonts w:hint="eastAsia" w:ascii="宋体" w:hAnsi="宋体" w:cs="宋体"/>
          <w:color w:val="auto"/>
          <w:sz w:val="24"/>
          <w:highlight w:val="none"/>
        </w:rPr>
        <w:t>日内提出，供应商</w:t>
      </w:r>
      <w:r>
        <w:rPr>
          <w:rFonts w:ascii="宋体" w:hAnsi="宋体" w:cs="宋体"/>
          <w:color w:val="auto"/>
          <w:sz w:val="24"/>
          <w:highlight w:val="none"/>
        </w:rPr>
        <w:t>24</w:t>
      </w:r>
      <w:r>
        <w:rPr>
          <w:rFonts w:hint="eastAsia" w:ascii="宋体" w:hAnsi="宋体" w:cs="宋体"/>
          <w:color w:val="auto"/>
          <w:sz w:val="24"/>
          <w:highlight w:val="none"/>
        </w:rPr>
        <w:t>小时内负责处理。</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4.3</w:t>
      </w:r>
      <w:r>
        <w:rPr>
          <w:rFonts w:hint="eastAsia" w:ascii="宋体" w:hAnsi="宋体" w:cs="宋体"/>
          <w:color w:val="auto"/>
          <w:sz w:val="24"/>
          <w:highlight w:val="none"/>
        </w:rPr>
        <w:t>标的物所有权自卸货完毕时起转移，但经验收确认为不合格的，供应商必须根据采购人要求无条件退换。</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5</w:t>
      </w:r>
      <w:r>
        <w:rPr>
          <w:rFonts w:hint="eastAsia" w:ascii="宋体" w:hAnsi="宋体" w:cs="宋体"/>
          <w:color w:val="auto"/>
          <w:sz w:val="24"/>
          <w:highlight w:val="none"/>
        </w:rPr>
        <w:t>．安全文明施工与环境保护</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5.1</w:t>
      </w:r>
      <w:r>
        <w:rPr>
          <w:rFonts w:hint="eastAsia" w:ascii="宋体" w:hAnsi="宋体" w:cs="宋体"/>
          <w:color w:val="auto"/>
          <w:sz w:val="24"/>
          <w:highlight w:val="none"/>
        </w:rPr>
        <w:t>安全文明施工</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5.1.1 </w:t>
      </w:r>
      <w:r>
        <w:rPr>
          <w:rFonts w:hint="eastAsia" w:ascii="宋体" w:hAnsi="宋体" w:cs="宋体"/>
          <w:color w:val="auto"/>
          <w:sz w:val="24"/>
          <w:highlight w:val="none"/>
        </w:rPr>
        <w:t>项目安全生产的达标目标及相应事项的约定：</w:t>
      </w:r>
      <w:r>
        <w:rPr>
          <w:rFonts w:ascii="宋体" w:hAnsi="宋体" w:cs="宋体"/>
          <w:color w:val="auto"/>
          <w:sz w:val="24"/>
          <w:highlight w:val="none"/>
        </w:rPr>
        <w:t>____</w:t>
      </w:r>
      <w:r>
        <w:rPr>
          <w:rFonts w:hint="eastAsia" w:ascii="宋体" w:hAnsi="宋体" w:cs="宋体"/>
          <w:color w:val="auto"/>
          <w:sz w:val="24"/>
          <w:highlight w:val="none"/>
          <w:u w:val="single"/>
        </w:rPr>
        <w:t>无</w:t>
      </w:r>
      <w:r>
        <w:rPr>
          <w:rFonts w:ascii="宋体" w:hAnsi="宋体" w:cs="宋体"/>
          <w:color w:val="auto"/>
          <w:sz w:val="24"/>
          <w:highlight w:val="none"/>
        </w:rPr>
        <w:t>____</w:t>
      </w:r>
      <w:r>
        <w:rPr>
          <w:rFonts w:hint="eastAsia" w:ascii="宋体" w:hAnsi="宋体" w:cs="宋体"/>
          <w:color w:val="auto"/>
          <w:sz w:val="24"/>
          <w:highlight w:val="none"/>
        </w:rPr>
        <w:t>。</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5.1.2 </w:t>
      </w:r>
      <w:r>
        <w:rPr>
          <w:rFonts w:hint="eastAsia" w:ascii="宋体" w:hAnsi="宋体" w:cs="宋体"/>
          <w:color w:val="auto"/>
          <w:sz w:val="24"/>
          <w:highlight w:val="none"/>
        </w:rPr>
        <w:t>文明施工</w:t>
      </w:r>
    </w:p>
    <w:p>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合同当事人对文明施工的要求：</w:t>
      </w:r>
      <w:r>
        <w:rPr>
          <w:rFonts w:ascii="宋体" w:hAnsi="宋体" w:cs="宋体"/>
          <w:color w:val="auto"/>
          <w:sz w:val="24"/>
          <w:highlight w:val="none"/>
        </w:rPr>
        <w:t>____</w:t>
      </w:r>
      <w:r>
        <w:rPr>
          <w:rFonts w:hint="eastAsia" w:ascii="宋体" w:hAnsi="宋体" w:cs="宋体"/>
          <w:color w:val="auto"/>
          <w:sz w:val="24"/>
          <w:highlight w:val="none"/>
          <w:u w:val="single"/>
        </w:rPr>
        <w:t>无</w:t>
      </w:r>
      <w:r>
        <w:rPr>
          <w:rFonts w:ascii="宋体" w:hAnsi="宋体" w:cs="宋体"/>
          <w:color w:val="auto"/>
          <w:sz w:val="24"/>
          <w:highlight w:val="none"/>
        </w:rPr>
        <w:t>____</w:t>
      </w:r>
      <w:r>
        <w:rPr>
          <w:rFonts w:hint="eastAsia" w:ascii="宋体" w:hAnsi="宋体" w:cs="宋体"/>
          <w:color w:val="auto"/>
          <w:sz w:val="24"/>
          <w:highlight w:val="none"/>
        </w:rPr>
        <w:t>。</w:t>
      </w:r>
      <w:r>
        <w:rPr>
          <w:rFonts w:ascii="宋体" w:hAnsi="宋体" w:cs="宋体"/>
          <w:color w:val="auto"/>
          <w:sz w:val="24"/>
          <w:highlight w:val="none"/>
        </w:rPr>
        <w:t xml:space="preserve">  </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5.1.3 </w:t>
      </w:r>
      <w:r>
        <w:rPr>
          <w:rFonts w:hint="eastAsia" w:ascii="宋体" w:hAnsi="宋体" w:cs="宋体"/>
          <w:color w:val="auto"/>
          <w:sz w:val="24"/>
          <w:highlight w:val="none"/>
        </w:rPr>
        <w:t>供应商负责在设备供货、指导安装、调试、售后服务整个过程中现场全部人员、设备的安全。供货服务期间发生的一切安全事故，由供应商承担全部责任，并承担由此发生的一切费用。</w:t>
      </w:r>
    </w:p>
    <w:p>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采购人不承担供应商和其单位雇佣的工人或其他人员的伤亡赔偿或补偿责任，承包方必须为现场服务人员办理危险作业意外伤害保险，费用自行承担。本项目需特殊防护的内容</w:t>
      </w:r>
      <w:r>
        <w:rPr>
          <w:rFonts w:ascii="宋体" w:hAnsi="宋体" w:cs="宋体"/>
          <w:color w:val="auto"/>
          <w:sz w:val="24"/>
          <w:highlight w:val="none"/>
        </w:rPr>
        <w:t>:</w:t>
      </w:r>
      <w:r>
        <w:rPr>
          <w:rFonts w:hint="eastAsia" w:ascii="宋体" w:hAnsi="宋体" w:cs="宋体"/>
          <w:color w:val="auto"/>
          <w:sz w:val="24"/>
          <w:highlight w:val="none"/>
        </w:rPr>
        <w:t>针对施工现场情况及迎检等需要，应采取不同的防护措施，费用自行承担。</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6</w:t>
      </w:r>
      <w:r>
        <w:rPr>
          <w:rFonts w:hint="eastAsia" w:ascii="宋体" w:hAnsi="宋体" w:cs="宋体"/>
          <w:color w:val="auto"/>
          <w:sz w:val="24"/>
          <w:highlight w:val="none"/>
        </w:rPr>
        <w:t>．预付款</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6.1 </w:t>
      </w:r>
      <w:r>
        <w:rPr>
          <w:rFonts w:hint="eastAsia" w:ascii="宋体" w:hAnsi="宋体" w:cs="宋体"/>
          <w:color w:val="auto"/>
          <w:sz w:val="24"/>
          <w:highlight w:val="none"/>
        </w:rPr>
        <w:t>预付款的支付时间和金额（或占合同价款的比例）：</w:t>
      </w:r>
      <w:r>
        <w:rPr>
          <w:rFonts w:hint="eastAsia" w:ascii="宋体" w:hAnsi="宋体" w:cs="宋体"/>
          <w:color w:val="auto"/>
          <w:sz w:val="24"/>
          <w:highlight w:val="none"/>
          <w:u w:val="single"/>
        </w:rPr>
        <w:t xml:space="preserve"> 见本合同第七条</w:t>
      </w:r>
      <w:r>
        <w:rPr>
          <w:rFonts w:ascii="宋体" w:hAnsi="宋体" w:cs="宋体"/>
          <w:color w:val="auto"/>
          <w:sz w:val="24"/>
          <w:highlight w:val="none"/>
          <w:u w:val="single"/>
        </w:rPr>
        <w:t xml:space="preserve"> </w:t>
      </w:r>
      <w:r>
        <w:rPr>
          <w:rFonts w:hint="eastAsia" w:ascii="宋体" w:hAnsi="宋体" w:cs="宋体"/>
          <w:color w:val="auto"/>
          <w:sz w:val="24"/>
          <w:highlight w:val="none"/>
        </w:rPr>
        <w:t>。</w:t>
      </w:r>
    </w:p>
    <w:p>
      <w:pPr>
        <w:spacing w:line="360" w:lineRule="auto"/>
        <w:ind w:firstLine="480" w:firstLineChars="200"/>
        <w:rPr>
          <w:rFonts w:ascii="宋体" w:cs="宋体"/>
          <w:b/>
          <w:color w:val="auto"/>
          <w:sz w:val="24"/>
          <w:highlight w:val="none"/>
          <w:u w:val="single"/>
        </w:rPr>
      </w:pPr>
      <w:r>
        <w:rPr>
          <w:rFonts w:ascii="宋体" w:hAnsi="宋体" w:cs="宋体"/>
          <w:color w:val="auto"/>
          <w:sz w:val="24"/>
          <w:highlight w:val="none"/>
        </w:rPr>
        <w:t>7</w:t>
      </w:r>
      <w:r>
        <w:rPr>
          <w:rFonts w:hint="eastAsia" w:ascii="宋体" w:hAnsi="宋体" w:cs="宋体"/>
          <w:color w:val="auto"/>
          <w:sz w:val="24"/>
          <w:highlight w:val="none"/>
        </w:rPr>
        <w:t>．货款支付：</w:t>
      </w:r>
      <w:r>
        <w:rPr>
          <w:rFonts w:hint="eastAsia" w:ascii="宋体" w:hAnsi="宋体" w:cs="宋体"/>
          <w:color w:val="auto"/>
          <w:sz w:val="24"/>
          <w:highlight w:val="none"/>
          <w:u w:val="single"/>
        </w:rPr>
        <w:t xml:space="preserve"> 见本合同第七条</w:t>
      </w:r>
      <w:r>
        <w:rPr>
          <w:rFonts w:ascii="宋体" w:hAnsi="宋体" w:cs="宋体"/>
          <w:color w:val="auto"/>
          <w:sz w:val="24"/>
          <w:highlight w:val="none"/>
          <w:u w:val="single"/>
        </w:rPr>
        <w:t xml:space="preserve"> </w:t>
      </w:r>
      <w:r>
        <w:rPr>
          <w:rFonts w:hint="eastAsia" w:ascii="宋体" w:hAnsi="宋体" w:cs="宋体"/>
          <w:b/>
          <w:color w:val="auto"/>
          <w:sz w:val="24"/>
          <w:highlight w:val="none"/>
          <w:u w:val="single"/>
        </w:rPr>
        <w:t>。</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7</w:t>
      </w:r>
      <w:r>
        <w:rPr>
          <w:rFonts w:ascii="宋体" w:cs="宋体"/>
          <w:color w:val="auto"/>
          <w:sz w:val="24"/>
          <w:highlight w:val="none"/>
        </w:rPr>
        <w:t>.</w:t>
      </w:r>
      <w:r>
        <w:rPr>
          <w:rFonts w:ascii="宋体" w:hAnsi="宋体" w:cs="宋体"/>
          <w:color w:val="auto"/>
          <w:sz w:val="24"/>
          <w:highlight w:val="none"/>
        </w:rPr>
        <w:t>2</w:t>
      </w:r>
      <w:r>
        <w:rPr>
          <w:rFonts w:hint="eastAsia" w:ascii="宋体" w:hAnsi="宋体" w:cs="宋体"/>
          <w:color w:val="auto"/>
          <w:sz w:val="24"/>
          <w:highlight w:val="none"/>
        </w:rPr>
        <w:t>供应商按照采购人要求的时间，依据甲乙双方共同确认的结算金额和结算明细向采购人开具结算</w:t>
      </w:r>
      <w:r>
        <w:rPr>
          <w:rFonts w:ascii="宋体" w:hAnsi="宋体" w:cs="宋体"/>
          <w:color w:val="auto"/>
          <w:sz w:val="24"/>
          <w:highlight w:val="none"/>
        </w:rPr>
        <w:t>100%</w:t>
      </w:r>
      <w:r>
        <w:rPr>
          <w:rFonts w:hint="eastAsia" w:ascii="宋体" w:hAnsi="宋体" w:cs="宋体"/>
          <w:color w:val="auto"/>
          <w:sz w:val="24"/>
          <w:highlight w:val="none"/>
        </w:rPr>
        <w:t>的增</w:t>
      </w:r>
      <w:r>
        <w:rPr>
          <w:rFonts w:hint="eastAsia" w:ascii="宋体" w:hAnsi="宋体" w:cs="宋体"/>
          <w:color w:val="auto"/>
          <w:sz w:val="24"/>
          <w:highlight w:val="none"/>
        </w:rPr>
        <w:t>值税</w:t>
      </w:r>
      <w:r>
        <w:rPr>
          <w:rFonts w:hint="eastAsia" w:ascii="宋体" w:hAnsi="宋体" w:cs="宋体"/>
          <w:color w:val="auto"/>
          <w:sz w:val="24"/>
          <w:highlight w:val="none"/>
          <w:lang w:val="en-US" w:eastAsia="zh-CN"/>
        </w:rPr>
        <w:t>专用</w:t>
      </w:r>
      <w:r>
        <w:rPr>
          <w:rFonts w:hint="eastAsia" w:ascii="宋体" w:hAnsi="宋体" w:cs="宋体"/>
          <w:color w:val="auto"/>
          <w:sz w:val="24"/>
          <w:highlight w:val="none"/>
        </w:rPr>
        <w:t>发</w:t>
      </w:r>
      <w:r>
        <w:rPr>
          <w:rFonts w:hint="eastAsia" w:ascii="宋体" w:hAnsi="宋体" w:cs="宋体"/>
          <w:color w:val="auto"/>
          <w:sz w:val="24"/>
          <w:highlight w:val="none"/>
        </w:rPr>
        <w:t>票，否则采购人有权拒绝支付货款且不构成违约。</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7</w:t>
      </w:r>
      <w:r>
        <w:rPr>
          <w:rFonts w:ascii="宋体" w:cs="宋体"/>
          <w:color w:val="auto"/>
          <w:sz w:val="24"/>
          <w:highlight w:val="none"/>
        </w:rPr>
        <w:t>.</w:t>
      </w:r>
      <w:r>
        <w:rPr>
          <w:rFonts w:ascii="宋体" w:hAnsi="宋体" w:cs="宋体"/>
          <w:color w:val="auto"/>
          <w:sz w:val="24"/>
          <w:highlight w:val="none"/>
        </w:rPr>
        <w:t xml:space="preserve">3 </w:t>
      </w:r>
      <w:r>
        <w:rPr>
          <w:rFonts w:hint="eastAsia" w:ascii="宋体" w:hAnsi="宋体" w:cs="宋体"/>
          <w:color w:val="auto"/>
          <w:sz w:val="24"/>
          <w:highlight w:val="none"/>
        </w:rPr>
        <w:t>货款支付方式可选择银行转账支票、网银转账、银行承兑汇票等常规支付方式的付款方式，具体付款方式以双方每次付款前协商确定为准。</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7.4</w:t>
      </w:r>
      <w:r>
        <w:rPr>
          <w:rFonts w:hint="eastAsia" w:ascii="宋体" w:hAnsi="宋体" w:cs="宋体"/>
          <w:color w:val="auto"/>
          <w:sz w:val="24"/>
          <w:highlight w:val="none"/>
        </w:rPr>
        <w:t>其他</w:t>
      </w:r>
    </w:p>
    <w:p>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由于不可抗力等原因导致资金不到位的，致使采购人不能按合同付款，采购人不承担延期付款利息及违约金。</w:t>
      </w:r>
    </w:p>
    <w:p>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若供应商不按要求开立银行账户，导致货款或项目款延期支付，采购人不承担延期付款利息及违约金，供应商不得因此停止合同的履行。</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8</w:t>
      </w:r>
      <w:r>
        <w:rPr>
          <w:rFonts w:hint="eastAsia" w:ascii="宋体" w:hAnsi="宋体" w:cs="宋体"/>
          <w:color w:val="auto"/>
          <w:sz w:val="24"/>
          <w:highlight w:val="none"/>
        </w:rPr>
        <w:t>．合同变更</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8.1 </w:t>
      </w:r>
      <w:r>
        <w:rPr>
          <w:rFonts w:hint="eastAsia" w:ascii="宋体" w:hAnsi="宋体" w:cs="宋体"/>
          <w:color w:val="auto"/>
          <w:sz w:val="24"/>
          <w:highlight w:val="none"/>
        </w:rPr>
        <w:t>由于项目变更，采购人向供应商提出书面合同变更，供应商应予以接受。甲乙双方共同修订的合同条款，构成本合同的有效组成部分，与本合同具有同等效力。</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8.2 </w:t>
      </w:r>
      <w:r>
        <w:rPr>
          <w:rFonts w:hint="eastAsia" w:ascii="宋体" w:hAnsi="宋体" w:cs="宋体"/>
          <w:color w:val="auto"/>
          <w:sz w:val="24"/>
          <w:highlight w:val="none"/>
        </w:rPr>
        <w:t>根据项目需要，采购人对所采购设备的数量和送货时间如有变更，及时书面通知供应商，供应商按变更后的数量和送货时间供货，新增或减少的设备价格不变。</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9</w:t>
      </w:r>
      <w:r>
        <w:rPr>
          <w:rFonts w:hint="eastAsia" w:ascii="宋体" w:hAnsi="宋体" w:cs="宋体"/>
          <w:color w:val="auto"/>
          <w:sz w:val="24"/>
          <w:highlight w:val="none"/>
        </w:rPr>
        <w:t>．双方责任</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9.1 </w:t>
      </w:r>
      <w:r>
        <w:rPr>
          <w:rFonts w:hint="eastAsia" w:ascii="宋体" w:hAnsi="宋体" w:cs="宋体"/>
          <w:color w:val="auto"/>
          <w:sz w:val="24"/>
          <w:highlight w:val="none"/>
        </w:rPr>
        <w:t>双方指定现场收货及交货代表。</w:t>
      </w:r>
    </w:p>
    <w:p>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采购人收货代表：</w:t>
      </w:r>
      <w:r>
        <w:rPr>
          <w:rFonts w:ascii="宋体" w:hAnsi="宋体" w:cs="宋体"/>
          <w:color w:val="auto"/>
          <w:sz w:val="24"/>
          <w:highlight w:val="none"/>
        </w:rPr>
        <w:t xml:space="preserve">          </w:t>
      </w:r>
      <w:r>
        <w:rPr>
          <w:rFonts w:hint="eastAsia" w:ascii="宋体" w:hAnsi="宋体" w:cs="宋体"/>
          <w:color w:val="auto"/>
          <w:sz w:val="24"/>
          <w:highlight w:val="none"/>
        </w:rPr>
        <w:t>，联系电话</w:t>
      </w:r>
      <w:r>
        <w:rPr>
          <w:rFonts w:ascii="宋体" w:hAnsi="宋体" w:cs="宋体"/>
          <w:color w:val="auto"/>
          <w:sz w:val="24"/>
          <w:highlight w:val="none"/>
        </w:rPr>
        <w:t xml:space="preserve">:             </w:t>
      </w:r>
      <w:r>
        <w:rPr>
          <w:rFonts w:hint="eastAsia" w:ascii="宋体" w:hAnsi="宋体" w:cs="宋体"/>
          <w:color w:val="auto"/>
          <w:sz w:val="24"/>
          <w:highlight w:val="none"/>
        </w:rPr>
        <w:t>。</w:t>
      </w:r>
    </w:p>
    <w:p>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供应商交货代表：</w:t>
      </w:r>
      <w:r>
        <w:rPr>
          <w:rFonts w:ascii="宋体" w:hAnsi="宋体" w:cs="宋体"/>
          <w:color w:val="auto"/>
          <w:sz w:val="24"/>
          <w:highlight w:val="none"/>
        </w:rPr>
        <w:t xml:space="preserve">          </w:t>
      </w:r>
      <w:r>
        <w:rPr>
          <w:rFonts w:hint="eastAsia" w:ascii="宋体" w:hAnsi="宋体" w:cs="宋体"/>
          <w:color w:val="auto"/>
          <w:sz w:val="24"/>
          <w:highlight w:val="none"/>
        </w:rPr>
        <w:t>，联系电话</w:t>
      </w:r>
      <w:r>
        <w:rPr>
          <w:rFonts w:ascii="宋体" w:hAnsi="宋体" w:cs="宋体"/>
          <w:color w:val="auto"/>
          <w:sz w:val="24"/>
          <w:highlight w:val="none"/>
        </w:rPr>
        <w:t xml:space="preserve">:             </w:t>
      </w:r>
      <w:r>
        <w:rPr>
          <w:rFonts w:hint="eastAsia" w:ascii="宋体" w:hAnsi="宋体" w:cs="宋体"/>
          <w:color w:val="auto"/>
          <w:sz w:val="24"/>
          <w:highlight w:val="none"/>
        </w:rPr>
        <w:t>。</w:t>
      </w:r>
    </w:p>
    <w:p>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双方更换各自代表时，应及时通知对方，以确保设备顺利交接。</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9.2 </w:t>
      </w:r>
      <w:r>
        <w:rPr>
          <w:rFonts w:hint="eastAsia" w:ascii="宋体" w:hAnsi="宋体" w:cs="宋体"/>
          <w:color w:val="auto"/>
          <w:sz w:val="24"/>
          <w:highlight w:val="none"/>
        </w:rPr>
        <w:t>供应商应将设备按合同约定时间运至采购人指定地点，并经采购人指定收货代表和采购人项目所属其他</w:t>
      </w:r>
      <w:r>
        <w:rPr>
          <w:rFonts w:ascii="宋体" w:hAnsi="宋体" w:cs="宋体"/>
          <w:color w:val="auto"/>
          <w:sz w:val="24"/>
          <w:highlight w:val="none"/>
        </w:rPr>
        <w:t>2</w:t>
      </w:r>
      <w:r>
        <w:rPr>
          <w:rFonts w:hint="eastAsia" w:ascii="宋体" w:hAnsi="宋体" w:cs="宋体"/>
          <w:color w:val="auto"/>
          <w:sz w:val="24"/>
          <w:highlight w:val="none"/>
        </w:rPr>
        <w:t>人及以上签字验收确认后有效。</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9.3 </w:t>
      </w:r>
      <w:r>
        <w:rPr>
          <w:rFonts w:hint="eastAsia" w:ascii="宋体" w:hAnsi="宋体" w:cs="宋体"/>
          <w:color w:val="auto"/>
          <w:sz w:val="24"/>
          <w:highlight w:val="none"/>
        </w:rPr>
        <w:t>本合同履行过程中，如果供应商不能按时交货，应在</w:t>
      </w:r>
      <w:r>
        <w:rPr>
          <w:rFonts w:ascii="宋体" w:hAnsi="宋体" w:cs="宋体"/>
          <w:color w:val="auto"/>
          <w:sz w:val="24"/>
          <w:highlight w:val="none"/>
        </w:rPr>
        <w:t>24</w:t>
      </w:r>
      <w:r>
        <w:rPr>
          <w:rFonts w:hint="eastAsia" w:ascii="宋体" w:hAnsi="宋体" w:cs="宋体"/>
          <w:color w:val="auto"/>
          <w:sz w:val="24"/>
          <w:highlight w:val="none"/>
        </w:rPr>
        <w:t>小时内以书面形式通报采购人，采购人视情况确定是否同意变更供货时间。如采购人不同意变更供货时间，可自行采购部分或全部设备。采购人在自行采购和接收该违约部分设备时实际发生的所有额外费用和因此给采购人造成的损失，从应支付给供应商的货款中扣除，采购人同时保留进一步索赔的权利。</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9.4 </w:t>
      </w:r>
      <w:r>
        <w:rPr>
          <w:rFonts w:hint="eastAsia" w:ascii="宋体" w:hAnsi="宋体" w:cs="宋体"/>
          <w:color w:val="auto"/>
          <w:sz w:val="24"/>
          <w:highlight w:val="none"/>
        </w:rPr>
        <w:t>除另有规定和协议要求外，供应商提供的全部设备须采用国家、企业、行业标准要求包装，并同时满足方便所供设备长途及短途运输的要求，并有良好的防潮、防震、防锈、防爆等措施。</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9.5 </w:t>
      </w:r>
      <w:r>
        <w:rPr>
          <w:rFonts w:hint="eastAsia" w:ascii="宋体" w:hAnsi="宋体" w:cs="宋体"/>
          <w:color w:val="auto"/>
          <w:sz w:val="24"/>
          <w:highlight w:val="none"/>
        </w:rPr>
        <w:t>装箱单应注明设备的名称、规格、型号、数量、质量、生产商、发货地、供应商、收货人、交货地、承运人等，并在显著位置标明装卸警示标志。</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9.6 </w:t>
      </w:r>
      <w:r>
        <w:rPr>
          <w:rFonts w:hint="eastAsia" w:ascii="宋体" w:hAnsi="宋体" w:cs="宋体"/>
          <w:color w:val="auto"/>
          <w:sz w:val="24"/>
          <w:highlight w:val="none"/>
        </w:rPr>
        <w:t>供应商应对项目现场情况和当地政府运输时限和通道限制的正常及临时规定有充分了解和理解，不应因此提出索赔、要求延长或变更供货期限等。</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9.7 </w:t>
      </w:r>
      <w:r>
        <w:rPr>
          <w:rFonts w:hint="eastAsia" w:ascii="宋体" w:hAnsi="宋体" w:cs="宋体"/>
          <w:color w:val="auto"/>
          <w:sz w:val="24"/>
          <w:highlight w:val="none"/>
        </w:rPr>
        <w:t>供应商应提供本合同所采购与供应设备制造商的名称、法定地址、联系方法等，如果供应商是本合同所采购与供应设备生产厂商的指定代理销售单位，供应商还应向采购人提供生产厂商的销售代理委托书或其他证明文件。</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9.8 </w:t>
      </w:r>
      <w:r>
        <w:rPr>
          <w:rFonts w:hint="eastAsia" w:ascii="宋体" w:hAnsi="宋体" w:cs="宋体"/>
          <w:color w:val="auto"/>
          <w:sz w:val="24"/>
          <w:highlight w:val="none"/>
        </w:rPr>
        <w:t>供应商运抵采购人指定现场的设备，交货单据上应详细列明当次供应设备的名称、品牌、产地、生产厂家、规格型号、计量单位、单价、数量、合计金额。</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9.9 </w:t>
      </w:r>
      <w:r>
        <w:rPr>
          <w:rFonts w:hint="eastAsia" w:ascii="宋体" w:hAnsi="宋体" w:cs="宋体"/>
          <w:color w:val="auto"/>
          <w:sz w:val="24"/>
          <w:highlight w:val="none"/>
        </w:rPr>
        <w:t>本合同所采购与供应设备在使用过程中，采购人打开包装进行质量、性能等的检验时，发现质量问题告知供应商，供应商应在三日内予以维修、更换或退货。</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9.10 </w:t>
      </w:r>
      <w:r>
        <w:rPr>
          <w:rFonts w:hint="eastAsia" w:ascii="宋体" w:hAnsi="宋体" w:cs="宋体"/>
          <w:color w:val="auto"/>
          <w:sz w:val="24"/>
          <w:highlight w:val="none"/>
        </w:rPr>
        <w:t>供应商应向采购人提交本合同所采购与供应设备的技术文件，包括材质报告（设备质量检验报告）和生产合格检验报告，以及按照项目竣工验收规定及采购人要求，提供所有相关符合要求的资料。</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9.11 </w:t>
      </w:r>
      <w:r>
        <w:rPr>
          <w:rFonts w:hint="eastAsia" w:ascii="宋体" w:hAnsi="宋体" w:cs="宋体"/>
          <w:color w:val="auto"/>
          <w:sz w:val="24"/>
          <w:highlight w:val="none"/>
        </w:rPr>
        <w:t>采购人、设计、相关内部监督单位审核供应商提交的资料仅是一般性的监督，并不减少供应商与此有关的合同责任。</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9.12 </w:t>
      </w:r>
      <w:r>
        <w:rPr>
          <w:rFonts w:hint="eastAsia" w:ascii="宋体" w:hAnsi="宋体" w:cs="宋体"/>
          <w:color w:val="auto"/>
          <w:sz w:val="24"/>
          <w:highlight w:val="none"/>
        </w:rPr>
        <w:t>未经采购人同意，供应商不得将本合同项下的任何权利义务（包含债权、债务）转让给第三人。供应商即使向采购人发送了权利义务（包含债权、债务）转让通知书，供应商承诺该转让通知书对采购人不发生任何效力，供应商承担因其转让行为给采购人造成的一切经济损失。</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9.13</w:t>
      </w:r>
      <w:r>
        <w:rPr>
          <w:rFonts w:hint="eastAsia" w:ascii="宋体" w:hAnsi="宋体" w:cs="宋体"/>
          <w:color w:val="auto"/>
          <w:sz w:val="24"/>
          <w:highlight w:val="none"/>
        </w:rPr>
        <w:t>当一方纳税人信息等关键企业信息发生变化时，必须书面通知对方，否则应承担因此给对方造成的损失。</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9.14</w:t>
      </w:r>
      <w:r>
        <w:rPr>
          <w:rFonts w:hint="eastAsia" w:ascii="宋体" w:hAnsi="宋体" w:cs="宋体"/>
          <w:color w:val="auto"/>
          <w:sz w:val="24"/>
          <w:highlight w:val="none"/>
        </w:rPr>
        <w:t>采购人依据本合同（供应商纳税人相关信息）约定收款单位（供应商公司名称）、开户银行、账号向供应商支付货款。</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10</w:t>
      </w:r>
      <w:r>
        <w:rPr>
          <w:rFonts w:hint="eastAsia" w:ascii="宋体" w:hAnsi="宋体" w:cs="宋体"/>
          <w:color w:val="auto"/>
          <w:sz w:val="24"/>
          <w:highlight w:val="none"/>
        </w:rPr>
        <w:t>．违约与赔偿</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10.1 </w:t>
      </w:r>
      <w:r>
        <w:rPr>
          <w:rFonts w:hint="eastAsia" w:ascii="宋体" w:hAnsi="宋体" w:cs="宋体"/>
          <w:color w:val="auto"/>
          <w:sz w:val="24"/>
          <w:highlight w:val="none"/>
        </w:rPr>
        <w:t>除本合同中规定的不可抗力外，其他不论任何原因，本合同所采购与供应设备，供应商若不能按规定期限送至采购人指定现场存货地点，采购人向供应商收取逾期运达设备总额（含增值税）每日</w:t>
      </w:r>
      <w:r>
        <w:rPr>
          <w:rFonts w:ascii="宋体" w:hAnsi="宋体" w:cs="宋体"/>
          <w:color w:val="auto"/>
          <w:sz w:val="24"/>
          <w:highlight w:val="none"/>
        </w:rPr>
        <w:t>0.5</w:t>
      </w:r>
      <w:r>
        <w:rPr>
          <w:rFonts w:hint="eastAsia" w:ascii="宋体" w:hAnsi="宋体" w:cs="宋体"/>
          <w:color w:val="auto"/>
          <w:sz w:val="24"/>
          <w:highlight w:val="none"/>
        </w:rPr>
        <w:t>％的违约金，并有权因供应商违约终止合同。</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10.2 </w:t>
      </w:r>
      <w:r>
        <w:rPr>
          <w:rFonts w:hint="eastAsia" w:ascii="宋体" w:hAnsi="宋体" w:cs="宋体"/>
          <w:color w:val="auto"/>
          <w:sz w:val="24"/>
          <w:highlight w:val="none"/>
        </w:rPr>
        <w:t>对本合同所采购与供应的设备，采购人有权邀请当地有关质量监督管理部门进行检验，并出具检验证书，发现供应商所供设备不符合要求，采购人向供应商提出索赔，供应商应予以接受。</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10.3 </w:t>
      </w:r>
      <w:r>
        <w:rPr>
          <w:rFonts w:hint="eastAsia" w:ascii="宋体" w:hAnsi="宋体" w:cs="宋体"/>
          <w:color w:val="auto"/>
          <w:sz w:val="24"/>
          <w:highlight w:val="none"/>
        </w:rPr>
        <w:t>本合同所采购与供应的设备，在规定质量保证期限内采购人向供应商提出索赔，供应商应按下列条款向采购人赔偿：</w:t>
      </w:r>
    </w:p>
    <w:p>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1</w:t>
      </w:r>
      <w:r>
        <w:rPr>
          <w:rFonts w:hint="eastAsia" w:ascii="宋体" w:hAnsi="宋体" w:cs="宋体"/>
          <w:color w:val="auto"/>
          <w:sz w:val="24"/>
          <w:highlight w:val="none"/>
        </w:rPr>
        <w:t>）同意采购人拒收设备，并把被拒收设备的预付货款返还采购人。</w:t>
      </w:r>
    </w:p>
    <w:p>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2</w:t>
      </w:r>
      <w:r>
        <w:rPr>
          <w:rFonts w:hint="eastAsia" w:ascii="宋体" w:hAnsi="宋体" w:cs="宋体"/>
          <w:color w:val="auto"/>
          <w:sz w:val="24"/>
          <w:highlight w:val="none"/>
        </w:rPr>
        <w:t>）承担退货过程中发生的一切损失和费用，包括利息、银行费用、运输和保险费、检验费、仓储和装卸费以及为保管和保护退货设备所需的其它费用。</w:t>
      </w:r>
    </w:p>
    <w:p>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3</w:t>
      </w:r>
      <w:r>
        <w:rPr>
          <w:rFonts w:hint="eastAsia" w:ascii="宋体" w:hAnsi="宋体" w:cs="宋体"/>
          <w:color w:val="auto"/>
          <w:sz w:val="24"/>
          <w:highlight w:val="none"/>
        </w:rPr>
        <w:t>）根据设备的质量缺陷和受损程度以及采购人遭受损失，经双方协商同意降低设备价格。</w:t>
      </w:r>
    </w:p>
    <w:p>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4</w:t>
      </w:r>
      <w:r>
        <w:rPr>
          <w:rFonts w:hint="eastAsia" w:ascii="宋体" w:hAnsi="宋体" w:cs="宋体"/>
          <w:color w:val="auto"/>
          <w:sz w:val="24"/>
          <w:highlight w:val="none"/>
        </w:rPr>
        <w:t>）更换或修理有缺陷的设备，以达到合同约定的质量和性能，供应商承担一切费用和风险，并承担采购人因此而造成的损失。同时相应延长被更换或修理设备的质量保证期。</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10.4 </w:t>
      </w:r>
      <w:r>
        <w:rPr>
          <w:rFonts w:hint="eastAsia" w:ascii="宋体" w:hAnsi="宋体" w:cs="宋体"/>
          <w:color w:val="auto"/>
          <w:sz w:val="24"/>
          <w:highlight w:val="none"/>
        </w:rPr>
        <w:t>采购人提出索赔通知后，供应商应在</w:t>
      </w:r>
      <w:r>
        <w:rPr>
          <w:rFonts w:ascii="宋体" w:hAnsi="宋体" w:cs="宋体"/>
          <w:color w:val="auto"/>
          <w:sz w:val="24"/>
          <w:highlight w:val="none"/>
        </w:rPr>
        <w:t>28</w:t>
      </w:r>
      <w:r>
        <w:rPr>
          <w:rFonts w:hint="eastAsia" w:ascii="宋体" w:hAnsi="宋体" w:cs="宋体"/>
          <w:color w:val="auto"/>
          <w:sz w:val="24"/>
          <w:highlight w:val="none"/>
        </w:rPr>
        <w:t>日内答复，如果在</w:t>
      </w:r>
      <w:r>
        <w:rPr>
          <w:rFonts w:ascii="宋体" w:hAnsi="宋体" w:cs="宋体"/>
          <w:color w:val="auto"/>
          <w:sz w:val="24"/>
          <w:highlight w:val="none"/>
        </w:rPr>
        <w:t>28</w:t>
      </w:r>
      <w:r>
        <w:rPr>
          <w:rFonts w:hint="eastAsia" w:ascii="宋体" w:hAnsi="宋体" w:cs="宋体"/>
          <w:color w:val="auto"/>
          <w:sz w:val="24"/>
          <w:highlight w:val="none"/>
        </w:rPr>
        <w:t>日内未答复，视为供应商已接受该索赔，同时采购人保留进一步要求赔偿的权利。</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10.5 </w:t>
      </w:r>
      <w:r>
        <w:rPr>
          <w:rFonts w:hint="eastAsia" w:ascii="宋体" w:hAnsi="宋体" w:cs="宋体"/>
          <w:color w:val="auto"/>
          <w:sz w:val="24"/>
          <w:highlight w:val="none"/>
        </w:rPr>
        <w:t>供应商应按采购人要求及时提供符合本合同约定的增值税发票，供应商必须确保发票票面信息全部真实，相关设备品类、价款等内容与本合同相一致。</w:t>
      </w:r>
    </w:p>
    <w:p>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因供应商开具的发票不规范、不合法等导致发票不能抵扣税款或涉嫌虚开发票引起税务问题的，供应商应向采购人重新开具发票，并向采购人承担赔偿责任，包括但不限于税款、滞纳金、罚款及相关损失等。</w:t>
      </w:r>
    </w:p>
    <w:p>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因供应商开具发票不及时给采购人造成无法及时认证、抵扣发票等情形的，供应商应向采购人承担赔偿责任，包括但不限于税款、滞纳金、罚款及相关损失等。</w:t>
      </w:r>
    </w:p>
    <w:p>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供应商不得擅自作废或冲红已向采购人提供的发票，否则供应商须按发票金额（含增值税）的</w:t>
      </w:r>
      <w:r>
        <w:rPr>
          <w:rFonts w:ascii="宋体" w:hAnsi="宋体" w:cs="宋体"/>
          <w:color w:val="auto"/>
          <w:sz w:val="24"/>
          <w:highlight w:val="none"/>
        </w:rPr>
        <w:t>20%</w:t>
      </w:r>
      <w:r>
        <w:rPr>
          <w:rFonts w:hint="eastAsia" w:ascii="宋体" w:hAnsi="宋体" w:cs="宋体"/>
          <w:color w:val="auto"/>
          <w:sz w:val="24"/>
          <w:highlight w:val="none"/>
        </w:rPr>
        <w:t>向采购人支付违约金，并向采购人承担赔偿责任，包括但不限于税款、滞纳金、罚款及相关损失等。</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10</w:t>
      </w:r>
      <w:r>
        <w:rPr>
          <w:rFonts w:ascii="宋体" w:cs="宋体"/>
          <w:color w:val="auto"/>
          <w:sz w:val="24"/>
          <w:highlight w:val="none"/>
        </w:rPr>
        <w:t>.</w:t>
      </w:r>
      <w:r>
        <w:rPr>
          <w:rFonts w:ascii="宋体" w:hAnsi="宋体" w:cs="宋体"/>
          <w:color w:val="auto"/>
          <w:sz w:val="24"/>
          <w:highlight w:val="none"/>
        </w:rPr>
        <w:t xml:space="preserve">6 </w:t>
      </w:r>
      <w:r>
        <w:rPr>
          <w:rFonts w:hint="eastAsia" w:ascii="宋体" w:hAnsi="宋体" w:cs="宋体"/>
          <w:color w:val="auto"/>
          <w:sz w:val="24"/>
          <w:highlight w:val="none"/>
        </w:rPr>
        <w:t>如供应商未按采购人要求的时间内足额足量供应设备，对采购人造成影响达</w:t>
      </w:r>
      <w:r>
        <w:rPr>
          <w:rFonts w:ascii="宋体" w:hAnsi="宋体" w:cs="宋体"/>
          <w:color w:val="auto"/>
          <w:sz w:val="24"/>
          <w:highlight w:val="none"/>
        </w:rPr>
        <w:t>3</w:t>
      </w:r>
      <w:r>
        <w:rPr>
          <w:rFonts w:hint="eastAsia" w:ascii="宋体" w:hAnsi="宋体" w:cs="宋体"/>
          <w:color w:val="auto"/>
          <w:sz w:val="24"/>
          <w:highlight w:val="none"/>
        </w:rPr>
        <w:t>天及以上，则采购人有权单方面终止合同，另选择供应商，由此造成的一切损失由供应商承担，同时采购人保留向供应商进一步索赔的权利。</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10</w:t>
      </w:r>
      <w:r>
        <w:rPr>
          <w:rFonts w:ascii="宋体" w:cs="宋体"/>
          <w:color w:val="auto"/>
          <w:sz w:val="24"/>
          <w:highlight w:val="none"/>
        </w:rPr>
        <w:t>.</w:t>
      </w:r>
      <w:r>
        <w:rPr>
          <w:rFonts w:ascii="宋体" w:hAnsi="宋体" w:cs="宋体"/>
          <w:color w:val="auto"/>
          <w:sz w:val="24"/>
          <w:highlight w:val="none"/>
        </w:rPr>
        <w:t xml:space="preserve">7 </w:t>
      </w:r>
      <w:r>
        <w:rPr>
          <w:rFonts w:hint="eastAsia" w:ascii="宋体" w:hAnsi="宋体" w:cs="宋体"/>
          <w:color w:val="auto"/>
          <w:sz w:val="24"/>
          <w:highlight w:val="none"/>
        </w:rPr>
        <w:t>未经采购人同意，如供应商单方面终止供货，除承担给采购人造成的经济损失外，还应向采购人支付未供货货款总额（含增值税）</w:t>
      </w:r>
      <w:r>
        <w:rPr>
          <w:rFonts w:ascii="宋体" w:hAnsi="宋体" w:cs="宋体"/>
          <w:color w:val="auto"/>
          <w:sz w:val="24"/>
          <w:highlight w:val="none"/>
        </w:rPr>
        <w:t>20%</w:t>
      </w:r>
      <w:r>
        <w:rPr>
          <w:rFonts w:hint="eastAsia" w:ascii="宋体" w:hAnsi="宋体" w:cs="宋体"/>
          <w:color w:val="auto"/>
          <w:sz w:val="24"/>
          <w:highlight w:val="none"/>
        </w:rPr>
        <w:t>的违约金。</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11</w:t>
      </w:r>
      <w:r>
        <w:rPr>
          <w:rFonts w:hint="eastAsia" w:ascii="宋体" w:hAnsi="宋体" w:cs="宋体"/>
          <w:color w:val="auto"/>
          <w:sz w:val="24"/>
          <w:highlight w:val="none"/>
        </w:rPr>
        <w:t>．不可抗力</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11.1 </w:t>
      </w:r>
      <w:r>
        <w:rPr>
          <w:rFonts w:hint="eastAsia" w:ascii="宋体" w:hAnsi="宋体" w:cs="宋体"/>
          <w:color w:val="auto"/>
          <w:sz w:val="24"/>
          <w:highlight w:val="none"/>
        </w:rPr>
        <w:t>不可抗力系指签约双方在缔结合同时所不能预见，并且对其发生及后果无法避免和克服的事件。任何一方由于受到诸如战争、严重火灾、洪水、台风、地震等不可抗力的影响而不能执行合同时，履行合同的期限应予以延长，延长期限相当于不可抗力所影响的时间。</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11.2 </w:t>
      </w:r>
      <w:r>
        <w:rPr>
          <w:rFonts w:hint="eastAsia" w:ascii="宋体" w:hAnsi="宋体" w:cs="宋体"/>
          <w:color w:val="auto"/>
          <w:sz w:val="24"/>
          <w:highlight w:val="none"/>
        </w:rPr>
        <w:t>受阻方应在不可抗力事件发生后尽快用电报、传真或电传等书面形式通知对方，并于事件发生后</w:t>
      </w:r>
      <w:r>
        <w:rPr>
          <w:rFonts w:ascii="宋体" w:hAnsi="宋体" w:cs="宋体"/>
          <w:color w:val="auto"/>
          <w:sz w:val="24"/>
          <w:highlight w:val="none"/>
        </w:rPr>
        <w:t>14</w:t>
      </w:r>
      <w:r>
        <w:rPr>
          <w:rFonts w:hint="eastAsia" w:ascii="宋体" w:hAnsi="宋体" w:cs="宋体"/>
          <w:color w:val="auto"/>
          <w:sz w:val="24"/>
          <w:highlight w:val="none"/>
        </w:rPr>
        <w:t>日内将有关当局出具的证明文件用特快专递或挂号信寄给对方审阅确认，同时，受阻方应尽可能继续履行合同义务，积极采取合理的方案履行不受不可抗力影响的其他事项。</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11.3 </w:t>
      </w:r>
      <w:r>
        <w:rPr>
          <w:rFonts w:hint="eastAsia" w:ascii="宋体" w:hAnsi="宋体" w:cs="宋体"/>
          <w:color w:val="auto"/>
          <w:sz w:val="24"/>
          <w:highlight w:val="none"/>
        </w:rPr>
        <w:t>不可抗力事件影响持续</w:t>
      </w:r>
      <w:r>
        <w:rPr>
          <w:rFonts w:ascii="宋体" w:hAnsi="宋体" w:cs="宋体"/>
          <w:color w:val="auto"/>
          <w:sz w:val="24"/>
          <w:highlight w:val="none"/>
        </w:rPr>
        <w:t>60</w:t>
      </w:r>
      <w:r>
        <w:rPr>
          <w:rFonts w:hint="eastAsia" w:ascii="宋体" w:hAnsi="宋体" w:cs="宋体"/>
          <w:color w:val="auto"/>
          <w:sz w:val="24"/>
          <w:highlight w:val="none"/>
        </w:rPr>
        <w:t>日以上，双方通过友好协商，在合理时间内达成进一步履行或解除合同的协议。</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11.4 </w:t>
      </w:r>
      <w:r>
        <w:rPr>
          <w:rFonts w:hint="eastAsia" w:ascii="宋体" w:hAnsi="宋体" w:cs="宋体"/>
          <w:color w:val="auto"/>
          <w:sz w:val="24"/>
          <w:highlight w:val="none"/>
        </w:rPr>
        <w:t>本条款所定义的不可抗力是指不能预见、不能避免并不能克服的客观情况，对于经营状况严重恶化、安排不周及税收政策的调整等情形，无论严重程度如何，均不理解为不可抗力。</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12</w:t>
      </w:r>
      <w:r>
        <w:rPr>
          <w:rFonts w:hint="eastAsia" w:ascii="宋体" w:hAnsi="宋体" w:cs="宋体"/>
          <w:color w:val="auto"/>
          <w:sz w:val="24"/>
          <w:highlight w:val="none"/>
        </w:rPr>
        <w:t>．知识产权和专利权</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12.1 </w:t>
      </w:r>
      <w:r>
        <w:rPr>
          <w:rFonts w:hint="eastAsia" w:ascii="宋体" w:hAnsi="宋体" w:cs="宋体"/>
          <w:color w:val="auto"/>
          <w:sz w:val="24"/>
          <w:highlight w:val="none"/>
        </w:rPr>
        <w:t>涉及到知识产权（或专利权）标记的产品，供应商应提供知识产权（或专利权）及其权属的有效证明材料。供应商承诺其提供的设备不侵犯他人的知识产权（或专利权），若供应商提供设备侵犯他人知识产权（或专利权）导致他人向采购人索赔的，以及供应商违反本合同其他约定的，供应商承担由此给采购人造成的一切损失，包括但不限于采购人处理此纠纷发生的律师费、诉讼费、仲裁费、差旅费等一切损失。采购人针对上述一切损失有权从供应商结算货款中扣除或依法追索。</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13</w:t>
      </w:r>
      <w:r>
        <w:rPr>
          <w:rFonts w:hint="eastAsia" w:ascii="宋体" w:hAnsi="宋体" w:cs="宋体"/>
          <w:color w:val="auto"/>
          <w:sz w:val="24"/>
          <w:highlight w:val="none"/>
        </w:rPr>
        <w:t>．争议解决</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13.1 </w:t>
      </w:r>
      <w:r>
        <w:rPr>
          <w:rFonts w:hint="eastAsia" w:ascii="宋体" w:hAnsi="宋体" w:cs="宋体"/>
          <w:color w:val="auto"/>
          <w:sz w:val="24"/>
          <w:highlight w:val="none"/>
        </w:rPr>
        <w:t>遇争议问题双方协商解决，协商不能达成一致意见时，提交下列第</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程序解决：</w:t>
      </w:r>
    </w:p>
    <w:p>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1</w:t>
      </w:r>
      <w:r>
        <w:rPr>
          <w:rFonts w:hint="eastAsia" w:ascii="宋体" w:hAnsi="宋体" w:cs="宋体"/>
          <w:color w:val="auto"/>
          <w:sz w:val="24"/>
          <w:highlight w:val="none"/>
        </w:rPr>
        <w:t>）向</w:t>
      </w:r>
      <w:r>
        <w:rPr>
          <w:rFonts w:hint="eastAsia" w:ascii="宋体" w:hAnsi="宋体" w:cs="宋体"/>
          <w:color w:val="auto"/>
          <w:sz w:val="24"/>
          <w:highlight w:val="none"/>
          <w:lang w:val="en-US" w:eastAsia="zh-CN"/>
        </w:rPr>
        <w:t>临沂</w:t>
      </w:r>
      <w:r>
        <w:rPr>
          <w:rFonts w:hint="eastAsia" w:ascii="宋体" w:hAnsi="宋体" w:cs="宋体"/>
          <w:color w:val="auto"/>
          <w:sz w:val="24"/>
          <w:highlight w:val="none"/>
        </w:rPr>
        <w:t>仲裁委员会申请仲裁。</w:t>
      </w:r>
    </w:p>
    <w:p>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2</w:t>
      </w:r>
      <w:r>
        <w:rPr>
          <w:rFonts w:hint="eastAsia" w:ascii="宋体" w:hAnsi="宋体" w:cs="宋体"/>
          <w:color w:val="auto"/>
          <w:sz w:val="24"/>
          <w:highlight w:val="none"/>
        </w:rPr>
        <w:t>）向采购人所在地人民法院起诉。</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14</w:t>
      </w:r>
      <w:r>
        <w:rPr>
          <w:rFonts w:hint="eastAsia" w:ascii="宋体" w:hAnsi="宋体" w:cs="宋体"/>
          <w:color w:val="auto"/>
          <w:sz w:val="24"/>
          <w:highlight w:val="none"/>
        </w:rPr>
        <w:t>．其他</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14.1 </w:t>
      </w:r>
      <w:r>
        <w:rPr>
          <w:rFonts w:hint="eastAsia" w:ascii="宋体" w:hAnsi="宋体" w:cs="宋体"/>
          <w:color w:val="auto"/>
          <w:sz w:val="24"/>
          <w:highlight w:val="none"/>
        </w:rPr>
        <w:t>本合同是双方合作的法律文件，对双方具有法律约束力。本合同解除的条件：按《</w:t>
      </w:r>
      <w:r>
        <w:rPr>
          <w:rFonts w:hint="eastAsia" w:ascii="宋体" w:hAnsi="宋体" w:cs="宋体"/>
          <w:color w:val="auto"/>
          <w:sz w:val="24"/>
          <w:highlight w:val="none"/>
          <w:lang w:eastAsia="zh-CN"/>
        </w:rPr>
        <w:t>民法典</w:t>
      </w:r>
      <w:r>
        <w:rPr>
          <w:rFonts w:hint="eastAsia" w:ascii="宋体" w:hAnsi="宋体" w:cs="宋体"/>
          <w:color w:val="auto"/>
          <w:sz w:val="24"/>
          <w:highlight w:val="none"/>
        </w:rPr>
        <w:t>》有关条款执行。</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14.2 </w:t>
      </w:r>
      <w:r>
        <w:rPr>
          <w:rFonts w:hint="eastAsia" w:ascii="宋体" w:hAnsi="宋体" w:cs="宋体"/>
          <w:color w:val="auto"/>
          <w:sz w:val="24"/>
          <w:highlight w:val="none"/>
        </w:rPr>
        <w:t>本合同包括合同履行过程中有关确定和变更合同实质性条件的会议纪要、往来信函、资料等。</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14.3.</w:t>
      </w:r>
      <w:r>
        <w:rPr>
          <w:rFonts w:hint="eastAsia" w:ascii="宋体" w:hAnsi="宋体" w:cs="宋体"/>
          <w:color w:val="auto"/>
          <w:sz w:val="24"/>
          <w:highlight w:val="none"/>
        </w:rPr>
        <w:t>本合同中供应商注明的电子邮箱需是有效（须保证能够正常使用），若使用电子邮件等数据电文形式的，此数据电文进入供应商提供的电子邮箱运营商服务器即视为收到。</w:t>
      </w:r>
    </w:p>
    <w:p>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供应商电子邮箱（必填）：</w:t>
      </w:r>
      <w:r>
        <w:rPr>
          <w:rFonts w:ascii="宋体" w:hAnsi="宋体" w:cs="宋体"/>
          <w:color w:val="auto"/>
          <w:sz w:val="24"/>
          <w:highlight w:val="none"/>
        </w:rPr>
        <w:t xml:space="preserve">                    </w:t>
      </w:r>
      <w:r>
        <w:rPr>
          <w:rFonts w:hint="eastAsia" w:ascii="宋体" w:hAnsi="宋体" w:cs="宋体"/>
          <w:color w:val="auto"/>
          <w:sz w:val="24"/>
          <w:highlight w:val="none"/>
        </w:rPr>
        <w:t>。</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14.4</w:t>
      </w:r>
      <w:r>
        <w:rPr>
          <w:rFonts w:hint="eastAsia" w:ascii="宋体" w:hAnsi="宋体" w:cs="宋体"/>
          <w:color w:val="auto"/>
          <w:sz w:val="24"/>
          <w:highlight w:val="none"/>
        </w:rPr>
        <w:t>未尽事宜经采购人上级部门同意后，可签订补充协议，与本合同具有同等法律效力。</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 </w:t>
      </w:r>
      <w:r>
        <w:rPr>
          <w:rFonts w:hint="eastAsia" w:ascii="宋体" w:hAnsi="宋体" w:cs="宋体"/>
          <w:color w:val="auto"/>
          <w:sz w:val="24"/>
          <w:highlight w:val="none"/>
        </w:rPr>
        <w:t>本合同经双方签字盖章后即行生效，至双方履行完全部合同规定条款后失效。</w:t>
      </w:r>
    </w:p>
    <w:p>
      <w:pPr>
        <w:spacing w:line="360" w:lineRule="auto"/>
        <w:ind w:firstLine="480" w:firstLineChars="200"/>
        <w:rPr>
          <w:rFonts w:ascii="宋体" w:cs="宋体"/>
          <w:color w:val="auto"/>
          <w:sz w:val="24"/>
          <w:highlight w:val="none"/>
        </w:rPr>
      </w:pPr>
      <w:r>
        <w:rPr>
          <w:rFonts w:ascii="宋体" w:hAnsi="宋体" w:cs="宋体"/>
          <w:color w:val="auto"/>
          <w:sz w:val="24"/>
          <w:highlight w:val="none"/>
        </w:rPr>
        <w:t>14</w:t>
      </w:r>
      <w:r>
        <w:rPr>
          <w:rFonts w:ascii="宋体" w:cs="宋体"/>
          <w:color w:val="auto"/>
          <w:sz w:val="24"/>
          <w:highlight w:val="none"/>
        </w:rPr>
        <w:t>.</w:t>
      </w:r>
      <w:r>
        <w:rPr>
          <w:rFonts w:ascii="宋体" w:hAnsi="宋体" w:cs="宋体"/>
          <w:color w:val="auto"/>
          <w:sz w:val="24"/>
          <w:highlight w:val="none"/>
        </w:rPr>
        <w:t>5</w:t>
      </w:r>
      <w:r>
        <w:rPr>
          <w:rFonts w:hint="eastAsia" w:ascii="宋体" w:hAnsi="宋体" w:cs="宋体"/>
          <w:color w:val="auto"/>
          <w:sz w:val="24"/>
          <w:highlight w:val="none"/>
        </w:rPr>
        <w:t>补充条款：</w:t>
      </w:r>
      <w:r>
        <w:rPr>
          <w:rFonts w:ascii="宋体" w:hAnsi="宋体" w:cs="宋体"/>
          <w:color w:val="auto"/>
          <w:sz w:val="24"/>
          <w:highlight w:val="none"/>
        </w:rPr>
        <w:t>_______</w:t>
      </w:r>
      <w:r>
        <w:rPr>
          <w:rFonts w:hint="eastAsia" w:ascii="宋体" w:hAnsi="宋体" w:cs="宋体"/>
          <w:color w:val="auto"/>
          <w:sz w:val="24"/>
          <w:highlight w:val="none"/>
          <w:u w:val="single"/>
        </w:rPr>
        <w:t>无</w:t>
      </w:r>
      <w:r>
        <w:rPr>
          <w:rFonts w:ascii="宋体" w:hAnsi="宋体" w:cs="宋体"/>
          <w:color w:val="auto"/>
          <w:sz w:val="24"/>
          <w:highlight w:val="none"/>
        </w:rPr>
        <w:t>_______</w:t>
      </w:r>
      <w:r>
        <w:rPr>
          <w:rFonts w:hint="eastAsia" w:ascii="宋体" w:hAnsi="宋体" w:cs="宋体"/>
          <w:color w:val="auto"/>
          <w:sz w:val="24"/>
          <w:highlight w:val="none"/>
        </w:rPr>
        <w:t>。</w:t>
      </w:r>
      <w:r>
        <w:rPr>
          <w:rFonts w:ascii="宋体" w:hAnsi="宋体" w:cs="宋体"/>
          <w:color w:val="auto"/>
          <w:sz w:val="24"/>
          <w:highlight w:val="none"/>
        </w:rPr>
        <w:t xml:space="preserve">                                                               </w:t>
      </w:r>
    </w:p>
    <w:p>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合同附件：</w:t>
      </w:r>
    </w:p>
    <w:p>
      <w:pPr>
        <w:spacing w:line="360" w:lineRule="auto"/>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附件</w:t>
      </w:r>
      <w:r>
        <w:rPr>
          <w:rFonts w:ascii="宋体" w:hAnsi="宋体" w:cs="宋体"/>
          <w:b/>
          <w:bCs/>
          <w:color w:val="auto"/>
          <w:sz w:val="24"/>
          <w:highlight w:val="none"/>
        </w:rPr>
        <w:t>1</w:t>
      </w:r>
      <w:r>
        <w:rPr>
          <w:rFonts w:hint="eastAsia" w:ascii="宋体" w:hAnsi="宋体" w:cs="宋体"/>
          <w:b/>
          <w:bCs/>
          <w:color w:val="auto"/>
          <w:sz w:val="24"/>
          <w:highlight w:val="none"/>
        </w:rPr>
        <w:t>：货物分项报价表</w:t>
      </w:r>
    </w:p>
    <w:p>
      <w:pPr>
        <w:pStyle w:val="77"/>
        <w:rPr>
          <w:rFonts w:hint="eastAsia" w:ascii="宋体" w:hAnsi="宋体" w:cs="宋体"/>
          <w:b/>
          <w:bCs/>
          <w:color w:val="auto"/>
          <w:sz w:val="24"/>
          <w:highlight w:val="none"/>
        </w:rPr>
      </w:pPr>
      <w:r>
        <w:rPr>
          <w:rFonts w:hint="eastAsia" w:ascii="宋体" w:hAnsi="宋体" w:cs="宋体"/>
          <w:b/>
          <w:bCs/>
          <w:color w:val="auto"/>
          <w:sz w:val="24"/>
          <w:highlight w:val="none"/>
        </w:rPr>
        <w:t>附件</w:t>
      </w:r>
      <w:r>
        <w:rPr>
          <w:rFonts w:hint="eastAsia" w:cs="宋体"/>
          <w:b/>
          <w:bCs/>
          <w:color w:val="auto"/>
          <w:sz w:val="24"/>
          <w:highlight w:val="none"/>
          <w:lang w:val="en-US" w:eastAsia="zh-CN"/>
        </w:rPr>
        <w:t>2</w:t>
      </w:r>
      <w:r>
        <w:rPr>
          <w:rFonts w:hint="eastAsia" w:ascii="宋体" w:hAnsi="宋体" w:cs="宋体"/>
          <w:b/>
          <w:bCs/>
          <w:color w:val="auto"/>
          <w:sz w:val="24"/>
          <w:highlight w:val="none"/>
        </w:rPr>
        <w:t>：售后服务承</w:t>
      </w:r>
      <w:r>
        <w:rPr>
          <w:rFonts w:hint="eastAsia" w:ascii="宋体" w:hAnsi="宋体" w:cs="宋体"/>
          <w:b/>
          <w:bCs/>
          <w:color w:val="auto"/>
          <w:sz w:val="24"/>
          <w:highlight w:val="none"/>
        </w:rPr>
        <w:t>诺</w:t>
      </w:r>
    </w:p>
    <w:p>
      <w:pPr>
        <w:pStyle w:val="77"/>
        <w:rPr>
          <w:rFonts w:hint="default" w:ascii="宋体" w:hAnsi="宋体" w:eastAsia="宋体" w:cs="宋体"/>
          <w:b/>
          <w:bCs/>
          <w:color w:val="auto"/>
          <w:sz w:val="24"/>
          <w:highlight w:val="none"/>
          <w:lang w:val="en-US" w:eastAsia="zh-CN"/>
        </w:rPr>
      </w:pPr>
      <w:r>
        <w:rPr>
          <w:rFonts w:hint="eastAsia" w:ascii="宋体" w:hAnsi="宋体" w:cs="宋体"/>
          <w:b/>
          <w:bCs/>
          <w:color w:val="auto"/>
          <w:sz w:val="24"/>
          <w:highlight w:val="none"/>
        </w:rPr>
        <w:t>附件</w:t>
      </w:r>
      <w:r>
        <w:rPr>
          <w:rFonts w:hint="eastAsia" w:cs="宋体"/>
          <w:b/>
          <w:bCs/>
          <w:color w:val="auto"/>
          <w:sz w:val="24"/>
          <w:highlight w:val="none"/>
          <w:lang w:val="en-US" w:eastAsia="zh-CN"/>
        </w:rPr>
        <w:t>3</w:t>
      </w:r>
      <w:r>
        <w:rPr>
          <w:rFonts w:hint="eastAsia" w:ascii="宋体" w:hAnsi="宋体" w:cs="宋体"/>
          <w:b/>
          <w:bCs/>
          <w:color w:val="auto"/>
          <w:sz w:val="24"/>
          <w:highlight w:val="none"/>
        </w:rPr>
        <w:t>：</w:t>
      </w:r>
      <w:r>
        <w:rPr>
          <w:rFonts w:hint="eastAsia" w:cs="宋体"/>
          <w:b/>
          <w:bCs/>
          <w:color w:val="auto"/>
          <w:sz w:val="24"/>
          <w:highlight w:val="none"/>
          <w:lang w:val="en-US" w:eastAsia="zh-CN"/>
        </w:rPr>
        <w:t>优惠条款</w:t>
      </w:r>
    </w:p>
    <w:p>
      <w:pPr>
        <w:ind w:firstLine="482" w:firstLineChars="200"/>
        <w:rPr>
          <w:rFonts w:ascii="宋体" w:hAnsi="宋体" w:cs="宋体"/>
          <w:i/>
          <w:iCs/>
          <w:color w:val="auto"/>
          <w:highlight w:val="none"/>
        </w:rPr>
      </w:pPr>
      <w:r>
        <w:rPr>
          <w:rFonts w:hint="eastAsia" w:ascii="宋体" w:hAnsi="宋体" w:cs="宋体"/>
          <w:b/>
          <w:bCs/>
          <w:color w:val="auto"/>
          <w:sz w:val="24"/>
          <w:highlight w:val="none"/>
        </w:rPr>
        <w:t>附件</w:t>
      </w:r>
      <w:r>
        <w:rPr>
          <w:rFonts w:hint="eastAsia" w:cs="宋体"/>
          <w:b/>
          <w:bCs/>
          <w:color w:val="auto"/>
          <w:sz w:val="24"/>
          <w:highlight w:val="none"/>
          <w:lang w:val="en-US" w:eastAsia="zh-CN"/>
        </w:rPr>
        <w:t>4</w:t>
      </w:r>
      <w:r>
        <w:rPr>
          <w:rFonts w:hint="eastAsia" w:ascii="宋体" w:hAnsi="宋体" w:cs="宋体"/>
          <w:b/>
          <w:bCs/>
          <w:color w:val="auto"/>
          <w:sz w:val="24"/>
          <w:highlight w:val="none"/>
        </w:rPr>
        <w:t>：</w:t>
      </w:r>
      <w:r>
        <w:rPr>
          <w:rFonts w:hint="eastAsia" w:cs="宋体"/>
          <w:b/>
          <w:bCs/>
          <w:color w:val="auto"/>
          <w:sz w:val="24"/>
          <w:highlight w:val="none"/>
          <w:lang w:val="en-US" w:eastAsia="zh-CN"/>
        </w:rPr>
        <w:t>最终报价表（扫描件）</w:t>
      </w:r>
    </w:p>
    <w:sectPr>
      <w:headerReference r:id="rId11" w:type="default"/>
      <w:footerReference r:id="rId12" w:type="default"/>
      <w:pgSz w:w="11906" w:h="16838"/>
      <w:pgMar w:top="1440" w:right="1797" w:bottom="1440" w:left="1797" w:header="851" w:footer="992" w:gutter="0"/>
      <w:pgBorders>
        <w:top w:val="none" w:sz="0" w:space="0"/>
        <w:left w:val="none" w:sz="0" w:space="0"/>
        <w:bottom w:val="none" w:sz="0" w:space="0"/>
        <w:right w:val="none" w:sz="0" w:space="0"/>
      </w:pgBorders>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DFKai-SB">
    <w:panose1 w:val="03000509000000000000"/>
    <w:charset w:val="88"/>
    <w:family w:val="script"/>
    <w:pitch w:val="default"/>
    <w:sig w:usb0="00000003" w:usb1="082E0000" w:usb2="00000016" w:usb3="00000000" w:csb0="00100001"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方正姚体">
    <w:panose1 w:val="02010601030101010101"/>
    <w:charset w:val="86"/>
    <w:family w:val="auto"/>
    <w:pitch w:val="default"/>
    <w:sig w:usb0="00000003"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47955"/>
              <wp:effectExtent l="0" t="0" r="0" b="0"/>
              <wp:wrapNone/>
              <wp:docPr id="2" name="文本框 2"/>
              <wp:cNvGraphicFramePr/>
              <a:graphic xmlns:a="http://schemas.openxmlformats.org/drawingml/2006/main">
                <a:graphicData uri="http://schemas.microsoft.com/office/word/2010/wordprocessingShape">
                  <wps:wsp>
                    <wps:cNvSpPr txBox="1"/>
                    <wps:spPr>
                      <a:xfrm>
                        <a:off x="0" y="0"/>
                        <a:ext cx="57785" cy="147955"/>
                      </a:xfrm>
                      <a:prstGeom prst="rect">
                        <a:avLst/>
                      </a:prstGeom>
                      <a:noFill/>
                      <a:ln w="9525">
                        <a:noFill/>
                      </a:ln>
                      <a:effectLst/>
                    </wps:spPr>
                    <wps:txbx>
                      <w:txbxContent>
                        <w:p>
                          <w:pPr>
                            <w:pStyle w:val="18"/>
                            <w:rPr>
                              <w:rStyle w:val="33"/>
                            </w:rPr>
                          </w:pPr>
                          <w:r>
                            <w:fldChar w:fldCharType="begin"/>
                          </w:r>
                          <w:r>
                            <w:rPr>
                              <w:rStyle w:val="33"/>
                            </w:rPr>
                            <w:instrText xml:space="preserve">PAGE  </w:instrText>
                          </w:r>
                          <w:r>
                            <w:fldChar w:fldCharType="separate"/>
                          </w:r>
                          <w:r>
                            <w:rPr>
                              <w:rStyle w:val="33"/>
                            </w:rPr>
                            <w:t>32</w:t>
                          </w:r>
                          <w: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1.65pt;width:4.55pt;mso-position-horizontal:center;mso-position-horizontal-relative:margin;mso-wrap-style:none;z-index:251659264;mso-width-relative:page;mso-height-relative:page;" filled="f" stroked="f" coordsize="21600,21600" o:gfxdata="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nyxwC0QAAAAIB&#10;AAAPAAAAAAAAAAEAIAAAACIAAABkcnMvZG93bnJldi54bWxQSwECFAAUAAAACACHTuJA2pE9T+kB&#10;AADGAwAADgAAAAAAAAABACAAAAAgAQAAZHJzL2Uyb0RvYy54bWxQSwUGAAAAAAYABgBZAQAAewUA&#10;AAAA&#10;">
              <v:fill on="f" focussize="0,0"/>
              <v:stroke on="f"/>
              <v:imagedata o:title=""/>
              <o:lock v:ext="edit" aspectratio="f"/>
              <v:textbox inset="0mm,0mm,0mm,0mm" style="mso-fit-shape-to-text:t;">
                <w:txbxContent>
                  <w:p>
                    <w:pPr>
                      <w:pStyle w:val="18"/>
                      <w:rPr>
                        <w:rStyle w:val="33"/>
                      </w:rPr>
                    </w:pPr>
                    <w:r>
                      <w:fldChar w:fldCharType="begin"/>
                    </w:r>
                    <w:r>
                      <w:rPr>
                        <w:rStyle w:val="33"/>
                      </w:rPr>
                      <w:instrText xml:space="preserve">PAGE  </w:instrText>
                    </w:r>
                    <w:r>
                      <w:fldChar w:fldCharType="separate"/>
                    </w:r>
                    <w:r>
                      <w:rPr>
                        <w:rStyle w:val="33"/>
                      </w:rPr>
                      <w:t>32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33"/>
      </w:rPr>
    </w:pPr>
    <w:r>
      <w:fldChar w:fldCharType="begin"/>
    </w:r>
    <w:r>
      <w:rPr>
        <w:rStyle w:val="33"/>
      </w:rPr>
      <w:instrText xml:space="preserve">PAGE  </w:instrText>
    </w:r>
    <w:r>
      <w:fldChar w:fldCharType="end"/>
    </w:r>
  </w:p>
  <w:p>
    <w:pPr>
      <w:pStyle w:val="1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57785" cy="147955"/>
              <wp:effectExtent l="0" t="0" r="0" b="0"/>
              <wp:wrapNone/>
              <wp:docPr id="17" name="文本框 3"/>
              <wp:cNvGraphicFramePr/>
              <a:graphic xmlns:a="http://schemas.openxmlformats.org/drawingml/2006/main">
                <a:graphicData uri="http://schemas.microsoft.com/office/word/2010/wordprocessingShape">
                  <wps:wsp>
                    <wps:cNvSpPr txBox="1"/>
                    <wps:spPr>
                      <a:xfrm>
                        <a:off x="0" y="0"/>
                        <a:ext cx="57785" cy="147955"/>
                      </a:xfrm>
                      <a:prstGeom prst="rect">
                        <a:avLst/>
                      </a:prstGeom>
                      <a:noFill/>
                      <a:ln w="9525">
                        <a:noFill/>
                      </a:ln>
                      <a:effectLst/>
                    </wps:spPr>
                    <wps:txbx>
                      <w:txbxContent>
                        <w:p>
                          <w:pPr>
                            <w:pStyle w:val="18"/>
                            <w:rPr>
                              <w:rStyle w:val="33"/>
                            </w:rPr>
                          </w:pPr>
                          <w:r>
                            <w:fldChar w:fldCharType="begin"/>
                          </w:r>
                          <w:r>
                            <w:rPr>
                              <w:rStyle w:val="33"/>
                            </w:rPr>
                            <w:instrText xml:space="preserve">PAGE  </w:instrText>
                          </w:r>
                          <w:r>
                            <w:fldChar w:fldCharType="separate"/>
                          </w:r>
                          <w:r>
                            <w:rPr>
                              <w:rStyle w:val="33"/>
                            </w:rPr>
                            <w:t>26</w:t>
                          </w:r>
                          <w:r>
                            <w:fldChar w:fldCharType="end"/>
                          </w:r>
                        </w:p>
                      </w:txbxContent>
                    </wps:txbx>
                    <wps:bodyPr vert="horz" wrap="none" lIns="0" tIns="0" rIns="0" bIns="0" anchor="t" anchorCtr="0">
                      <a:spAutoFit/>
                    </wps:bodyPr>
                  </wps:wsp>
                </a:graphicData>
              </a:graphic>
            </wp:anchor>
          </w:drawing>
        </mc:Choice>
        <mc:Fallback>
          <w:pict>
            <v:shape id="文本框 3" o:spid="_x0000_s1026" o:spt="202" type="#_x0000_t202" style="position:absolute;left:0pt;margin-top:0pt;height:11.65pt;width:4.55pt;mso-position-horizontal:center;mso-position-horizontal-relative:margin;mso-wrap-style:none;z-index:251660288;mso-width-relative:page;mso-height-relative:page;" filled="f" stroked="f" coordsize="21600,21600" o:gfxdata="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58scAtEAAAAC&#10;AQAADwAAAAAAAAABACAAAAAiAAAAZHJzL2Rvd25yZXYueG1sUEsBAhQAFAAAAAgAh07iQMNTHYvq&#10;AQAAxwMAAA4AAAAAAAAAAQAgAAAAIAEAAGRycy9lMm9Eb2MueG1sUEsFBgAAAAAGAAYAWQEAAHwF&#10;AAAAAA==&#10;">
              <v:fill on="f" focussize="0,0"/>
              <v:stroke on="f"/>
              <v:imagedata o:title=""/>
              <o:lock v:ext="edit" aspectratio="f"/>
              <v:textbox inset="0mm,0mm,0mm,0mm" style="mso-fit-shape-to-text:t;">
                <w:txbxContent>
                  <w:p>
                    <w:pPr>
                      <w:pStyle w:val="18"/>
                      <w:rPr>
                        <w:rStyle w:val="33"/>
                      </w:rPr>
                    </w:pPr>
                    <w:r>
                      <w:fldChar w:fldCharType="begin"/>
                    </w:r>
                    <w:r>
                      <w:rPr>
                        <w:rStyle w:val="33"/>
                      </w:rPr>
                      <w:instrText xml:space="preserve">PAGE  </w:instrText>
                    </w:r>
                    <w:r>
                      <w:fldChar w:fldCharType="separate"/>
                    </w:r>
                    <w:r>
                      <w:rPr>
                        <w:rStyle w:val="33"/>
                      </w:rPr>
                      <w:t>26</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33"/>
      </w:rPr>
    </w:pPr>
    <w:r>
      <w:fldChar w:fldCharType="begin"/>
    </w:r>
    <w:r>
      <w:rPr>
        <w:rStyle w:val="33"/>
      </w:rPr>
      <w:instrText xml:space="preserve">PAGE  </w:instrText>
    </w:r>
    <w:r>
      <w:fldChar w:fldCharType="end"/>
    </w:r>
  </w:p>
  <w:p>
    <w:pPr>
      <w:pStyle w:val="1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14935" cy="147955"/>
              <wp:effectExtent l="0" t="0" r="0" b="0"/>
              <wp:wrapNone/>
              <wp:docPr id="19" name="文本框 1"/>
              <wp:cNvGraphicFramePr/>
              <a:graphic xmlns:a="http://schemas.openxmlformats.org/drawingml/2006/main">
                <a:graphicData uri="http://schemas.microsoft.com/office/word/2010/wordprocessingShape">
                  <wps:wsp>
                    <wps:cNvSpPr txBox="1"/>
                    <wps:spPr>
                      <a:xfrm>
                        <a:off x="0" y="0"/>
                        <a:ext cx="114935" cy="147955"/>
                      </a:xfrm>
                      <a:prstGeom prst="rect">
                        <a:avLst/>
                      </a:prstGeom>
                      <a:noFill/>
                      <a:ln w="9525">
                        <a:noFill/>
                      </a:ln>
                      <a:effectLst/>
                    </wps:spPr>
                    <wps:txbx>
                      <w:txbxContent>
                        <w:p>
                          <w:pPr>
                            <w:pStyle w:val="18"/>
                            <w:jc w:val="center"/>
                          </w:pPr>
                          <w:r>
                            <w:fldChar w:fldCharType="begin"/>
                          </w:r>
                          <w:r>
                            <w:instrText xml:space="preserve">PAGE   \* MERGEFORMAT</w:instrText>
                          </w:r>
                          <w:r>
                            <w:fldChar w:fldCharType="separate"/>
                          </w:r>
                          <w:r>
                            <w:rPr>
                              <w:lang w:val="zh-CN"/>
                            </w:rPr>
                            <w:t>29</w:t>
                          </w:r>
                          <w:r>
                            <w:fldChar w:fldCharType="end"/>
                          </w:r>
                        </w:p>
                      </w:txbxContent>
                    </wps:txbx>
                    <wps:bodyPr vert="horz" wrap="none" lIns="0" tIns="0" rIns="0" bIns="0" anchor="t" anchorCtr="0">
                      <a:spAutoFit/>
                    </wps:bodyPr>
                  </wps:wsp>
                </a:graphicData>
              </a:graphic>
            </wp:anchor>
          </w:drawing>
        </mc:Choice>
        <mc:Fallback>
          <w:pict>
            <v:shape id="文本框 1" o:spid="_x0000_s1026" o:spt="202" type="#_x0000_t202" style="position:absolute;left:0pt;margin-top:0pt;height:11.65pt;width:9.05pt;mso-position-horizontal:center;mso-position-horizontal-relative:margin;mso-wrap-style:none;z-index:251661312;mso-width-relative:page;mso-height-relative:page;" filled="f" stroked="f" coordsize="21600,21600" o:gfxdata="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Gulvw/RAAAA&#10;AwEAAA8AAAAAAAAAAQAgAAAAIgAAAGRycy9kb3ducmV2LnhtbFBLAQIUABQAAAAIAIdO4kDjEkrt&#10;6wEAAMgDAAAOAAAAAAAAAAEAIAAAACABAABkcnMvZTJvRG9jLnhtbFBLBQYAAAAABgAGAFkBAAB9&#10;BQAAAAA=&#10;">
              <v:fill on="f" focussize="0,0"/>
              <v:stroke on="f"/>
              <v:imagedata o:title=""/>
              <o:lock v:ext="edit" aspectratio="f"/>
              <v:textbox inset="0mm,0mm,0mm,0mm" style="mso-fit-shape-to-text:t;">
                <w:txbxContent>
                  <w:p>
                    <w:pPr>
                      <w:pStyle w:val="18"/>
                      <w:jc w:val="center"/>
                    </w:pPr>
                    <w:r>
                      <w:fldChar w:fldCharType="begin"/>
                    </w:r>
                    <w:r>
                      <w:instrText xml:space="preserve">PAGE   \* MERGEFORMAT</w:instrText>
                    </w:r>
                    <w:r>
                      <w:fldChar w:fldCharType="separate"/>
                    </w:r>
                    <w:r>
                      <w:rPr>
                        <w:lang w:val="zh-CN"/>
                      </w:rPr>
                      <w:t>29</w:t>
                    </w:r>
                    <w:r>
                      <w:fldChar w:fldCharType="end"/>
                    </w:r>
                  </w:p>
                </w:txbxContent>
              </v:textbox>
            </v:shape>
          </w:pict>
        </mc:Fallback>
      </mc:AlternateContent>
    </w:r>
  </w:p>
  <w:p>
    <w:pPr>
      <w:pStyle w:val="18"/>
      <w:ind w:right="360"/>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F9642E"/>
    <w:multiLevelType w:val="multilevel"/>
    <w:tmpl w:val="0FF9642E"/>
    <w:lvl w:ilvl="0" w:tentative="0">
      <w:start w:val="1"/>
      <w:numFmt w:val="decimal"/>
      <w:lvlText w:val="第%1章"/>
      <w:lvlJc w:val="left"/>
      <w:pPr>
        <w:tabs>
          <w:tab w:val="left" w:pos="2850"/>
        </w:tabs>
        <w:ind w:left="2850" w:hanging="1290"/>
      </w:pPr>
      <w:rPr>
        <w:rFonts w:hint="default"/>
        <w:b/>
        <w:lang w:val="en-US"/>
      </w:rPr>
    </w:lvl>
    <w:lvl w:ilvl="1" w:tentative="0">
      <w:start w:val="1"/>
      <w:numFmt w:val="lowerLetter"/>
      <w:lvlText w:val="%2)"/>
      <w:lvlJc w:val="left"/>
      <w:pPr>
        <w:tabs>
          <w:tab w:val="left" w:pos="1380"/>
        </w:tabs>
        <w:ind w:left="1380" w:hanging="420"/>
      </w:pPr>
      <w:rPr>
        <w:rFonts w:hint="eastAsia"/>
      </w:rPr>
    </w:lvl>
    <w:lvl w:ilvl="2" w:tentative="0">
      <w:start w:val="1"/>
      <w:numFmt w:val="lowerRoman"/>
      <w:lvlText w:val="%3."/>
      <w:lvlJc w:val="right"/>
      <w:pPr>
        <w:tabs>
          <w:tab w:val="left" w:pos="1800"/>
        </w:tabs>
        <w:ind w:left="1800" w:hanging="420"/>
      </w:pPr>
      <w:rPr>
        <w:rFonts w:hint="eastAsia"/>
      </w:rPr>
    </w:lvl>
    <w:lvl w:ilvl="3" w:tentative="0">
      <w:start w:val="1"/>
      <w:numFmt w:val="decimal"/>
      <w:lvlText w:val="%4."/>
      <w:lvlJc w:val="left"/>
      <w:pPr>
        <w:tabs>
          <w:tab w:val="left" w:pos="2220"/>
        </w:tabs>
        <w:ind w:left="2220" w:hanging="420"/>
      </w:pPr>
      <w:rPr>
        <w:rFonts w:hint="eastAsia"/>
      </w:rPr>
    </w:lvl>
    <w:lvl w:ilvl="4" w:tentative="0">
      <w:start w:val="1"/>
      <w:numFmt w:val="lowerLetter"/>
      <w:lvlText w:val="%5)"/>
      <w:lvlJc w:val="left"/>
      <w:pPr>
        <w:tabs>
          <w:tab w:val="left" w:pos="2640"/>
        </w:tabs>
        <w:ind w:left="2640" w:hanging="420"/>
      </w:pPr>
      <w:rPr>
        <w:rFonts w:hint="eastAsia"/>
      </w:rPr>
    </w:lvl>
    <w:lvl w:ilvl="5" w:tentative="0">
      <w:start w:val="1"/>
      <w:numFmt w:val="lowerRoman"/>
      <w:lvlText w:val="%6."/>
      <w:lvlJc w:val="right"/>
      <w:pPr>
        <w:tabs>
          <w:tab w:val="left" w:pos="3060"/>
        </w:tabs>
        <w:ind w:left="3060" w:hanging="420"/>
      </w:pPr>
      <w:rPr>
        <w:rFonts w:hint="eastAsia"/>
      </w:rPr>
    </w:lvl>
    <w:lvl w:ilvl="6" w:tentative="0">
      <w:start w:val="1"/>
      <w:numFmt w:val="decimal"/>
      <w:lvlText w:val="%7."/>
      <w:lvlJc w:val="left"/>
      <w:pPr>
        <w:tabs>
          <w:tab w:val="left" w:pos="3480"/>
        </w:tabs>
        <w:ind w:left="3480" w:hanging="420"/>
      </w:pPr>
      <w:rPr>
        <w:rFonts w:hint="eastAsia"/>
      </w:rPr>
    </w:lvl>
    <w:lvl w:ilvl="7" w:tentative="0">
      <w:start w:val="1"/>
      <w:numFmt w:val="lowerLetter"/>
      <w:lvlText w:val="%8)"/>
      <w:lvlJc w:val="left"/>
      <w:pPr>
        <w:tabs>
          <w:tab w:val="left" w:pos="3900"/>
        </w:tabs>
        <w:ind w:left="3900" w:hanging="420"/>
      </w:pPr>
      <w:rPr>
        <w:rFonts w:hint="eastAsia"/>
      </w:rPr>
    </w:lvl>
    <w:lvl w:ilvl="8" w:tentative="0">
      <w:start w:val="1"/>
      <w:numFmt w:val="lowerRoman"/>
      <w:lvlText w:val="%9."/>
      <w:lvlJc w:val="right"/>
      <w:pPr>
        <w:tabs>
          <w:tab w:val="left" w:pos="4320"/>
        </w:tabs>
        <w:ind w:left="4320" w:hanging="420"/>
      </w:pPr>
      <w:rPr>
        <w:rFonts w:hint="eastAsia"/>
      </w:rPr>
    </w:lvl>
  </w:abstractNum>
  <w:abstractNum w:abstractNumId="1">
    <w:nsid w:val="25E9131D"/>
    <w:multiLevelType w:val="multilevel"/>
    <w:tmpl w:val="25E9131D"/>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900"/>
        </w:tabs>
        <w:ind w:left="900" w:hanging="900"/>
      </w:pPr>
      <w:rPr>
        <w:rFonts w:hint="eastAsia"/>
      </w:rPr>
    </w:lvl>
    <w:lvl w:ilvl="2" w:tentative="0">
      <w:start w:val="1"/>
      <w:numFmt w:val="decimal"/>
      <w:lvlText w:val="%1.%2.%3"/>
      <w:lvlJc w:val="left"/>
      <w:pPr>
        <w:tabs>
          <w:tab w:val="left" w:pos="900"/>
        </w:tabs>
        <w:ind w:left="90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2">
    <w:nsid w:val="66E4770E"/>
    <w:multiLevelType w:val="multilevel"/>
    <w:tmpl w:val="66E4770E"/>
    <w:lvl w:ilvl="0" w:tentative="0">
      <w:start w:val="1"/>
      <w:numFmt w:val="decimal"/>
      <w:lvlText w:val="第%1章"/>
      <w:lvlJc w:val="left"/>
      <w:pPr>
        <w:tabs>
          <w:tab w:val="left" w:pos="1680"/>
        </w:tabs>
        <w:ind w:left="1680" w:hanging="1140"/>
      </w:pPr>
      <w:rPr>
        <w:rFonts w:hint="eastAsia"/>
      </w:rPr>
    </w:lvl>
    <w:lvl w:ilvl="1" w:tentative="0">
      <w:start w:val="1"/>
      <w:numFmt w:val="lowerLetter"/>
      <w:lvlText w:val="%2)"/>
      <w:lvlJc w:val="left"/>
      <w:pPr>
        <w:tabs>
          <w:tab w:val="left" w:pos="1380"/>
        </w:tabs>
        <w:ind w:left="1380" w:hanging="420"/>
      </w:pPr>
      <w:rPr>
        <w:rFonts w:hint="eastAsia"/>
      </w:rPr>
    </w:lvl>
    <w:lvl w:ilvl="2" w:tentative="0">
      <w:start w:val="1"/>
      <w:numFmt w:val="lowerRoman"/>
      <w:lvlText w:val="%3."/>
      <w:lvlJc w:val="right"/>
      <w:pPr>
        <w:tabs>
          <w:tab w:val="left" w:pos="1800"/>
        </w:tabs>
        <w:ind w:left="1800" w:hanging="420"/>
      </w:pPr>
      <w:rPr>
        <w:rFonts w:hint="eastAsia"/>
      </w:rPr>
    </w:lvl>
    <w:lvl w:ilvl="3" w:tentative="0">
      <w:start w:val="1"/>
      <w:numFmt w:val="decimal"/>
      <w:lvlText w:val="%4."/>
      <w:lvlJc w:val="left"/>
      <w:pPr>
        <w:tabs>
          <w:tab w:val="left" w:pos="2220"/>
        </w:tabs>
        <w:ind w:left="2220" w:hanging="420"/>
      </w:pPr>
      <w:rPr>
        <w:rFonts w:hint="eastAsia"/>
      </w:rPr>
    </w:lvl>
    <w:lvl w:ilvl="4" w:tentative="0">
      <w:start w:val="1"/>
      <w:numFmt w:val="lowerLetter"/>
      <w:lvlText w:val="%5)"/>
      <w:lvlJc w:val="left"/>
      <w:pPr>
        <w:tabs>
          <w:tab w:val="left" w:pos="2640"/>
        </w:tabs>
        <w:ind w:left="2640" w:hanging="420"/>
      </w:pPr>
      <w:rPr>
        <w:rFonts w:hint="eastAsia"/>
      </w:rPr>
    </w:lvl>
    <w:lvl w:ilvl="5" w:tentative="0">
      <w:start w:val="1"/>
      <w:numFmt w:val="lowerRoman"/>
      <w:lvlText w:val="%6."/>
      <w:lvlJc w:val="right"/>
      <w:pPr>
        <w:tabs>
          <w:tab w:val="left" w:pos="3060"/>
        </w:tabs>
        <w:ind w:left="3060" w:hanging="420"/>
      </w:pPr>
      <w:rPr>
        <w:rFonts w:hint="eastAsia"/>
      </w:rPr>
    </w:lvl>
    <w:lvl w:ilvl="6" w:tentative="0">
      <w:start w:val="1"/>
      <w:numFmt w:val="decimal"/>
      <w:lvlText w:val="%7."/>
      <w:lvlJc w:val="left"/>
      <w:pPr>
        <w:tabs>
          <w:tab w:val="left" w:pos="3480"/>
        </w:tabs>
        <w:ind w:left="3480" w:hanging="420"/>
      </w:pPr>
      <w:rPr>
        <w:rFonts w:hint="eastAsia"/>
      </w:rPr>
    </w:lvl>
    <w:lvl w:ilvl="7" w:tentative="0">
      <w:start w:val="1"/>
      <w:numFmt w:val="lowerLetter"/>
      <w:lvlText w:val="%8)"/>
      <w:lvlJc w:val="left"/>
      <w:pPr>
        <w:tabs>
          <w:tab w:val="left" w:pos="3900"/>
        </w:tabs>
        <w:ind w:left="3900" w:hanging="420"/>
      </w:pPr>
      <w:rPr>
        <w:rFonts w:hint="eastAsia"/>
      </w:rPr>
    </w:lvl>
    <w:lvl w:ilvl="8" w:tentative="0">
      <w:start w:val="1"/>
      <w:numFmt w:val="lowerRoman"/>
      <w:lvlText w:val="%9."/>
      <w:lvlJc w:val="right"/>
      <w:pPr>
        <w:tabs>
          <w:tab w:val="left" w:pos="4320"/>
        </w:tabs>
        <w:ind w:left="4320" w:hanging="420"/>
      </w:pPr>
      <w:rPr>
        <w:rFonts w:hint="eastAsia"/>
      </w:rPr>
    </w:lvl>
  </w:abstractNum>
  <w:abstractNum w:abstractNumId="3">
    <w:nsid w:val="7D463C0E"/>
    <w:multiLevelType w:val="singleLevel"/>
    <w:tmpl w:val="7D463C0E"/>
    <w:lvl w:ilvl="0" w:tentative="0">
      <w:start w:val="1"/>
      <w:numFmt w:val="decimal"/>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0"/>
  <w:bordersDoNotSurroundFooter w:val="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2NjgwODc0MGI0YmNiMWZiODkwMmJhMzVkOWRlMzQifQ=="/>
    <w:docVar w:name="KSO_WPS_MARK_KEY" w:val="6f4900ca-704d-45d6-9023-50cac56b4e63"/>
  </w:docVars>
  <w:rsids>
    <w:rsidRoot w:val="00172A27"/>
    <w:rsid w:val="00016056"/>
    <w:rsid w:val="0003301B"/>
    <w:rsid w:val="000472F1"/>
    <w:rsid w:val="000547BC"/>
    <w:rsid w:val="0006797B"/>
    <w:rsid w:val="00083398"/>
    <w:rsid w:val="000851EA"/>
    <w:rsid w:val="00086240"/>
    <w:rsid w:val="000A67F9"/>
    <w:rsid w:val="000C1CEF"/>
    <w:rsid w:val="000D56B4"/>
    <w:rsid w:val="000E2C91"/>
    <w:rsid w:val="000E61C7"/>
    <w:rsid w:val="000F7364"/>
    <w:rsid w:val="00117F32"/>
    <w:rsid w:val="001239B2"/>
    <w:rsid w:val="0013368F"/>
    <w:rsid w:val="0014392C"/>
    <w:rsid w:val="0014668B"/>
    <w:rsid w:val="001619AD"/>
    <w:rsid w:val="00172A27"/>
    <w:rsid w:val="00181882"/>
    <w:rsid w:val="00185D8C"/>
    <w:rsid w:val="00193E02"/>
    <w:rsid w:val="001A51F4"/>
    <w:rsid w:val="001A7530"/>
    <w:rsid w:val="001B1749"/>
    <w:rsid w:val="001D1AFD"/>
    <w:rsid w:val="001E084D"/>
    <w:rsid w:val="001E18CE"/>
    <w:rsid w:val="00205F1A"/>
    <w:rsid w:val="00226229"/>
    <w:rsid w:val="00240C2C"/>
    <w:rsid w:val="00240C3E"/>
    <w:rsid w:val="00286F9E"/>
    <w:rsid w:val="00291B26"/>
    <w:rsid w:val="00292666"/>
    <w:rsid w:val="00293489"/>
    <w:rsid w:val="00293799"/>
    <w:rsid w:val="002A2632"/>
    <w:rsid w:val="002A26DB"/>
    <w:rsid w:val="002A3C47"/>
    <w:rsid w:val="002B0A40"/>
    <w:rsid w:val="002B6586"/>
    <w:rsid w:val="002C384F"/>
    <w:rsid w:val="002D3103"/>
    <w:rsid w:val="002D3BED"/>
    <w:rsid w:val="00324A71"/>
    <w:rsid w:val="00331B79"/>
    <w:rsid w:val="00335D89"/>
    <w:rsid w:val="00351063"/>
    <w:rsid w:val="00352481"/>
    <w:rsid w:val="003529C4"/>
    <w:rsid w:val="00353178"/>
    <w:rsid w:val="00357293"/>
    <w:rsid w:val="00365F7F"/>
    <w:rsid w:val="00366F37"/>
    <w:rsid w:val="003728DF"/>
    <w:rsid w:val="003957D6"/>
    <w:rsid w:val="003A6684"/>
    <w:rsid w:val="003A78FB"/>
    <w:rsid w:val="003D22C7"/>
    <w:rsid w:val="003D30D8"/>
    <w:rsid w:val="003E1425"/>
    <w:rsid w:val="003F1132"/>
    <w:rsid w:val="00405BB3"/>
    <w:rsid w:val="00422CEF"/>
    <w:rsid w:val="00423F3D"/>
    <w:rsid w:val="00431B5E"/>
    <w:rsid w:val="0048375D"/>
    <w:rsid w:val="004B09FE"/>
    <w:rsid w:val="004B2135"/>
    <w:rsid w:val="004B2876"/>
    <w:rsid w:val="004B3AB5"/>
    <w:rsid w:val="004B78EC"/>
    <w:rsid w:val="004B7E9A"/>
    <w:rsid w:val="004E303E"/>
    <w:rsid w:val="004F20AB"/>
    <w:rsid w:val="00505278"/>
    <w:rsid w:val="00510960"/>
    <w:rsid w:val="00511716"/>
    <w:rsid w:val="00522FF6"/>
    <w:rsid w:val="00526490"/>
    <w:rsid w:val="00531699"/>
    <w:rsid w:val="00570A48"/>
    <w:rsid w:val="00585114"/>
    <w:rsid w:val="0059218B"/>
    <w:rsid w:val="005A5335"/>
    <w:rsid w:val="005B3994"/>
    <w:rsid w:val="005B47AB"/>
    <w:rsid w:val="005C2A22"/>
    <w:rsid w:val="005C76CB"/>
    <w:rsid w:val="005F57F1"/>
    <w:rsid w:val="005F755B"/>
    <w:rsid w:val="00610312"/>
    <w:rsid w:val="00620C12"/>
    <w:rsid w:val="00622262"/>
    <w:rsid w:val="006230D8"/>
    <w:rsid w:val="00641454"/>
    <w:rsid w:val="00641E25"/>
    <w:rsid w:val="00642F19"/>
    <w:rsid w:val="00654DE3"/>
    <w:rsid w:val="006554F1"/>
    <w:rsid w:val="00662F6E"/>
    <w:rsid w:val="006643FE"/>
    <w:rsid w:val="0067153F"/>
    <w:rsid w:val="006761A0"/>
    <w:rsid w:val="00695B98"/>
    <w:rsid w:val="006977AB"/>
    <w:rsid w:val="006A3F00"/>
    <w:rsid w:val="006B0F72"/>
    <w:rsid w:val="006B5B80"/>
    <w:rsid w:val="006C135E"/>
    <w:rsid w:val="006D0611"/>
    <w:rsid w:val="006E59E9"/>
    <w:rsid w:val="0070239C"/>
    <w:rsid w:val="00722C84"/>
    <w:rsid w:val="00723FDE"/>
    <w:rsid w:val="00734B1E"/>
    <w:rsid w:val="00747304"/>
    <w:rsid w:val="00747DD3"/>
    <w:rsid w:val="0075067C"/>
    <w:rsid w:val="007555F7"/>
    <w:rsid w:val="0075692F"/>
    <w:rsid w:val="00764B9B"/>
    <w:rsid w:val="00772B5F"/>
    <w:rsid w:val="00782E59"/>
    <w:rsid w:val="00791CCE"/>
    <w:rsid w:val="007A1EC4"/>
    <w:rsid w:val="007C7429"/>
    <w:rsid w:val="007F1970"/>
    <w:rsid w:val="007F2D3E"/>
    <w:rsid w:val="007F4D4F"/>
    <w:rsid w:val="007F5C65"/>
    <w:rsid w:val="008022CF"/>
    <w:rsid w:val="0081202E"/>
    <w:rsid w:val="00812159"/>
    <w:rsid w:val="008173DC"/>
    <w:rsid w:val="00832297"/>
    <w:rsid w:val="00832BC5"/>
    <w:rsid w:val="008351A5"/>
    <w:rsid w:val="008375BB"/>
    <w:rsid w:val="00840A37"/>
    <w:rsid w:val="00844E37"/>
    <w:rsid w:val="00871354"/>
    <w:rsid w:val="00880E1B"/>
    <w:rsid w:val="00895679"/>
    <w:rsid w:val="008A1E06"/>
    <w:rsid w:val="008A6052"/>
    <w:rsid w:val="008B126A"/>
    <w:rsid w:val="008C636C"/>
    <w:rsid w:val="008D6D9C"/>
    <w:rsid w:val="008E56F7"/>
    <w:rsid w:val="008E5B32"/>
    <w:rsid w:val="00906279"/>
    <w:rsid w:val="00906A6D"/>
    <w:rsid w:val="009524FD"/>
    <w:rsid w:val="009538EC"/>
    <w:rsid w:val="009737EE"/>
    <w:rsid w:val="0098680F"/>
    <w:rsid w:val="009905C6"/>
    <w:rsid w:val="00992B3A"/>
    <w:rsid w:val="0099301F"/>
    <w:rsid w:val="009A23B5"/>
    <w:rsid w:val="009B7948"/>
    <w:rsid w:val="009C4326"/>
    <w:rsid w:val="009D14E1"/>
    <w:rsid w:val="009F7393"/>
    <w:rsid w:val="00A056C0"/>
    <w:rsid w:val="00A12030"/>
    <w:rsid w:val="00A276D6"/>
    <w:rsid w:val="00A37925"/>
    <w:rsid w:val="00A43749"/>
    <w:rsid w:val="00A443EA"/>
    <w:rsid w:val="00A47BF0"/>
    <w:rsid w:val="00A560C5"/>
    <w:rsid w:val="00A61118"/>
    <w:rsid w:val="00A63285"/>
    <w:rsid w:val="00A82AF3"/>
    <w:rsid w:val="00A8691E"/>
    <w:rsid w:val="00A953D6"/>
    <w:rsid w:val="00AA40A2"/>
    <w:rsid w:val="00AB06C6"/>
    <w:rsid w:val="00AB5E61"/>
    <w:rsid w:val="00AD22F6"/>
    <w:rsid w:val="00AE7F8E"/>
    <w:rsid w:val="00AF0B05"/>
    <w:rsid w:val="00B103D3"/>
    <w:rsid w:val="00B3448A"/>
    <w:rsid w:val="00B361E9"/>
    <w:rsid w:val="00B446B8"/>
    <w:rsid w:val="00B50DC4"/>
    <w:rsid w:val="00B51360"/>
    <w:rsid w:val="00B5197E"/>
    <w:rsid w:val="00B55747"/>
    <w:rsid w:val="00B65ABC"/>
    <w:rsid w:val="00B708F4"/>
    <w:rsid w:val="00B81F75"/>
    <w:rsid w:val="00BA4DC0"/>
    <w:rsid w:val="00BA5F85"/>
    <w:rsid w:val="00C019E7"/>
    <w:rsid w:val="00C04B65"/>
    <w:rsid w:val="00C06F40"/>
    <w:rsid w:val="00C31B6A"/>
    <w:rsid w:val="00C33F14"/>
    <w:rsid w:val="00C4522C"/>
    <w:rsid w:val="00C45960"/>
    <w:rsid w:val="00C53663"/>
    <w:rsid w:val="00C62F79"/>
    <w:rsid w:val="00C64845"/>
    <w:rsid w:val="00C76461"/>
    <w:rsid w:val="00C85717"/>
    <w:rsid w:val="00C90347"/>
    <w:rsid w:val="00C936C3"/>
    <w:rsid w:val="00C9528F"/>
    <w:rsid w:val="00C96B70"/>
    <w:rsid w:val="00CA3534"/>
    <w:rsid w:val="00CA7CEF"/>
    <w:rsid w:val="00CD4FCB"/>
    <w:rsid w:val="00D02409"/>
    <w:rsid w:val="00D06B85"/>
    <w:rsid w:val="00D06E29"/>
    <w:rsid w:val="00D644CF"/>
    <w:rsid w:val="00D86FB3"/>
    <w:rsid w:val="00D90CE5"/>
    <w:rsid w:val="00D90D8E"/>
    <w:rsid w:val="00DA3E6B"/>
    <w:rsid w:val="00DB5C16"/>
    <w:rsid w:val="00DB62E9"/>
    <w:rsid w:val="00DC24AA"/>
    <w:rsid w:val="00DE055B"/>
    <w:rsid w:val="00DE1AEF"/>
    <w:rsid w:val="00DF34CE"/>
    <w:rsid w:val="00E051B8"/>
    <w:rsid w:val="00E147FA"/>
    <w:rsid w:val="00E15819"/>
    <w:rsid w:val="00E235AA"/>
    <w:rsid w:val="00E23B11"/>
    <w:rsid w:val="00E24BE7"/>
    <w:rsid w:val="00E67A5E"/>
    <w:rsid w:val="00E7172E"/>
    <w:rsid w:val="00E720F5"/>
    <w:rsid w:val="00EB0165"/>
    <w:rsid w:val="00EB1944"/>
    <w:rsid w:val="00ED0BE6"/>
    <w:rsid w:val="00EF0A98"/>
    <w:rsid w:val="00EF4D30"/>
    <w:rsid w:val="00F03E88"/>
    <w:rsid w:val="00F046E5"/>
    <w:rsid w:val="00F351CC"/>
    <w:rsid w:val="00F35B32"/>
    <w:rsid w:val="00F62BBE"/>
    <w:rsid w:val="00F64D9E"/>
    <w:rsid w:val="00F84713"/>
    <w:rsid w:val="00F915D3"/>
    <w:rsid w:val="00F93857"/>
    <w:rsid w:val="00FA6E48"/>
    <w:rsid w:val="00FB2855"/>
    <w:rsid w:val="00FB40D4"/>
    <w:rsid w:val="00FC17CC"/>
    <w:rsid w:val="00FC6DF3"/>
    <w:rsid w:val="00FD0FA0"/>
    <w:rsid w:val="00FE49A8"/>
    <w:rsid w:val="00FF1761"/>
    <w:rsid w:val="011E2542"/>
    <w:rsid w:val="013A2CEC"/>
    <w:rsid w:val="02151230"/>
    <w:rsid w:val="025053CA"/>
    <w:rsid w:val="02757C6A"/>
    <w:rsid w:val="02DF7EB2"/>
    <w:rsid w:val="02F57EDA"/>
    <w:rsid w:val="030003DF"/>
    <w:rsid w:val="043D0FA7"/>
    <w:rsid w:val="048653C5"/>
    <w:rsid w:val="04CB5223"/>
    <w:rsid w:val="04DA736D"/>
    <w:rsid w:val="056D353A"/>
    <w:rsid w:val="05F316F9"/>
    <w:rsid w:val="05F60AB0"/>
    <w:rsid w:val="06334A31"/>
    <w:rsid w:val="0654239A"/>
    <w:rsid w:val="0792139E"/>
    <w:rsid w:val="088B7A6A"/>
    <w:rsid w:val="08BF138C"/>
    <w:rsid w:val="08CC6700"/>
    <w:rsid w:val="096422B6"/>
    <w:rsid w:val="09A7068B"/>
    <w:rsid w:val="0A442AD6"/>
    <w:rsid w:val="0AC21C94"/>
    <w:rsid w:val="0AD12740"/>
    <w:rsid w:val="0B6D777F"/>
    <w:rsid w:val="0B737AC6"/>
    <w:rsid w:val="0B9F46D6"/>
    <w:rsid w:val="0BB71C77"/>
    <w:rsid w:val="0BC929B9"/>
    <w:rsid w:val="0CB46CF7"/>
    <w:rsid w:val="0DC517EF"/>
    <w:rsid w:val="0E3F552B"/>
    <w:rsid w:val="0F3B420A"/>
    <w:rsid w:val="0FE30DF8"/>
    <w:rsid w:val="0FF33245"/>
    <w:rsid w:val="100D3F40"/>
    <w:rsid w:val="10953418"/>
    <w:rsid w:val="10AA47B9"/>
    <w:rsid w:val="110E55EF"/>
    <w:rsid w:val="111B4344"/>
    <w:rsid w:val="113B2F38"/>
    <w:rsid w:val="12581A0E"/>
    <w:rsid w:val="12C94A4E"/>
    <w:rsid w:val="12E0534B"/>
    <w:rsid w:val="139D35FD"/>
    <w:rsid w:val="13B41BCC"/>
    <w:rsid w:val="13C92110"/>
    <w:rsid w:val="13DB1B85"/>
    <w:rsid w:val="147F57B4"/>
    <w:rsid w:val="14B57065"/>
    <w:rsid w:val="14D00994"/>
    <w:rsid w:val="15492CDC"/>
    <w:rsid w:val="15B605E5"/>
    <w:rsid w:val="16291BE3"/>
    <w:rsid w:val="1636260B"/>
    <w:rsid w:val="1689005E"/>
    <w:rsid w:val="16F70A4D"/>
    <w:rsid w:val="1729600A"/>
    <w:rsid w:val="173C56DA"/>
    <w:rsid w:val="18D9495D"/>
    <w:rsid w:val="190727F7"/>
    <w:rsid w:val="199F34B3"/>
    <w:rsid w:val="19EE3047"/>
    <w:rsid w:val="1A1A55E6"/>
    <w:rsid w:val="1A877CAB"/>
    <w:rsid w:val="1C1A1CDA"/>
    <w:rsid w:val="1C7D6032"/>
    <w:rsid w:val="1DE21639"/>
    <w:rsid w:val="1EC61592"/>
    <w:rsid w:val="1F0E185C"/>
    <w:rsid w:val="1F29711F"/>
    <w:rsid w:val="1F2C58F3"/>
    <w:rsid w:val="1FD911D3"/>
    <w:rsid w:val="1FE146ED"/>
    <w:rsid w:val="209149AA"/>
    <w:rsid w:val="20C41ECA"/>
    <w:rsid w:val="20D671AA"/>
    <w:rsid w:val="21071252"/>
    <w:rsid w:val="21463165"/>
    <w:rsid w:val="22AE59A2"/>
    <w:rsid w:val="237A68C7"/>
    <w:rsid w:val="239D0DA6"/>
    <w:rsid w:val="23B60887"/>
    <w:rsid w:val="24595B0B"/>
    <w:rsid w:val="24BB755C"/>
    <w:rsid w:val="2527053D"/>
    <w:rsid w:val="253D2EFC"/>
    <w:rsid w:val="25B051A2"/>
    <w:rsid w:val="25BC6A68"/>
    <w:rsid w:val="27083730"/>
    <w:rsid w:val="27D3276D"/>
    <w:rsid w:val="27E572E0"/>
    <w:rsid w:val="27ED7BD0"/>
    <w:rsid w:val="28BA6ED0"/>
    <w:rsid w:val="28D667F6"/>
    <w:rsid w:val="28D73C8C"/>
    <w:rsid w:val="291069FB"/>
    <w:rsid w:val="29AD3010"/>
    <w:rsid w:val="2AC33B8F"/>
    <w:rsid w:val="2B285E40"/>
    <w:rsid w:val="2B473D9B"/>
    <w:rsid w:val="2BF17AA3"/>
    <w:rsid w:val="2C3266E3"/>
    <w:rsid w:val="2D96306F"/>
    <w:rsid w:val="2DF34CBB"/>
    <w:rsid w:val="2E0F48DF"/>
    <w:rsid w:val="2E4A54DC"/>
    <w:rsid w:val="2E7B6CC4"/>
    <w:rsid w:val="2E932284"/>
    <w:rsid w:val="2EFA46E9"/>
    <w:rsid w:val="2F496D12"/>
    <w:rsid w:val="2F5D3ABE"/>
    <w:rsid w:val="2FF6672D"/>
    <w:rsid w:val="30190135"/>
    <w:rsid w:val="30CC1916"/>
    <w:rsid w:val="325B0308"/>
    <w:rsid w:val="32687CDA"/>
    <w:rsid w:val="32755171"/>
    <w:rsid w:val="32DF521E"/>
    <w:rsid w:val="334311DB"/>
    <w:rsid w:val="33A36915"/>
    <w:rsid w:val="34151D71"/>
    <w:rsid w:val="350223B3"/>
    <w:rsid w:val="353E0697"/>
    <w:rsid w:val="35756117"/>
    <w:rsid w:val="35867B7C"/>
    <w:rsid w:val="3636341B"/>
    <w:rsid w:val="376A551D"/>
    <w:rsid w:val="37BF208C"/>
    <w:rsid w:val="387F089F"/>
    <w:rsid w:val="38963DE3"/>
    <w:rsid w:val="38AF02F2"/>
    <w:rsid w:val="392F0E56"/>
    <w:rsid w:val="39320E4B"/>
    <w:rsid w:val="39D276DC"/>
    <w:rsid w:val="3A8C3B01"/>
    <w:rsid w:val="3B0024F3"/>
    <w:rsid w:val="3C183361"/>
    <w:rsid w:val="3C3757AC"/>
    <w:rsid w:val="3C5740A8"/>
    <w:rsid w:val="3D7D3A58"/>
    <w:rsid w:val="3DBC0CCF"/>
    <w:rsid w:val="3DEE10A9"/>
    <w:rsid w:val="3E670C26"/>
    <w:rsid w:val="3EED5CE2"/>
    <w:rsid w:val="3FC90D91"/>
    <w:rsid w:val="402F3763"/>
    <w:rsid w:val="40361070"/>
    <w:rsid w:val="40C63843"/>
    <w:rsid w:val="412F6391"/>
    <w:rsid w:val="41757628"/>
    <w:rsid w:val="42245E14"/>
    <w:rsid w:val="427B20EB"/>
    <w:rsid w:val="43153E28"/>
    <w:rsid w:val="434834C8"/>
    <w:rsid w:val="43532959"/>
    <w:rsid w:val="43661E73"/>
    <w:rsid w:val="43C41F12"/>
    <w:rsid w:val="43EA2390"/>
    <w:rsid w:val="44621B8D"/>
    <w:rsid w:val="44AC5EDE"/>
    <w:rsid w:val="4522422D"/>
    <w:rsid w:val="452804BB"/>
    <w:rsid w:val="454E42B5"/>
    <w:rsid w:val="45C62F8F"/>
    <w:rsid w:val="46C6614B"/>
    <w:rsid w:val="47285DFD"/>
    <w:rsid w:val="477068A1"/>
    <w:rsid w:val="48316201"/>
    <w:rsid w:val="48436FDA"/>
    <w:rsid w:val="48897173"/>
    <w:rsid w:val="48D975D7"/>
    <w:rsid w:val="494C6814"/>
    <w:rsid w:val="496E327B"/>
    <w:rsid w:val="4B4B51BF"/>
    <w:rsid w:val="4B653334"/>
    <w:rsid w:val="4C121D12"/>
    <w:rsid w:val="4C7D51B8"/>
    <w:rsid w:val="4C81207A"/>
    <w:rsid w:val="4C8D52EA"/>
    <w:rsid w:val="4F6B4A2D"/>
    <w:rsid w:val="4F910C8D"/>
    <w:rsid w:val="50045AFA"/>
    <w:rsid w:val="500B7912"/>
    <w:rsid w:val="50CC783B"/>
    <w:rsid w:val="50FA22D5"/>
    <w:rsid w:val="51015E93"/>
    <w:rsid w:val="51596F95"/>
    <w:rsid w:val="51A272E6"/>
    <w:rsid w:val="51AC45D2"/>
    <w:rsid w:val="51ED67A5"/>
    <w:rsid w:val="51FF27DF"/>
    <w:rsid w:val="52347646"/>
    <w:rsid w:val="523E6B49"/>
    <w:rsid w:val="525100C0"/>
    <w:rsid w:val="52EC4491"/>
    <w:rsid w:val="52FE2631"/>
    <w:rsid w:val="537A0C18"/>
    <w:rsid w:val="53853267"/>
    <w:rsid w:val="544A3C66"/>
    <w:rsid w:val="54814508"/>
    <w:rsid w:val="5489684F"/>
    <w:rsid w:val="54E5058A"/>
    <w:rsid w:val="55323A38"/>
    <w:rsid w:val="55376FB9"/>
    <w:rsid w:val="56282BD5"/>
    <w:rsid w:val="5637484F"/>
    <w:rsid w:val="564C0ADE"/>
    <w:rsid w:val="56BF0549"/>
    <w:rsid w:val="57772E7B"/>
    <w:rsid w:val="57D6563F"/>
    <w:rsid w:val="58D02D39"/>
    <w:rsid w:val="598D06AE"/>
    <w:rsid w:val="5A1F1C28"/>
    <w:rsid w:val="5A4B39E2"/>
    <w:rsid w:val="5A585274"/>
    <w:rsid w:val="5A6C467C"/>
    <w:rsid w:val="5AE519B6"/>
    <w:rsid w:val="5AFA37B8"/>
    <w:rsid w:val="5B3B3231"/>
    <w:rsid w:val="5B4914E7"/>
    <w:rsid w:val="5C2F00C3"/>
    <w:rsid w:val="5C86163E"/>
    <w:rsid w:val="5C974816"/>
    <w:rsid w:val="5D592B21"/>
    <w:rsid w:val="5D681792"/>
    <w:rsid w:val="5DAE1CA2"/>
    <w:rsid w:val="5E181C7E"/>
    <w:rsid w:val="5E2C4052"/>
    <w:rsid w:val="5E4D256F"/>
    <w:rsid w:val="5E854744"/>
    <w:rsid w:val="5F781673"/>
    <w:rsid w:val="5FB31CAD"/>
    <w:rsid w:val="60157FFC"/>
    <w:rsid w:val="6293515C"/>
    <w:rsid w:val="62B40C5B"/>
    <w:rsid w:val="62C76F5B"/>
    <w:rsid w:val="631D2580"/>
    <w:rsid w:val="635970B3"/>
    <w:rsid w:val="646C3855"/>
    <w:rsid w:val="64915AE7"/>
    <w:rsid w:val="64BA041E"/>
    <w:rsid w:val="65123FE0"/>
    <w:rsid w:val="65390F50"/>
    <w:rsid w:val="65B85087"/>
    <w:rsid w:val="663527BF"/>
    <w:rsid w:val="66F836B2"/>
    <w:rsid w:val="676677EB"/>
    <w:rsid w:val="676B583F"/>
    <w:rsid w:val="68142EA8"/>
    <w:rsid w:val="68AD5E8D"/>
    <w:rsid w:val="69967259"/>
    <w:rsid w:val="69EB25CF"/>
    <w:rsid w:val="6AC01375"/>
    <w:rsid w:val="6AD23ECA"/>
    <w:rsid w:val="6B14314F"/>
    <w:rsid w:val="6B6A06CB"/>
    <w:rsid w:val="6C3E5263"/>
    <w:rsid w:val="6C671F61"/>
    <w:rsid w:val="6C68176D"/>
    <w:rsid w:val="6C77637D"/>
    <w:rsid w:val="6CF11982"/>
    <w:rsid w:val="6D5A7E24"/>
    <w:rsid w:val="6DC347C2"/>
    <w:rsid w:val="6E132974"/>
    <w:rsid w:val="6E427DDD"/>
    <w:rsid w:val="6F320296"/>
    <w:rsid w:val="70656186"/>
    <w:rsid w:val="706D7F34"/>
    <w:rsid w:val="70DF5420"/>
    <w:rsid w:val="70E016BA"/>
    <w:rsid w:val="718040BB"/>
    <w:rsid w:val="72913E7E"/>
    <w:rsid w:val="73683E42"/>
    <w:rsid w:val="73FF4FB0"/>
    <w:rsid w:val="74006FC9"/>
    <w:rsid w:val="741250FE"/>
    <w:rsid w:val="745264E6"/>
    <w:rsid w:val="7471467F"/>
    <w:rsid w:val="74C740DC"/>
    <w:rsid w:val="752124FA"/>
    <w:rsid w:val="75C27622"/>
    <w:rsid w:val="76323D66"/>
    <w:rsid w:val="76426BCC"/>
    <w:rsid w:val="76CB2669"/>
    <w:rsid w:val="76CB3AC4"/>
    <w:rsid w:val="775D2AA1"/>
    <w:rsid w:val="77706BE3"/>
    <w:rsid w:val="77A33638"/>
    <w:rsid w:val="782A3662"/>
    <w:rsid w:val="785721B0"/>
    <w:rsid w:val="788D434B"/>
    <w:rsid w:val="792B6137"/>
    <w:rsid w:val="797906C6"/>
    <w:rsid w:val="79FA27C6"/>
    <w:rsid w:val="7A1671C7"/>
    <w:rsid w:val="7A516F88"/>
    <w:rsid w:val="7AA20C15"/>
    <w:rsid w:val="7AB55222"/>
    <w:rsid w:val="7AC74194"/>
    <w:rsid w:val="7B305E9E"/>
    <w:rsid w:val="7BB93225"/>
    <w:rsid w:val="7C031876"/>
    <w:rsid w:val="7D070B44"/>
    <w:rsid w:val="7DB3663A"/>
    <w:rsid w:val="7DEA5ABB"/>
    <w:rsid w:val="7E4328CE"/>
    <w:rsid w:val="7E936AE5"/>
    <w:rsid w:val="7F5524F8"/>
    <w:rsid w:val="7F7B2D3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qFormat="1" w:unhideWhenUsed="0" w:uiPriority="99"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0" w:name="footnote text"/>
    <w:lsdException w:qFormat="1"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8"/>
    <w:autoRedefine/>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4">
    <w:name w:val="heading 2"/>
    <w:basedOn w:val="1"/>
    <w:next w:val="1"/>
    <w:autoRedefine/>
    <w:qFormat/>
    <w:uiPriority w:val="0"/>
    <w:pPr>
      <w:keepNext/>
      <w:keepLines/>
      <w:autoSpaceDE w:val="0"/>
      <w:autoSpaceDN w:val="0"/>
      <w:adjustRightInd w:val="0"/>
      <w:spacing w:before="120" w:line="300" w:lineRule="auto"/>
      <w:jc w:val="center"/>
      <w:outlineLvl w:val="1"/>
    </w:pPr>
    <w:rPr>
      <w:rFonts w:ascii="Arial" w:hAnsi="Arial" w:eastAsia="宋体"/>
      <w:b/>
      <w:kern w:val="0"/>
      <w:sz w:val="28"/>
      <w:szCs w:val="20"/>
    </w:rPr>
  </w:style>
  <w:style w:type="paragraph" w:styleId="5">
    <w:name w:val="heading 3"/>
    <w:basedOn w:val="1"/>
    <w:next w:val="6"/>
    <w:autoRedefine/>
    <w:qFormat/>
    <w:uiPriority w:val="0"/>
    <w:pPr>
      <w:keepNext/>
      <w:keepLines/>
      <w:autoSpaceDE w:val="0"/>
      <w:autoSpaceDN w:val="0"/>
      <w:adjustRightInd w:val="0"/>
      <w:spacing w:before="100" w:after="100"/>
      <w:jc w:val="left"/>
      <w:outlineLvl w:val="2"/>
    </w:pPr>
    <w:rPr>
      <w:rFonts w:ascii="宋体" w:hAnsi="宋体" w:eastAsia="宋体"/>
      <w:b/>
      <w:kern w:val="0"/>
      <w:sz w:val="24"/>
      <w:szCs w:val="20"/>
      <w:u w:val="single"/>
    </w:rPr>
  </w:style>
  <w:style w:type="paragraph" w:styleId="7">
    <w:name w:val="heading 4"/>
    <w:basedOn w:val="1"/>
    <w:next w:val="1"/>
    <w:link w:val="39"/>
    <w:autoRedefine/>
    <w:qFormat/>
    <w:uiPriority w:val="99"/>
    <w:pPr>
      <w:keepNext/>
      <w:keepLines/>
      <w:spacing w:before="280" w:after="290" w:line="376" w:lineRule="auto"/>
      <w:outlineLvl w:val="3"/>
    </w:pPr>
    <w:rPr>
      <w:rFonts w:ascii="Cambria" w:hAnsi="Cambria"/>
      <w:b/>
      <w:bCs/>
      <w:sz w:val="28"/>
      <w:szCs w:val="28"/>
    </w:rPr>
  </w:style>
  <w:style w:type="character" w:default="1" w:styleId="31">
    <w:name w:val="Default Paragraph Font"/>
    <w:autoRedefine/>
    <w:unhideWhenUsed/>
    <w:qFormat/>
    <w:uiPriority w:val="1"/>
  </w:style>
  <w:style w:type="table" w:default="1" w:styleId="29">
    <w:name w:val="Normal Table"/>
    <w:autoRedefine/>
    <w:unhideWhenUsed/>
    <w:qFormat/>
    <w:uiPriority w:val="99"/>
    <w:tblPr>
      <w:tblCellMar>
        <w:top w:w="0" w:type="dxa"/>
        <w:left w:w="108" w:type="dxa"/>
        <w:bottom w:w="0" w:type="dxa"/>
        <w:right w:w="108" w:type="dxa"/>
      </w:tblCellMar>
    </w:tblPr>
  </w:style>
  <w:style w:type="paragraph" w:customStyle="1" w:styleId="2">
    <w:name w:val="Default"/>
    <w:autoRedefine/>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styleId="6">
    <w:name w:val="Normal Indent"/>
    <w:basedOn w:val="1"/>
    <w:next w:val="1"/>
    <w:autoRedefine/>
    <w:qFormat/>
    <w:uiPriority w:val="0"/>
    <w:pPr>
      <w:autoSpaceDE w:val="0"/>
      <w:autoSpaceDN w:val="0"/>
      <w:adjustRightInd w:val="0"/>
      <w:ind w:firstLine="420"/>
      <w:jc w:val="left"/>
    </w:pPr>
    <w:rPr>
      <w:rFonts w:ascii="宋体"/>
      <w:kern w:val="0"/>
      <w:sz w:val="24"/>
      <w:szCs w:val="20"/>
    </w:rPr>
  </w:style>
  <w:style w:type="paragraph" w:styleId="8">
    <w:name w:val="toc 7"/>
    <w:basedOn w:val="1"/>
    <w:next w:val="1"/>
    <w:autoRedefine/>
    <w:unhideWhenUsed/>
    <w:qFormat/>
    <w:uiPriority w:val="39"/>
    <w:pPr>
      <w:ind w:left="2520" w:leftChars="1200"/>
    </w:pPr>
    <w:rPr>
      <w:rFonts w:ascii="Calibri" w:hAnsi="Calibri"/>
      <w:szCs w:val="22"/>
    </w:rPr>
  </w:style>
  <w:style w:type="paragraph" w:styleId="9">
    <w:name w:val="annotation text"/>
    <w:basedOn w:val="1"/>
    <w:link w:val="40"/>
    <w:autoRedefine/>
    <w:unhideWhenUsed/>
    <w:qFormat/>
    <w:uiPriority w:val="0"/>
    <w:pPr>
      <w:jc w:val="left"/>
    </w:pPr>
  </w:style>
  <w:style w:type="paragraph" w:styleId="10">
    <w:name w:val="Body Text"/>
    <w:basedOn w:val="1"/>
    <w:next w:val="1"/>
    <w:link w:val="41"/>
    <w:autoRedefine/>
    <w:qFormat/>
    <w:uiPriority w:val="0"/>
    <w:pPr>
      <w:tabs>
        <w:tab w:val="left" w:pos="567"/>
      </w:tabs>
      <w:spacing w:before="120" w:line="22" w:lineRule="atLeast"/>
    </w:pPr>
    <w:rPr>
      <w:rFonts w:ascii="宋体" w:hAnsi="宋体"/>
      <w:sz w:val="24"/>
    </w:rPr>
  </w:style>
  <w:style w:type="paragraph" w:styleId="11">
    <w:name w:val="Body Text Indent"/>
    <w:basedOn w:val="1"/>
    <w:autoRedefine/>
    <w:qFormat/>
    <w:uiPriority w:val="0"/>
    <w:pPr>
      <w:spacing w:line="540" w:lineRule="exact"/>
      <w:ind w:firstLine="200" w:firstLineChars="200"/>
    </w:pPr>
    <w:rPr>
      <w:sz w:val="24"/>
    </w:rPr>
  </w:style>
  <w:style w:type="paragraph" w:styleId="12">
    <w:name w:val="index 4"/>
    <w:basedOn w:val="1"/>
    <w:next w:val="1"/>
    <w:autoRedefine/>
    <w:qFormat/>
    <w:uiPriority w:val="99"/>
    <w:pPr>
      <w:ind w:left="600" w:leftChars="600"/>
    </w:pPr>
  </w:style>
  <w:style w:type="paragraph" w:styleId="13">
    <w:name w:val="toc 5"/>
    <w:basedOn w:val="1"/>
    <w:next w:val="1"/>
    <w:autoRedefine/>
    <w:unhideWhenUsed/>
    <w:qFormat/>
    <w:uiPriority w:val="39"/>
    <w:pPr>
      <w:ind w:left="1680" w:leftChars="800"/>
    </w:pPr>
    <w:rPr>
      <w:rFonts w:ascii="Calibri" w:hAnsi="Calibri"/>
      <w:szCs w:val="22"/>
    </w:rPr>
  </w:style>
  <w:style w:type="paragraph" w:styleId="14">
    <w:name w:val="toc 3"/>
    <w:basedOn w:val="1"/>
    <w:next w:val="1"/>
    <w:autoRedefine/>
    <w:qFormat/>
    <w:uiPriority w:val="39"/>
    <w:pPr>
      <w:tabs>
        <w:tab w:val="left" w:pos="1260"/>
        <w:tab w:val="right" w:leader="dot" w:pos="8630"/>
      </w:tabs>
      <w:ind w:left="840" w:leftChars="400"/>
    </w:pPr>
  </w:style>
  <w:style w:type="paragraph" w:styleId="15">
    <w:name w:val="Plain Text"/>
    <w:basedOn w:val="1"/>
    <w:link w:val="42"/>
    <w:autoRedefine/>
    <w:qFormat/>
    <w:uiPriority w:val="0"/>
    <w:rPr>
      <w:rFonts w:ascii="宋体" w:hAnsi="Courier New"/>
      <w:szCs w:val="20"/>
    </w:rPr>
  </w:style>
  <w:style w:type="paragraph" w:styleId="16">
    <w:name w:val="toc 8"/>
    <w:basedOn w:val="1"/>
    <w:next w:val="1"/>
    <w:autoRedefine/>
    <w:unhideWhenUsed/>
    <w:qFormat/>
    <w:uiPriority w:val="39"/>
    <w:pPr>
      <w:ind w:left="2940" w:leftChars="1400"/>
    </w:pPr>
    <w:rPr>
      <w:rFonts w:ascii="Calibri" w:hAnsi="Calibri"/>
      <w:szCs w:val="22"/>
    </w:rPr>
  </w:style>
  <w:style w:type="paragraph" w:styleId="17">
    <w:name w:val="Balloon Text"/>
    <w:basedOn w:val="1"/>
    <w:link w:val="43"/>
    <w:autoRedefine/>
    <w:qFormat/>
    <w:uiPriority w:val="0"/>
    <w:rPr>
      <w:sz w:val="18"/>
      <w:szCs w:val="18"/>
    </w:rPr>
  </w:style>
  <w:style w:type="paragraph" w:styleId="18">
    <w:name w:val="footer"/>
    <w:basedOn w:val="1"/>
    <w:autoRedefine/>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1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autoRedefine/>
    <w:qFormat/>
    <w:uiPriority w:val="39"/>
  </w:style>
  <w:style w:type="paragraph" w:styleId="21">
    <w:name w:val="toc 4"/>
    <w:basedOn w:val="1"/>
    <w:next w:val="1"/>
    <w:autoRedefine/>
    <w:unhideWhenUsed/>
    <w:qFormat/>
    <w:uiPriority w:val="39"/>
    <w:pPr>
      <w:ind w:left="1260" w:leftChars="600"/>
    </w:pPr>
    <w:rPr>
      <w:rFonts w:ascii="Calibri" w:hAnsi="Calibri"/>
      <w:szCs w:val="22"/>
    </w:rPr>
  </w:style>
  <w:style w:type="paragraph" w:styleId="22">
    <w:name w:val="toc 6"/>
    <w:basedOn w:val="1"/>
    <w:next w:val="1"/>
    <w:autoRedefine/>
    <w:unhideWhenUsed/>
    <w:qFormat/>
    <w:uiPriority w:val="39"/>
    <w:pPr>
      <w:ind w:left="2100" w:leftChars="1000"/>
    </w:pPr>
    <w:rPr>
      <w:rFonts w:ascii="Calibri" w:hAnsi="Calibri"/>
      <w:szCs w:val="22"/>
    </w:rPr>
  </w:style>
  <w:style w:type="paragraph" w:styleId="23">
    <w:name w:val="toc 2"/>
    <w:basedOn w:val="1"/>
    <w:next w:val="1"/>
    <w:autoRedefine/>
    <w:qFormat/>
    <w:uiPriority w:val="39"/>
    <w:pPr>
      <w:ind w:left="420" w:leftChars="200"/>
    </w:pPr>
  </w:style>
  <w:style w:type="paragraph" w:styleId="24">
    <w:name w:val="toc 9"/>
    <w:basedOn w:val="1"/>
    <w:next w:val="1"/>
    <w:autoRedefine/>
    <w:unhideWhenUsed/>
    <w:qFormat/>
    <w:uiPriority w:val="39"/>
    <w:pPr>
      <w:ind w:left="3360" w:leftChars="1600"/>
    </w:pPr>
    <w:rPr>
      <w:rFonts w:ascii="Calibri" w:hAnsi="Calibri"/>
      <w:szCs w:val="22"/>
    </w:rPr>
  </w:style>
  <w:style w:type="paragraph" w:styleId="25">
    <w:name w:val="Normal (Web)"/>
    <w:basedOn w:val="1"/>
    <w:autoRedefine/>
    <w:qFormat/>
    <w:uiPriority w:val="0"/>
    <w:pPr>
      <w:spacing w:before="100" w:beforeAutospacing="1" w:after="100" w:afterAutospacing="1"/>
      <w:jc w:val="left"/>
    </w:pPr>
    <w:rPr>
      <w:kern w:val="0"/>
      <w:sz w:val="24"/>
    </w:rPr>
  </w:style>
  <w:style w:type="paragraph" w:styleId="26">
    <w:name w:val="annotation subject"/>
    <w:basedOn w:val="9"/>
    <w:next w:val="9"/>
    <w:link w:val="44"/>
    <w:autoRedefine/>
    <w:unhideWhenUsed/>
    <w:qFormat/>
    <w:uiPriority w:val="0"/>
    <w:rPr>
      <w:b/>
      <w:bCs/>
    </w:rPr>
  </w:style>
  <w:style w:type="paragraph" w:styleId="27">
    <w:name w:val="Body Text First Indent"/>
    <w:basedOn w:val="10"/>
    <w:link w:val="45"/>
    <w:autoRedefine/>
    <w:qFormat/>
    <w:uiPriority w:val="0"/>
    <w:pPr>
      <w:tabs>
        <w:tab w:val="clear" w:pos="567"/>
      </w:tabs>
      <w:spacing w:before="0" w:after="120" w:line="240" w:lineRule="auto"/>
      <w:ind w:firstLine="420" w:firstLineChars="100"/>
    </w:pPr>
    <w:rPr>
      <w:sz w:val="21"/>
    </w:rPr>
  </w:style>
  <w:style w:type="paragraph" w:styleId="28">
    <w:name w:val="Body Text First Indent 2"/>
    <w:basedOn w:val="11"/>
    <w:next w:val="1"/>
    <w:autoRedefine/>
    <w:qFormat/>
    <w:uiPriority w:val="0"/>
    <w:pPr>
      <w:spacing w:after="120" w:line="240" w:lineRule="auto"/>
      <w:ind w:left="200" w:leftChars="200" w:firstLine="100" w:firstLineChars="100"/>
      <w:jc w:val="left"/>
    </w:pPr>
    <w:rPr>
      <w:rFonts w:ascii="DFKai-SB" w:hAnsi="DFKai-SB" w:eastAsia="DFKai-SB"/>
      <w:spacing w:val="-8"/>
    </w:rPr>
  </w:style>
  <w:style w:type="table" w:styleId="30">
    <w:name w:val="Table Grid"/>
    <w:basedOn w:val="2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2">
    <w:name w:val="Strong"/>
    <w:autoRedefine/>
    <w:qFormat/>
    <w:uiPriority w:val="0"/>
    <w:rPr>
      <w:rFonts w:ascii="Times New Roman" w:hAnsi="Times New Roman" w:eastAsia="宋体" w:cs="Times New Roman"/>
      <w:b/>
    </w:rPr>
  </w:style>
  <w:style w:type="character" w:styleId="33">
    <w:name w:val="page number"/>
    <w:autoRedefine/>
    <w:qFormat/>
    <w:uiPriority w:val="0"/>
  </w:style>
  <w:style w:type="character" w:styleId="34">
    <w:name w:val="FollowedHyperlink"/>
    <w:autoRedefine/>
    <w:unhideWhenUsed/>
    <w:qFormat/>
    <w:uiPriority w:val="99"/>
    <w:rPr>
      <w:color w:val="954F72"/>
      <w:u w:val="single"/>
    </w:rPr>
  </w:style>
  <w:style w:type="character" w:styleId="35">
    <w:name w:val="Hyperlink"/>
    <w:autoRedefine/>
    <w:qFormat/>
    <w:uiPriority w:val="99"/>
    <w:rPr>
      <w:color w:val="333333"/>
      <w:u w:val="none"/>
    </w:rPr>
  </w:style>
  <w:style w:type="character" w:styleId="36">
    <w:name w:val="annotation reference"/>
    <w:autoRedefine/>
    <w:unhideWhenUsed/>
    <w:qFormat/>
    <w:uiPriority w:val="0"/>
    <w:rPr>
      <w:sz w:val="21"/>
      <w:szCs w:val="21"/>
    </w:rPr>
  </w:style>
  <w:style w:type="paragraph" w:customStyle="1" w:styleId="37">
    <w:name w:val="Fließtext"/>
    <w:basedOn w:val="1"/>
    <w:autoRedefine/>
    <w:qFormat/>
    <w:uiPriority w:val="0"/>
    <w:pPr>
      <w:overflowPunct w:val="0"/>
      <w:autoSpaceDE w:val="0"/>
      <w:autoSpaceDN w:val="0"/>
      <w:adjustRightInd w:val="0"/>
      <w:textAlignment w:val="baseline"/>
    </w:pPr>
    <w:rPr>
      <w:kern w:val="28"/>
      <w:szCs w:val="20"/>
    </w:rPr>
  </w:style>
  <w:style w:type="character" w:customStyle="1" w:styleId="38">
    <w:name w:val="标题 1 字符"/>
    <w:link w:val="3"/>
    <w:autoRedefine/>
    <w:qFormat/>
    <w:uiPriority w:val="0"/>
    <w:rPr>
      <w:rFonts w:ascii="宋体"/>
      <w:b/>
      <w:kern w:val="44"/>
      <w:sz w:val="32"/>
    </w:rPr>
  </w:style>
  <w:style w:type="character" w:customStyle="1" w:styleId="39">
    <w:name w:val="标题 4 字符"/>
    <w:link w:val="7"/>
    <w:autoRedefine/>
    <w:qFormat/>
    <w:uiPriority w:val="99"/>
    <w:rPr>
      <w:rFonts w:ascii="Cambria" w:hAnsi="Cambria" w:cs="Cambria"/>
      <w:b/>
      <w:bCs/>
      <w:kern w:val="2"/>
      <w:sz w:val="28"/>
      <w:szCs w:val="28"/>
    </w:rPr>
  </w:style>
  <w:style w:type="character" w:customStyle="1" w:styleId="40">
    <w:name w:val="批注文字 字符"/>
    <w:link w:val="9"/>
    <w:autoRedefine/>
    <w:qFormat/>
    <w:uiPriority w:val="0"/>
    <w:rPr>
      <w:kern w:val="2"/>
      <w:sz w:val="21"/>
      <w:szCs w:val="24"/>
    </w:rPr>
  </w:style>
  <w:style w:type="character" w:customStyle="1" w:styleId="41">
    <w:name w:val="正文文本 字符"/>
    <w:link w:val="10"/>
    <w:autoRedefine/>
    <w:qFormat/>
    <w:uiPriority w:val="0"/>
    <w:rPr>
      <w:rFonts w:ascii="宋体" w:hAnsi="宋体"/>
      <w:kern w:val="2"/>
      <w:sz w:val="24"/>
      <w:szCs w:val="24"/>
    </w:rPr>
  </w:style>
  <w:style w:type="character" w:customStyle="1" w:styleId="42">
    <w:name w:val="纯文本 字符"/>
    <w:link w:val="15"/>
    <w:autoRedefine/>
    <w:qFormat/>
    <w:uiPriority w:val="0"/>
    <w:rPr>
      <w:rFonts w:ascii="宋体" w:hAnsi="Courier New"/>
      <w:kern w:val="2"/>
      <w:sz w:val="21"/>
    </w:rPr>
  </w:style>
  <w:style w:type="character" w:customStyle="1" w:styleId="43">
    <w:name w:val="批注框文本 字符"/>
    <w:link w:val="17"/>
    <w:autoRedefine/>
    <w:qFormat/>
    <w:uiPriority w:val="0"/>
    <w:rPr>
      <w:kern w:val="2"/>
      <w:sz w:val="18"/>
      <w:szCs w:val="18"/>
    </w:rPr>
  </w:style>
  <w:style w:type="character" w:customStyle="1" w:styleId="44">
    <w:name w:val="批注主题 字符"/>
    <w:link w:val="26"/>
    <w:autoRedefine/>
    <w:semiHidden/>
    <w:qFormat/>
    <w:uiPriority w:val="0"/>
    <w:rPr>
      <w:b/>
      <w:bCs/>
      <w:kern w:val="2"/>
      <w:sz w:val="21"/>
      <w:szCs w:val="24"/>
    </w:rPr>
  </w:style>
  <w:style w:type="character" w:customStyle="1" w:styleId="45">
    <w:name w:val="正文文本首行缩进 字符"/>
    <w:link w:val="27"/>
    <w:autoRedefine/>
    <w:qFormat/>
    <w:uiPriority w:val="0"/>
    <w:rPr>
      <w:rFonts w:ascii="宋体" w:hAnsi="宋体"/>
      <w:kern w:val="2"/>
      <w:sz w:val="21"/>
      <w:szCs w:val="24"/>
    </w:rPr>
  </w:style>
  <w:style w:type="paragraph" w:styleId="46">
    <w:name w:val="List Paragraph"/>
    <w:basedOn w:val="1"/>
    <w:autoRedefine/>
    <w:qFormat/>
    <w:uiPriority w:val="1"/>
    <w:pPr>
      <w:ind w:left="960" w:firstLine="480"/>
    </w:pPr>
  </w:style>
  <w:style w:type="character" w:customStyle="1" w:styleId="47">
    <w:name w:val="fontstyle01"/>
    <w:autoRedefine/>
    <w:qFormat/>
    <w:uiPriority w:val="0"/>
    <w:rPr>
      <w:rFonts w:hint="eastAsia" w:ascii="宋体" w:hAnsi="宋体" w:eastAsia="宋体"/>
      <w:color w:val="000000"/>
      <w:sz w:val="22"/>
      <w:szCs w:val="22"/>
    </w:rPr>
  </w:style>
  <w:style w:type="character" w:customStyle="1" w:styleId="48">
    <w:name w:val="正文缩进 Char1"/>
    <w:link w:val="49"/>
    <w:autoRedefine/>
    <w:qFormat/>
    <w:uiPriority w:val="0"/>
    <w:rPr>
      <w:rFonts w:ascii="宋体"/>
      <w:sz w:val="24"/>
    </w:rPr>
  </w:style>
  <w:style w:type="paragraph" w:customStyle="1" w:styleId="49">
    <w:name w:val="正文缩进1"/>
    <w:basedOn w:val="1"/>
    <w:link w:val="48"/>
    <w:autoRedefine/>
    <w:qFormat/>
    <w:uiPriority w:val="0"/>
    <w:pPr>
      <w:autoSpaceDE w:val="0"/>
      <w:autoSpaceDN w:val="0"/>
      <w:adjustRightInd w:val="0"/>
      <w:ind w:firstLine="420"/>
      <w:jc w:val="left"/>
    </w:pPr>
    <w:rPr>
      <w:rFonts w:ascii="宋体"/>
      <w:kern w:val="0"/>
      <w:sz w:val="24"/>
      <w:szCs w:val="20"/>
    </w:rPr>
  </w:style>
  <w:style w:type="paragraph" w:customStyle="1" w:styleId="50">
    <w:name w:val="_Style 37"/>
    <w:basedOn w:val="3"/>
    <w:next w:val="1"/>
    <w:autoRedefine/>
    <w:unhideWhenUsed/>
    <w:qFormat/>
    <w:uiPriority w:val="39"/>
    <w:pPr>
      <w:widowControl/>
      <w:autoSpaceDE/>
      <w:autoSpaceDN/>
      <w:adjustRightInd/>
      <w:spacing w:before="480" w:after="0" w:line="276" w:lineRule="auto"/>
      <w:jc w:val="left"/>
      <w:outlineLvl w:val="9"/>
    </w:pPr>
    <w:rPr>
      <w:rFonts w:ascii="Calibri Light" w:hAnsi="Calibri Light"/>
      <w:bCs/>
      <w:color w:val="2E74B5"/>
      <w:kern w:val="0"/>
      <w:sz w:val="28"/>
      <w:szCs w:val="28"/>
    </w:rPr>
  </w:style>
  <w:style w:type="paragraph" w:customStyle="1" w:styleId="51">
    <w:name w:val="xl70"/>
    <w:basedOn w:val="1"/>
    <w:autoRedefine/>
    <w:qFormat/>
    <w:uiPriority w:val="0"/>
    <w:pPr>
      <w:widowControl/>
      <w:pBdr>
        <w:bottom w:val="single" w:color="auto" w:sz="8" w:space="0"/>
        <w:right w:val="single" w:color="auto" w:sz="8" w:space="0"/>
      </w:pBdr>
      <w:spacing w:before="100" w:beforeAutospacing="1" w:after="100" w:afterAutospacing="1"/>
      <w:jc w:val="center"/>
    </w:pPr>
    <w:rPr>
      <w:rFonts w:ascii="宋体" w:hAnsi="宋体" w:cs="宋体"/>
      <w:color w:val="000000"/>
      <w:kern w:val="0"/>
      <w:sz w:val="24"/>
    </w:rPr>
  </w:style>
  <w:style w:type="paragraph" w:customStyle="1" w:styleId="52">
    <w:name w:val="列出段落1"/>
    <w:basedOn w:val="1"/>
    <w:autoRedefine/>
    <w:unhideWhenUsed/>
    <w:qFormat/>
    <w:uiPriority w:val="99"/>
    <w:pPr>
      <w:ind w:firstLine="420" w:firstLineChars="200"/>
    </w:pPr>
  </w:style>
  <w:style w:type="paragraph" w:customStyle="1" w:styleId="53">
    <w:name w:val="xl65"/>
    <w:basedOn w:val="1"/>
    <w:autoRedefine/>
    <w:qFormat/>
    <w:uiPriority w:val="0"/>
    <w:pPr>
      <w:widowControl/>
      <w:pBdr>
        <w:left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24"/>
    </w:rPr>
  </w:style>
  <w:style w:type="paragraph" w:customStyle="1" w:styleId="54">
    <w:name w:val="xl73"/>
    <w:basedOn w:val="1"/>
    <w:autoRedefine/>
    <w:qFormat/>
    <w:uiPriority w:val="0"/>
    <w:pPr>
      <w:widowControl/>
      <w:pBdr>
        <w:bottom w:val="single" w:color="auto" w:sz="8" w:space="0"/>
        <w:right w:val="single" w:color="auto" w:sz="8" w:space="0"/>
      </w:pBdr>
      <w:spacing w:before="100" w:beforeAutospacing="1" w:after="100" w:afterAutospacing="1"/>
      <w:jc w:val="center"/>
    </w:pPr>
    <w:rPr>
      <w:rFonts w:ascii="宋体" w:hAnsi="宋体" w:cs="宋体"/>
      <w:kern w:val="0"/>
      <w:sz w:val="24"/>
    </w:rPr>
  </w:style>
  <w:style w:type="paragraph" w:customStyle="1" w:styleId="55">
    <w:name w:val="xl72"/>
    <w:basedOn w:val="1"/>
    <w:autoRedefine/>
    <w:qFormat/>
    <w:uiPriority w:val="0"/>
    <w:pPr>
      <w:widowControl/>
      <w:pBdr>
        <w:bottom w:val="single" w:color="auto" w:sz="8" w:space="0"/>
        <w:right w:val="single" w:color="auto" w:sz="8" w:space="0"/>
      </w:pBdr>
      <w:shd w:val="clear" w:color="000000" w:fill="FFFFFF"/>
      <w:spacing w:before="100" w:beforeAutospacing="1" w:after="100" w:afterAutospacing="1"/>
      <w:jc w:val="center"/>
    </w:pPr>
    <w:rPr>
      <w:rFonts w:ascii="宋体" w:hAnsi="宋体" w:cs="宋体"/>
      <w:kern w:val="0"/>
      <w:sz w:val="24"/>
    </w:rPr>
  </w:style>
  <w:style w:type="paragraph" w:customStyle="1" w:styleId="56">
    <w:name w:val="xl64"/>
    <w:basedOn w:val="1"/>
    <w:autoRedefine/>
    <w:qFormat/>
    <w:uiPriority w:val="0"/>
    <w:pPr>
      <w:widowControl/>
      <w:pBdr>
        <w:top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24"/>
    </w:rPr>
  </w:style>
  <w:style w:type="paragraph" w:customStyle="1" w:styleId="57">
    <w:name w:val="xl66"/>
    <w:basedOn w:val="1"/>
    <w:autoRedefine/>
    <w:qFormat/>
    <w:uiPriority w:val="0"/>
    <w:pPr>
      <w:widowControl/>
      <w:pBdr>
        <w:bottom w:val="single" w:color="auto" w:sz="8" w:space="0"/>
        <w:right w:val="single" w:color="auto" w:sz="8" w:space="0"/>
      </w:pBdr>
      <w:spacing w:before="100" w:beforeAutospacing="1" w:after="100" w:afterAutospacing="1"/>
      <w:jc w:val="left"/>
    </w:pPr>
    <w:rPr>
      <w:rFonts w:ascii="宋体" w:hAnsi="宋体" w:cs="宋体"/>
      <w:color w:val="000000"/>
      <w:kern w:val="0"/>
      <w:sz w:val="24"/>
    </w:rPr>
  </w:style>
  <w:style w:type="paragraph" w:customStyle="1" w:styleId="58">
    <w:name w:val="xl74"/>
    <w:basedOn w:val="1"/>
    <w:autoRedefine/>
    <w:qFormat/>
    <w:uiPriority w:val="0"/>
    <w:pPr>
      <w:widowControl/>
      <w:pBdr>
        <w:bottom w:val="single" w:color="auto" w:sz="8" w:space="0"/>
        <w:right w:val="single" w:color="auto" w:sz="8" w:space="0"/>
      </w:pBdr>
      <w:shd w:val="clear" w:color="000000" w:fill="FFFFFF"/>
      <w:spacing w:before="100" w:beforeAutospacing="1" w:after="100" w:afterAutospacing="1"/>
      <w:jc w:val="left"/>
    </w:pPr>
    <w:rPr>
      <w:rFonts w:ascii="宋体" w:hAnsi="宋体" w:cs="宋体"/>
      <w:kern w:val="0"/>
      <w:sz w:val="24"/>
    </w:rPr>
  </w:style>
  <w:style w:type="paragraph" w:customStyle="1" w:styleId="59">
    <w:name w:val="xl67"/>
    <w:basedOn w:val="1"/>
    <w:autoRedefine/>
    <w:qFormat/>
    <w:uiPriority w:val="0"/>
    <w:pPr>
      <w:widowControl/>
      <w:pBdr>
        <w:bottom w:val="single" w:color="auto" w:sz="8" w:space="0"/>
        <w:right w:val="single" w:color="auto" w:sz="8" w:space="0"/>
      </w:pBdr>
      <w:spacing w:before="100" w:beforeAutospacing="1" w:after="100" w:afterAutospacing="1"/>
      <w:jc w:val="center"/>
    </w:pPr>
    <w:rPr>
      <w:rFonts w:ascii="宋体" w:hAnsi="宋体" w:cs="宋体"/>
      <w:kern w:val="0"/>
      <w:sz w:val="24"/>
    </w:rPr>
  </w:style>
  <w:style w:type="paragraph" w:customStyle="1" w:styleId="60">
    <w:name w:val="xl71"/>
    <w:basedOn w:val="1"/>
    <w:autoRedefine/>
    <w:qFormat/>
    <w:uiPriority w:val="0"/>
    <w:pPr>
      <w:widowControl/>
      <w:pBdr>
        <w:bottom w:val="single" w:color="auto" w:sz="8" w:space="0"/>
        <w:right w:val="single" w:color="auto" w:sz="8" w:space="0"/>
      </w:pBdr>
      <w:spacing w:before="100" w:beforeAutospacing="1" w:after="100" w:afterAutospacing="1"/>
      <w:jc w:val="left"/>
    </w:pPr>
    <w:rPr>
      <w:rFonts w:ascii="宋体" w:hAnsi="宋体" w:cs="宋体"/>
      <w:color w:val="000000"/>
      <w:kern w:val="0"/>
      <w:sz w:val="24"/>
    </w:rPr>
  </w:style>
  <w:style w:type="paragraph" w:customStyle="1" w:styleId="61">
    <w:name w:val="xl69"/>
    <w:basedOn w:val="1"/>
    <w:autoRedefine/>
    <w:qFormat/>
    <w:uiPriority w:val="0"/>
    <w:pPr>
      <w:widowControl/>
      <w:pBdr>
        <w:bottom w:val="single" w:color="auto" w:sz="8" w:space="0"/>
        <w:right w:val="single" w:color="auto" w:sz="8" w:space="0"/>
      </w:pBdr>
      <w:spacing w:before="100" w:beforeAutospacing="1" w:after="100" w:afterAutospacing="1"/>
      <w:jc w:val="left"/>
    </w:pPr>
    <w:rPr>
      <w:rFonts w:ascii="宋体" w:hAnsi="宋体" w:cs="宋体"/>
      <w:kern w:val="0"/>
      <w:sz w:val="24"/>
    </w:rPr>
  </w:style>
  <w:style w:type="paragraph" w:customStyle="1" w:styleId="62">
    <w:name w:val="font5"/>
    <w:basedOn w:val="1"/>
    <w:autoRedefine/>
    <w:qFormat/>
    <w:uiPriority w:val="0"/>
    <w:pPr>
      <w:widowControl/>
      <w:spacing w:before="100" w:beforeAutospacing="1" w:after="100" w:afterAutospacing="1"/>
      <w:jc w:val="left"/>
    </w:pPr>
    <w:rPr>
      <w:rFonts w:ascii="宋体" w:hAnsi="宋体" w:cs="宋体"/>
      <w:color w:val="000000"/>
      <w:kern w:val="0"/>
      <w:sz w:val="24"/>
    </w:rPr>
  </w:style>
  <w:style w:type="paragraph" w:customStyle="1" w:styleId="63">
    <w:name w:val="xl63"/>
    <w:basedOn w:val="1"/>
    <w:autoRedefine/>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24"/>
    </w:rPr>
  </w:style>
  <w:style w:type="paragraph" w:customStyle="1" w:styleId="64">
    <w:name w:val="xl68"/>
    <w:basedOn w:val="1"/>
    <w:autoRedefine/>
    <w:qFormat/>
    <w:uiPriority w:val="0"/>
    <w:pPr>
      <w:widowControl/>
      <w:pBdr>
        <w:bottom w:val="single" w:color="auto" w:sz="8" w:space="0"/>
        <w:right w:val="single" w:color="auto" w:sz="8" w:space="0"/>
      </w:pBdr>
      <w:spacing w:before="100" w:beforeAutospacing="1" w:after="100" w:afterAutospacing="1"/>
      <w:jc w:val="left"/>
    </w:pPr>
    <w:rPr>
      <w:rFonts w:ascii="宋体" w:hAnsi="宋体" w:cs="宋体"/>
      <w:kern w:val="0"/>
      <w:sz w:val="24"/>
    </w:rPr>
  </w:style>
  <w:style w:type="paragraph" w:customStyle="1" w:styleId="65">
    <w:name w:val="Table Paragraph"/>
    <w:basedOn w:val="1"/>
    <w:autoRedefine/>
    <w:qFormat/>
    <w:uiPriority w:val="1"/>
  </w:style>
  <w:style w:type="paragraph" w:customStyle="1" w:styleId="66">
    <w:name w:val="WPSOffice手动目录 1"/>
    <w:autoRedefine/>
    <w:qFormat/>
    <w:uiPriority w:val="0"/>
    <w:rPr>
      <w:rFonts w:ascii="Times New Roman" w:hAnsi="Times New Roman" w:eastAsia="宋体" w:cs="Times New Roman"/>
      <w:lang w:val="en-US" w:eastAsia="zh-CN" w:bidi="ar-SA"/>
    </w:rPr>
  </w:style>
  <w:style w:type="paragraph" w:customStyle="1" w:styleId="67">
    <w:name w:val="WPSOffice手动目录 2"/>
    <w:autoRedefine/>
    <w:qFormat/>
    <w:uiPriority w:val="0"/>
    <w:pPr>
      <w:ind w:leftChars="200"/>
    </w:pPr>
    <w:rPr>
      <w:rFonts w:ascii="Times New Roman" w:hAnsi="Times New Roman" w:eastAsia="宋体" w:cs="Times New Roman"/>
      <w:lang w:val="en-US" w:eastAsia="zh-CN" w:bidi="ar-SA"/>
    </w:rPr>
  </w:style>
  <w:style w:type="paragraph" w:customStyle="1" w:styleId="68">
    <w:name w:val="WPSOffice手动目录 3"/>
    <w:autoRedefine/>
    <w:qFormat/>
    <w:uiPriority w:val="0"/>
    <w:pPr>
      <w:ind w:leftChars="400"/>
    </w:pPr>
    <w:rPr>
      <w:rFonts w:ascii="Times New Roman" w:hAnsi="Times New Roman" w:eastAsia="宋体" w:cs="Times New Roman"/>
      <w:lang w:val="en-US" w:eastAsia="zh-CN" w:bidi="ar-SA"/>
    </w:rPr>
  </w:style>
  <w:style w:type="paragraph" w:customStyle="1" w:styleId="69">
    <w:name w:val="_Style 32"/>
    <w:basedOn w:val="1"/>
    <w:next w:val="1"/>
    <w:autoRedefine/>
    <w:qFormat/>
    <w:uiPriority w:val="34"/>
    <w:pPr>
      <w:widowControl/>
      <w:ind w:firstLine="420" w:firstLineChars="200"/>
      <w:jc w:val="left"/>
    </w:pPr>
    <w:rPr>
      <w:rFonts w:ascii="Times New Roman" w:hAnsi="Times New Roman"/>
      <w:kern w:val="0"/>
      <w:sz w:val="24"/>
    </w:rPr>
  </w:style>
  <w:style w:type="character" w:customStyle="1" w:styleId="70">
    <w:name w:val="font21"/>
    <w:basedOn w:val="31"/>
    <w:autoRedefine/>
    <w:qFormat/>
    <w:uiPriority w:val="0"/>
    <w:rPr>
      <w:rFonts w:hint="default" w:ascii="Times New Roman" w:hAnsi="Times New Roman" w:cs="Times New Roman"/>
      <w:color w:val="000000"/>
      <w:sz w:val="20"/>
      <w:szCs w:val="20"/>
      <w:u w:val="none"/>
    </w:rPr>
  </w:style>
  <w:style w:type="character" w:customStyle="1" w:styleId="71">
    <w:name w:val="font11"/>
    <w:basedOn w:val="31"/>
    <w:autoRedefine/>
    <w:qFormat/>
    <w:uiPriority w:val="0"/>
    <w:rPr>
      <w:rFonts w:hint="eastAsia" w:ascii="宋体" w:hAnsi="宋体" w:eastAsia="宋体" w:cs="宋体"/>
      <w:color w:val="000000"/>
      <w:sz w:val="20"/>
      <w:szCs w:val="20"/>
      <w:u w:val="none"/>
    </w:rPr>
  </w:style>
  <w:style w:type="paragraph" w:customStyle="1" w:styleId="72">
    <w:name w:val="List Paragraph1"/>
    <w:basedOn w:val="1"/>
    <w:autoRedefine/>
    <w:qFormat/>
    <w:uiPriority w:val="99"/>
    <w:pPr>
      <w:ind w:firstLine="420" w:firstLineChars="200"/>
    </w:pPr>
    <w:rPr>
      <w:sz w:val="22"/>
      <w:szCs w:val="20"/>
    </w:rPr>
  </w:style>
  <w:style w:type="paragraph" w:customStyle="1" w:styleId="73">
    <w:name w:val="Body text|1"/>
    <w:basedOn w:val="1"/>
    <w:autoRedefine/>
    <w:qFormat/>
    <w:uiPriority w:val="0"/>
    <w:pPr>
      <w:spacing w:line="415" w:lineRule="auto"/>
      <w:ind w:firstLine="400"/>
    </w:pPr>
    <w:rPr>
      <w:rFonts w:ascii="宋体" w:hAnsi="宋体" w:eastAsia="宋体" w:cs="宋体"/>
      <w:sz w:val="22"/>
      <w:szCs w:val="22"/>
      <w:lang w:val="zh-TW" w:eastAsia="zh-TW" w:bidi="zh-TW"/>
    </w:rPr>
  </w:style>
  <w:style w:type="paragraph" w:customStyle="1" w:styleId="74">
    <w:name w:val="Other|1"/>
    <w:basedOn w:val="1"/>
    <w:autoRedefine/>
    <w:qFormat/>
    <w:uiPriority w:val="0"/>
    <w:pPr>
      <w:spacing w:line="415" w:lineRule="auto"/>
      <w:ind w:firstLine="400"/>
    </w:pPr>
    <w:rPr>
      <w:rFonts w:ascii="宋体" w:hAnsi="宋体" w:eastAsia="宋体" w:cs="宋体"/>
      <w:sz w:val="22"/>
      <w:szCs w:val="22"/>
      <w:lang w:val="zh-TW" w:eastAsia="zh-TW" w:bidi="zh-TW"/>
    </w:rPr>
  </w:style>
  <w:style w:type="table" w:customStyle="1" w:styleId="75">
    <w:name w:val="Table Normal"/>
    <w:autoRedefine/>
    <w:semiHidden/>
    <w:unhideWhenUsed/>
    <w:qFormat/>
    <w:uiPriority w:val="0"/>
    <w:tblPr>
      <w:tblCellMar>
        <w:top w:w="0" w:type="dxa"/>
        <w:left w:w="0" w:type="dxa"/>
        <w:bottom w:w="0" w:type="dxa"/>
        <w:right w:w="0" w:type="dxa"/>
      </w:tblCellMar>
    </w:tblPr>
  </w:style>
  <w:style w:type="character" w:customStyle="1" w:styleId="76">
    <w:name w:val="font31"/>
    <w:basedOn w:val="31"/>
    <w:autoRedefine/>
    <w:qFormat/>
    <w:uiPriority w:val="0"/>
    <w:rPr>
      <w:rFonts w:hint="eastAsia" w:ascii="宋体" w:hAnsi="宋体" w:eastAsia="宋体" w:cs="宋体"/>
      <w:color w:val="000000"/>
      <w:sz w:val="24"/>
      <w:szCs w:val="24"/>
      <w:u w:val="none"/>
    </w:rPr>
  </w:style>
  <w:style w:type="paragraph" w:customStyle="1" w:styleId="77">
    <w:name w:val="首行缩进"/>
    <w:basedOn w:val="1"/>
    <w:autoRedefine/>
    <w:qFormat/>
    <w:uiPriority w:val="0"/>
    <w:pPr>
      <w:spacing w:line="360" w:lineRule="auto"/>
      <w:ind w:firstLine="480"/>
    </w:pPr>
    <w:rPr>
      <w:rFonts w:hint="eastAsia" w:ascii="宋体" w:hAnsi="宋体"/>
      <w:color w:val="000000"/>
      <w:kern w:val="0"/>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jpeg"/><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沂蒙国际招标有限公司</Company>
  <Pages>70</Pages>
  <Words>25458</Words>
  <Characters>26993</Characters>
  <Lines>213</Lines>
  <Paragraphs>60</Paragraphs>
  <TotalTime>4</TotalTime>
  <ScaleCrop>false</ScaleCrop>
  <LinksUpToDate>false</LinksUpToDate>
  <CharactersWithSpaces>27915</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2022-05-26T00:30:00Z</dcterms:created>
  <dc:creator>毛锟</dc:creator>
  <cp:lastModifiedBy>申振</cp:lastModifiedBy>
  <cp:lastPrinted>2021-04-08T02:50:00Z</cp:lastPrinted>
  <dcterms:modified xsi:type="dcterms:W3CDTF">2024-05-06T10:11:56Z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22BBE3567F2B4DD69CA1E09218734299_13</vt:lpwstr>
  </property>
  <property fmtid="{D5CDD505-2E9C-101B-9397-08002B2CF9AE}" pid="4" name="commondata">
    <vt:lpwstr>eyJoZGlkIjoiYTI4ZDhhM2MxYzllZDkwOTY2MGMwZTkyMGZjMWQ3ODYifQ==</vt:lpwstr>
  </property>
</Properties>
</file>